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FF3A2">
      <w:pPr>
        <w:spacing w:line="240" w:lineRule="auto"/>
        <w:ind w:firstLine="520"/>
        <w:jc w:val="center"/>
        <w:rPr>
          <w:bCs/>
          <w:color w:val="000000" w:themeColor="text1"/>
          <w14:textFill>
            <w14:solidFill>
              <w14:schemeClr w14:val="tx1"/>
            </w14:solidFill>
          </w14:textFill>
        </w:rPr>
      </w:pPr>
      <w:bookmarkStart w:id="470" w:name="_GoBack"/>
      <w:bookmarkEnd w:id="470"/>
      <w:r>
        <w:rPr>
          <w:color w:val="000000" w:themeColor="text1"/>
          <w:lang w:val="zh-CN"/>
          <w14:textFill>
            <w14:solidFill>
              <w14:schemeClr w14:val="tx1"/>
            </w14:solidFill>
          </w14:textFill>
        </w:rPr>
        <w:t>目录</w:t>
      </w:r>
    </w:p>
    <w:p w14:paraId="0CA25590">
      <w:pPr>
        <w:pStyle w:val="59"/>
        <w:tabs>
          <w:tab w:val="right" w:leader="dot" w:pos="8306"/>
        </w:tabs>
      </w:pPr>
      <w:r>
        <w:rPr>
          <w:bCs w:val="0"/>
          <w:snapToGrid/>
          <w:color w:val="000000" w:themeColor="text1"/>
          <w:spacing w:val="11"/>
          <w:kern w:val="2"/>
          <w:szCs w:val="22"/>
          <w14:textFill>
            <w14:solidFill>
              <w14:schemeClr w14:val="tx1"/>
            </w14:solidFill>
          </w14:textFill>
          <w14:ligatures w14:val="standardContextual"/>
        </w:rPr>
        <w:fldChar w:fldCharType="begin"/>
      </w:r>
      <w:r>
        <w:rPr>
          <w:color w:val="000000" w:themeColor="text1"/>
          <w14:textFill>
            <w14:solidFill>
              <w14:schemeClr w14:val="tx1"/>
            </w14:solidFill>
          </w14:textFill>
        </w:rPr>
        <w:instrText xml:space="preserve"> TOC \o "1-2" \u </w:instrText>
      </w:r>
      <w:r>
        <w:rPr>
          <w:bCs w:val="0"/>
          <w:snapToGrid/>
          <w:color w:val="000000" w:themeColor="text1"/>
          <w:spacing w:val="11"/>
          <w:kern w:val="2"/>
          <w:szCs w:val="22"/>
          <w14:textFill>
            <w14:solidFill>
              <w14:schemeClr w14:val="tx1"/>
            </w14:solidFill>
          </w14:textFill>
          <w14:ligatures w14:val="standardContextual"/>
        </w:rPr>
        <w:fldChar w:fldCharType="separate"/>
      </w:r>
      <w:r>
        <w:rPr>
          <w:color w:val="000000" w:themeColor="text1"/>
          <w14:textFill>
            <w14:solidFill>
              <w14:schemeClr w14:val="tx1"/>
            </w14:solidFill>
          </w14:textFill>
        </w:rPr>
        <w:t>概述</w:t>
      </w:r>
      <w:r>
        <w:tab/>
      </w:r>
      <w:r>
        <w:fldChar w:fldCharType="begin"/>
      </w:r>
      <w:r>
        <w:instrText xml:space="preserve"> PAGEREF _Toc11074 \h </w:instrText>
      </w:r>
      <w:r>
        <w:fldChar w:fldCharType="separate"/>
      </w:r>
      <w:r>
        <w:t>1</w:t>
      </w:r>
      <w:r>
        <w:fldChar w:fldCharType="end"/>
      </w:r>
    </w:p>
    <w:p w14:paraId="4AB92DC5">
      <w:pPr>
        <w:pStyle w:val="59"/>
        <w:tabs>
          <w:tab w:val="right" w:leader="dot" w:pos="8306"/>
        </w:tabs>
      </w:pPr>
      <w:r>
        <w:rPr>
          <w:rFonts w:hint="eastAsia"/>
          <w:color w:val="000000" w:themeColor="text1"/>
          <w14:textFill>
            <w14:solidFill>
              <w14:schemeClr w14:val="tx1"/>
            </w14:solidFill>
          </w14:textFill>
        </w:rPr>
        <w:t xml:space="preserve">1 </w:t>
      </w:r>
      <w:r>
        <w:rPr>
          <w:color w:val="000000" w:themeColor="text1"/>
          <w14:textFill>
            <w14:solidFill>
              <w14:schemeClr w14:val="tx1"/>
            </w14:solidFill>
          </w14:textFill>
        </w:rPr>
        <w:t>总则</w:t>
      </w:r>
      <w:r>
        <w:tab/>
      </w:r>
      <w:r>
        <w:fldChar w:fldCharType="begin"/>
      </w:r>
      <w:r>
        <w:instrText xml:space="preserve"> PAGEREF _Toc8144 \h </w:instrText>
      </w:r>
      <w:r>
        <w:fldChar w:fldCharType="separate"/>
      </w:r>
      <w:r>
        <w:t>7</w:t>
      </w:r>
      <w:r>
        <w:fldChar w:fldCharType="end"/>
      </w:r>
    </w:p>
    <w:p w14:paraId="3D1DC674">
      <w:pPr>
        <w:pStyle w:val="74"/>
        <w:tabs>
          <w:tab w:val="right" w:leader="dot" w:pos="8306"/>
        </w:tabs>
      </w:pPr>
      <w:r>
        <w:rPr>
          <w:rFonts w:hint="eastAsia"/>
        </w:rPr>
        <w:t xml:space="preserve">1.1 </w:t>
      </w:r>
      <w:r>
        <w:rPr>
          <w:color w:val="000000" w:themeColor="text1"/>
          <w14:textFill>
            <w14:solidFill>
              <w14:schemeClr w14:val="tx1"/>
            </w14:solidFill>
          </w14:textFill>
        </w:rPr>
        <w:t>评价目的</w:t>
      </w:r>
      <w:r>
        <w:tab/>
      </w:r>
      <w:r>
        <w:fldChar w:fldCharType="begin"/>
      </w:r>
      <w:r>
        <w:instrText xml:space="preserve"> PAGEREF _Toc4913 \h </w:instrText>
      </w:r>
      <w:r>
        <w:fldChar w:fldCharType="separate"/>
      </w:r>
      <w:r>
        <w:t>7</w:t>
      </w:r>
      <w:r>
        <w:fldChar w:fldCharType="end"/>
      </w:r>
    </w:p>
    <w:p w14:paraId="3A53373E">
      <w:pPr>
        <w:pStyle w:val="74"/>
        <w:tabs>
          <w:tab w:val="right" w:leader="dot" w:pos="8306"/>
        </w:tabs>
      </w:pPr>
      <w:r>
        <w:rPr>
          <w:rFonts w:hint="eastAsia"/>
        </w:rPr>
        <w:t xml:space="preserve">1.2 </w:t>
      </w:r>
      <w:r>
        <w:rPr>
          <w:color w:val="000000" w:themeColor="text1"/>
          <w14:textFill>
            <w14:solidFill>
              <w14:schemeClr w14:val="tx1"/>
            </w14:solidFill>
          </w14:textFill>
        </w:rPr>
        <w:t>编制依据</w:t>
      </w:r>
      <w:r>
        <w:tab/>
      </w:r>
      <w:r>
        <w:fldChar w:fldCharType="begin"/>
      </w:r>
      <w:r>
        <w:instrText xml:space="preserve"> PAGEREF _Toc20128 \h </w:instrText>
      </w:r>
      <w:r>
        <w:fldChar w:fldCharType="separate"/>
      </w:r>
      <w:r>
        <w:t>7</w:t>
      </w:r>
      <w:r>
        <w:fldChar w:fldCharType="end"/>
      </w:r>
    </w:p>
    <w:p w14:paraId="257B1CF7">
      <w:pPr>
        <w:pStyle w:val="74"/>
        <w:tabs>
          <w:tab w:val="right" w:leader="dot" w:pos="8306"/>
        </w:tabs>
      </w:pPr>
      <w:r>
        <w:rPr>
          <w:rFonts w:hint="eastAsia"/>
        </w:rPr>
        <w:t xml:space="preserve">1.3 </w:t>
      </w:r>
      <w:r>
        <w:rPr>
          <w:color w:val="000000" w:themeColor="text1"/>
          <w14:textFill>
            <w14:solidFill>
              <w14:schemeClr w14:val="tx1"/>
            </w14:solidFill>
          </w14:textFill>
        </w:rPr>
        <w:t>评价原则与总体构思</w:t>
      </w:r>
      <w:r>
        <w:tab/>
      </w:r>
      <w:r>
        <w:fldChar w:fldCharType="begin"/>
      </w:r>
      <w:r>
        <w:instrText xml:space="preserve"> PAGEREF _Toc399 \h </w:instrText>
      </w:r>
      <w:r>
        <w:fldChar w:fldCharType="separate"/>
      </w:r>
      <w:r>
        <w:t>11</w:t>
      </w:r>
      <w:r>
        <w:fldChar w:fldCharType="end"/>
      </w:r>
    </w:p>
    <w:p w14:paraId="7F130898">
      <w:pPr>
        <w:pStyle w:val="74"/>
        <w:tabs>
          <w:tab w:val="right" w:leader="dot" w:pos="8306"/>
        </w:tabs>
      </w:pPr>
      <w:r>
        <w:rPr>
          <w:rFonts w:hint="eastAsia"/>
        </w:rPr>
        <w:t xml:space="preserve">1.4 </w:t>
      </w:r>
      <w:r>
        <w:rPr>
          <w:color w:val="000000" w:themeColor="text1"/>
          <w14:textFill>
            <w14:solidFill>
              <w14:schemeClr w14:val="tx1"/>
            </w14:solidFill>
          </w14:textFill>
        </w:rPr>
        <w:t>环境影响识别</w:t>
      </w:r>
      <w:r>
        <w:tab/>
      </w:r>
      <w:r>
        <w:fldChar w:fldCharType="begin"/>
      </w:r>
      <w:r>
        <w:instrText xml:space="preserve"> PAGEREF _Toc1850 \h </w:instrText>
      </w:r>
      <w:r>
        <w:fldChar w:fldCharType="separate"/>
      </w:r>
      <w:r>
        <w:t>12</w:t>
      </w:r>
      <w:r>
        <w:fldChar w:fldCharType="end"/>
      </w:r>
    </w:p>
    <w:p w14:paraId="183D9965">
      <w:pPr>
        <w:pStyle w:val="74"/>
        <w:tabs>
          <w:tab w:val="right" w:leader="dot" w:pos="8306"/>
        </w:tabs>
      </w:pPr>
      <w:r>
        <w:rPr>
          <w:rFonts w:hint="eastAsia"/>
        </w:rPr>
        <w:t xml:space="preserve">1.5 </w:t>
      </w:r>
      <w:r>
        <w:rPr>
          <w:color w:val="000000" w:themeColor="text1"/>
          <w14:textFill>
            <w14:solidFill>
              <w14:schemeClr w14:val="tx1"/>
            </w14:solidFill>
          </w14:textFill>
        </w:rPr>
        <w:t>评价标准</w:t>
      </w:r>
      <w:r>
        <w:tab/>
      </w:r>
      <w:r>
        <w:fldChar w:fldCharType="begin"/>
      </w:r>
      <w:r>
        <w:instrText xml:space="preserve"> PAGEREF _Toc28741 \h </w:instrText>
      </w:r>
      <w:r>
        <w:fldChar w:fldCharType="separate"/>
      </w:r>
      <w:r>
        <w:t>13</w:t>
      </w:r>
      <w:r>
        <w:fldChar w:fldCharType="end"/>
      </w:r>
    </w:p>
    <w:p w14:paraId="0E327A02">
      <w:pPr>
        <w:pStyle w:val="74"/>
        <w:tabs>
          <w:tab w:val="right" w:leader="dot" w:pos="8306"/>
        </w:tabs>
      </w:pPr>
      <w:r>
        <w:rPr>
          <w:rFonts w:hint="eastAsia"/>
        </w:rPr>
        <w:t xml:space="preserve">1.6 </w:t>
      </w:r>
      <w:r>
        <w:rPr>
          <w:color w:val="000000" w:themeColor="text1"/>
          <w14:textFill>
            <w14:solidFill>
              <w14:schemeClr w14:val="tx1"/>
            </w14:solidFill>
          </w14:textFill>
        </w:rPr>
        <w:t>评价工作等级及评价范围</w:t>
      </w:r>
      <w:r>
        <w:tab/>
      </w:r>
      <w:r>
        <w:fldChar w:fldCharType="begin"/>
      </w:r>
      <w:r>
        <w:instrText xml:space="preserve"> PAGEREF _Toc1710 \h </w:instrText>
      </w:r>
      <w:r>
        <w:fldChar w:fldCharType="separate"/>
      </w:r>
      <w:r>
        <w:t>20</w:t>
      </w:r>
      <w:r>
        <w:fldChar w:fldCharType="end"/>
      </w:r>
    </w:p>
    <w:p w14:paraId="417F48B0">
      <w:pPr>
        <w:pStyle w:val="74"/>
        <w:tabs>
          <w:tab w:val="right" w:leader="dot" w:pos="8306"/>
        </w:tabs>
      </w:pPr>
      <w:r>
        <w:rPr>
          <w:rFonts w:hint="eastAsia"/>
        </w:rPr>
        <w:t xml:space="preserve">1.7 </w:t>
      </w:r>
      <w:r>
        <w:rPr>
          <w:color w:val="000000" w:themeColor="text1"/>
          <w14:textFill>
            <w14:solidFill>
              <w14:schemeClr w14:val="tx1"/>
            </w14:solidFill>
          </w14:textFill>
        </w:rPr>
        <w:t>环境保护目标</w:t>
      </w:r>
      <w:r>
        <w:tab/>
      </w:r>
      <w:r>
        <w:fldChar w:fldCharType="begin"/>
      </w:r>
      <w:r>
        <w:instrText xml:space="preserve"> PAGEREF _Toc20417 \h </w:instrText>
      </w:r>
      <w:r>
        <w:fldChar w:fldCharType="separate"/>
      </w:r>
      <w:r>
        <w:t>24</w:t>
      </w:r>
      <w:r>
        <w:fldChar w:fldCharType="end"/>
      </w:r>
    </w:p>
    <w:p w14:paraId="4B1456FD">
      <w:pPr>
        <w:pStyle w:val="74"/>
        <w:tabs>
          <w:tab w:val="right" w:leader="dot" w:pos="8306"/>
        </w:tabs>
      </w:pPr>
      <w:r>
        <w:rPr>
          <w:rFonts w:hint="eastAsia"/>
        </w:rPr>
        <w:t xml:space="preserve">1.8 </w:t>
      </w:r>
      <w:r>
        <w:rPr>
          <w:color w:val="000000" w:themeColor="text1"/>
          <w14:textFill>
            <w14:solidFill>
              <w14:schemeClr w14:val="tx1"/>
            </w14:solidFill>
          </w14:textFill>
        </w:rPr>
        <w:t>评价专题设置及评价重点</w:t>
      </w:r>
      <w:r>
        <w:tab/>
      </w:r>
      <w:r>
        <w:fldChar w:fldCharType="begin"/>
      </w:r>
      <w:r>
        <w:instrText xml:space="preserve"> PAGEREF _Toc3279 \h </w:instrText>
      </w:r>
      <w:r>
        <w:fldChar w:fldCharType="separate"/>
      </w:r>
      <w:r>
        <w:t>27</w:t>
      </w:r>
      <w:r>
        <w:fldChar w:fldCharType="end"/>
      </w:r>
    </w:p>
    <w:p w14:paraId="6659F396">
      <w:pPr>
        <w:pStyle w:val="74"/>
        <w:tabs>
          <w:tab w:val="right" w:leader="dot" w:pos="8306"/>
        </w:tabs>
      </w:pPr>
      <w:r>
        <w:rPr>
          <w:rFonts w:hint="eastAsia"/>
        </w:rPr>
        <w:t xml:space="preserve">1.9 </w:t>
      </w:r>
      <w:r>
        <w:rPr>
          <w:color w:val="000000" w:themeColor="text1"/>
          <w14:textFill>
            <w14:solidFill>
              <w14:schemeClr w14:val="tx1"/>
            </w14:solidFill>
          </w14:textFill>
        </w:rPr>
        <w:t>产业政策与规划符合性</w:t>
      </w:r>
      <w:r>
        <w:tab/>
      </w:r>
      <w:r>
        <w:fldChar w:fldCharType="begin"/>
      </w:r>
      <w:r>
        <w:instrText xml:space="preserve"> PAGEREF _Toc5441 \h </w:instrText>
      </w:r>
      <w:r>
        <w:fldChar w:fldCharType="separate"/>
      </w:r>
      <w:r>
        <w:t>27</w:t>
      </w:r>
      <w:r>
        <w:fldChar w:fldCharType="end"/>
      </w:r>
    </w:p>
    <w:p w14:paraId="23E2ACDE">
      <w:pPr>
        <w:pStyle w:val="74"/>
        <w:tabs>
          <w:tab w:val="right" w:leader="dot" w:pos="8306"/>
        </w:tabs>
      </w:pPr>
      <w:r>
        <w:rPr>
          <w:rFonts w:hint="eastAsia"/>
        </w:rPr>
        <w:t xml:space="preserve">1.10 </w:t>
      </w:r>
      <w:r>
        <w:rPr>
          <w:color w:val="000000" w:themeColor="text1"/>
          <w14:textFill>
            <w14:solidFill>
              <w14:schemeClr w14:val="tx1"/>
            </w14:solidFill>
          </w14:textFill>
        </w:rPr>
        <w:t>“三线一单”符合性分析</w:t>
      </w:r>
      <w:r>
        <w:tab/>
      </w:r>
      <w:r>
        <w:fldChar w:fldCharType="begin"/>
      </w:r>
      <w:r>
        <w:instrText xml:space="preserve"> PAGEREF _Toc25550 \h </w:instrText>
      </w:r>
      <w:r>
        <w:fldChar w:fldCharType="separate"/>
      </w:r>
      <w:r>
        <w:t>39</w:t>
      </w:r>
      <w:r>
        <w:fldChar w:fldCharType="end"/>
      </w:r>
    </w:p>
    <w:p w14:paraId="4A0E7F4A">
      <w:pPr>
        <w:pStyle w:val="59"/>
        <w:tabs>
          <w:tab w:val="right" w:leader="dot" w:pos="8306"/>
        </w:tabs>
      </w:pPr>
      <w:r>
        <w:rPr>
          <w:rFonts w:hint="eastAsia"/>
          <w:color w:val="000000" w:themeColor="text1"/>
          <w14:textFill>
            <w14:solidFill>
              <w14:schemeClr w14:val="tx1"/>
            </w14:solidFill>
          </w14:textFill>
        </w:rPr>
        <w:t>2 现有</w:t>
      </w:r>
      <w:r>
        <w:rPr>
          <w:color w:val="000000" w:themeColor="text1"/>
          <w14:textFill>
            <w14:solidFill>
              <w14:schemeClr w14:val="tx1"/>
            </w14:solidFill>
          </w14:textFill>
        </w:rPr>
        <w:t>工程概况</w:t>
      </w:r>
      <w:r>
        <w:tab/>
      </w:r>
      <w:r>
        <w:fldChar w:fldCharType="begin"/>
      </w:r>
      <w:r>
        <w:instrText xml:space="preserve"> PAGEREF _Toc3184 \h </w:instrText>
      </w:r>
      <w:r>
        <w:fldChar w:fldCharType="separate"/>
      </w:r>
      <w:r>
        <w:t>48</w:t>
      </w:r>
      <w:r>
        <w:fldChar w:fldCharType="end"/>
      </w:r>
    </w:p>
    <w:p w14:paraId="29360E07">
      <w:pPr>
        <w:pStyle w:val="74"/>
        <w:tabs>
          <w:tab w:val="right" w:leader="dot" w:pos="8306"/>
        </w:tabs>
      </w:pPr>
      <w:r>
        <w:rPr>
          <w:rFonts w:hint="eastAsia"/>
        </w:rPr>
        <w:t xml:space="preserve">2.1 </w:t>
      </w:r>
      <w:r>
        <w:rPr>
          <w:rFonts w:hint="eastAsia"/>
          <w:color w:val="000000" w:themeColor="text1"/>
          <w14:textFill>
            <w14:solidFill>
              <w14:schemeClr w14:val="tx1"/>
            </w14:solidFill>
          </w14:textFill>
        </w:rPr>
        <w:t>现有工程环保手续情况</w:t>
      </w:r>
      <w:r>
        <w:tab/>
      </w:r>
      <w:r>
        <w:fldChar w:fldCharType="begin"/>
      </w:r>
      <w:r>
        <w:instrText xml:space="preserve"> PAGEREF _Toc12765 \h </w:instrText>
      </w:r>
      <w:r>
        <w:fldChar w:fldCharType="separate"/>
      </w:r>
      <w:r>
        <w:t>48</w:t>
      </w:r>
      <w:r>
        <w:fldChar w:fldCharType="end"/>
      </w:r>
    </w:p>
    <w:p w14:paraId="19C4FBB6">
      <w:pPr>
        <w:pStyle w:val="74"/>
        <w:tabs>
          <w:tab w:val="right" w:leader="dot" w:pos="8306"/>
        </w:tabs>
      </w:pPr>
      <w:r>
        <w:rPr>
          <w:rFonts w:hint="eastAsia"/>
        </w:rPr>
        <w:t xml:space="preserve">2.2 </w:t>
      </w:r>
      <w:r>
        <w:rPr>
          <w:rFonts w:hint="eastAsia"/>
          <w:color w:val="000000" w:themeColor="text1"/>
          <w14:textFill>
            <w14:solidFill>
              <w14:schemeClr w14:val="tx1"/>
            </w14:solidFill>
          </w14:textFill>
        </w:rPr>
        <w:t>现有工程概况</w:t>
      </w:r>
      <w:r>
        <w:tab/>
      </w:r>
      <w:r>
        <w:fldChar w:fldCharType="begin"/>
      </w:r>
      <w:r>
        <w:instrText xml:space="preserve"> PAGEREF _Toc3848 \h </w:instrText>
      </w:r>
      <w:r>
        <w:fldChar w:fldCharType="separate"/>
      </w:r>
      <w:r>
        <w:t>49</w:t>
      </w:r>
      <w:r>
        <w:fldChar w:fldCharType="end"/>
      </w:r>
    </w:p>
    <w:p w14:paraId="34F92E70">
      <w:pPr>
        <w:pStyle w:val="74"/>
        <w:tabs>
          <w:tab w:val="right" w:leader="dot" w:pos="8306"/>
        </w:tabs>
      </w:pPr>
      <w:r>
        <w:rPr>
          <w:rFonts w:hint="eastAsia"/>
        </w:rPr>
        <w:t xml:space="preserve">2.3 </w:t>
      </w:r>
      <w:r>
        <w:rPr>
          <w:rFonts w:hint="eastAsia"/>
          <w:color w:val="000000" w:themeColor="text1"/>
          <w14:textFill>
            <w14:solidFill>
              <w14:schemeClr w14:val="tx1"/>
            </w14:solidFill>
          </w14:textFill>
        </w:rPr>
        <w:t>现有工程污染防治措施</w:t>
      </w:r>
      <w:r>
        <w:tab/>
      </w:r>
      <w:r>
        <w:fldChar w:fldCharType="begin"/>
      </w:r>
      <w:r>
        <w:instrText xml:space="preserve"> PAGEREF _Toc19676 \h </w:instrText>
      </w:r>
      <w:r>
        <w:fldChar w:fldCharType="separate"/>
      </w:r>
      <w:r>
        <w:t>66</w:t>
      </w:r>
      <w:r>
        <w:fldChar w:fldCharType="end"/>
      </w:r>
    </w:p>
    <w:p w14:paraId="567756CD">
      <w:pPr>
        <w:pStyle w:val="74"/>
        <w:tabs>
          <w:tab w:val="right" w:leader="dot" w:pos="8306"/>
        </w:tabs>
      </w:pPr>
      <w:r>
        <w:rPr>
          <w:rFonts w:hint="eastAsia"/>
        </w:rPr>
        <w:t xml:space="preserve">2.4 </w:t>
      </w:r>
      <w:r>
        <w:rPr>
          <w:rFonts w:hint="eastAsia"/>
          <w:color w:val="000000" w:themeColor="text1"/>
          <w14:textFill>
            <w14:solidFill>
              <w14:schemeClr w14:val="tx1"/>
            </w14:solidFill>
          </w14:textFill>
        </w:rPr>
        <w:t>现有工程污染物排放量统计</w:t>
      </w:r>
      <w:r>
        <w:tab/>
      </w:r>
      <w:r>
        <w:fldChar w:fldCharType="begin"/>
      </w:r>
      <w:r>
        <w:instrText xml:space="preserve"> PAGEREF _Toc6737 \h </w:instrText>
      </w:r>
      <w:r>
        <w:fldChar w:fldCharType="separate"/>
      </w:r>
      <w:r>
        <w:t>73</w:t>
      </w:r>
      <w:r>
        <w:fldChar w:fldCharType="end"/>
      </w:r>
    </w:p>
    <w:p w14:paraId="3B49E7B1">
      <w:pPr>
        <w:pStyle w:val="59"/>
        <w:tabs>
          <w:tab w:val="right" w:leader="dot" w:pos="8306"/>
        </w:tabs>
      </w:pPr>
      <w:r>
        <w:rPr>
          <w:rFonts w:hint="eastAsia"/>
          <w:color w:val="000000" w:themeColor="text1"/>
          <w14:textFill>
            <w14:solidFill>
              <w14:schemeClr w14:val="tx1"/>
            </w14:solidFill>
          </w14:textFill>
        </w:rPr>
        <w:t>3 扩建项目</w:t>
      </w:r>
      <w:r>
        <w:rPr>
          <w:color w:val="000000" w:themeColor="text1"/>
          <w14:textFill>
            <w14:solidFill>
              <w14:schemeClr w14:val="tx1"/>
            </w14:solidFill>
          </w14:textFill>
        </w:rPr>
        <w:t>概况</w:t>
      </w:r>
      <w:r>
        <w:tab/>
      </w:r>
      <w:r>
        <w:fldChar w:fldCharType="begin"/>
      </w:r>
      <w:r>
        <w:instrText xml:space="preserve"> PAGEREF _Toc18512 \h </w:instrText>
      </w:r>
      <w:r>
        <w:fldChar w:fldCharType="separate"/>
      </w:r>
      <w:r>
        <w:t>75</w:t>
      </w:r>
      <w:r>
        <w:fldChar w:fldCharType="end"/>
      </w:r>
    </w:p>
    <w:p w14:paraId="1D4A3663">
      <w:pPr>
        <w:pStyle w:val="74"/>
        <w:tabs>
          <w:tab w:val="right" w:leader="dot" w:pos="8306"/>
        </w:tabs>
      </w:pPr>
      <w:r>
        <w:rPr>
          <w:rFonts w:hint="eastAsia"/>
        </w:rPr>
        <w:t xml:space="preserve">3.1 </w:t>
      </w:r>
      <w:r>
        <w:rPr>
          <w:color w:val="000000" w:themeColor="text1"/>
          <w14:textFill>
            <w14:solidFill>
              <w14:schemeClr w14:val="tx1"/>
            </w14:solidFill>
          </w14:textFill>
        </w:rPr>
        <w:t>项目基本情况</w:t>
      </w:r>
      <w:r>
        <w:tab/>
      </w:r>
      <w:r>
        <w:fldChar w:fldCharType="begin"/>
      </w:r>
      <w:r>
        <w:instrText xml:space="preserve"> PAGEREF _Toc14766 \h </w:instrText>
      </w:r>
      <w:r>
        <w:fldChar w:fldCharType="separate"/>
      </w:r>
      <w:r>
        <w:t>75</w:t>
      </w:r>
      <w:r>
        <w:fldChar w:fldCharType="end"/>
      </w:r>
    </w:p>
    <w:p w14:paraId="43153993">
      <w:pPr>
        <w:pStyle w:val="74"/>
        <w:tabs>
          <w:tab w:val="right" w:leader="dot" w:pos="8306"/>
        </w:tabs>
      </w:pPr>
      <w:r>
        <w:rPr>
          <w:rFonts w:hint="eastAsia"/>
        </w:rPr>
        <w:t xml:space="preserve">3.2 </w:t>
      </w:r>
      <w:r>
        <w:rPr>
          <w:color w:val="000000" w:themeColor="text1"/>
          <w14:textFill>
            <w14:solidFill>
              <w14:schemeClr w14:val="tx1"/>
            </w14:solidFill>
          </w14:textFill>
        </w:rPr>
        <w:t>产品方案及产能</w:t>
      </w:r>
      <w:r>
        <w:tab/>
      </w:r>
      <w:r>
        <w:fldChar w:fldCharType="begin"/>
      </w:r>
      <w:r>
        <w:instrText xml:space="preserve"> PAGEREF _Toc30774 \h </w:instrText>
      </w:r>
      <w:r>
        <w:fldChar w:fldCharType="separate"/>
      </w:r>
      <w:r>
        <w:t>75</w:t>
      </w:r>
      <w:r>
        <w:fldChar w:fldCharType="end"/>
      </w:r>
    </w:p>
    <w:p w14:paraId="204E8C6E">
      <w:pPr>
        <w:pStyle w:val="74"/>
        <w:tabs>
          <w:tab w:val="right" w:leader="dot" w:pos="8306"/>
        </w:tabs>
      </w:pPr>
      <w:r>
        <w:rPr>
          <w:rFonts w:hint="eastAsia"/>
        </w:rPr>
        <w:t xml:space="preserve">3.3 </w:t>
      </w:r>
      <w:r>
        <w:rPr>
          <w:color w:val="000000" w:themeColor="text1"/>
          <w14:textFill>
            <w14:solidFill>
              <w14:schemeClr w14:val="tx1"/>
            </w14:solidFill>
          </w14:textFill>
        </w:rPr>
        <w:t>项目组成</w:t>
      </w:r>
      <w:r>
        <w:tab/>
      </w:r>
      <w:r>
        <w:fldChar w:fldCharType="begin"/>
      </w:r>
      <w:r>
        <w:instrText xml:space="preserve"> PAGEREF _Toc13986 \h </w:instrText>
      </w:r>
      <w:r>
        <w:fldChar w:fldCharType="separate"/>
      </w:r>
      <w:r>
        <w:t>78</w:t>
      </w:r>
      <w:r>
        <w:fldChar w:fldCharType="end"/>
      </w:r>
    </w:p>
    <w:p w14:paraId="006E0B24">
      <w:pPr>
        <w:pStyle w:val="74"/>
        <w:tabs>
          <w:tab w:val="right" w:leader="dot" w:pos="8306"/>
        </w:tabs>
      </w:pPr>
      <w:r>
        <w:rPr>
          <w:rFonts w:hint="eastAsia"/>
        </w:rPr>
        <w:t xml:space="preserve">3.4 </w:t>
      </w:r>
      <w:r>
        <w:rPr>
          <w:color w:val="000000" w:themeColor="text1"/>
          <w14:textFill>
            <w14:solidFill>
              <w14:schemeClr w14:val="tx1"/>
            </w14:solidFill>
          </w14:textFill>
        </w:rPr>
        <w:t>原辅材料</w:t>
      </w:r>
      <w:r>
        <w:tab/>
      </w:r>
      <w:r>
        <w:fldChar w:fldCharType="begin"/>
      </w:r>
      <w:r>
        <w:instrText xml:space="preserve"> PAGEREF _Toc16882 \h </w:instrText>
      </w:r>
      <w:r>
        <w:fldChar w:fldCharType="separate"/>
      </w:r>
      <w:r>
        <w:t>90</w:t>
      </w:r>
      <w:r>
        <w:fldChar w:fldCharType="end"/>
      </w:r>
    </w:p>
    <w:p w14:paraId="18AE19E1">
      <w:pPr>
        <w:pStyle w:val="74"/>
        <w:tabs>
          <w:tab w:val="right" w:leader="dot" w:pos="8306"/>
        </w:tabs>
      </w:pPr>
      <w:r>
        <w:rPr>
          <w:rFonts w:hint="eastAsia"/>
        </w:rPr>
        <w:t xml:space="preserve">3.5 </w:t>
      </w:r>
      <w:r>
        <w:rPr>
          <w:color w:val="000000" w:themeColor="text1"/>
          <w14:textFill>
            <w14:solidFill>
              <w14:schemeClr w14:val="tx1"/>
            </w14:solidFill>
          </w14:textFill>
        </w:rPr>
        <w:t>生产设备清单</w:t>
      </w:r>
      <w:r>
        <w:tab/>
      </w:r>
      <w:r>
        <w:fldChar w:fldCharType="begin"/>
      </w:r>
      <w:r>
        <w:instrText xml:space="preserve"> PAGEREF _Toc30505 \h </w:instrText>
      </w:r>
      <w:r>
        <w:fldChar w:fldCharType="separate"/>
      </w:r>
      <w:r>
        <w:t>101</w:t>
      </w:r>
      <w:r>
        <w:fldChar w:fldCharType="end"/>
      </w:r>
    </w:p>
    <w:p w14:paraId="6A23903F">
      <w:pPr>
        <w:pStyle w:val="74"/>
        <w:tabs>
          <w:tab w:val="right" w:leader="dot" w:pos="8306"/>
        </w:tabs>
      </w:pPr>
      <w:r>
        <w:rPr>
          <w:rFonts w:hint="eastAsia"/>
        </w:rPr>
        <w:t xml:space="preserve">3.6 </w:t>
      </w:r>
      <w:r>
        <w:rPr>
          <w:color w:val="000000" w:themeColor="text1"/>
          <w14:textFill>
            <w14:solidFill>
              <w14:schemeClr w14:val="tx1"/>
            </w14:solidFill>
          </w14:textFill>
        </w:rPr>
        <w:t>总平面布置</w:t>
      </w:r>
      <w:r>
        <w:tab/>
      </w:r>
      <w:r>
        <w:fldChar w:fldCharType="begin"/>
      </w:r>
      <w:r>
        <w:instrText xml:space="preserve"> PAGEREF _Toc9929 \h </w:instrText>
      </w:r>
      <w:r>
        <w:fldChar w:fldCharType="separate"/>
      </w:r>
      <w:r>
        <w:t>111</w:t>
      </w:r>
      <w:r>
        <w:fldChar w:fldCharType="end"/>
      </w:r>
    </w:p>
    <w:p w14:paraId="7161BF7A">
      <w:pPr>
        <w:pStyle w:val="74"/>
        <w:tabs>
          <w:tab w:val="right" w:leader="dot" w:pos="8306"/>
        </w:tabs>
      </w:pPr>
      <w:r>
        <w:rPr>
          <w:rFonts w:hint="eastAsia"/>
        </w:rPr>
        <w:t xml:space="preserve">3.7 </w:t>
      </w:r>
      <w:r>
        <w:rPr>
          <w:color w:val="000000" w:themeColor="text1"/>
          <w14:textFill>
            <w14:solidFill>
              <w14:schemeClr w14:val="tx1"/>
            </w14:solidFill>
          </w14:textFill>
        </w:rPr>
        <w:t>主要经济技术指标</w:t>
      </w:r>
      <w:r>
        <w:tab/>
      </w:r>
      <w:r>
        <w:fldChar w:fldCharType="begin"/>
      </w:r>
      <w:r>
        <w:instrText xml:space="preserve"> PAGEREF _Toc845 \h </w:instrText>
      </w:r>
      <w:r>
        <w:fldChar w:fldCharType="separate"/>
      </w:r>
      <w:r>
        <w:t>111</w:t>
      </w:r>
      <w:r>
        <w:fldChar w:fldCharType="end"/>
      </w:r>
    </w:p>
    <w:p w14:paraId="4DFB93C5">
      <w:pPr>
        <w:pStyle w:val="59"/>
        <w:tabs>
          <w:tab w:val="right" w:leader="dot" w:pos="8306"/>
        </w:tabs>
      </w:pPr>
      <w:r>
        <w:rPr>
          <w:rFonts w:hint="eastAsia"/>
          <w:color w:val="000000" w:themeColor="text1"/>
          <w14:textFill>
            <w14:solidFill>
              <w14:schemeClr w14:val="tx1"/>
            </w14:solidFill>
          </w14:textFill>
        </w:rPr>
        <w:t>4 扩建项目</w:t>
      </w:r>
      <w:r>
        <w:rPr>
          <w:color w:val="000000" w:themeColor="text1"/>
          <w14:textFill>
            <w14:solidFill>
              <w14:schemeClr w14:val="tx1"/>
            </w14:solidFill>
          </w14:textFill>
        </w:rPr>
        <w:t>工程分析</w:t>
      </w:r>
      <w:r>
        <w:tab/>
      </w:r>
      <w:r>
        <w:fldChar w:fldCharType="begin"/>
      </w:r>
      <w:r>
        <w:instrText xml:space="preserve"> PAGEREF _Toc24585 \h </w:instrText>
      </w:r>
      <w:r>
        <w:fldChar w:fldCharType="separate"/>
      </w:r>
      <w:r>
        <w:t>113</w:t>
      </w:r>
      <w:r>
        <w:fldChar w:fldCharType="end"/>
      </w:r>
    </w:p>
    <w:p w14:paraId="4760CE7F">
      <w:pPr>
        <w:pStyle w:val="74"/>
        <w:tabs>
          <w:tab w:val="right" w:leader="dot" w:pos="8306"/>
        </w:tabs>
      </w:pPr>
      <w:r>
        <w:rPr>
          <w:rFonts w:hint="eastAsia"/>
        </w:rPr>
        <w:t xml:space="preserve">4.1 </w:t>
      </w:r>
      <w:r>
        <w:rPr>
          <w:rFonts w:hint="eastAsia"/>
          <w:color w:val="000000" w:themeColor="text1"/>
          <w14:textFill>
            <w14:solidFill>
              <w14:schemeClr w14:val="tx1"/>
            </w14:solidFill>
          </w14:textFill>
        </w:rPr>
        <w:t>GASKET产品</w:t>
      </w:r>
      <w:r>
        <w:rPr>
          <w:color w:val="000000" w:themeColor="text1"/>
          <w14:textFill>
            <w14:solidFill>
              <w14:schemeClr w14:val="tx1"/>
            </w14:solidFill>
          </w14:textFill>
        </w:rPr>
        <w:t>生产线</w:t>
      </w:r>
      <w:r>
        <w:tab/>
      </w:r>
      <w:r>
        <w:fldChar w:fldCharType="begin"/>
      </w:r>
      <w:r>
        <w:instrText xml:space="preserve"> PAGEREF _Toc5546 \h </w:instrText>
      </w:r>
      <w:r>
        <w:fldChar w:fldCharType="separate"/>
      </w:r>
      <w:r>
        <w:t>113</w:t>
      </w:r>
      <w:r>
        <w:fldChar w:fldCharType="end"/>
      </w:r>
    </w:p>
    <w:p w14:paraId="67DEC77C">
      <w:pPr>
        <w:pStyle w:val="74"/>
        <w:tabs>
          <w:tab w:val="right" w:leader="dot" w:pos="8306"/>
        </w:tabs>
      </w:pPr>
      <w:r>
        <w:rPr>
          <w:rFonts w:hint="eastAsia"/>
        </w:rPr>
        <w:t xml:space="preserve">4.2 </w:t>
      </w:r>
      <w:r>
        <w:rPr>
          <w:rFonts w:hint="eastAsia"/>
          <w:color w:val="000000" w:themeColor="text1"/>
          <w14:textFill>
            <w14:solidFill>
              <w14:schemeClr w14:val="tx1"/>
            </w14:solidFill>
          </w14:textFill>
        </w:rPr>
        <w:t>石墨产品</w:t>
      </w:r>
      <w:r>
        <w:rPr>
          <w:color w:val="000000" w:themeColor="text1"/>
          <w14:textFill>
            <w14:solidFill>
              <w14:schemeClr w14:val="tx1"/>
            </w14:solidFill>
          </w14:textFill>
        </w:rPr>
        <w:t>生产线</w:t>
      </w:r>
      <w:r>
        <w:tab/>
      </w:r>
      <w:r>
        <w:fldChar w:fldCharType="begin"/>
      </w:r>
      <w:r>
        <w:instrText xml:space="preserve"> PAGEREF _Toc26936 \h </w:instrText>
      </w:r>
      <w:r>
        <w:fldChar w:fldCharType="separate"/>
      </w:r>
      <w:r>
        <w:t>114</w:t>
      </w:r>
      <w:r>
        <w:fldChar w:fldCharType="end"/>
      </w:r>
    </w:p>
    <w:p w14:paraId="6897C8B8">
      <w:pPr>
        <w:pStyle w:val="74"/>
        <w:tabs>
          <w:tab w:val="right" w:leader="dot" w:pos="8306"/>
        </w:tabs>
      </w:pPr>
      <w:r>
        <w:rPr>
          <w:rFonts w:hint="eastAsia"/>
        </w:rPr>
        <w:t xml:space="preserve">4.3 </w:t>
      </w:r>
      <w:r>
        <w:rPr>
          <w:color w:val="000000" w:themeColor="text1"/>
          <w14:textFill>
            <w14:solidFill>
              <w14:schemeClr w14:val="tx1"/>
            </w14:solidFill>
          </w14:textFill>
        </w:rPr>
        <w:t>碳化硅</w:t>
      </w:r>
      <w:r>
        <w:rPr>
          <w:rFonts w:hint="eastAsia"/>
          <w:color w:val="000000" w:themeColor="text1"/>
          <w14:textFill>
            <w14:solidFill>
              <w14:schemeClr w14:val="tx1"/>
            </w14:solidFill>
          </w14:textFill>
        </w:rPr>
        <w:t>涂层产品</w:t>
      </w:r>
      <w:r>
        <w:rPr>
          <w:color w:val="000000" w:themeColor="text1"/>
          <w14:textFill>
            <w14:solidFill>
              <w14:schemeClr w14:val="tx1"/>
            </w14:solidFill>
          </w14:textFill>
        </w:rPr>
        <w:t>生产线</w:t>
      </w:r>
      <w:r>
        <w:tab/>
      </w:r>
      <w:r>
        <w:fldChar w:fldCharType="begin"/>
      </w:r>
      <w:r>
        <w:instrText xml:space="preserve"> PAGEREF _Toc18798 \h </w:instrText>
      </w:r>
      <w:r>
        <w:fldChar w:fldCharType="separate"/>
      </w:r>
      <w:r>
        <w:t>116</w:t>
      </w:r>
      <w:r>
        <w:fldChar w:fldCharType="end"/>
      </w:r>
    </w:p>
    <w:p w14:paraId="21FC3188">
      <w:pPr>
        <w:pStyle w:val="74"/>
        <w:tabs>
          <w:tab w:val="right" w:leader="dot" w:pos="8306"/>
        </w:tabs>
      </w:pPr>
      <w:r>
        <w:rPr>
          <w:rFonts w:hint="eastAsia"/>
        </w:rPr>
        <w:t xml:space="preserve">4.4 </w:t>
      </w:r>
      <w:r>
        <w:rPr>
          <w:color w:val="000000" w:themeColor="text1"/>
          <w14:textFill>
            <w14:solidFill>
              <w14:schemeClr w14:val="tx1"/>
            </w14:solidFill>
          </w14:textFill>
        </w:rPr>
        <w:t>公辅、环保工程以及生活产污分析</w:t>
      </w:r>
      <w:r>
        <w:tab/>
      </w:r>
      <w:r>
        <w:fldChar w:fldCharType="begin"/>
      </w:r>
      <w:r>
        <w:instrText xml:space="preserve"> PAGEREF _Toc12190 \h </w:instrText>
      </w:r>
      <w:r>
        <w:fldChar w:fldCharType="separate"/>
      </w:r>
      <w:r>
        <w:t>119</w:t>
      </w:r>
      <w:r>
        <w:fldChar w:fldCharType="end"/>
      </w:r>
    </w:p>
    <w:p w14:paraId="6304FD74">
      <w:pPr>
        <w:pStyle w:val="74"/>
        <w:tabs>
          <w:tab w:val="right" w:leader="dot" w:pos="8306"/>
        </w:tabs>
      </w:pPr>
      <w:r>
        <w:rPr>
          <w:rFonts w:hint="eastAsia"/>
        </w:rPr>
        <w:t xml:space="preserve">4.5 </w:t>
      </w:r>
      <w:r>
        <w:rPr>
          <w:rFonts w:hint="eastAsia"/>
          <w:color w:val="000000" w:themeColor="text1"/>
          <w14:textFill>
            <w14:solidFill>
              <w14:schemeClr w14:val="tx1"/>
            </w14:solidFill>
          </w14:textFill>
        </w:rPr>
        <w:t>物料平衡及</w:t>
      </w:r>
      <w:r>
        <w:rPr>
          <w:color w:val="000000" w:themeColor="text1"/>
          <w14:textFill>
            <w14:solidFill>
              <w14:schemeClr w14:val="tx1"/>
            </w14:solidFill>
          </w14:textFill>
        </w:rPr>
        <w:t>水平衡</w:t>
      </w:r>
      <w:r>
        <w:tab/>
      </w:r>
      <w:r>
        <w:fldChar w:fldCharType="begin"/>
      </w:r>
      <w:r>
        <w:instrText xml:space="preserve"> PAGEREF _Toc25159 \h </w:instrText>
      </w:r>
      <w:r>
        <w:fldChar w:fldCharType="separate"/>
      </w:r>
      <w:r>
        <w:t>120</w:t>
      </w:r>
      <w:r>
        <w:fldChar w:fldCharType="end"/>
      </w:r>
    </w:p>
    <w:p w14:paraId="517C3D2E">
      <w:pPr>
        <w:pStyle w:val="74"/>
        <w:tabs>
          <w:tab w:val="right" w:leader="dot" w:pos="8306"/>
        </w:tabs>
      </w:pPr>
      <w:r>
        <w:rPr>
          <w:rFonts w:hint="eastAsia"/>
        </w:rPr>
        <w:t xml:space="preserve">4.6 </w:t>
      </w:r>
      <w:r>
        <w:rPr>
          <w:color w:val="000000" w:themeColor="text1"/>
          <w14:textFill>
            <w14:solidFill>
              <w14:schemeClr w14:val="tx1"/>
            </w14:solidFill>
          </w14:textFill>
        </w:rPr>
        <w:t>主要污染源、污染物产生情况</w:t>
      </w:r>
      <w:r>
        <w:tab/>
      </w:r>
      <w:r>
        <w:fldChar w:fldCharType="begin"/>
      </w:r>
      <w:r>
        <w:instrText xml:space="preserve"> PAGEREF _Toc28051 \h </w:instrText>
      </w:r>
      <w:r>
        <w:fldChar w:fldCharType="separate"/>
      </w:r>
      <w:r>
        <w:t>126</w:t>
      </w:r>
      <w:r>
        <w:fldChar w:fldCharType="end"/>
      </w:r>
    </w:p>
    <w:p w14:paraId="2643F916">
      <w:pPr>
        <w:pStyle w:val="74"/>
        <w:tabs>
          <w:tab w:val="right" w:leader="dot" w:pos="8306"/>
        </w:tabs>
      </w:pPr>
      <w:r>
        <w:rPr>
          <w:rFonts w:hint="eastAsia"/>
        </w:rPr>
        <w:t xml:space="preserve">4.7 </w:t>
      </w:r>
      <w:r>
        <w:rPr>
          <w:rFonts w:hint="eastAsia"/>
          <w:color w:val="000000" w:themeColor="text1"/>
          <w14:textFill>
            <w14:solidFill>
              <w14:schemeClr w14:val="tx1"/>
            </w14:solidFill>
          </w14:textFill>
        </w:rPr>
        <w:t>三本账”核算</w:t>
      </w:r>
      <w:r>
        <w:tab/>
      </w:r>
      <w:r>
        <w:fldChar w:fldCharType="begin"/>
      </w:r>
      <w:r>
        <w:instrText xml:space="preserve"> PAGEREF _Toc10502 \h </w:instrText>
      </w:r>
      <w:r>
        <w:fldChar w:fldCharType="separate"/>
      </w:r>
      <w:r>
        <w:t>141</w:t>
      </w:r>
      <w:r>
        <w:fldChar w:fldCharType="end"/>
      </w:r>
    </w:p>
    <w:p w14:paraId="18B77FA3">
      <w:pPr>
        <w:pStyle w:val="74"/>
        <w:tabs>
          <w:tab w:val="right" w:leader="dot" w:pos="8306"/>
        </w:tabs>
      </w:pPr>
      <w:r>
        <w:rPr>
          <w:rFonts w:hint="eastAsia"/>
        </w:rPr>
        <w:t xml:space="preserve">4.8 </w:t>
      </w:r>
      <w:r>
        <w:rPr>
          <w:color w:val="000000" w:themeColor="text1"/>
          <w14:textFill>
            <w14:solidFill>
              <w14:schemeClr w14:val="tx1"/>
            </w14:solidFill>
          </w14:textFill>
        </w:rPr>
        <w:t>非正常排放</w:t>
      </w:r>
      <w:r>
        <w:tab/>
      </w:r>
      <w:r>
        <w:fldChar w:fldCharType="begin"/>
      </w:r>
      <w:r>
        <w:instrText xml:space="preserve"> PAGEREF _Toc18710 \h </w:instrText>
      </w:r>
      <w:r>
        <w:fldChar w:fldCharType="separate"/>
      </w:r>
      <w:r>
        <w:t>142</w:t>
      </w:r>
      <w:r>
        <w:fldChar w:fldCharType="end"/>
      </w:r>
    </w:p>
    <w:p w14:paraId="52A83DFF">
      <w:pPr>
        <w:pStyle w:val="59"/>
        <w:tabs>
          <w:tab w:val="right" w:leader="dot" w:pos="8306"/>
        </w:tabs>
      </w:pPr>
      <w:r>
        <w:rPr>
          <w:rFonts w:hint="eastAsia"/>
          <w:color w:val="000000" w:themeColor="text1"/>
          <w14:textFill>
            <w14:solidFill>
              <w14:schemeClr w14:val="tx1"/>
            </w14:solidFill>
          </w14:textFill>
        </w:rPr>
        <w:t xml:space="preserve">5 </w:t>
      </w:r>
      <w:r>
        <w:rPr>
          <w:color w:val="000000" w:themeColor="text1"/>
          <w14:textFill>
            <w14:solidFill>
              <w14:schemeClr w14:val="tx1"/>
            </w14:solidFill>
          </w14:textFill>
        </w:rPr>
        <w:t>环境现状调查与评价</w:t>
      </w:r>
      <w:r>
        <w:tab/>
      </w:r>
      <w:r>
        <w:fldChar w:fldCharType="begin"/>
      </w:r>
      <w:r>
        <w:instrText xml:space="preserve"> PAGEREF _Toc29277 \h </w:instrText>
      </w:r>
      <w:r>
        <w:fldChar w:fldCharType="separate"/>
      </w:r>
      <w:r>
        <w:t>143</w:t>
      </w:r>
      <w:r>
        <w:fldChar w:fldCharType="end"/>
      </w:r>
    </w:p>
    <w:p w14:paraId="1B5F38CE">
      <w:pPr>
        <w:pStyle w:val="74"/>
        <w:tabs>
          <w:tab w:val="right" w:leader="dot" w:pos="8306"/>
        </w:tabs>
      </w:pPr>
      <w:r>
        <w:rPr>
          <w:rFonts w:hint="eastAsia"/>
        </w:rPr>
        <w:t xml:space="preserve">5.1 </w:t>
      </w:r>
      <w:r>
        <w:rPr>
          <w:color w:val="000000" w:themeColor="text1"/>
          <w14:textFill>
            <w14:solidFill>
              <w14:schemeClr w14:val="tx1"/>
            </w14:solidFill>
          </w14:textFill>
        </w:rPr>
        <w:t>自然环境</w:t>
      </w:r>
      <w:r>
        <w:tab/>
      </w:r>
      <w:r>
        <w:fldChar w:fldCharType="begin"/>
      </w:r>
      <w:r>
        <w:instrText xml:space="preserve"> PAGEREF _Toc6165 \h </w:instrText>
      </w:r>
      <w:r>
        <w:fldChar w:fldCharType="separate"/>
      </w:r>
      <w:r>
        <w:t>143</w:t>
      </w:r>
      <w:r>
        <w:fldChar w:fldCharType="end"/>
      </w:r>
    </w:p>
    <w:p w14:paraId="2F12F028">
      <w:pPr>
        <w:pStyle w:val="74"/>
        <w:tabs>
          <w:tab w:val="right" w:leader="dot" w:pos="8306"/>
        </w:tabs>
      </w:pPr>
      <w:r>
        <w:rPr>
          <w:rFonts w:hint="eastAsia"/>
        </w:rPr>
        <w:t xml:space="preserve">5.2 </w:t>
      </w:r>
      <w:r>
        <w:rPr>
          <w:color w:val="000000" w:themeColor="text1"/>
          <w14:textFill>
            <w14:solidFill>
              <w14:schemeClr w14:val="tx1"/>
            </w14:solidFill>
          </w14:textFill>
        </w:rPr>
        <w:t>环境质量现状评价</w:t>
      </w:r>
      <w:r>
        <w:tab/>
      </w:r>
      <w:r>
        <w:fldChar w:fldCharType="begin"/>
      </w:r>
      <w:r>
        <w:instrText xml:space="preserve"> PAGEREF _Toc18552 \h </w:instrText>
      </w:r>
      <w:r>
        <w:fldChar w:fldCharType="separate"/>
      </w:r>
      <w:r>
        <w:t>147</w:t>
      </w:r>
      <w:r>
        <w:fldChar w:fldCharType="end"/>
      </w:r>
    </w:p>
    <w:p w14:paraId="049406A7">
      <w:pPr>
        <w:pStyle w:val="59"/>
        <w:tabs>
          <w:tab w:val="right" w:leader="dot" w:pos="8306"/>
        </w:tabs>
      </w:pPr>
      <w:r>
        <w:rPr>
          <w:rFonts w:hint="eastAsia"/>
          <w:color w:val="000000" w:themeColor="text1"/>
          <w14:textFill>
            <w14:solidFill>
              <w14:schemeClr w14:val="tx1"/>
            </w14:solidFill>
          </w14:textFill>
        </w:rPr>
        <w:t xml:space="preserve">6 </w:t>
      </w:r>
      <w:r>
        <w:rPr>
          <w:color w:val="000000" w:themeColor="text1"/>
          <w14:textFill>
            <w14:solidFill>
              <w14:schemeClr w14:val="tx1"/>
            </w14:solidFill>
          </w14:textFill>
        </w:rPr>
        <w:t>营运期环境影响预测与评价</w:t>
      </w:r>
      <w:r>
        <w:tab/>
      </w:r>
      <w:r>
        <w:fldChar w:fldCharType="begin"/>
      </w:r>
      <w:r>
        <w:instrText xml:space="preserve"> PAGEREF _Toc24 \h </w:instrText>
      </w:r>
      <w:r>
        <w:fldChar w:fldCharType="separate"/>
      </w:r>
      <w:r>
        <w:t>158</w:t>
      </w:r>
      <w:r>
        <w:fldChar w:fldCharType="end"/>
      </w:r>
    </w:p>
    <w:p w14:paraId="3DCFD929">
      <w:pPr>
        <w:pStyle w:val="74"/>
        <w:tabs>
          <w:tab w:val="right" w:leader="dot" w:pos="8306"/>
        </w:tabs>
      </w:pPr>
      <w:r>
        <w:rPr>
          <w:rFonts w:hint="eastAsia"/>
        </w:rPr>
        <w:t xml:space="preserve">6.1 </w:t>
      </w:r>
      <w:r>
        <w:rPr>
          <w:color w:val="000000" w:themeColor="text1"/>
          <w14:textFill>
            <w14:solidFill>
              <w14:schemeClr w14:val="tx1"/>
            </w14:solidFill>
          </w14:textFill>
        </w:rPr>
        <w:t>环境空气影响预测与评价</w:t>
      </w:r>
      <w:r>
        <w:tab/>
      </w:r>
      <w:r>
        <w:fldChar w:fldCharType="begin"/>
      </w:r>
      <w:r>
        <w:instrText xml:space="preserve"> PAGEREF _Toc13962 \h </w:instrText>
      </w:r>
      <w:r>
        <w:fldChar w:fldCharType="separate"/>
      </w:r>
      <w:r>
        <w:t>158</w:t>
      </w:r>
      <w:r>
        <w:fldChar w:fldCharType="end"/>
      </w:r>
    </w:p>
    <w:p w14:paraId="69CABEFA">
      <w:pPr>
        <w:pStyle w:val="74"/>
        <w:tabs>
          <w:tab w:val="right" w:leader="dot" w:pos="8306"/>
        </w:tabs>
      </w:pPr>
      <w:r>
        <w:rPr>
          <w:rFonts w:hint="eastAsia"/>
        </w:rPr>
        <w:t xml:space="preserve">6.2 </w:t>
      </w:r>
      <w:r>
        <w:rPr>
          <w:color w:val="000000" w:themeColor="text1"/>
          <w14:textFill>
            <w14:solidFill>
              <w14:schemeClr w14:val="tx1"/>
            </w14:solidFill>
          </w14:textFill>
        </w:rPr>
        <w:t>地表水影响分析</w:t>
      </w:r>
      <w:r>
        <w:tab/>
      </w:r>
      <w:r>
        <w:fldChar w:fldCharType="begin"/>
      </w:r>
      <w:r>
        <w:instrText xml:space="preserve"> PAGEREF _Toc5168 \h </w:instrText>
      </w:r>
      <w:r>
        <w:fldChar w:fldCharType="separate"/>
      </w:r>
      <w:r>
        <w:t>165</w:t>
      </w:r>
      <w:r>
        <w:fldChar w:fldCharType="end"/>
      </w:r>
    </w:p>
    <w:p w14:paraId="220D68CB">
      <w:pPr>
        <w:pStyle w:val="74"/>
        <w:tabs>
          <w:tab w:val="right" w:leader="dot" w:pos="8306"/>
        </w:tabs>
      </w:pPr>
      <w:r>
        <w:rPr>
          <w:rFonts w:hint="eastAsia"/>
        </w:rPr>
        <w:t xml:space="preserve">6.3 </w:t>
      </w:r>
      <w:r>
        <w:rPr>
          <w:rFonts w:hint="eastAsia"/>
          <w:color w:val="000000" w:themeColor="text1"/>
          <w14:textFill>
            <w14:solidFill>
              <w14:schemeClr w14:val="tx1"/>
            </w14:solidFill>
          </w14:textFill>
        </w:rPr>
        <w:t>地下水</w:t>
      </w:r>
      <w:r>
        <w:rPr>
          <w:color w:val="000000" w:themeColor="text1"/>
          <w14:textFill>
            <w14:solidFill>
              <w14:schemeClr w14:val="tx1"/>
            </w14:solidFill>
          </w14:textFill>
        </w:rPr>
        <w:t>影响预测与评价</w:t>
      </w:r>
      <w:r>
        <w:tab/>
      </w:r>
      <w:r>
        <w:fldChar w:fldCharType="begin"/>
      </w:r>
      <w:r>
        <w:instrText xml:space="preserve"> PAGEREF _Toc28029 \h </w:instrText>
      </w:r>
      <w:r>
        <w:fldChar w:fldCharType="separate"/>
      </w:r>
      <w:r>
        <w:t>172</w:t>
      </w:r>
      <w:r>
        <w:fldChar w:fldCharType="end"/>
      </w:r>
    </w:p>
    <w:p w14:paraId="777A03C4">
      <w:pPr>
        <w:pStyle w:val="74"/>
        <w:tabs>
          <w:tab w:val="right" w:leader="dot" w:pos="8306"/>
        </w:tabs>
      </w:pPr>
      <w:r>
        <w:rPr>
          <w:rFonts w:hint="eastAsia"/>
        </w:rPr>
        <w:t xml:space="preserve">6.4 </w:t>
      </w:r>
      <w:r>
        <w:rPr>
          <w:color w:val="000000" w:themeColor="text1"/>
          <w14:textFill>
            <w14:solidFill>
              <w14:schemeClr w14:val="tx1"/>
            </w14:solidFill>
          </w14:textFill>
        </w:rPr>
        <w:t>噪声影响预测与评价</w:t>
      </w:r>
      <w:r>
        <w:tab/>
      </w:r>
      <w:r>
        <w:fldChar w:fldCharType="begin"/>
      </w:r>
      <w:r>
        <w:instrText xml:space="preserve"> PAGEREF _Toc27469 \h </w:instrText>
      </w:r>
      <w:r>
        <w:fldChar w:fldCharType="separate"/>
      </w:r>
      <w:r>
        <w:t>175</w:t>
      </w:r>
      <w:r>
        <w:fldChar w:fldCharType="end"/>
      </w:r>
    </w:p>
    <w:p w14:paraId="1EEF761C">
      <w:pPr>
        <w:pStyle w:val="74"/>
        <w:tabs>
          <w:tab w:val="right" w:leader="dot" w:pos="8306"/>
        </w:tabs>
      </w:pPr>
      <w:r>
        <w:rPr>
          <w:rFonts w:hint="eastAsia"/>
        </w:rPr>
        <w:t xml:space="preserve">6.5 </w:t>
      </w:r>
      <w:r>
        <w:rPr>
          <w:color w:val="000000" w:themeColor="text1"/>
          <w14:textFill>
            <w14:solidFill>
              <w14:schemeClr w14:val="tx1"/>
            </w14:solidFill>
          </w14:textFill>
        </w:rPr>
        <w:t>固体废物影响分析</w:t>
      </w:r>
      <w:r>
        <w:tab/>
      </w:r>
      <w:r>
        <w:fldChar w:fldCharType="begin"/>
      </w:r>
      <w:r>
        <w:instrText xml:space="preserve"> PAGEREF _Toc29541 \h </w:instrText>
      </w:r>
      <w:r>
        <w:fldChar w:fldCharType="separate"/>
      </w:r>
      <w:r>
        <w:t>182</w:t>
      </w:r>
      <w:r>
        <w:fldChar w:fldCharType="end"/>
      </w:r>
    </w:p>
    <w:p w14:paraId="6392C60B">
      <w:pPr>
        <w:pStyle w:val="74"/>
        <w:tabs>
          <w:tab w:val="right" w:leader="dot" w:pos="8306"/>
        </w:tabs>
      </w:pPr>
      <w:r>
        <w:rPr>
          <w:rFonts w:hint="eastAsia"/>
        </w:rPr>
        <w:t xml:space="preserve">6.6 </w:t>
      </w:r>
      <w:r>
        <w:rPr>
          <w:color w:val="000000" w:themeColor="text1"/>
          <w14:textFill>
            <w14:solidFill>
              <w14:schemeClr w14:val="tx1"/>
            </w14:solidFill>
          </w14:textFill>
        </w:rPr>
        <w:t>土壤环境影响预测与评价</w:t>
      </w:r>
      <w:r>
        <w:tab/>
      </w:r>
      <w:r>
        <w:fldChar w:fldCharType="begin"/>
      </w:r>
      <w:r>
        <w:instrText xml:space="preserve"> PAGEREF _Toc14963 \h </w:instrText>
      </w:r>
      <w:r>
        <w:fldChar w:fldCharType="separate"/>
      </w:r>
      <w:r>
        <w:t>183</w:t>
      </w:r>
      <w:r>
        <w:fldChar w:fldCharType="end"/>
      </w:r>
    </w:p>
    <w:p w14:paraId="10C484D7">
      <w:pPr>
        <w:pStyle w:val="59"/>
        <w:tabs>
          <w:tab w:val="right" w:leader="dot" w:pos="8306"/>
        </w:tabs>
      </w:pPr>
      <w:r>
        <w:rPr>
          <w:rFonts w:hint="eastAsia"/>
          <w:color w:val="000000" w:themeColor="text1"/>
          <w14:textFill>
            <w14:solidFill>
              <w14:schemeClr w14:val="tx1"/>
            </w14:solidFill>
          </w14:textFill>
        </w:rPr>
        <w:t xml:space="preserve">7 </w:t>
      </w:r>
      <w:r>
        <w:rPr>
          <w:color w:val="000000" w:themeColor="text1"/>
          <w14:textFill>
            <w14:solidFill>
              <w14:schemeClr w14:val="tx1"/>
            </w14:solidFill>
          </w14:textFill>
        </w:rPr>
        <w:t>环境风险评价</w:t>
      </w:r>
      <w:r>
        <w:tab/>
      </w:r>
      <w:r>
        <w:fldChar w:fldCharType="begin"/>
      </w:r>
      <w:r>
        <w:instrText xml:space="preserve"> PAGEREF _Toc23412 \h </w:instrText>
      </w:r>
      <w:r>
        <w:fldChar w:fldCharType="separate"/>
      </w:r>
      <w:r>
        <w:t>187</w:t>
      </w:r>
      <w:r>
        <w:fldChar w:fldCharType="end"/>
      </w:r>
    </w:p>
    <w:p w14:paraId="5E28F4B6">
      <w:pPr>
        <w:pStyle w:val="74"/>
        <w:tabs>
          <w:tab w:val="right" w:leader="dot" w:pos="8306"/>
        </w:tabs>
      </w:pPr>
      <w:r>
        <w:rPr>
          <w:rFonts w:hint="eastAsia"/>
        </w:rPr>
        <w:t xml:space="preserve">7.1 </w:t>
      </w:r>
      <w:r>
        <w:rPr>
          <w:color w:val="000000" w:themeColor="text1"/>
          <w14:textFill>
            <w14:solidFill>
              <w14:schemeClr w14:val="tx1"/>
            </w14:solidFill>
          </w14:textFill>
        </w:rPr>
        <w:t>概述</w:t>
      </w:r>
      <w:r>
        <w:tab/>
      </w:r>
      <w:r>
        <w:fldChar w:fldCharType="begin"/>
      </w:r>
      <w:r>
        <w:instrText xml:space="preserve"> PAGEREF _Toc6500 \h </w:instrText>
      </w:r>
      <w:r>
        <w:fldChar w:fldCharType="separate"/>
      </w:r>
      <w:r>
        <w:t>187</w:t>
      </w:r>
      <w:r>
        <w:fldChar w:fldCharType="end"/>
      </w:r>
    </w:p>
    <w:p w14:paraId="6440C454">
      <w:pPr>
        <w:pStyle w:val="74"/>
        <w:tabs>
          <w:tab w:val="right" w:leader="dot" w:pos="8306"/>
        </w:tabs>
      </w:pPr>
      <w:r>
        <w:rPr>
          <w:rFonts w:hint="eastAsia"/>
        </w:rPr>
        <w:t xml:space="preserve">7.2 </w:t>
      </w:r>
      <w:r>
        <w:rPr>
          <w:color w:val="000000" w:themeColor="text1"/>
          <w14:textFill>
            <w14:solidFill>
              <w14:schemeClr w14:val="tx1"/>
            </w14:solidFill>
          </w14:textFill>
        </w:rPr>
        <w:t>风险调查</w:t>
      </w:r>
      <w:r>
        <w:tab/>
      </w:r>
      <w:r>
        <w:fldChar w:fldCharType="begin"/>
      </w:r>
      <w:r>
        <w:instrText xml:space="preserve"> PAGEREF _Toc12909 \h </w:instrText>
      </w:r>
      <w:r>
        <w:fldChar w:fldCharType="separate"/>
      </w:r>
      <w:r>
        <w:t>188</w:t>
      </w:r>
      <w:r>
        <w:fldChar w:fldCharType="end"/>
      </w:r>
    </w:p>
    <w:p w14:paraId="23B8BF08">
      <w:pPr>
        <w:pStyle w:val="74"/>
        <w:tabs>
          <w:tab w:val="right" w:leader="dot" w:pos="8306"/>
        </w:tabs>
      </w:pPr>
      <w:r>
        <w:rPr>
          <w:rFonts w:hint="eastAsia"/>
        </w:rPr>
        <w:t xml:space="preserve">7.3 </w:t>
      </w:r>
      <w:r>
        <w:rPr>
          <w:color w:val="000000" w:themeColor="text1"/>
          <w14:textFill>
            <w14:solidFill>
              <w14:schemeClr w14:val="tx1"/>
            </w14:solidFill>
          </w14:textFill>
        </w:rPr>
        <w:t>评价等级判定</w:t>
      </w:r>
      <w:r>
        <w:tab/>
      </w:r>
      <w:r>
        <w:fldChar w:fldCharType="begin"/>
      </w:r>
      <w:r>
        <w:instrText xml:space="preserve"> PAGEREF _Toc3505 \h </w:instrText>
      </w:r>
      <w:r>
        <w:fldChar w:fldCharType="separate"/>
      </w:r>
      <w:r>
        <w:t>195</w:t>
      </w:r>
      <w:r>
        <w:fldChar w:fldCharType="end"/>
      </w:r>
    </w:p>
    <w:p w14:paraId="01855AB2">
      <w:pPr>
        <w:pStyle w:val="74"/>
        <w:tabs>
          <w:tab w:val="right" w:leader="dot" w:pos="8306"/>
        </w:tabs>
      </w:pPr>
      <w:r>
        <w:rPr>
          <w:rFonts w:hint="eastAsia"/>
        </w:rPr>
        <w:t xml:space="preserve">7.4 </w:t>
      </w:r>
      <w:r>
        <w:rPr>
          <w:color w:val="000000" w:themeColor="text1"/>
          <w14:textFill>
            <w14:solidFill>
              <w14:schemeClr w14:val="tx1"/>
            </w14:solidFill>
          </w14:textFill>
        </w:rPr>
        <w:t>风险识别</w:t>
      </w:r>
      <w:r>
        <w:tab/>
      </w:r>
      <w:r>
        <w:fldChar w:fldCharType="begin"/>
      </w:r>
      <w:r>
        <w:instrText xml:space="preserve"> PAGEREF _Toc27641 \h </w:instrText>
      </w:r>
      <w:r>
        <w:fldChar w:fldCharType="separate"/>
      </w:r>
      <w:r>
        <w:t>201</w:t>
      </w:r>
      <w:r>
        <w:fldChar w:fldCharType="end"/>
      </w:r>
    </w:p>
    <w:p w14:paraId="73F50865">
      <w:pPr>
        <w:pStyle w:val="74"/>
        <w:tabs>
          <w:tab w:val="right" w:leader="dot" w:pos="8306"/>
        </w:tabs>
      </w:pPr>
      <w:r>
        <w:rPr>
          <w:rFonts w:hint="eastAsia"/>
        </w:rPr>
        <w:t xml:space="preserve">7.5 </w:t>
      </w:r>
      <w:r>
        <w:rPr>
          <w:color w:val="000000" w:themeColor="text1"/>
          <w14:textFill>
            <w14:solidFill>
              <w14:schemeClr w14:val="tx1"/>
            </w14:solidFill>
          </w14:textFill>
        </w:rPr>
        <w:t>风险事故分析</w:t>
      </w:r>
      <w:r>
        <w:tab/>
      </w:r>
      <w:r>
        <w:fldChar w:fldCharType="begin"/>
      </w:r>
      <w:r>
        <w:instrText xml:space="preserve"> PAGEREF _Toc5978 \h </w:instrText>
      </w:r>
      <w:r>
        <w:fldChar w:fldCharType="separate"/>
      </w:r>
      <w:r>
        <w:t>204</w:t>
      </w:r>
      <w:r>
        <w:fldChar w:fldCharType="end"/>
      </w:r>
    </w:p>
    <w:p w14:paraId="1A501191">
      <w:pPr>
        <w:pStyle w:val="74"/>
        <w:tabs>
          <w:tab w:val="right" w:leader="dot" w:pos="8306"/>
        </w:tabs>
      </w:pPr>
      <w:r>
        <w:rPr>
          <w:rFonts w:hint="eastAsia"/>
        </w:rPr>
        <w:t xml:space="preserve">7.6 </w:t>
      </w:r>
      <w:r>
        <w:rPr>
          <w:color w:val="000000" w:themeColor="text1"/>
          <w14:textFill>
            <w14:solidFill>
              <w14:schemeClr w14:val="tx1"/>
            </w14:solidFill>
          </w14:textFill>
        </w:rPr>
        <w:t>风险评价</w:t>
      </w:r>
      <w:r>
        <w:tab/>
      </w:r>
      <w:r>
        <w:fldChar w:fldCharType="begin"/>
      </w:r>
      <w:r>
        <w:instrText xml:space="preserve"> PAGEREF _Toc16192 \h </w:instrText>
      </w:r>
      <w:r>
        <w:fldChar w:fldCharType="separate"/>
      </w:r>
      <w:r>
        <w:t>210</w:t>
      </w:r>
      <w:r>
        <w:fldChar w:fldCharType="end"/>
      </w:r>
    </w:p>
    <w:p w14:paraId="0CBEA4E5">
      <w:pPr>
        <w:pStyle w:val="74"/>
        <w:tabs>
          <w:tab w:val="right" w:leader="dot" w:pos="8306"/>
        </w:tabs>
      </w:pPr>
      <w:r>
        <w:rPr>
          <w:rFonts w:hint="eastAsia"/>
        </w:rPr>
        <w:t xml:space="preserve">7.7 </w:t>
      </w:r>
      <w:r>
        <w:rPr>
          <w:color w:val="000000" w:themeColor="text1"/>
          <w14:textFill>
            <w14:solidFill>
              <w14:schemeClr w14:val="tx1"/>
            </w14:solidFill>
          </w14:textFill>
        </w:rPr>
        <w:t>风险防范措施及应急预案</w:t>
      </w:r>
      <w:r>
        <w:tab/>
      </w:r>
      <w:r>
        <w:fldChar w:fldCharType="begin"/>
      </w:r>
      <w:r>
        <w:instrText xml:space="preserve"> PAGEREF _Toc4960 \h </w:instrText>
      </w:r>
      <w:r>
        <w:fldChar w:fldCharType="separate"/>
      </w:r>
      <w:r>
        <w:t>212</w:t>
      </w:r>
      <w:r>
        <w:fldChar w:fldCharType="end"/>
      </w:r>
    </w:p>
    <w:p w14:paraId="08C8A808">
      <w:pPr>
        <w:pStyle w:val="74"/>
        <w:tabs>
          <w:tab w:val="right" w:leader="dot" w:pos="8306"/>
        </w:tabs>
      </w:pPr>
      <w:r>
        <w:rPr>
          <w:rFonts w:hint="eastAsia"/>
        </w:rPr>
        <w:t xml:space="preserve">7.8 </w:t>
      </w:r>
      <w:r>
        <w:rPr>
          <w:color w:val="000000" w:themeColor="text1"/>
          <w14:textFill>
            <w14:solidFill>
              <w14:schemeClr w14:val="tx1"/>
            </w14:solidFill>
          </w14:textFill>
        </w:rPr>
        <w:t>环境风险评价结论</w:t>
      </w:r>
      <w:r>
        <w:tab/>
      </w:r>
      <w:r>
        <w:fldChar w:fldCharType="begin"/>
      </w:r>
      <w:r>
        <w:instrText xml:space="preserve"> PAGEREF _Toc5560 \h </w:instrText>
      </w:r>
      <w:r>
        <w:fldChar w:fldCharType="separate"/>
      </w:r>
      <w:r>
        <w:t>223</w:t>
      </w:r>
      <w:r>
        <w:fldChar w:fldCharType="end"/>
      </w:r>
    </w:p>
    <w:p w14:paraId="14E2EF49">
      <w:pPr>
        <w:pStyle w:val="59"/>
        <w:tabs>
          <w:tab w:val="right" w:leader="dot" w:pos="8306"/>
        </w:tabs>
      </w:pPr>
      <w:r>
        <w:rPr>
          <w:rFonts w:hint="eastAsia"/>
          <w:color w:val="000000" w:themeColor="text1"/>
          <w14:textFill>
            <w14:solidFill>
              <w14:schemeClr w14:val="tx1"/>
            </w14:solidFill>
          </w14:textFill>
        </w:rPr>
        <w:t xml:space="preserve">8 </w:t>
      </w:r>
      <w:r>
        <w:rPr>
          <w:color w:val="000000" w:themeColor="text1"/>
          <w14:textFill>
            <w14:solidFill>
              <w14:schemeClr w14:val="tx1"/>
            </w14:solidFill>
          </w14:textFill>
        </w:rPr>
        <w:t>环境保护措施及其可行性论证</w:t>
      </w:r>
      <w:r>
        <w:tab/>
      </w:r>
      <w:r>
        <w:fldChar w:fldCharType="begin"/>
      </w:r>
      <w:r>
        <w:instrText xml:space="preserve"> PAGEREF _Toc11256 \h </w:instrText>
      </w:r>
      <w:r>
        <w:fldChar w:fldCharType="separate"/>
      </w:r>
      <w:r>
        <w:t>225</w:t>
      </w:r>
      <w:r>
        <w:fldChar w:fldCharType="end"/>
      </w:r>
    </w:p>
    <w:p w14:paraId="610275B8">
      <w:pPr>
        <w:pStyle w:val="74"/>
        <w:tabs>
          <w:tab w:val="right" w:leader="dot" w:pos="8306"/>
        </w:tabs>
      </w:pPr>
      <w:r>
        <w:rPr>
          <w:rFonts w:hint="eastAsia"/>
        </w:rPr>
        <w:t xml:space="preserve">8.1 </w:t>
      </w:r>
      <w:r>
        <w:rPr>
          <w:color w:val="000000" w:themeColor="text1"/>
          <w14:textFill>
            <w14:solidFill>
              <w14:schemeClr w14:val="tx1"/>
            </w14:solidFill>
          </w14:textFill>
        </w:rPr>
        <w:t>污废水治理措施技术可行性分析</w:t>
      </w:r>
      <w:r>
        <w:tab/>
      </w:r>
      <w:r>
        <w:fldChar w:fldCharType="begin"/>
      </w:r>
      <w:r>
        <w:instrText xml:space="preserve"> PAGEREF _Toc1294 \h </w:instrText>
      </w:r>
      <w:r>
        <w:fldChar w:fldCharType="separate"/>
      </w:r>
      <w:r>
        <w:t>225</w:t>
      </w:r>
      <w:r>
        <w:fldChar w:fldCharType="end"/>
      </w:r>
    </w:p>
    <w:p w14:paraId="366B0882">
      <w:pPr>
        <w:pStyle w:val="74"/>
        <w:tabs>
          <w:tab w:val="right" w:leader="dot" w:pos="8306"/>
        </w:tabs>
      </w:pPr>
      <w:r>
        <w:rPr>
          <w:rFonts w:hint="eastAsia"/>
        </w:rPr>
        <w:t xml:space="preserve">8.2 </w:t>
      </w:r>
      <w:r>
        <w:rPr>
          <w:color w:val="000000" w:themeColor="text1"/>
          <w14:textFill>
            <w14:solidFill>
              <w14:schemeClr w14:val="tx1"/>
            </w14:solidFill>
          </w14:textFill>
        </w:rPr>
        <w:t>废气治理措施及技术可行性分析</w:t>
      </w:r>
      <w:r>
        <w:tab/>
      </w:r>
      <w:r>
        <w:fldChar w:fldCharType="begin"/>
      </w:r>
      <w:r>
        <w:instrText xml:space="preserve"> PAGEREF _Toc2879 \h </w:instrText>
      </w:r>
      <w:r>
        <w:fldChar w:fldCharType="separate"/>
      </w:r>
      <w:r>
        <w:t>228</w:t>
      </w:r>
      <w:r>
        <w:fldChar w:fldCharType="end"/>
      </w:r>
    </w:p>
    <w:p w14:paraId="433235F3">
      <w:pPr>
        <w:pStyle w:val="74"/>
        <w:tabs>
          <w:tab w:val="right" w:leader="dot" w:pos="8306"/>
        </w:tabs>
      </w:pPr>
      <w:r>
        <w:rPr>
          <w:rFonts w:hint="eastAsia"/>
        </w:rPr>
        <w:t xml:space="preserve">8.3 </w:t>
      </w:r>
      <w:r>
        <w:rPr>
          <w:color w:val="000000" w:themeColor="text1"/>
          <w14:textFill>
            <w14:solidFill>
              <w14:schemeClr w14:val="tx1"/>
            </w14:solidFill>
          </w14:textFill>
        </w:rPr>
        <w:t>噪声防治措施及技术可行性分析</w:t>
      </w:r>
      <w:r>
        <w:tab/>
      </w:r>
      <w:r>
        <w:fldChar w:fldCharType="begin"/>
      </w:r>
      <w:r>
        <w:instrText xml:space="preserve"> PAGEREF _Toc21891 \h </w:instrText>
      </w:r>
      <w:r>
        <w:fldChar w:fldCharType="separate"/>
      </w:r>
      <w:r>
        <w:t>230</w:t>
      </w:r>
      <w:r>
        <w:fldChar w:fldCharType="end"/>
      </w:r>
    </w:p>
    <w:p w14:paraId="784C7321">
      <w:pPr>
        <w:pStyle w:val="74"/>
        <w:tabs>
          <w:tab w:val="right" w:leader="dot" w:pos="8306"/>
        </w:tabs>
      </w:pPr>
      <w:r>
        <w:rPr>
          <w:rFonts w:hint="eastAsia"/>
        </w:rPr>
        <w:t xml:space="preserve">8.4 </w:t>
      </w:r>
      <w:r>
        <w:rPr>
          <w:color w:val="000000" w:themeColor="text1"/>
          <w14:textFill>
            <w14:solidFill>
              <w14:schemeClr w14:val="tx1"/>
            </w14:solidFill>
          </w14:textFill>
        </w:rPr>
        <w:t>固体废物处置技术可行性分析</w:t>
      </w:r>
      <w:r>
        <w:tab/>
      </w:r>
      <w:r>
        <w:fldChar w:fldCharType="begin"/>
      </w:r>
      <w:r>
        <w:instrText xml:space="preserve"> PAGEREF _Toc27805 \h </w:instrText>
      </w:r>
      <w:r>
        <w:fldChar w:fldCharType="separate"/>
      </w:r>
      <w:r>
        <w:t>230</w:t>
      </w:r>
      <w:r>
        <w:fldChar w:fldCharType="end"/>
      </w:r>
    </w:p>
    <w:p w14:paraId="27E9C09C">
      <w:pPr>
        <w:pStyle w:val="74"/>
        <w:tabs>
          <w:tab w:val="right" w:leader="dot" w:pos="8306"/>
        </w:tabs>
      </w:pPr>
      <w:r>
        <w:rPr>
          <w:rFonts w:hint="eastAsia"/>
        </w:rPr>
        <w:t xml:space="preserve">8.5 </w:t>
      </w:r>
      <w:r>
        <w:rPr>
          <w:color w:val="000000" w:themeColor="text1"/>
          <w14:textFill>
            <w14:solidFill>
              <w14:schemeClr w14:val="tx1"/>
            </w14:solidFill>
          </w14:textFill>
        </w:rPr>
        <w:t>地下水污染防治措施及可行性分析</w:t>
      </w:r>
      <w:r>
        <w:tab/>
      </w:r>
      <w:r>
        <w:fldChar w:fldCharType="begin"/>
      </w:r>
      <w:r>
        <w:instrText xml:space="preserve"> PAGEREF _Toc24652 \h </w:instrText>
      </w:r>
      <w:r>
        <w:fldChar w:fldCharType="separate"/>
      </w:r>
      <w:r>
        <w:t>231</w:t>
      </w:r>
      <w:r>
        <w:fldChar w:fldCharType="end"/>
      </w:r>
    </w:p>
    <w:p w14:paraId="4D8EF1D2">
      <w:pPr>
        <w:pStyle w:val="74"/>
        <w:tabs>
          <w:tab w:val="right" w:leader="dot" w:pos="8306"/>
        </w:tabs>
      </w:pPr>
      <w:r>
        <w:rPr>
          <w:rFonts w:hint="eastAsia"/>
        </w:rPr>
        <w:t xml:space="preserve">8.6 </w:t>
      </w:r>
      <w:r>
        <w:rPr>
          <w:color w:val="000000" w:themeColor="text1"/>
          <w14:textFill>
            <w14:solidFill>
              <w14:schemeClr w14:val="tx1"/>
            </w14:solidFill>
          </w14:textFill>
        </w:rPr>
        <w:t>土壤污染防治措施可行性</w:t>
      </w:r>
      <w:r>
        <w:tab/>
      </w:r>
      <w:r>
        <w:fldChar w:fldCharType="begin"/>
      </w:r>
      <w:r>
        <w:instrText xml:space="preserve"> PAGEREF _Toc19004 \h </w:instrText>
      </w:r>
      <w:r>
        <w:fldChar w:fldCharType="separate"/>
      </w:r>
      <w:r>
        <w:t>232</w:t>
      </w:r>
      <w:r>
        <w:fldChar w:fldCharType="end"/>
      </w:r>
    </w:p>
    <w:p w14:paraId="7FDFD443">
      <w:pPr>
        <w:pStyle w:val="74"/>
        <w:tabs>
          <w:tab w:val="right" w:leader="dot" w:pos="8306"/>
        </w:tabs>
      </w:pPr>
      <w:r>
        <w:rPr>
          <w:rFonts w:hint="eastAsia"/>
        </w:rPr>
        <w:t xml:space="preserve">8.7 </w:t>
      </w:r>
      <w:r>
        <w:rPr>
          <w:color w:val="000000" w:themeColor="text1"/>
          <w14:textFill>
            <w14:solidFill>
              <w14:schemeClr w14:val="tx1"/>
            </w14:solidFill>
          </w14:textFill>
        </w:rPr>
        <w:t>环境保护措施责任主体</w:t>
      </w:r>
      <w:r>
        <w:tab/>
      </w:r>
      <w:r>
        <w:fldChar w:fldCharType="begin"/>
      </w:r>
      <w:r>
        <w:instrText xml:space="preserve"> PAGEREF _Toc11683 \h </w:instrText>
      </w:r>
      <w:r>
        <w:fldChar w:fldCharType="separate"/>
      </w:r>
      <w:r>
        <w:t>233</w:t>
      </w:r>
      <w:r>
        <w:fldChar w:fldCharType="end"/>
      </w:r>
    </w:p>
    <w:p w14:paraId="48DEF96A">
      <w:pPr>
        <w:pStyle w:val="59"/>
        <w:tabs>
          <w:tab w:val="right" w:leader="dot" w:pos="8306"/>
        </w:tabs>
      </w:pPr>
      <w:r>
        <w:rPr>
          <w:rFonts w:hint="eastAsia"/>
          <w:color w:val="000000" w:themeColor="text1"/>
          <w14:textFill>
            <w14:solidFill>
              <w14:schemeClr w14:val="tx1"/>
            </w14:solidFill>
          </w14:textFill>
        </w:rPr>
        <w:t xml:space="preserve">9 </w:t>
      </w:r>
      <w:r>
        <w:rPr>
          <w:color w:val="000000" w:themeColor="text1"/>
          <w14:textFill>
            <w14:solidFill>
              <w14:schemeClr w14:val="tx1"/>
            </w14:solidFill>
          </w14:textFill>
        </w:rPr>
        <w:t>环境影响经济损益分析</w:t>
      </w:r>
      <w:r>
        <w:tab/>
      </w:r>
      <w:r>
        <w:fldChar w:fldCharType="begin"/>
      </w:r>
      <w:r>
        <w:instrText xml:space="preserve"> PAGEREF _Toc3901 \h </w:instrText>
      </w:r>
      <w:r>
        <w:fldChar w:fldCharType="separate"/>
      </w:r>
      <w:r>
        <w:t>234</w:t>
      </w:r>
      <w:r>
        <w:fldChar w:fldCharType="end"/>
      </w:r>
    </w:p>
    <w:p w14:paraId="2D1320B7">
      <w:pPr>
        <w:pStyle w:val="74"/>
        <w:tabs>
          <w:tab w:val="right" w:leader="dot" w:pos="8306"/>
        </w:tabs>
      </w:pPr>
      <w:r>
        <w:rPr>
          <w:rFonts w:hint="eastAsia"/>
        </w:rPr>
        <w:t xml:space="preserve">9.1 </w:t>
      </w:r>
      <w:r>
        <w:rPr>
          <w:color w:val="000000" w:themeColor="text1"/>
          <w14:textFill>
            <w14:solidFill>
              <w14:schemeClr w14:val="tx1"/>
            </w14:solidFill>
          </w14:textFill>
        </w:rPr>
        <w:t>环保投资估算</w:t>
      </w:r>
      <w:r>
        <w:tab/>
      </w:r>
      <w:r>
        <w:fldChar w:fldCharType="begin"/>
      </w:r>
      <w:r>
        <w:instrText xml:space="preserve"> PAGEREF _Toc14509 \h </w:instrText>
      </w:r>
      <w:r>
        <w:fldChar w:fldCharType="separate"/>
      </w:r>
      <w:r>
        <w:t>234</w:t>
      </w:r>
      <w:r>
        <w:fldChar w:fldCharType="end"/>
      </w:r>
    </w:p>
    <w:p w14:paraId="51DAD1B7">
      <w:pPr>
        <w:pStyle w:val="74"/>
        <w:tabs>
          <w:tab w:val="right" w:leader="dot" w:pos="8306"/>
        </w:tabs>
      </w:pPr>
      <w:r>
        <w:rPr>
          <w:rFonts w:hint="eastAsia"/>
        </w:rPr>
        <w:t xml:space="preserve">9.2 </w:t>
      </w:r>
      <w:r>
        <w:rPr>
          <w:color w:val="000000" w:themeColor="text1"/>
          <w14:textFill>
            <w14:solidFill>
              <w14:schemeClr w14:val="tx1"/>
            </w14:solidFill>
          </w14:textFill>
        </w:rPr>
        <w:t>经济损益分析</w:t>
      </w:r>
      <w:r>
        <w:tab/>
      </w:r>
      <w:r>
        <w:fldChar w:fldCharType="begin"/>
      </w:r>
      <w:r>
        <w:instrText xml:space="preserve"> PAGEREF _Toc15508 \h </w:instrText>
      </w:r>
      <w:r>
        <w:fldChar w:fldCharType="separate"/>
      </w:r>
      <w:r>
        <w:t>235</w:t>
      </w:r>
      <w:r>
        <w:fldChar w:fldCharType="end"/>
      </w:r>
    </w:p>
    <w:p w14:paraId="52AC2D06">
      <w:pPr>
        <w:pStyle w:val="74"/>
        <w:tabs>
          <w:tab w:val="right" w:leader="dot" w:pos="8306"/>
        </w:tabs>
      </w:pPr>
      <w:r>
        <w:rPr>
          <w:rFonts w:hint="eastAsia"/>
        </w:rPr>
        <w:t xml:space="preserve">9.3 </w:t>
      </w:r>
      <w:r>
        <w:rPr>
          <w:color w:val="000000" w:themeColor="text1"/>
          <w14:textFill>
            <w14:solidFill>
              <w14:schemeClr w14:val="tx1"/>
            </w14:solidFill>
          </w14:textFill>
        </w:rPr>
        <w:t>社会效益分析</w:t>
      </w:r>
      <w:r>
        <w:tab/>
      </w:r>
      <w:r>
        <w:fldChar w:fldCharType="begin"/>
      </w:r>
      <w:r>
        <w:instrText xml:space="preserve"> PAGEREF _Toc12140 \h </w:instrText>
      </w:r>
      <w:r>
        <w:fldChar w:fldCharType="separate"/>
      </w:r>
      <w:r>
        <w:t>236</w:t>
      </w:r>
      <w:r>
        <w:fldChar w:fldCharType="end"/>
      </w:r>
    </w:p>
    <w:p w14:paraId="32482D53">
      <w:pPr>
        <w:pStyle w:val="59"/>
        <w:tabs>
          <w:tab w:val="right" w:leader="dot" w:pos="8306"/>
        </w:tabs>
      </w:pPr>
      <w:r>
        <w:rPr>
          <w:rFonts w:hint="eastAsia"/>
          <w:color w:val="000000" w:themeColor="text1"/>
          <w14:textFill>
            <w14:solidFill>
              <w14:schemeClr w14:val="tx1"/>
            </w14:solidFill>
          </w14:textFill>
        </w:rPr>
        <w:t xml:space="preserve">10 </w:t>
      </w:r>
      <w:r>
        <w:rPr>
          <w:color w:val="000000" w:themeColor="text1"/>
          <w14:textFill>
            <w14:solidFill>
              <w14:schemeClr w14:val="tx1"/>
            </w14:solidFill>
          </w14:textFill>
        </w:rPr>
        <w:t>环境管理与监测计划</w:t>
      </w:r>
      <w:r>
        <w:tab/>
      </w:r>
      <w:r>
        <w:fldChar w:fldCharType="begin"/>
      </w:r>
      <w:r>
        <w:instrText xml:space="preserve"> PAGEREF _Toc7594 \h </w:instrText>
      </w:r>
      <w:r>
        <w:fldChar w:fldCharType="separate"/>
      </w:r>
      <w:r>
        <w:t>238</w:t>
      </w:r>
      <w:r>
        <w:fldChar w:fldCharType="end"/>
      </w:r>
    </w:p>
    <w:p w14:paraId="15FFA372">
      <w:pPr>
        <w:pStyle w:val="74"/>
        <w:tabs>
          <w:tab w:val="right" w:leader="dot" w:pos="8306"/>
        </w:tabs>
      </w:pPr>
      <w:r>
        <w:rPr>
          <w:rFonts w:hint="eastAsia"/>
        </w:rPr>
        <w:t xml:space="preserve">10.1 </w:t>
      </w:r>
      <w:r>
        <w:rPr>
          <w:color w:val="000000" w:themeColor="text1"/>
          <w14:textFill>
            <w14:solidFill>
              <w14:schemeClr w14:val="tx1"/>
            </w14:solidFill>
          </w14:textFill>
        </w:rPr>
        <w:t>环境管理</w:t>
      </w:r>
      <w:r>
        <w:tab/>
      </w:r>
      <w:r>
        <w:fldChar w:fldCharType="begin"/>
      </w:r>
      <w:r>
        <w:instrText xml:space="preserve"> PAGEREF _Toc30542 \h </w:instrText>
      </w:r>
      <w:r>
        <w:fldChar w:fldCharType="separate"/>
      </w:r>
      <w:r>
        <w:t>238</w:t>
      </w:r>
      <w:r>
        <w:fldChar w:fldCharType="end"/>
      </w:r>
    </w:p>
    <w:p w14:paraId="0B2DFB2C">
      <w:pPr>
        <w:pStyle w:val="74"/>
        <w:tabs>
          <w:tab w:val="right" w:leader="dot" w:pos="8306"/>
        </w:tabs>
      </w:pPr>
      <w:r>
        <w:rPr>
          <w:rFonts w:hint="eastAsia"/>
        </w:rPr>
        <w:t xml:space="preserve">10.2 </w:t>
      </w:r>
      <w:r>
        <w:rPr>
          <w:color w:val="000000" w:themeColor="text1"/>
          <w14:textFill>
            <w14:solidFill>
              <w14:schemeClr w14:val="tx1"/>
            </w14:solidFill>
          </w14:textFill>
        </w:rPr>
        <w:t>排污口设置与规范化管理</w:t>
      </w:r>
      <w:r>
        <w:tab/>
      </w:r>
      <w:r>
        <w:fldChar w:fldCharType="begin"/>
      </w:r>
      <w:r>
        <w:instrText xml:space="preserve"> PAGEREF _Toc21308 \h </w:instrText>
      </w:r>
      <w:r>
        <w:fldChar w:fldCharType="separate"/>
      </w:r>
      <w:r>
        <w:t>239</w:t>
      </w:r>
      <w:r>
        <w:fldChar w:fldCharType="end"/>
      </w:r>
    </w:p>
    <w:p w14:paraId="7E0987A5">
      <w:pPr>
        <w:pStyle w:val="74"/>
        <w:tabs>
          <w:tab w:val="right" w:leader="dot" w:pos="8306"/>
        </w:tabs>
      </w:pPr>
      <w:r>
        <w:rPr>
          <w:rFonts w:hint="eastAsia"/>
        </w:rPr>
        <w:t xml:space="preserve">10.3 </w:t>
      </w:r>
      <w:r>
        <w:rPr>
          <w:color w:val="000000" w:themeColor="text1"/>
          <w14:textFill>
            <w14:solidFill>
              <w14:schemeClr w14:val="tx1"/>
            </w14:solidFill>
          </w14:textFill>
        </w:rPr>
        <w:t>环境监测计划</w:t>
      </w:r>
      <w:r>
        <w:tab/>
      </w:r>
      <w:r>
        <w:fldChar w:fldCharType="begin"/>
      </w:r>
      <w:r>
        <w:instrText xml:space="preserve"> PAGEREF _Toc17173 \h </w:instrText>
      </w:r>
      <w:r>
        <w:fldChar w:fldCharType="separate"/>
      </w:r>
      <w:r>
        <w:t>241</w:t>
      </w:r>
      <w:r>
        <w:fldChar w:fldCharType="end"/>
      </w:r>
    </w:p>
    <w:p w14:paraId="4EA5BBC7">
      <w:pPr>
        <w:pStyle w:val="74"/>
        <w:tabs>
          <w:tab w:val="right" w:leader="dot" w:pos="8306"/>
        </w:tabs>
      </w:pPr>
      <w:r>
        <w:rPr>
          <w:rFonts w:hint="eastAsia"/>
        </w:rPr>
        <w:t xml:space="preserve">10.4 </w:t>
      </w:r>
      <w:r>
        <w:rPr>
          <w:color w:val="000000" w:themeColor="text1"/>
          <w14:textFill>
            <w14:solidFill>
              <w14:schemeClr w14:val="tx1"/>
            </w14:solidFill>
          </w14:textFill>
        </w:rPr>
        <w:t>竣工环保验收内容及要求</w:t>
      </w:r>
      <w:r>
        <w:tab/>
      </w:r>
      <w:r>
        <w:fldChar w:fldCharType="begin"/>
      </w:r>
      <w:r>
        <w:instrText xml:space="preserve"> PAGEREF _Toc28178 \h </w:instrText>
      </w:r>
      <w:r>
        <w:fldChar w:fldCharType="separate"/>
      </w:r>
      <w:r>
        <w:t>242</w:t>
      </w:r>
      <w:r>
        <w:fldChar w:fldCharType="end"/>
      </w:r>
    </w:p>
    <w:p w14:paraId="47219E6E">
      <w:pPr>
        <w:pStyle w:val="74"/>
        <w:tabs>
          <w:tab w:val="right" w:leader="dot" w:pos="8306"/>
        </w:tabs>
      </w:pPr>
      <w:r>
        <w:rPr>
          <w:rFonts w:hint="eastAsia"/>
        </w:rPr>
        <w:t xml:space="preserve">10.5 </w:t>
      </w:r>
      <w:r>
        <w:rPr>
          <w:rFonts w:hint="eastAsia"/>
          <w:color w:val="000000" w:themeColor="text1"/>
          <w14:textFill>
            <w14:solidFill>
              <w14:schemeClr w14:val="tx1"/>
            </w14:solidFill>
          </w14:textFill>
        </w:rPr>
        <w:t>污染源排放清单</w:t>
      </w:r>
      <w:r>
        <w:tab/>
      </w:r>
      <w:r>
        <w:fldChar w:fldCharType="begin"/>
      </w:r>
      <w:r>
        <w:instrText xml:space="preserve"> PAGEREF _Toc11568 \h </w:instrText>
      </w:r>
      <w:r>
        <w:fldChar w:fldCharType="separate"/>
      </w:r>
      <w:r>
        <w:t>244</w:t>
      </w:r>
      <w:r>
        <w:fldChar w:fldCharType="end"/>
      </w:r>
    </w:p>
    <w:p w14:paraId="6FC7B355">
      <w:pPr>
        <w:pStyle w:val="59"/>
        <w:tabs>
          <w:tab w:val="right" w:leader="dot" w:pos="8306"/>
        </w:tabs>
      </w:pPr>
      <w:r>
        <w:rPr>
          <w:rFonts w:hint="eastAsia"/>
          <w:color w:val="000000" w:themeColor="text1"/>
          <w14:textFill>
            <w14:solidFill>
              <w14:schemeClr w14:val="tx1"/>
            </w14:solidFill>
          </w14:textFill>
        </w:rPr>
        <w:t xml:space="preserve">11 </w:t>
      </w:r>
      <w:r>
        <w:rPr>
          <w:color w:val="000000" w:themeColor="text1"/>
          <w14:textFill>
            <w14:solidFill>
              <w14:schemeClr w14:val="tx1"/>
            </w14:solidFill>
          </w14:textFill>
        </w:rPr>
        <w:t>结论和建议</w:t>
      </w:r>
      <w:r>
        <w:tab/>
      </w:r>
      <w:r>
        <w:fldChar w:fldCharType="begin"/>
      </w:r>
      <w:r>
        <w:instrText xml:space="preserve"> PAGEREF _Toc24704 \h </w:instrText>
      </w:r>
      <w:r>
        <w:fldChar w:fldCharType="separate"/>
      </w:r>
      <w:r>
        <w:t>248</w:t>
      </w:r>
      <w:r>
        <w:fldChar w:fldCharType="end"/>
      </w:r>
    </w:p>
    <w:p w14:paraId="5B37A7C2">
      <w:pPr>
        <w:pStyle w:val="74"/>
        <w:tabs>
          <w:tab w:val="right" w:leader="dot" w:pos="8306"/>
        </w:tabs>
      </w:pPr>
      <w:r>
        <w:rPr>
          <w:rFonts w:hint="eastAsia"/>
        </w:rPr>
        <w:t xml:space="preserve">11.1 </w:t>
      </w:r>
      <w:r>
        <w:rPr>
          <w:color w:val="000000" w:themeColor="text1"/>
          <w14:textFill>
            <w14:solidFill>
              <w14:schemeClr w14:val="tx1"/>
            </w14:solidFill>
          </w14:textFill>
        </w:rPr>
        <w:t>项目概况</w:t>
      </w:r>
      <w:r>
        <w:tab/>
      </w:r>
      <w:r>
        <w:fldChar w:fldCharType="begin"/>
      </w:r>
      <w:r>
        <w:instrText xml:space="preserve"> PAGEREF _Toc8646 \h </w:instrText>
      </w:r>
      <w:r>
        <w:fldChar w:fldCharType="separate"/>
      </w:r>
      <w:r>
        <w:t>248</w:t>
      </w:r>
      <w:r>
        <w:fldChar w:fldCharType="end"/>
      </w:r>
    </w:p>
    <w:p w14:paraId="012B9C44">
      <w:pPr>
        <w:pStyle w:val="74"/>
        <w:tabs>
          <w:tab w:val="right" w:leader="dot" w:pos="8306"/>
        </w:tabs>
      </w:pPr>
      <w:r>
        <w:rPr>
          <w:rFonts w:hint="eastAsia"/>
        </w:rPr>
        <w:t xml:space="preserve">11.2 </w:t>
      </w:r>
      <w:r>
        <w:rPr>
          <w:color w:val="000000" w:themeColor="text1"/>
          <w14:textFill>
            <w14:solidFill>
              <w14:schemeClr w14:val="tx1"/>
            </w14:solidFill>
          </w14:textFill>
        </w:rPr>
        <w:t>环境质量现状</w:t>
      </w:r>
      <w:r>
        <w:tab/>
      </w:r>
      <w:r>
        <w:fldChar w:fldCharType="begin"/>
      </w:r>
      <w:r>
        <w:instrText xml:space="preserve"> PAGEREF _Toc1225 \h </w:instrText>
      </w:r>
      <w:r>
        <w:fldChar w:fldCharType="separate"/>
      </w:r>
      <w:r>
        <w:t>248</w:t>
      </w:r>
      <w:r>
        <w:fldChar w:fldCharType="end"/>
      </w:r>
    </w:p>
    <w:p w14:paraId="01168791">
      <w:pPr>
        <w:pStyle w:val="74"/>
        <w:tabs>
          <w:tab w:val="right" w:leader="dot" w:pos="8306"/>
        </w:tabs>
      </w:pPr>
      <w:r>
        <w:rPr>
          <w:rFonts w:hint="eastAsia"/>
        </w:rPr>
        <w:t xml:space="preserve">11.3 </w:t>
      </w:r>
      <w:r>
        <w:rPr>
          <w:rFonts w:hint="eastAsia"/>
          <w:color w:val="000000" w:themeColor="text1"/>
          <w14:textFill>
            <w14:solidFill>
              <w14:schemeClr w14:val="tx1"/>
            </w14:solidFill>
          </w14:textFill>
        </w:rPr>
        <w:t>项目相关产业政策、规划符合性</w:t>
      </w:r>
      <w:r>
        <w:tab/>
      </w:r>
      <w:r>
        <w:fldChar w:fldCharType="begin"/>
      </w:r>
      <w:r>
        <w:instrText xml:space="preserve"> PAGEREF _Toc32236 \h </w:instrText>
      </w:r>
      <w:r>
        <w:fldChar w:fldCharType="separate"/>
      </w:r>
      <w:r>
        <w:t>248</w:t>
      </w:r>
      <w:r>
        <w:fldChar w:fldCharType="end"/>
      </w:r>
    </w:p>
    <w:p w14:paraId="585B7541">
      <w:pPr>
        <w:pStyle w:val="74"/>
        <w:tabs>
          <w:tab w:val="right" w:leader="dot" w:pos="8306"/>
        </w:tabs>
      </w:pPr>
      <w:r>
        <w:rPr>
          <w:rFonts w:hint="eastAsia"/>
        </w:rPr>
        <w:t xml:space="preserve">11.4 </w:t>
      </w:r>
      <w:r>
        <w:rPr>
          <w:rFonts w:hint="eastAsia"/>
          <w:color w:val="000000" w:themeColor="text1"/>
          <w14:textFill>
            <w14:solidFill>
              <w14:schemeClr w14:val="tx1"/>
            </w14:solidFill>
          </w14:textFill>
        </w:rPr>
        <w:t>项目选址合理性</w:t>
      </w:r>
      <w:r>
        <w:tab/>
      </w:r>
      <w:r>
        <w:fldChar w:fldCharType="begin"/>
      </w:r>
      <w:r>
        <w:instrText xml:space="preserve"> PAGEREF _Toc10218 \h </w:instrText>
      </w:r>
      <w:r>
        <w:fldChar w:fldCharType="separate"/>
      </w:r>
      <w:r>
        <w:t>249</w:t>
      </w:r>
      <w:r>
        <w:fldChar w:fldCharType="end"/>
      </w:r>
    </w:p>
    <w:p w14:paraId="47AE3110">
      <w:pPr>
        <w:pStyle w:val="74"/>
        <w:tabs>
          <w:tab w:val="right" w:leader="dot" w:pos="8306"/>
        </w:tabs>
      </w:pPr>
      <w:r>
        <w:rPr>
          <w:rFonts w:hint="eastAsia"/>
        </w:rPr>
        <w:t xml:space="preserve">11.5 </w:t>
      </w:r>
      <w:r>
        <w:rPr>
          <w:color w:val="000000" w:themeColor="text1"/>
          <w14:textFill>
            <w14:solidFill>
              <w14:schemeClr w14:val="tx1"/>
            </w14:solidFill>
          </w14:textFill>
        </w:rPr>
        <w:t>环境影响及防治措施</w:t>
      </w:r>
      <w:r>
        <w:tab/>
      </w:r>
      <w:r>
        <w:fldChar w:fldCharType="begin"/>
      </w:r>
      <w:r>
        <w:instrText xml:space="preserve"> PAGEREF _Toc13809 \h </w:instrText>
      </w:r>
      <w:r>
        <w:fldChar w:fldCharType="separate"/>
      </w:r>
      <w:r>
        <w:t>249</w:t>
      </w:r>
      <w:r>
        <w:fldChar w:fldCharType="end"/>
      </w:r>
    </w:p>
    <w:p w14:paraId="009D1A5E">
      <w:pPr>
        <w:pStyle w:val="74"/>
        <w:tabs>
          <w:tab w:val="right" w:leader="dot" w:pos="8306"/>
        </w:tabs>
      </w:pPr>
      <w:r>
        <w:rPr>
          <w:rFonts w:hint="eastAsia"/>
        </w:rPr>
        <w:t xml:space="preserve">11.6 </w:t>
      </w:r>
      <w:r>
        <w:rPr>
          <w:color w:val="000000" w:themeColor="text1"/>
          <w14:textFill>
            <w14:solidFill>
              <w14:schemeClr w14:val="tx1"/>
            </w14:solidFill>
          </w14:textFill>
        </w:rPr>
        <w:t>总量控制</w:t>
      </w:r>
      <w:r>
        <w:tab/>
      </w:r>
      <w:r>
        <w:fldChar w:fldCharType="begin"/>
      </w:r>
      <w:r>
        <w:instrText xml:space="preserve"> PAGEREF _Toc17225 \h </w:instrText>
      </w:r>
      <w:r>
        <w:fldChar w:fldCharType="separate"/>
      </w:r>
      <w:r>
        <w:t>252</w:t>
      </w:r>
      <w:r>
        <w:fldChar w:fldCharType="end"/>
      </w:r>
    </w:p>
    <w:p w14:paraId="26093CAD">
      <w:pPr>
        <w:pStyle w:val="74"/>
        <w:tabs>
          <w:tab w:val="right" w:leader="dot" w:pos="8306"/>
        </w:tabs>
      </w:pPr>
      <w:r>
        <w:rPr>
          <w:rFonts w:hint="eastAsia"/>
        </w:rPr>
        <w:t xml:space="preserve">11.7 </w:t>
      </w:r>
      <w:r>
        <w:rPr>
          <w:rFonts w:hint="eastAsia"/>
          <w:color w:val="000000" w:themeColor="text1"/>
          <w14:textFill>
            <w14:solidFill>
              <w14:schemeClr w14:val="tx1"/>
            </w14:solidFill>
          </w14:textFill>
        </w:rPr>
        <w:t>公众参与</w:t>
      </w:r>
      <w:r>
        <w:tab/>
      </w:r>
      <w:r>
        <w:fldChar w:fldCharType="begin"/>
      </w:r>
      <w:r>
        <w:instrText xml:space="preserve"> PAGEREF _Toc8866 \h </w:instrText>
      </w:r>
      <w:r>
        <w:fldChar w:fldCharType="separate"/>
      </w:r>
      <w:r>
        <w:t>252</w:t>
      </w:r>
      <w:r>
        <w:fldChar w:fldCharType="end"/>
      </w:r>
    </w:p>
    <w:p w14:paraId="4B6978FD">
      <w:pPr>
        <w:pStyle w:val="74"/>
        <w:tabs>
          <w:tab w:val="right" w:leader="dot" w:pos="8306"/>
        </w:tabs>
      </w:pPr>
      <w:r>
        <w:rPr>
          <w:rFonts w:hint="eastAsia"/>
        </w:rPr>
        <w:t xml:space="preserve">11.8 </w:t>
      </w:r>
      <w:r>
        <w:rPr>
          <w:rFonts w:hint="eastAsia"/>
          <w:color w:val="000000" w:themeColor="text1"/>
          <w14:textFill>
            <w14:solidFill>
              <w14:schemeClr w14:val="tx1"/>
            </w14:solidFill>
          </w14:textFill>
        </w:rPr>
        <w:t>环境管理与监测</w:t>
      </w:r>
      <w:r>
        <w:tab/>
      </w:r>
      <w:r>
        <w:fldChar w:fldCharType="begin"/>
      </w:r>
      <w:r>
        <w:instrText xml:space="preserve"> PAGEREF _Toc9573 \h </w:instrText>
      </w:r>
      <w:r>
        <w:fldChar w:fldCharType="separate"/>
      </w:r>
      <w:r>
        <w:t>252</w:t>
      </w:r>
      <w:r>
        <w:fldChar w:fldCharType="end"/>
      </w:r>
    </w:p>
    <w:p w14:paraId="28535379">
      <w:pPr>
        <w:pStyle w:val="74"/>
        <w:tabs>
          <w:tab w:val="right" w:leader="dot" w:pos="8306"/>
        </w:tabs>
      </w:pPr>
      <w:r>
        <w:rPr>
          <w:rFonts w:hint="eastAsia"/>
        </w:rPr>
        <w:t xml:space="preserve">11.9 </w:t>
      </w:r>
      <w:r>
        <w:rPr>
          <w:rFonts w:hint="eastAsia"/>
          <w:color w:val="000000" w:themeColor="text1"/>
          <w14:textFill>
            <w14:solidFill>
              <w14:schemeClr w14:val="tx1"/>
            </w14:solidFill>
          </w14:textFill>
        </w:rPr>
        <w:t>环境影响经济损益分析</w:t>
      </w:r>
      <w:r>
        <w:tab/>
      </w:r>
      <w:r>
        <w:fldChar w:fldCharType="begin"/>
      </w:r>
      <w:r>
        <w:instrText xml:space="preserve"> PAGEREF _Toc21990 \h </w:instrText>
      </w:r>
      <w:r>
        <w:fldChar w:fldCharType="separate"/>
      </w:r>
      <w:r>
        <w:t>252</w:t>
      </w:r>
      <w:r>
        <w:fldChar w:fldCharType="end"/>
      </w:r>
    </w:p>
    <w:p w14:paraId="1FB604C1">
      <w:pPr>
        <w:pStyle w:val="74"/>
        <w:tabs>
          <w:tab w:val="right" w:leader="dot" w:pos="8306"/>
        </w:tabs>
      </w:pPr>
      <w:r>
        <w:rPr>
          <w:rFonts w:hint="eastAsia"/>
        </w:rPr>
        <w:t xml:space="preserve">11.10 </w:t>
      </w:r>
      <w:r>
        <w:rPr>
          <w:color w:val="000000" w:themeColor="text1"/>
          <w14:textFill>
            <w14:solidFill>
              <w14:schemeClr w14:val="tx1"/>
            </w14:solidFill>
          </w14:textFill>
        </w:rPr>
        <w:t>综合评价结论</w:t>
      </w:r>
      <w:r>
        <w:tab/>
      </w:r>
      <w:r>
        <w:fldChar w:fldCharType="begin"/>
      </w:r>
      <w:r>
        <w:instrText xml:space="preserve"> PAGEREF _Toc2168 \h </w:instrText>
      </w:r>
      <w:r>
        <w:fldChar w:fldCharType="separate"/>
      </w:r>
      <w:r>
        <w:t>252</w:t>
      </w:r>
      <w:r>
        <w:fldChar w:fldCharType="end"/>
      </w:r>
    </w:p>
    <w:p w14:paraId="24E111A5">
      <w:pPr>
        <w:spacing w:line="240" w:lineRule="auto"/>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end"/>
      </w:r>
    </w:p>
    <w:p w14:paraId="696E9CE3">
      <w:pPr>
        <w:spacing w:before="32"/>
        <w:ind w:firstLine="520"/>
        <w:rPr>
          <w:color w:val="000000" w:themeColor="text1"/>
          <w14:textFill>
            <w14:solidFill>
              <w14:schemeClr w14:val="tx1"/>
            </w14:solidFill>
          </w14:textFill>
        </w:rPr>
      </w:pPr>
    </w:p>
    <w:p w14:paraId="5385A846">
      <w:pPr>
        <w:spacing w:before="32"/>
        <w:ind w:firstLine="52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upperRoman"/>
          <w:cols w:space="720" w:num="1"/>
          <w:docGrid w:type="lines" w:linePitch="326" w:charSpace="0"/>
        </w:sectPr>
      </w:pPr>
    </w:p>
    <w:p w14:paraId="49957047">
      <w:pPr>
        <w:pStyle w:val="3"/>
        <w:numPr>
          <w:ilvl w:val="0"/>
          <w:numId w:val="0"/>
        </w:numPr>
        <w:spacing w:after="326"/>
        <w:rPr>
          <w:color w:val="000000" w:themeColor="text1"/>
          <w14:textFill>
            <w14:solidFill>
              <w14:schemeClr w14:val="tx1"/>
            </w14:solidFill>
          </w14:textFill>
        </w:rPr>
      </w:pPr>
      <w:bookmarkStart w:id="0" w:name="_Toc11074"/>
      <w:r>
        <w:rPr>
          <w:color w:val="000000" w:themeColor="text1"/>
          <w14:textFill>
            <w14:solidFill>
              <w14:schemeClr w14:val="tx1"/>
            </w14:solidFill>
          </w14:textFill>
        </w:rPr>
        <w:t>概述</w:t>
      </w:r>
      <w:bookmarkEnd w:id="0"/>
    </w:p>
    <w:p w14:paraId="05012E63">
      <w:pPr>
        <w:spacing w:before="32"/>
        <w:ind w:firstLine="0" w:firstLineChars="0"/>
        <w:jc w:val="left"/>
        <w:rPr>
          <w:b/>
          <w:bCs/>
          <w:color w:val="000000" w:themeColor="text1"/>
          <w14:textFill>
            <w14:solidFill>
              <w14:schemeClr w14:val="tx1"/>
            </w14:solidFill>
          </w14:textFill>
        </w:rPr>
      </w:pPr>
      <w:r>
        <w:rPr>
          <w:b/>
          <w:bCs/>
          <w:color w:val="000000" w:themeColor="text1"/>
          <w14:textFill>
            <w14:solidFill>
              <w14:schemeClr w14:val="tx1"/>
            </w14:solidFill>
          </w14:textFill>
        </w:rPr>
        <w:t>1、项目由来</w:t>
      </w:r>
    </w:p>
    <w:p w14:paraId="195D303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重庆臻宝半导体材料有限公司（以下简称“臻宝半导体公司”）成立于2022年9月8日，注册地址为九龙坡区西彭镇森迪大道8号1幢，是重庆臻宝科技股份有限公司（原名“重庆臻宝实业有限公司”）的全资子公司，专门从事电子专用材料研发、制造和销售业务，致力于完善国内单晶硅、多晶硅、芯片制造及高纯度高强度固态碳化硅陶瓷等半导体材料研发生产上游产业链，为臻宝科技及中芯国际、华星光电、京东方等下游客户提供服务</w:t>
      </w:r>
      <w:r>
        <w:rPr>
          <w:color w:val="000000" w:themeColor="text1"/>
          <w14:textFill>
            <w14:solidFill>
              <w14:schemeClr w14:val="tx1"/>
            </w14:solidFill>
          </w14:textFill>
        </w:rPr>
        <w:t>。</w:t>
      </w:r>
    </w:p>
    <w:p w14:paraId="27101DFA">
      <w:pPr>
        <w:ind w:firstLine="520"/>
        <w:rPr>
          <w:color w:val="000000" w:themeColor="text1"/>
          <w14:textFill>
            <w14:solidFill>
              <w14:schemeClr w14:val="tx1"/>
            </w14:solidFill>
          </w14:textFill>
        </w:rPr>
      </w:pPr>
      <w:bookmarkStart w:id="1" w:name="_Hlk162880321"/>
      <w:r>
        <w:rPr>
          <w:rFonts w:hint="eastAsia"/>
          <w:color w:val="000000" w:themeColor="text1"/>
          <w14:textFill>
            <w14:solidFill>
              <w14:schemeClr w14:val="tx1"/>
            </w14:solidFill>
          </w14:textFill>
        </w:rPr>
        <w:t>重庆臻宝半导体材料有限公司厂区位于重庆市九龙坡区西彭工业园区D标准分区D22-1/02地块，占地面积</w:t>
      </w:r>
      <w:r>
        <w:rPr>
          <w:color w:val="000000" w:themeColor="text1"/>
          <w14:textFill>
            <w14:solidFill>
              <w14:schemeClr w14:val="tx1"/>
            </w14:solidFill>
          </w14:textFill>
        </w:rPr>
        <w:t>67069.</w:t>
      </w:r>
      <w:r>
        <w:rPr>
          <w:rFonts w:hint="eastAsia"/>
          <w:color w:val="000000" w:themeColor="text1"/>
          <w14:textFill>
            <w14:solidFill>
              <w14:schemeClr w14:val="tx1"/>
            </w14:solidFill>
          </w14:textFill>
        </w:rPr>
        <w:t>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，建筑面积46843m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，总投资8.1亿，现有职工约260余人。</w:t>
      </w:r>
    </w:p>
    <w:p w14:paraId="305AD1CB">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臻宝半导体公司现有生产线主要包括：单晶硅、多晶硅生产线，</w:t>
      </w:r>
      <w:r>
        <w:rPr>
          <w:color w:val="000000" w:themeColor="text1"/>
          <w14:textFill>
            <w14:solidFill>
              <w14:schemeClr w14:val="tx1"/>
            </w14:solidFill>
          </w14:textFill>
        </w:rPr>
        <w:t>硅产品生产线</w:t>
      </w:r>
      <w:r>
        <w:rPr>
          <w:rFonts w:hint="eastAsia"/>
          <w:color w:val="000000" w:themeColor="text1"/>
          <w14:textFill>
            <w14:solidFill>
              <w14:schemeClr w14:val="tx1"/>
            </w14:solidFill>
          </w14:textFill>
        </w:rPr>
        <w:t>，石英产品</w:t>
      </w:r>
      <w:r>
        <w:rPr>
          <w:color w:val="000000" w:themeColor="text1"/>
          <w14:textFill>
            <w14:solidFill>
              <w14:schemeClr w14:val="tx1"/>
            </w14:solidFill>
          </w14:textFill>
        </w:rPr>
        <w:t>生产线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陶瓷</w:t>
      </w:r>
      <w:r>
        <w:rPr>
          <w:rFonts w:hint="eastAsia"/>
          <w:color w:val="000000" w:themeColor="text1"/>
          <w14:textFill>
            <w14:solidFill>
              <w14:schemeClr w14:val="tx1"/>
            </w14:solidFill>
          </w14:textFill>
        </w:rPr>
        <w:t>产品</w:t>
      </w:r>
      <w:r>
        <w:rPr>
          <w:color w:val="000000" w:themeColor="text1"/>
          <w14:textFill>
            <w14:solidFill>
              <w14:schemeClr w14:val="tx1"/>
            </w14:solidFill>
          </w14:textFill>
        </w:rPr>
        <w:t>生产线</w:t>
      </w:r>
      <w:r>
        <w:rPr>
          <w:rFonts w:hint="eastAsia"/>
          <w:color w:val="000000" w:themeColor="text1"/>
          <w14:textFill>
            <w14:solidFill>
              <w14:schemeClr w14:val="tx1"/>
            </w14:solidFill>
          </w14:textFill>
        </w:rPr>
        <w:t>，石墨产品</w:t>
      </w:r>
      <w:r>
        <w:rPr>
          <w:color w:val="000000" w:themeColor="text1"/>
          <w14:textFill>
            <w14:solidFill>
              <w14:schemeClr w14:val="tx1"/>
            </w14:solidFill>
          </w14:textFill>
        </w:rPr>
        <w:t>生产线</w:t>
      </w:r>
      <w:r>
        <w:rPr>
          <w:rFonts w:hint="eastAsia"/>
          <w:color w:val="000000" w:themeColor="text1"/>
          <w14:textFill>
            <w14:solidFill>
              <w14:schemeClr w14:val="tx1"/>
            </w14:solidFill>
          </w14:textFill>
        </w:rPr>
        <w:t>，粉末烧结造粒生产线及碳化硅生产线等。主要产品包括：单晶硅、多晶硅、硅环、硅电极、石英环、石英舟托、石英舟、石英管、石墨零部件、陶瓷板、陶瓷环、陶瓷盘、棒、陶瓷滚筒、陶瓷杆、氧化钇熔射粉末、SIC环等，填补了国内第三代半导体材料生产空白</w:t>
      </w:r>
      <w:r>
        <w:rPr>
          <w:color w:val="000000" w:themeColor="text1"/>
          <w14:textFill>
            <w14:solidFill>
              <w14:schemeClr w14:val="tx1"/>
            </w14:solidFill>
          </w14:textFill>
        </w:rPr>
        <w:t>。</w:t>
      </w:r>
    </w:p>
    <w:bookmarkEnd w:id="1"/>
    <w:p w14:paraId="272F27A6">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为了满足市场需要，实现半导体零部件材料及加工的垂直整合，重庆臻宝半导体材料有限公司拟在现有厂房内及租用重庆臻宝科技股份有限公司部分厂房建设</w:t>
      </w:r>
      <w:r>
        <w:rPr>
          <w:rFonts w:hint="eastAsia"/>
          <w:color w:val="000000" w:themeColor="text1"/>
          <w:lang w:bidi="ar"/>
          <w14:textFill>
            <w14:solidFill>
              <w14:schemeClr w14:val="tx1"/>
            </w14:solidFill>
          </w14:textFill>
        </w:rPr>
        <w:t>“集成电路高纯材料及精密零部件生产项目”（以下简称“扩建项目”）</w:t>
      </w:r>
      <w:r>
        <w:rPr>
          <w:rFonts w:hint="eastAsia"/>
          <w:color w:val="000000" w:themeColor="text1"/>
          <w14:textFill>
            <w14:solidFill>
              <w14:schemeClr w14:val="tx1"/>
            </w14:solidFill>
          </w14:textFill>
        </w:rPr>
        <w:t>。重庆市九龙坡区发展和改革委员会</w:t>
      </w:r>
      <w:r>
        <w:rPr>
          <w:color w:val="000000" w:themeColor="text1"/>
          <w14:textFill>
            <w14:solidFill>
              <w14:schemeClr w14:val="tx1"/>
            </w14:solidFill>
          </w14:textFill>
        </w:rPr>
        <w:t>以备案项目</w:t>
      </w:r>
      <w:r>
        <w:rPr>
          <w:rFonts w:hint="eastAsia"/>
          <w:color w:val="000000" w:themeColor="text1"/>
          <w14:textFill>
            <w14:solidFill>
              <w14:schemeClr w14:val="tx1"/>
            </w14:solidFill>
          </w14:textFill>
        </w:rPr>
        <w:t>代</w:t>
      </w:r>
      <w:r>
        <w:rPr>
          <w:color w:val="000000" w:themeColor="text1"/>
          <w14:textFill>
            <w14:solidFill>
              <w14:schemeClr w14:val="tx1"/>
            </w14:solidFill>
          </w14:textFill>
        </w:rPr>
        <w:t>码2504-500107-04-01-860316号《重庆市企业投资项目备案证》对项目予以投资备案</w:t>
      </w:r>
      <w:r>
        <w:rPr>
          <w:rFonts w:hint="eastAsia"/>
          <w:color w:val="000000" w:themeColor="text1"/>
          <w14:textFill>
            <w14:solidFill>
              <w14:schemeClr w14:val="tx1"/>
            </w14:solidFill>
          </w14:textFill>
        </w:rPr>
        <w:t>。该项目总投资约5000万，购置石墨加工中心，高温纯化炉，高温石墨化炉，CVDSIC炉及走心机等先进设备，建设具有国内先进水平的固态碳化硅材料生产基地及石墨，GASKET金属零部件，GASKET塑料件等加工基地；项目建成后将实现年产：GASKET垫片83000个，GASKET塑料件55000个，GASKET金属零部件51000个，石墨部件170000件及碳化硅涂层部件1000套（每套420个）的能力。</w:t>
      </w:r>
    </w:p>
    <w:p w14:paraId="5710C90B">
      <w:pPr>
        <w:ind w:firstLine="0" w:firstLineChars="0"/>
        <w:jc w:val="left"/>
        <w:rPr>
          <w:b/>
          <w:bCs/>
          <w:color w:val="000000" w:themeColor="text1"/>
          <w14:textFill>
            <w14:solidFill>
              <w14:schemeClr w14:val="tx1"/>
            </w14:solidFill>
          </w14:textFill>
        </w:rPr>
      </w:pPr>
      <w:r>
        <w:rPr>
          <w:b/>
          <w:bCs/>
          <w:color w:val="000000" w:themeColor="text1"/>
          <w14:textFill>
            <w14:solidFill>
              <w14:schemeClr w14:val="tx1"/>
            </w14:solidFill>
          </w14:textFill>
        </w:rPr>
        <w:t>2、项目自身特点</w:t>
      </w:r>
    </w:p>
    <w:p w14:paraId="39FD9E9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（1）扩建项目分两处地块建设，其中1处为项目现有工程闲置厂房，另1处租赁臻宝科技公司（为项目建设单位臻宝半导体公司母公司）厂房闲置区域建设。</w:t>
      </w:r>
    </w:p>
    <w:p w14:paraId="51BAAAED">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（2）项目为扩建，部分废气依托现有工程，本次评价对依托的排气筒排放污染物整体（即现有工程排放量+本次扩建排放量）进行统计分析预测评价。在污染物排放情况中仅对本项目进行了统计。</w:t>
      </w:r>
    </w:p>
    <w:p w14:paraId="013C214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（3）项目租赁臻宝科技公司建设内容部分，依托其废水等环保设施责任主体为臻宝科技公司。</w:t>
      </w:r>
    </w:p>
    <w:p w14:paraId="7AD5C987">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（4）碳化硅涂层部件生产线采用化学气相沉积工艺，使用MTS作为原料，在高温条件下生成碳化硅，由于MTS具有毒性及爆炸性，反应过程使用氢气作为MTS的载体进入设备，而H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属于易爆炸气体，扩建项目使用的MTS及H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用量较大，因此需要关注气体泄漏及爆炸风险。</w:t>
      </w:r>
    </w:p>
    <w:p w14:paraId="76A14257">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（5）项目不新征土地，符合国家和重庆市现行土地利用政策，符合城市发展新区及工业园区产业发展规划。</w:t>
      </w:r>
    </w:p>
    <w:p w14:paraId="237B0A8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（6）项目主要在现有生产厂房内进行设备安装和布局，不涉及土建施工。因此，对施工期影响分析予以简化</w:t>
      </w:r>
      <w:r>
        <w:rPr>
          <w:color w:val="000000" w:themeColor="text1"/>
          <w14:textFill>
            <w14:solidFill>
              <w14:schemeClr w14:val="tx1"/>
            </w14:solidFill>
          </w14:textFill>
        </w:rPr>
        <w:t>。</w:t>
      </w:r>
    </w:p>
    <w:p w14:paraId="4250A24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7）项目所涉及的污染物治理及处置技术、环境风险防范技术成熟可行，在采取合理可行的污染治理措施、环境风险防范措施后，本项目产生的“三废”可得到有效治理和妥善处置、环境风险可防可控，对环境的影响可控制在可接受范围内。</w:t>
      </w:r>
    </w:p>
    <w:p w14:paraId="2A6F776F">
      <w:pPr>
        <w:ind w:firstLine="0" w:firstLineChars="0"/>
        <w:jc w:val="left"/>
        <w:rPr>
          <w:b/>
          <w:bCs/>
          <w:color w:val="000000" w:themeColor="text1"/>
          <w14:textFill>
            <w14:solidFill>
              <w14:schemeClr w14:val="tx1"/>
            </w14:solidFill>
          </w14:textFill>
        </w:rPr>
      </w:pPr>
      <w:r>
        <w:rPr>
          <w:b/>
          <w:bCs/>
          <w:color w:val="000000" w:themeColor="text1"/>
          <w14:textFill>
            <w14:solidFill>
              <w14:schemeClr w14:val="tx1"/>
            </w14:solidFill>
          </w14:textFill>
        </w:rPr>
        <w:t>3、环境影响评价工作过程</w:t>
      </w:r>
    </w:p>
    <w:p w14:paraId="1145A2C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中华人民共和国环境保护法》、《中华人民共和国环境影响评价法》、《建设项目环境保护管理条例》、《建设项目环境影响评价分类管理名录（2021年版）》等规定，扩建项目应开展环境影响评价。对照《国民经济行业分类》（GB/T4754-2017），扩建项目属于“电子专用材料制造3985—半导体材料制造和3091—石墨及碳素制品制造”，对照《建设项目环境影响评价分类管理名录（2021年版）》，扩建项目属于“三十六、计算机、通信和其他电子设备制造业39——81电子元件及电子专用材料制造398——半导体材料制造”应编制报告书</w:t>
      </w:r>
      <w:r>
        <w:rPr>
          <w:rFonts w:hint="eastAsia"/>
          <w:bCs/>
          <w:color w:val="000000" w:themeColor="text1"/>
          <w14:textFill>
            <w14:solidFill>
              <w14:schemeClr w14:val="tx1"/>
            </w14:solidFill>
          </w14:textFill>
        </w:rPr>
        <w:t>和“</w:t>
      </w:r>
      <w:r>
        <w:rPr>
          <w:rFonts w:hint="eastAsia"/>
          <w:color w:val="000000" w:themeColor="text1"/>
          <w14:textFill>
            <w14:solidFill>
              <w14:schemeClr w14:val="tx1"/>
            </w14:solidFill>
          </w14:textFill>
        </w:rPr>
        <w:t>二十七、非金属矿物制品业”类别中“</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、石墨及其他非金属矿物制品制造</w:t>
      </w:r>
      <w:r>
        <w:rPr>
          <w:color w:val="000000" w:themeColor="text1"/>
          <w14:textFill>
            <w14:solidFill>
              <w14:schemeClr w14:val="tx1"/>
            </w14:solidFill>
          </w14:textFill>
        </w:rPr>
        <w:t>309</w:t>
      </w:r>
      <w:r>
        <w:rPr>
          <w:rFonts w:hint="eastAsia"/>
          <w:color w:val="000000" w:themeColor="text1"/>
          <w14:textFill>
            <w14:solidFill>
              <w14:schemeClr w14:val="tx1"/>
            </w14:solidFill>
          </w14:textFill>
        </w:rPr>
        <w:t>”，因生产工艺与焙烧相近，项目评价参照其中“含焙烧的石墨、碳素制品”，应编制报告书。综上，项目应编制环境影响报告书。</w:t>
      </w:r>
    </w:p>
    <w:p w14:paraId="3782BB1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受重庆臻宝半导体材料有限公司委托，重庆中科智创环境科学研究院有限公司承担了该项目的环境影响评价工作。接受委托后，我公司安排专业技术人员多次进行现场踏勘和项目资料收集，结合项目特点进行环境现状调查和现状监测资料收集，在按照环境影响评价技术导则及相关规范要求的基础上，编制完成了《重庆臻宝半导体材料有限公司集成电路高纯材料及精密零部件生产项目环境影响报告书（送审版）》（简称“报告书”）。</w:t>
      </w:r>
    </w:p>
    <w:p w14:paraId="2D50DC97">
      <w:pPr>
        <w:ind w:firstLine="520"/>
        <w:rPr>
          <w:color w:val="000000" w:themeColor="text1"/>
          <w14:textFill>
            <w14:solidFill>
              <w14:schemeClr w14:val="tx1"/>
            </w14:solidFill>
          </w14:textFill>
        </w:rPr>
      </w:pPr>
      <w:r>
        <w:rPr>
          <w:color w:val="000000" w:themeColor="text1"/>
          <w14:textFill>
            <w14:solidFill>
              <w14:schemeClr w14:val="tx1"/>
            </w14:solidFill>
          </w14:textFill>
        </w:rPr>
        <w:t>本次评价主要工作过程如下：</w:t>
      </w:r>
    </w:p>
    <w:p w14:paraId="122B684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（1）根据国家和地方有关环境保护的法律法规、政策、标准及相关规划等，依据相关规定确定扩建项目环境影响评价文件类型和审批权限；</w:t>
      </w:r>
    </w:p>
    <w:p w14:paraId="264BE99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（2）收集和研究项目相关技术文件和其他相关文件，进行初步工程分析，明确扩建项目的工程组成，根据工艺流程确定产排污环节和主要污染物，同时对扩建项目环境影响区进行初步环境现状调查；</w:t>
      </w:r>
    </w:p>
    <w:p w14:paraId="494E4856">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（3）结合初步工程分析结果和环境现状资料，识别扩建项目的环境影响因素，筛选主要的环境影响评价因子，明确评价重点，确定评价工作等级、评价范围及评价标准；</w:t>
      </w:r>
    </w:p>
    <w:p w14:paraId="5B39E15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（4）根据《环境影响评价技术导则 大气环境》（HJ2.2-2018）开展大气环境影响评价。根据扩建项目废气污染源排放情况、区域地形情况等，通过导则推荐估算模型AERSCREEN对大气环境评价等级进行判别，并根据评价等级确定评价范围及开展大气环境影响预测与评价。</w:t>
      </w:r>
    </w:p>
    <w:p w14:paraId="56866EC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5）制定工作方案，在进行充分的环境现状调查、监测的基础上开展环境质量现状评价，并进行进一步的工程分析，根据工程分析确定的污染源强以及结合项目区环境特征，采用模式计算和类比调查的方式预测、分析或评价项目建设对环境的影响范围以及引起的环境质量变化情况，从环境保护角度分析论证建设工程的可行性；</w:t>
      </w:r>
    </w:p>
    <w:p w14:paraId="7E543CD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6）根据国家和地方环保规范要求，建设单位应开展公众参与调查活动，征求并分析公众提出的意见或建议；对扩建项目建设可能引起的环境污染与局部生态环境破坏，通过对扩建项目环保设施的技术经济合理性、达标水平的可靠性分析，提出进一步减缓污染的对策建议；</w:t>
      </w:r>
    </w:p>
    <w:p w14:paraId="00AE72E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（7）在对建设项目实施后可能造成的环境影响进行分析、预测的基础上，提出预防或者减轻不良环境影响的对策和措施，从环境保护的角度提出项目建设的可行性结论，完成环境影响报告书编制</w:t>
      </w:r>
      <w:r>
        <w:rPr>
          <w:color w:val="000000" w:themeColor="text1"/>
          <w14:textFill>
            <w14:solidFill>
              <w14:schemeClr w14:val="tx1"/>
            </w14:solidFill>
          </w14:textFill>
        </w:rPr>
        <w:t>。</w:t>
      </w:r>
    </w:p>
    <w:p w14:paraId="3F79B78B">
      <w:pPr>
        <w:ind w:firstLine="0" w:firstLineChars="0"/>
        <w:jc w:val="left"/>
        <w:rPr>
          <w:b/>
          <w:bCs/>
          <w:color w:val="000000" w:themeColor="text1"/>
          <w14:textFill>
            <w14:solidFill>
              <w14:schemeClr w14:val="tx1"/>
            </w14:solidFill>
          </w14:textFill>
        </w:rPr>
      </w:pPr>
      <w:r>
        <w:rPr>
          <w:b/>
          <w:bCs/>
          <w:color w:val="000000" w:themeColor="text1"/>
          <w14:textFill>
            <w14:solidFill>
              <w14:schemeClr w14:val="tx1"/>
            </w14:solidFill>
          </w14:textFill>
        </w:rPr>
        <w:t>4、分析判定相关情况</w:t>
      </w:r>
    </w:p>
    <w:p w14:paraId="3B8323DE">
      <w:pPr>
        <w:ind w:firstLine="520"/>
        <w:rPr>
          <w:color w:val="000000" w:themeColor="text1"/>
          <w14:textFill>
            <w14:solidFill>
              <w14:schemeClr w14:val="tx1"/>
            </w14:solidFill>
          </w14:textFill>
        </w:rPr>
      </w:pPr>
      <w:r>
        <w:rPr>
          <w:color w:val="000000" w:themeColor="text1"/>
          <w14:textFill>
            <w14:solidFill>
              <w14:schemeClr w14:val="tx1"/>
            </w14:solidFill>
          </w14:textFill>
        </w:rPr>
        <w:t>（1）评价等级判定</w:t>
      </w:r>
    </w:p>
    <w:p w14:paraId="3103CED2">
      <w:pPr>
        <w:ind w:firstLine="520"/>
        <w:rPr>
          <w:color w:val="000000" w:themeColor="text1"/>
          <w14:textFill>
            <w14:solidFill>
              <w14:schemeClr w14:val="tx1"/>
            </w14:solidFill>
          </w14:textFill>
        </w:rPr>
      </w:pPr>
      <w:r>
        <w:rPr>
          <w:color w:val="000000" w:themeColor="text1"/>
          <w14:textFill>
            <w14:solidFill>
              <w14:schemeClr w14:val="tx1"/>
            </w14:solidFill>
          </w14:textFill>
        </w:rPr>
        <w:t>根据各要素环境影响评价技术导则的具体要求，并结合</w:t>
      </w:r>
      <w:bookmarkStart w:id="2" w:name="OLE_LINK2"/>
      <w:r>
        <w:rPr>
          <w:color w:val="000000" w:themeColor="text1"/>
          <w14:textFill>
            <w14:solidFill>
              <w14:schemeClr w14:val="tx1"/>
            </w14:solidFill>
          </w14:textFill>
        </w:rPr>
        <w:t>扩建项目工程</w:t>
      </w:r>
      <w:bookmarkEnd w:id="2"/>
      <w:r>
        <w:rPr>
          <w:color w:val="000000" w:themeColor="text1"/>
          <w14:textFill>
            <w14:solidFill>
              <w14:schemeClr w14:val="tx1"/>
            </w14:solidFill>
          </w14:textFill>
        </w:rPr>
        <w:t>分析成果，判定项目大气环境评价工作等级为二级；地表水评价等级为三级B；声环境评价工作等级为三级；地下水评价等级为</w:t>
      </w:r>
      <w:r>
        <w:rPr>
          <w:rFonts w:hint="eastAsia"/>
          <w:color w:val="000000" w:themeColor="text1"/>
          <w14:textFill>
            <w14:solidFill>
              <w14:schemeClr w14:val="tx1"/>
            </w14:solidFill>
          </w14:textFill>
        </w:rPr>
        <w:t>三级</w:t>
      </w:r>
      <w:r>
        <w:rPr>
          <w:color w:val="000000" w:themeColor="text1"/>
          <w14:textFill>
            <w14:solidFill>
              <w14:schemeClr w14:val="tx1"/>
            </w14:solidFill>
          </w14:textFill>
        </w:rPr>
        <w:t>；土壤环境评价等级为三级；生态影响评价等级为三级；</w:t>
      </w:r>
    </w:p>
    <w:p w14:paraId="7A221997">
      <w:pPr>
        <w:ind w:firstLine="520"/>
        <w:rPr>
          <w:color w:val="000000" w:themeColor="text1"/>
          <w14:textFill>
            <w14:solidFill>
              <w14:schemeClr w14:val="tx1"/>
            </w14:solidFill>
          </w14:textFill>
        </w:rPr>
      </w:pPr>
      <w:r>
        <w:rPr>
          <w:color w:val="000000" w:themeColor="text1"/>
          <w14:textFill>
            <w14:solidFill>
              <w14:schemeClr w14:val="tx1"/>
            </w14:solidFill>
          </w14:textFill>
        </w:rPr>
        <w:t>环境风险评价等级为三级。其中，</w:t>
      </w:r>
      <w:r>
        <w:rPr>
          <w:color w:val="000000" w:themeColor="text1"/>
          <w:lang w:val="zh-CN"/>
          <w14:textFill>
            <w14:solidFill>
              <w14:schemeClr w14:val="tx1"/>
            </w14:solidFill>
          </w14:textFill>
        </w:rPr>
        <w:t>地下水环境风险潜势判定为I，开展简单分析；地表水环境风险潜势判定为I，开展简单分析；大气环境风险潜势判定为</w:t>
      </w:r>
      <w:r>
        <w:rPr>
          <w:color w:val="000000" w:themeColor="text1"/>
          <w14:textFill>
            <w14:solidFill>
              <w14:schemeClr w14:val="tx1"/>
            </w14:solidFill>
          </w14:textFill>
        </w:rPr>
        <w:t>Ⅱ</w:t>
      </w:r>
      <w:r>
        <w:rPr>
          <w:color w:val="000000" w:themeColor="text1"/>
          <w:lang w:val="zh-CN"/>
          <w14:textFill>
            <w14:solidFill>
              <w14:schemeClr w14:val="tx1"/>
            </w14:solidFill>
          </w14:textFill>
        </w:rPr>
        <w:t>，进行三级评价</w:t>
      </w:r>
      <w:r>
        <w:rPr>
          <w:color w:val="000000" w:themeColor="text1"/>
          <w14:textFill>
            <w14:solidFill>
              <w14:schemeClr w14:val="tx1"/>
            </w14:solidFill>
          </w14:textFill>
        </w:rPr>
        <w:t>。</w:t>
      </w:r>
    </w:p>
    <w:p w14:paraId="093CA4C1">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（2）产业政策及规划符合性判定</w:t>
      </w:r>
    </w:p>
    <w:p w14:paraId="76892CFE">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w:t>
      </w:r>
      <w:r>
        <w:rPr>
          <w:color w:val="000000" w:themeColor="text1"/>
          <w:lang w:val="zh-CN"/>
          <w14:textFill>
            <w14:solidFill>
              <w14:schemeClr w14:val="tx1"/>
            </w14:solidFill>
          </w14:textFill>
        </w:rPr>
        <w:t>已取得</w:t>
      </w:r>
      <w:r>
        <w:rPr>
          <w:color w:val="000000" w:themeColor="text1"/>
          <w14:textFill>
            <w14:solidFill>
              <w14:schemeClr w14:val="tx1"/>
            </w14:solidFill>
          </w14:textFill>
        </w:rPr>
        <w:t>九龙坡区发展和改革委员会</w:t>
      </w:r>
      <w:r>
        <w:rPr>
          <w:color w:val="000000" w:themeColor="text1"/>
          <w:lang w:val="zh-CN"/>
          <w14:textFill>
            <w14:solidFill>
              <w14:schemeClr w14:val="tx1"/>
            </w14:solidFill>
          </w14:textFill>
        </w:rPr>
        <w:t>下发的《重庆市企业投资项目备案证》（项目代码：</w:t>
      </w:r>
      <w:r>
        <w:rPr>
          <w:color w:val="000000" w:themeColor="text1"/>
          <w14:textFill>
            <w14:solidFill>
              <w14:schemeClr w14:val="tx1"/>
            </w14:solidFill>
          </w14:textFill>
        </w:rPr>
        <w:t>2504-500107-04-01-860316</w:t>
      </w:r>
      <w:r>
        <w:rPr>
          <w:color w:val="000000" w:themeColor="text1"/>
          <w:lang w:val="zh-CN"/>
          <w14:textFill>
            <w14:solidFill>
              <w14:schemeClr w14:val="tx1"/>
            </w14:solidFill>
          </w14:textFill>
        </w:rPr>
        <w:t>）。</w:t>
      </w:r>
      <w:r>
        <w:rPr>
          <w:color w:val="000000" w:themeColor="text1"/>
          <w14:textFill>
            <w14:solidFill>
              <w14:schemeClr w14:val="tx1"/>
            </w14:solidFill>
          </w14:textFill>
        </w:rPr>
        <w:t>扩建项目</w:t>
      </w:r>
      <w:r>
        <w:rPr>
          <w:rFonts w:hint="eastAsia"/>
          <w:color w:val="000000" w:themeColor="text1"/>
          <w14:textFill>
            <w14:solidFill>
              <w14:schemeClr w14:val="tx1"/>
            </w14:solidFill>
          </w14:textFill>
        </w:rPr>
        <w:t>主要生产</w:t>
      </w:r>
      <w:r>
        <w:rPr>
          <w:color w:val="000000" w:themeColor="text1"/>
          <w14:textFill>
            <w14:solidFill>
              <w14:schemeClr w14:val="tx1"/>
            </w14:solidFill>
          </w14:textFill>
        </w:rPr>
        <w:t>半导体材料，属于《产业结构调整指导目录（2024</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本）》中的</w:t>
      </w:r>
      <w:r>
        <w:rPr>
          <w:rFonts w:hint="eastAsia"/>
          <w:color w:val="000000" w:themeColor="text1"/>
          <w14:textFill>
            <w14:solidFill>
              <w14:schemeClr w14:val="tx1"/>
            </w14:solidFill>
          </w14:textFill>
        </w:rPr>
        <w:t>“鼓励类：</w:t>
      </w:r>
      <w:r>
        <w:rPr>
          <w:color w:val="000000" w:themeColor="text1"/>
          <w14:textFill>
            <w14:solidFill>
              <w14:schemeClr w14:val="tx1"/>
            </w14:solidFill>
          </w14:textFill>
        </w:rPr>
        <w:t>十四、机械</w:t>
      </w:r>
      <w:r>
        <w:rPr>
          <w:rFonts w:hint="eastAsia"/>
          <w:color w:val="000000" w:themeColor="text1"/>
          <w14:textFill>
            <w14:solidFill>
              <w14:schemeClr w14:val="tx1"/>
            </w14:solidFill>
          </w14:textFill>
        </w:rPr>
        <w:t>中12.</w:t>
      </w:r>
      <w:r>
        <w:rPr>
          <w:color w:val="000000" w:themeColor="text1"/>
          <w14:textFill>
            <w14:solidFill>
              <w14:schemeClr w14:val="tx1"/>
            </w14:solidFill>
          </w14:textFill>
        </w:rPr>
        <w:t>关键密封件</w:t>
      </w:r>
      <w:r>
        <w:rPr>
          <w:rFonts w:hint="eastAsia"/>
          <w:color w:val="000000" w:themeColor="text1"/>
          <w14:textFill>
            <w14:solidFill>
              <w14:schemeClr w14:val="tx1"/>
            </w14:solidFill>
          </w14:textFill>
        </w:rPr>
        <w:t>……高性能碳石墨密封材料（耐热温度350℃，抗压强度≥270兆帕）。</w:t>
      </w:r>
      <w:r>
        <w:rPr>
          <w:color w:val="000000" w:themeColor="text1"/>
          <w14:textFill>
            <w14:solidFill>
              <w14:schemeClr w14:val="tx1"/>
            </w14:solidFill>
          </w14:textFill>
        </w:rPr>
        <w:t>二十八、信息产业</w:t>
      </w:r>
      <w:r>
        <w:rPr>
          <w:rFonts w:hint="eastAsia"/>
          <w:color w:val="000000" w:themeColor="text1"/>
          <w14:textFill>
            <w14:solidFill>
              <w14:schemeClr w14:val="tx1"/>
            </w14:solidFill>
          </w14:textFill>
        </w:rPr>
        <w:t>中的6.</w:t>
      </w:r>
      <w:r>
        <w:rPr>
          <w:color w:val="000000" w:themeColor="text1"/>
          <w14:textFill>
            <w14:solidFill>
              <w14:schemeClr w14:val="tx1"/>
            </w14:solidFill>
          </w14:textFill>
        </w:rPr>
        <w:t>电子元器件生产专用材料</w:t>
      </w:r>
      <w:r>
        <w:rPr>
          <w:rFonts w:hint="eastAsia"/>
          <w:color w:val="000000" w:themeColor="text1"/>
          <w14:textFill>
            <w14:solidFill>
              <w14:schemeClr w14:val="tx1"/>
            </w14:solidFill>
          </w14:textFill>
        </w:rPr>
        <w:t>……包括半导体材料、电子陶瓷材料、压电晶体材料等电子功能材料，覆铜板材料、电子铜箔、引线框架等封装和装联材料，以及湿化学品、电子特气、光刻胶等工艺与辅助材料，半导体照明衬底、外延、芯片、封装及材料（含高效散热覆铜板、导热胶、导热硅胶片）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符合相关产业政策。</w:t>
      </w:r>
    </w:p>
    <w:p w14:paraId="079004E9">
      <w:pPr>
        <w:tabs>
          <w:tab w:val="left" w:pos="6690"/>
        </w:tabs>
        <w:ind w:firstLine="520"/>
        <w:rPr>
          <w:color w:val="000000" w:themeColor="text1"/>
          <w14:textFill>
            <w14:solidFill>
              <w14:schemeClr w14:val="tx1"/>
            </w14:solidFill>
          </w14:textFill>
        </w:rPr>
      </w:pPr>
      <w:r>
        <w:rPr>
          <w:color w:val="000000" w:themeColor="text1"/>
          <w14:textFill>
            <w14:solidFill>
              <w14:schemeClr w14:val="tx1"/>
            </w14:solidFill>
          </w14:textFill>
        </w:rPr>
        <w:t>扩建项目位于西彭工业园区西彭组团D22-1/02号地块，</w:t>
      </w:r>
      <w:r>
        <w:rPr>
          <w:rFonts w:hint="eastAsia"/>
          <w:color w:val="000000" w:themeColor="text1"/>
          <w14:textFill>
            <w14:solidFill>
              <w14:schemeClr w14:val="tx1"/>
            </w14:solidFill>
          </w14:textFill>
        </w:rPr>
        <w:t>符合《重庆市西彭工业园区规划环境影响评价》及审查意见（渝环函[2023]439号）相关管理要求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同时，扩建项目不在</w:t>
      </w:r>
      <w:r>
        <w:rPr>
          <w:rFonts w:hint="eastAsia"/>
          <w:color w:val="000000" w:themeColor="text1"/>
          <w:szCs w:val="26"/>
          <w14:textFill>
            <w14:solidFill>
              <w14:schemeClr w14:val="tx1"/>
            </w14:solidFill>
          </w14:textFill>
        </w:rPr>
        <w:t>《西彭工业园区规划补充环境影响报告书》及其审查意见（渝环函[2023]439号）（渝环函[2025]265号）确定的规划调整范围内。</w:t>
      </w:r>
    </w:p>
    <w:p w14:paraId="3B192334">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5、关注的主要环境问题及环境影响</w:t>
      </w:r>
    </w:p>
    <w:p w14:paraId="4E686372">
      <w:pPr>
        <w:ind w:firstLine="520"/>
        <w:rPr>
          <w:color w:val="000000" w:themeColor="text1"/>
          <w14:textFill>
            <w14:solidFill>
              <w14:schemeClr w14:val="tx1"/>
            </w14:solidFill>
          </w14:textFill>
        </w:rPr>
      </w:pPr>
      <w:r>
        <w:rPr>
          <w:color w:val="000000" w:themeColor="text1"/>
          <w14:textFill>
            <w14:solidFill>
              <w14:schemeClr w14:val="tx1"/>
            </w14:solidFill>
          </w14:textFill>
        </w:rPr>
        <w:t>（1）项目关注的主要环境问题</w:t>
      </w:r>
    </w:p>
    <w:p w14:paraId="15BBF94A">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生产废水、生活污水</w:t>
      </w:r>
      <w:r>
        <w:rPr>
          <w:rFonts w:hint="eastAsia"/>
          <w:color w:val="000000" w:themeColor="text1"/>
          <w14:textFill>
            <w14:solidFill>
              <w14:schemeClr w14:val="tx1"/>
            </w14:solidFill>
          </w14:textFill>
        </w:rPr>
        <w:t>经厂区污水处理系统</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达标</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，排入市政污水管网，经市政污水管网送至</w:t>
      </w:r>
      <w:r>
        <w:rPr>
          <w:color w:val="000000" w:themeColor="text1"/>
          <w14:textFill>
            <w14:solidFill>
              <w14:schemeClr w14:val="tx1"/>
            </w14:solidFill>
          </w14:textFill>
        </w:rPr>
        <w:t>西彭工业园区污水处理厂</w:t>
      </w:r>
      <w:r>
        <w:rPr>
          <w:rFonts w:hint="eastAsia"/>
          <w:color w:val="000000" w:themeColor="text1"/>
          <w14:textFill>
            <w14:solidFill>
              <w14:schemeClr w14:val="tx1"/>
            </w14:solidFill>
          </w14:textFill>
        </w:rPr>
        <w:t>进一步</w:t>
      </w:r>
      <w:r>
        <w:rPr>
          <w:color w:val="000000" w:themeColor="text1"/>
          <w14:textFill>
            <w14:solidFill>
              <w14:schemeClr w14:val="tx1"/>
            </w14:solidFill>
          </w14:textFill>
        </w:rPr>
        <w:t>处理可行性。</w:t>
      </w:r>
    </w:p>
    <w:p w14:paraId="67573C6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清洗工序产生的氟化物和酸雾，</w:t>
      </w:r>
      <w:r>
        <w:rPr>
          <w:rFonts w:hint="eastAsia"/>
          <w:color w:val="000000" w:themeColor="text1"/>
          <w14:textFill>
            <w14:solidFill>
              <w14:schemeClr w14:val="tx1"/>
            </w14:solidFill>
          </w14:textFill>
        </w:rPr>
        <w:t>石墨产品加工过程产生的颗粒物</w:t>
      </w:r>
      <w:r>
        <w:rPr>
          <w:color w:val="000000" w:themeColor="text1"/>
          <w14:textFill>
            <w14:solidFill>
              <w14:schemeClr w14:val="tx1"/>
            </w14:solidFill>
          </w14:textFill>
        </w:rPr>
        <w:t>等对周围环境的影响。</w:t>
      </w:r>
    </w:p>
    <w:p w14:paraId="18B66324">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一般工业固废及危险废物的分类收集、贮存、处置、转运要求和对周围环境的影响。</w:t>
      </w:r>
    </w:p>
    <w:p w14:paraId="28061660">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项目产生的噪声对周围环境的影响。</w:t>
      </w:r>
    </w:p>
    <w:p w14:paraId="0C95207E">
      <w:pPr>
        <w:ind w:firstLine="520"/>
        <w:rPr>
          <w:color w:val="000000" w:themeColor="text1"/>
          <w14:textFill>
            <w14:solidFill>
              <w14:schemeClr w14:val="tx1"/>
            </w14:solidFill>
          </w14:textFill>
        </w:rPr>
      </w:pPr>
      <w:r>
        <w:rPr>
          <w:color w:val="000000" w:themeColor="text1"/>
          <w14:textFill>
            <w14:solidFill>
              <w14:schemeClr w14:val="tx1"/>
            </w14:solidFill>
          </w14:textFill>
        </w:rPr>
        <w:t>（2）主要环境影响</w:t>
      </w:r>
    </w:p>
    <w:p w14:paraId="500C3D6A">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废气：</w:t>
      </w:r>
      <w:r>
        <w:rPr>
          <w:rFonts w:hint="eastAsia"/>
          <w:snapToGrid/>
          <w:color w:val="000000" w:themeColor="text1"/>
          <w14:textFill>
            <w14:solidFill>
              <w14:schemeClr w14:val="tx1"/>
            </w14:solidFill>
          </w14:textFill>
        </w:rPr>
        <w:t>项目GASKET产品千级区清洗依托现有清洗线，其产生酸雾经</w:t>
      </w:r>
      <w:r>
        <w:rPr>
          <w:snapToGrid/>
          <w:color w:val="000000" w:themeColor="text1"/>
          <w14:textFill>
            <w14:solidFill>
              <w14:schemeClr w14:val="tx1"/>
            </w14:solidFill>
          </w14:textFill>
        </w:rPr>
        <w:t>通风柜内密闭抽风收集</w:t>
      </w:r>
      <w:r>
        <w:rPr>
          <w:rFonts w:hint="eastAsia"/>
          <w:snapToGrid/>
          <w:color w:val="000000" w:themeColor="text1"/>
          <w14:textFill>
            <w14:solidFill>
              <w14:schemeClr w14:val="tx1"/>
            </w14:solidFill>
          </w14:textFill>
        </w:rPr>
        <w:t>送入</w:t>
      </w:r>
      <w:r>
        <w:rPr>
          <w:snapToGrid/>
          <w:color w:val="000000" w:themeColor="text1"/>
          <w14:textFill>
            <w14:solidFill>
              <w14:schemeClr w14:val="tx1"/>
            </w14:solidFill>
          </w14:textFill>
        </w:rPr>
        <w:t>酸碱雾净化塔处理</w:t>
      </w:r>
      <w:r>
        <w:rPr>
          <w:rFonts w:hint="eastAsia"/>
          <w:snapToGrid/>
          <w:color w:val="000000" w:themeColor="text1"/>
          <w14:textFill>
            <w14:solidFill>
              <w14:schemeClr w14:val="tx1"/>
            </w14:solidFill>
          </w14:textFill>
        </w:rPr>
        <w:t>后</w:t>
      </w:r>
      <w:r>
        <w:rPr>
          <w:snapToGrid/>
          <w:color w:val="000000" w:themeColor="text1"/>
          <w14:textFill>
            <w14:solidFill>
              <w14:schemeClr w14:val="tx1"/>
            </w14:solidFill>
          </w14:textFill>
        </w:rPr>
        <w:t>，经</w:t>
      </w:r>
      <w:r>
        <w:rPr>
          <w:rFonts w:hint="eastAsia"/>
          <w:snapToGrid/>
          <w:color w:val="000000" w:themeColor="text1"/>
          <w14:textFill>
            <w14:solidFill>
              <w14:schemeClr w14:val="tx1"/>
            </w14:solidFill>
          </w14:textFill>
        </w:rPr>
        <w:t>DA005</w:t>
      </w:r>
      <w:r>
        <w:rPr>
          <w:snapToGrid/>
          <w:color w:val="000000" w:themeColor="text1"/>
          <w14:textFill>
            <w14:solidFill>
              <w14:schemeClr w14:val="tx1"/>
            </w14:solidFill>
          </w14:textFill>
        </w:rPr>
        <w:t>排气筒排放</w:t>
      </w:r>
      <w:r>
        <w:rPr>
          <w:rFonts w:hint="eastAsia"/>
          <w:snapToGrid/>
          <w:color w:val="000000" w:themeColor="text1"/>
          <w14:textFill>
            <w14:solidFill>
              <w14:schemeClr w14:val="tx1"/>
            </w14:solidFill>
          </w14:textFill>
        </w:rPr>
        <w:t>；石墨零部件加工废气收集后，送入在臻宝科技厂区新建布袋除尘器处理后，通过的1根15m高排气筒DA016排放；石墨纯化和</w:t>
      </w:r>
      <w:r>
        <w:rPr>
          <w:snapToGrid/>
          <w:color w:val="000000" w:themeColor="text1"/>
          <w14:textFill>
            <w14:solidFill>
              <w14:schemeClr w14:val="tx1"/>
            </w14:solidFill>
          </w14:textFill>
        </w:rPr>
        <w:t>碳化硅涂层</w:t>
      </w:r>
      <w:r>
        <w:rPr>
          <w:rFonts w:hint="eastAsia"/>
          <w:snapToGrid/>
          <w:color w:val="000000" w:themeColor="text1"/>
          <w14:textFill>
            <w14:solidFill>
              <w14:schemeClr w14:val="tx1"/>
            </w14:solidFill>
          </w14:textFill>
        </w:rPr>
        <w:t>废气依托现有</w:t>
      </w:r>
      <w:r>
        <w:rPr>
          <w:rFonts w:hint="eastAsia"/>
          <w:color w:val="000000" w:themeColor="text1"/>
          <w14:textFill>
            <w14:solidFill>
              <w14:schemeClr w14:val="tx1"/>
            </w14:solidFill>
          </w14:textFill>
        </w:rPr>
        <w:t>1#四级酸雾喷淋塔处理后</w:t>
      </w:r>
      <w:r>
        <w:rPr>
          <w:rFonts w:hint="eastAsia"/>
          <w:snapToGrid/>
          <w:color w:val="000000" w:themeColor="text1"/>
          <w14:textFill>
            <w14:solidFill>
              <w14:schemeClr w14:val="tx1"/>
            </w14:solidFill>
          </w14:textFill>
        </w:rPr>
        <w:t>经25m排气筒DA004排放</w:t>
      </w:r>
      <w:r>
        <w:rPr>
          <w:color w:val="000000" w:themeColor="text1"/>
          <w14:textFill>
            <w14:solidFill>
              <w14:schemeClr w14:val="tx1"/>
            </w14:solidFill>
          </w14:textFill>
        </w:rPr>
        <w:t>。废气经处理后满足重庆市《大气污染物综合排放标准》（DB50/418-2016）、《挥发性有机物无组织排放控制标准》（GB37822-2019）排放限值。</w:t>
      </w:r>
    </w:p>
    <w:p w14:paraId="009CFBD4">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废水：项目</w:t>
      </w:r>
      <w:r>
        <w:rPr>
          <w:rFonts w:hint="eastAsia"/>
          <w:color w:val="000000" w:themeColor="text1"/>
          <w14:textFill>
            <w14:solidFill>
              <w14:schemeClr w14:val="tx1"/>
            </w14:solidFill>
          </w14:textFill>
        </w:rPr>
        <w:t>现有厂区建设部分污废水依托现有</w:t>
      </w:r>
      <w:r>
        <w:rPr>
          <w:color w:val="000000" w:themeColor="text1"/>
          <w14:textFill>
            <w14:solidFill>
              <w14:schemeClr w14:val="tx1"/>
            </w14:solidFill>
          </w14:textFill>
        </w:rPr>
        <w:t>综合污水处理站</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达标后再与经生化池处理</w:t>
      </w:r>
      <w:r>
        <w:rPr>
          <w:rFonts w:hint="eastAsia"/>
          <w:color w:val="000000" w:themeColor="text1"/>
          <w14:textFill>
            <w14:solidFill>
              <w14:schemeClr w14:val="tx1"/>
            </w14:solidFill>
          </w14:textFill>
        </w:rPr>
        <w:t>达标</w:t>
      </w:r>
      <w:r>
        <w:rPr>
          <w:color w:val="000000" w:themeColor="text1"/>
          <w14:textFill>
            <w14:solidFill>
              <w14:schemeClr w14:val="tx1"/>
            </w14:solidFill>
          </w14:textFill>
        </w:rPr>
        <w:t>的生活污水一起排入园区市政污水管网</w:t>
      </w:r>
      <w:r>
        <w:rPr>
          <w:rFonts w:hint="eastAsia"/>
          <w:color w:val="000000" w:themeColor="text1"/>
          <w14:textFill>
            <w14:solidFill>
              <w14:schemeClr w14:val="tx1"/>
            </w14:solidFill>
          </w14:textFill>
        </w:rPr>
        <w:t>，租赁臻宝科技公司建设部分依托臻宝科技公司现有综合污水处理站处理达标后排入市政污水管网，均经市政污水管网送至</w:t>
      </w:r>
      <w:r>
        <w:rPr>
          <w:color w:val="000000" w:themeColor="text1"/>
          <w14:textFill>
            <w14:solidFill>
              <w14:schemeClr w14:val="tx1"/>
            </w14:solidFill>
          </w14:textFill>
        </w:rPr>
        <w:t>西彭工业园区污水处理厂处理达标后排入</w:t>
      </w:r>
      <w:r>
        <w:rPr>
          <w:rFonts w:hint="eastAsia"/>
          <w:color w:val="000000" w:themeColor="text1"/>
          <w14:textFill>
            <w14:solidFill>
              <w14:schemeClr w14:val="tx1"/>
            </w14:solidFill>
          </w14:textFill>
        </w:rPr>
        <w:t>桥头河，最终排放到长江</w:t>
      </w:r>
      <w:r>
        <w:rPr>
          <w:color w:val="000000" w:themeColor="text1"/>
          <w14:textFill>
            <w14:solidFill>
              <w14:schemeClr w14:val="tx1"/>
            </w14:solidFill>
          </w14:textFill>
        </w:rPr>
        <w:t>。从水质、水量等因素分析均</w:t>
      </w:r>
      <w:r>
        <w:rPr>
          <w:rFonts w:hint="eastAsia"/>
          <w:color w:val="000000" w:themeColor="text1"/>
          <w14:textFill>
            <w14:solidFill>
              <w14:schemeClr w14:val="tx1"/>
            </w14:solidFill>
          </w14:textFill>
        </w:rPr>
        <w:t>依托</w:t>
      </w:r>
      <w:r>
        <w:rPr>
          <w:color w:val="000000" w:themeColor="text1"/>
          <w14:textFill>
            <w14:solidFill>
              <w14:schemeClr w14:val="tx1"/>
            </w14:solidFill>
          </w14:textFill>
        </w:rPr>
        <w:t>可行，且经西彭工业园区污水处理厂进一步处理达标排放的废水对</w:t>
      </w:r>
      <w:r>
        <w:rPr>
          <w:rFonts w:hint="eastAsia"/>
          <w:color w:val="000000" w:themeColor="text1"/>
          <w14:textFill>
            <w14:solidFill>
              <w14:schemeClr w14:val="tx1"/>
            </w14:solidFill>
          </w14:textFill>
        </w:rPr>
        <w:t>桥头河及</w:t>
      </w:r>
      <w:r>
        <w:rPr>
          <w:color w:val="000000" w:themeColor="text1"/>
          <w14:textFill>
            <w14:solidFill>
              <w14:schemeClr w14:val="tx1"/>
            </w14:solidFill>
          </w14:textFill>
        </w:rPr>
        <w:t>长江水质的影响很小，地表水环境影响可以接受。</w:t>
      </w:r>
    </w:p>
    <w:p w14:paraId="2175B235">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噪声：项目噪声主要来源于</w:t>
      </w:r>
      <w:r>
        <w:rPr>
          <w:rFonts w:hint="eastAsia"/>
          <w:color w:val="000000" w:themeColor="text1"/>
          <w14:textFill>
            <w14:solidFill>
              <w14:schemeClr w14:val="tx1"/>
            </w14:solidFill>
          </w14:textFill>
        </w:rPr>
        <w:t>走心机、抛光机、切断机、切割机、加工中心</w:t>
      </w:r>
      <w:r>
        <w:rPr>
          <w:color w:val="000000" w:themeColor="text1"/>
          <w14:textFill>
            <w14:solidFill>
              <w14:schemeClr w14:val="tx1"/>
            </w14:solidFill>
          </w14:textFill>
        </w:rPr>
        <w:t>等机械设备</w:t>
      </w:r>
      <w:r>
        <w:rPr>
          <w:rFonts w:hint="eastAsia"/>
          <w:color w:val="000000" w:themeColor="text1"/>
          <w14:textFill>
            <w14:solidFill>
              <w14:schemeClr w14:val="tx1"/>
            </w14:solidFill>
          </w14:textFill>
        </w:rPr>
        <w:t>。采用</w:t>
      </w:r>
      <w:r>
        <w:rPr>
          <w:color w:val="000000" w:themeColor="text1"/>
          <w14:textFill>
            <w14:solidFill>
              <w14:schemeClr w14:val="tx1"/>
            </w14:solidFill>
          </w14:textFill>
        </w:rPr>
        <w:t>选用低噪声设备、基础安装减振器、设置单独设备间、车间采取封闭、建筑隔声、空压机进口装消声器等噪声治理措施后，厂界噪声贡献值满足《工业企业厂界环境噪声排放标准》（GB12348-2008）中3类相应标准要求。扩建项目周边声环境敏感点距离较远，项目建设噪声对周边敏感点环境影响小。</w:t>
      </w:r>
    </w:p>
    <w:p w14:paraId="3B426BF4">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固体废物：生活垃圾交环卫部门处置。一般工业固体废物暂存于临时储存间，</w:t>
      </w:r>
      <w:r>
        <w:rPr>
          <w:rFonts w:hint="eastAsia"/>
          <w:color w:val="000000" w:themeColor="text1"/>
          <w14:textFill>
            <w14:solidFill>
              <w14:schemeClr w14:val="tx1"/>
            </w14:solidFill>
          </w14:textFill>
        </w:rPr>
        <w:t>定期交物资回收公司回收</w:t>
      </w:r>
      <w:r>
        <w:rPr>
          <w:color w:val="000000" w:themeColor="text1"/>
          <w14:textFill>
            <w14:solidFill>
              <w14:schemeClr w14:val="tx1"/>
            </w14:solidFill>
          </w14:textFill>
        </w:rPr>
        <w:t>。对于项目产生切削液收集后在切削液回收车间经压滤+过滤处理后回用于生产，产生的切削液污泥作为危险废物，与其他危险废物暂存于危险废物贮存库，定期交有资质危废处置公司转运处置。危险废物贮存库与切削液回收车间按照《危险废物贮存污染控制标准》(GB18597-2023)进行污染控制和管理，四周及地面进行防风、防雨、防晒、防渗、防漏、防腐等“六防”措施，且危废贮存设施地面渗透系数≤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cm/s，采取围堰或防渗托盘、导流地沟等防渗措施，并设置明显标志。通过上述方法处理处置后，扩建项目产生的固体废物对环境的影响较小，不会造成对环境的二次污染。</w:t>
      </w:r>
    </w:p>
    <w:p w14:paraId="7E3446AB">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6、环境影响报告书的主要结论</w:t>
      </w:r>
    </w:p>
    <w:p w14:paraId="3687FA2B">
      <w:pPr>
        <w:ind w:firstLine="520"/>
        <w:rPr>
          <w:color w:val="000000" w:themeColor="text1"/>
          <w14:textFill>
            <w14:solidFill>
              <w14:schemeClr w14:val="tx1"/>
            </w14:solidFill>
          </w14:textFill>
        </w:rPr>
      </w:pPr>
      <w:r>
        <w:rPr>
          <w:color w:val="000000" w:themeColor="text1"/>
          <w14:textFill>
            <w14:solidFill>
              <w14:schemeClr w14:val="tx1"/>
            </w14:solidFill>
          </w14:textFill>
        </w:rPr>
        <w:t>项目符合国家产业政策、园区规划和规划环评审查意见及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要求，落实本评价提出的各项污染防治措施和环境风险防范措施后，污染物可实现达标排放，环境风险可控，区域环境功能不会发生改变，环境影响可以接受。从环境保护角度分析，项目建设可行。</w:t>
      </w:r>
    </w:p>
    <w:p w14:paraId="19951AC4">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7、致谢</w:t>
      </w:r>
    </w:p>
    <w:p w14:paraId="08308E33">
      <w:pPr>
        <w:ind w:firstLine="520"/>
        <w:rPr>
          <w:color w:val="000000" w:themeColor="text1"/>
          <w14:textFill>
            <w14:solidFill>
              <w14:schemeClr w14:val="tx1"/>
            </w14:solidFill>
          </w14:textFill>
        </w:rPr>
      </w:pPr>
      <w:r>
        <w:rPr>
          <w:color w:val="000000" w:themeColor="text1"/>
          <w14:textFill>
            <w14:solidFill>
              <w14:schemeClr w14:val="tx1"/>
            </w14:solidFill>
          </w14:textFill>
        </w:rPr>
        <w:t>本次环境影响评价工作，得到了重庆市九龙坡区生态环境局、重庆铝产业开发投资集团有限公司、重庆臻宝半导体材料有限公司</w:t>
      </w:r>
      <w:r>
        <w:rPr>
          <w:rFonts w:hint="eastAsia"/>
          <w:color w:val="000000" w:themeColor="text1"/>
          <w14:textFill>
            <w14:solidFill>
              <w14:schemeClr w14:val="tx1"/>
            </w14:solidFill>
          </w14:textFill>
        </w:rPr>
        <w:t>、重庆臻宝科技股份有限公司</w:t>
      </w:r>
      <w:r>
        <w:rPr>
          <w:color w:val="000000" w:themeColor="text1"/>
          <w14:textFill>
            <w14:solidFill>
              <w14:schemeClr w14:val="tx1"/>
            </w14:solidFill>
          </w14:textFill>
        </w:rPr>
        <w:t>的大力支持，在此一并致谢！</w:t>
      </w:r>
    </w:p>
    <w:p w14:paraId="49CBE875">
      <w:pPr>
        <w:spacing w:before="32"/>
        <w:ind w:firstLine="520"/>
        <w:rPr>
          <w:color w:val="000000" w:themeColor="text1"/>
          <w14:textFill>
            <w14:solidFill>
              <w14:schemeClr w14:val="tx1"/>
            </w14:solidFill>
          </w14:textFill>
        </w:rPr>
      </w:pPr>
    </w:p>
    <w:p w14:paraId="2EA1B79B">
      <w:pPr>
        <w:spacing w:before="32"/>
        <w:ind w:firstLine="520"/>
        <w:rPr>
          <w:color w:val="000000" w:themeColor="text1"/>
          <w14:textFill>
            <w14:solidFill>
              <w14:schemeClr w14:val="tx1"/>
            </w14:solidFill>
          </w14:textFill>
        </w:rPr>
      </w:pPr>
    </w:p>
    <w:p w14:paraId="0D0D8CC1">
      <w:pPr>
        <w:spacing w:before="32"/>
        <w:ind w:firstLine="520"/>
        <w:jc w:val="left"/>
        <w:rPr>
          <w:color w:val="000000" w:themeColor="text1"/>
          <w14:textFill>
            <w14:solidFill>
              <w14:schemeClr w14:val="tx1"/>
            </w14:solidFill>
          </w14:textFill>
        </w:rPr>
        <w:sectPr>
          <w:pgSz w:w="11906" w:h="16838"/>
          <w:pgMar w:top="1440" w:right="1800" w:bottom="1440" w:left="1800" w:header="851" w:footer="992" w:gutter="0"/>
          <w:pgNumType w:start="1"/>
          <w:cols w:space="720" w:num="1"/>
          <w:docGrid w:type="lines" w:linePitch="326" w:charSpace="0"/>
        </w:sectPr>
      </w:pPr>
    </w:p>
    <w:p w14:paraId="5BDD7A9D">
      <w:pPr>
        <w:pStyle w:val="3"/>
        <w:spacing w:after="240"/>
        <w:rPr>
          <w:color w:val="000000" w:themeColor="text1"/>
          <w14:textFill>
            <w14:solidFill>
              <w14:schemeClr w14:val="tx1"/>
            </w14:solidFill>
          </w14:textFill>
        </w:rPr>
      </w:pPr>
      <w:bookmarkStart w:id="3" w:name="_Toc8144"/>
      <w:r>
        <w:rPr>
          <w:color w:val="000000" w:themeColor="text1"/>
          <w14:textFill>
            <w14:solidFill>
              <w14:schemeClr w14:val="tx1"/>
            </w14:solidFill>
          </w14:textFill>
        </w:rPr>
        <w:t>总则</w:t>
      </w:r>
      <w:bookmarkEnd w:id="3"/>
    </w:p>
    <w:p w14:paraId="5AB5C335">
      <w:pPr>
        <w:pStyle w:val="4"/>
        <w:rPr>
          <w:color w:val="000000" w:themeColor="text1"/>
          <w14:textFill>
            <w14:solidFill>
              <w14:schemeClr w14:val="tx1"/>
            </w14:solidFill>
          </w14:textFill>
        </w:rPr>
      </w:pPr>
      <w:bookmarkStart w:id="4" w:name="_Toc10418"/>
      <w:bookmarkStart w:id="5" w:name="_Toc268689412"/>
      <w:bookmarkStart w:id="6" w:name="_Toc11942496"/>
      <w:bookmarkStart w:id="7" w:name="_Toc144475277"/>
      <w:bookmarkStart w:id="8" w:name="_Toc9946864"/>
      <w:bookmarkStart w:id="9" w:name="_Toc4913"/>
      <w:bookmarkStart w:id="10" w:name="_Toc120606244"/>
      <w:bookmarkStart w:id="11" w:name="_Toc391830666"/>
      <w:bookmarkStart w:id="12" w:name="_Toc296348397"/>
      <w:bookmarkStart w:id="13" w:name="_Toc290564337"/>
      <w:bookmarkStart w:id="14" w:name="_Toc290277372"/>
      <w:bookmarkStart w:id="15" w:name="_Toc290277023"/>
      <w:bookmarkStart w:id="16" w:name="_Toc112145364"/>
      <w:bookmarkStart w:id="17" w:name="_Toc40050753"/>
      <w:bookmarkStart w:id="18" w:name="_Toc471769977"/>
      <w:bookmarkStart w:id="19" w:name="_Toc111628706"/>
      <w:bookmarkStart w:id="20" w:name="_Toc194981889"/>
      <w:bookmarkStart w:id="21" w:name="_Toc290276674"/>
      <w:r>
        <w:rPr>
          <w:color w:val="000000" w:themeColor="text1"/>
          <w14:textFill>
            <w14:solidFill>
              <w14:schemeClr w14:val="tx1"/>
            </w14:solidFill>
          </w14:textFill>
        </w:rPr>
        <w:t>评价目的</w:t>
      </w:r>
      <w:bookmarkEnd w:id="4"/>
      <w:bookmarkEnd w:id="5"/>
      <w:bookmarkEnd w:id="6"/>
      <w:bookmarkEnd w:id="7"/>
      <w:bookmarkEnd w:id="8"/>
      <w:bookmarkEnd w:id="9"/>
      <w:bookmarkEnd w:id="10"/>
    </w:p>
    <w:bookmarkEnd w:id="11"/>
    <w:bookmarkEnd w:id="12"/>
    <w:bookmarkEnd w:id="13"/>
    <w:bookmarkEnd w:id="14"/>
    <w:bookmarkEnd w:id="15"/>
    <w:bookmarkEnd w:id="16"/>
    <w:bookmarkEnd w:id="17"/>
    <w:bookmarkEnd w:id="18"/>
    <w:bookmarkEnd w:id="19"/>
    <w:bookmarkEnd w:id="20"/>
    <w:bookmarkEnd w:id="21"/>
    <w:p w14:paraId="0A0EB0DB">
      <w:pPr>
        <w:ind w:firstLine="520"/>
        <w:rPr>
          <w:snapToGrid/>
          <w:color w:val="000000" w:themeColor="text1"/>
          <w14:textFill>
            <w14:solidFill>
              <w14:schemeClr w14:val="tx1"/>
            </w14:solidFill>
          </w14:textFill>
        </w:rPr>
      </w:pPr>
      <w:bookmarkStart w:id="22" w:name="_Toc29451"/>
      <w:bookmarkStart w:id="23" w:name="_Toc11942497"/>
      <w:bookmarkStart w:id="24" w:name="_Toc9946865"/>
      <w:r>
        <w:rPr>
          <w:rFonts w:hint="eastAsia"/>
          <w:snapToGrid/>
          <w:color w:val="000000" w:themeColor="text1"/>
          <w14:textFill>
            <w14:solidFill>
              <w14:schemeClr w14:val="tx1"/>
            </w14:solidFill>
          </w14:textFill>
        </w:rPr>
        <w:t>根据国家、重庆市有关法律法规要求，结合扩建项目特性及工程所在地区环境特点，本次环境影响评价工作的目的如下：</w:t>
      </w:r>
    </w:p>
    <w:p w14:paraId="70A38AE9">
      <w:pPr>
        <w:ind w:firstLine="52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1）根据国家及重庆市现行的法律、法规及相关政策，前期对项目区环境质量现状的调查，并针对项目行业特征和污染特点，分析项目的建设是否符合国家的产业政策和区域发展规划，生产工艺过程是否符合清洁生产和环境保护政策。</w:t>
      </w:r>
    </w:p>
    <w:p w14:paraId="4D15062E">
      <w:pPr>
        <w:ind w:firstLine="52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（2）对项目进行过程中可能造成的环境污染问题和生态环境影响范围和程度进行预测评价，分析项目排放的各类污染物是否达标排放、是否满足总量控制的要求。</w:t>
      </w:r>
    </w:p>
    <w:p w14:paraId="3A9ADE2A">
      <w:pPr>
        <w:ind w:firstLine="52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（3）拟采取的环境保护措施进行评价，在此基础上提出技术上可行、针对性和可操作性强、经济和布局上合理的最佳污染防治措施和对策，以达到保护区域环境质量的目的。</w:t>
      </w:r>
    </w:p>
    <w:p w14:paraId="6249C7B9">
      <w:pPr>
        <w:ind w:firstLine="52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（4）从环境保护角度论证项目建设的可行性，为管理部门决策和环境管理提供科学依据。</w:t>
      </w:r>
    </w:p>
    <w:p w14:paraId="437FF593">
      <w:pPr>
        <w:pStyle w:val="4"/>
        <w:rPr>
          <w:color w:val="000000" w:themeColor="text1"/>
          <w14:textFill>
            <w14:solidFill>
              <w14:schemeClr w14:val="tx1"/>
            </w14:solidFill>
          </w14:textFill>
        </w:rPr>
      </w:pPr>
      <w:bookmarkStart w:id="25" w:name="_Toc20128"/>
      <w:r>
        <w:rPr>
          <w:color w:val="000000" w:themeColor="text1"/>
          <w14:textFill>
            <w14:solidFill>
              <w14:schemeClr w14:val="tx1"/>
            </w14:solidFill>
          </w14:textFill>
        </w:rPr>
        <w:t>编制依据</w:t>
      </w:r>
      <w:bookmarkEnd w:id="22"/>
      <w:bookmarkEnd w:id="23"/>
      <w:bookmarkEnd w:id="24"/>
      <w:bookmarkEnd w:id="25"/>
    </w:p>
    <w:p w14:paraId="1EFCDB6D">
      <w:pPr>
        <w:pStyle w:val="5"/>
        <w:rPr>
          <w:color w:val="000000" w:themeColor="text1"/>
          <w14:textFill>
            <w14:solidFill>
              <w14:schemeClr w14:val="tx1"/>
            </w14:solidFill>
          </w14:textFill>
        </w:rPr>
      </w:pPr>
      <w:bookmarkStart w:id="26" w:name="_Toc290276675"/>
      <w:bookmarkStart w:id="27" w:name="_Toc290277373"/>
      <w:bookmarkStart w:id="28" w:name="_Toc290277024"/>
      <w:bookmarkStart w:id="29" w:name="_Toc40050754"/>
      <w:bookmarkStart w:id="30" w:name="_Toc11942498"/>
      <w:r>
        <w:rPr>
          <w:color w:val="000000" w:themeColor="text1"/>
          <w14:textFill>
            <w14:solidFill>
              <w14:schemeClr w14:val="tx1"/>
            </w14:solidFill>
          </w14:textFill>
        </w:rPr>
        <w:t>环境保护相关法律、法规</w:t>
      </w:r>
      <w:bookmarkEnd w:id="26"/>
      <w:bookmarkEnd w:id="27"/>
      <w:bookmarkEnd w:id="28"/>
      <w:bookmarkEnd w:id="29"/>
      <w:bookmarkEnd w:id="30"/>
    </w:p>
    <w:p w14:paraId="657AA1F6">
      <w:pPr>
        <w:ind w:firstLine="520"/>
        <w:rPr>
          <w:bCs/>
          <w:snapToGrid/>
          <w:color w:val="000000" w:themeColor="text1"/>
          <w14:textFill>
            <w14:solidFill>
              <w14:schemeClr w14:val="tx1"/>
            </w14:solidFill>
          </w14:textFill>
        </w:rPr>
      </w:pPr>
      <w:bookmarkStart w:id="31" w:name="_Toc11942499"/>
      <w:bookmarkStart w:id="32" w:name="_Hlk160463237"/>
      <w:r>
        <w:rPr>
          <w:snapToGrid/>
          <w:color w:val="000000" w:themeColor="text1"/>
          <w14:textFill>
            <w14:solidFill>
              <w14:schemeClr w14:val="tx1"/>
            </w14:solidFill>
          </w14:textFill>
        </w:rPr>
        <w:t>（1）《中华人民共和国环境保护法》（2015年1月1日起实施）；</w:t>
      </w:r>
    </w:p>
    <w:p w14:paraId="2CA45181">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（2）《中华人民共和国环境影响评价法》（2018年12月29日修正）；</w:t>
      </w:r>
    </w:p>
    <w:p w14:paraId="36D7945C">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（3）《中华人民共和国大气污染防治法》（2018年10月26日修订并实施）；</w:t>
      </w:r>
    </w:p>
    <w:p w14:paraId="076366BD">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（4）《中华人民共和国水污染防治法》（2018年1月1日实施）；</w:t>
      </w:r>
    </w:p>
    <w:p w14:paraId="0B6927EC">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（5）《中华人民共和国环境噪声污染防治法》（2022年6月5日起施行）；</w:t>
      </w:r>
    </w:p>
    <w:p w14:paraId="5C2D323E">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（6）《中华人民共和国土壤污染防治法》（2019年1月1日施行）；</w:t>
      </w:r>
    </w:p>
    <w:p w14:paraId="4CED667D">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（7）</w:t>
      </w:r>
      <w:bookmarkStart w:id="33" w:name="_Hlk28531798"/>
      <w:r>
        <w:rPr>
          <w:snapToGrid/>
          <w:color w:val="000000" w:themeColor="text1"/>
          <w14:textFill>
            <w14:solidFill>
              <w14:schemeClr w14:val="tx1"/>
            </w14:solidFill>
          </w14:textFill>
        </w:rPr>
        <w:t>《中华人民共和国固体废物污染环境防治法》（2020年4月29日修订）</w:t>
      </w:r>
      <w:bookmarkEnd w:id="33"/>
      <w:r>
        <w:rPr>
          <w:snapToGrid/>
          <w:color w:val="000000" w:themeColor="text1"/>
          <w14:textFill>
            <w14:solidFill>
              <w14:schemeClr w14:val="tx1"/>
            </w14:solidFill>
          </w14:textFill>
        </w:rPr>
        <w:t>；</w:t>
      </w:r>
    </w:p>
    <w:p w14:paraId="4A81ADD0">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（8）《中华人民共和国长江保护法》（2021年3月1日施行）；</w:t>
      </w:r>
    </w:p>
    <w:p w14:paraId="6BF5EDAF">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（9）《中华人民共和国清洁生产促进法》（2012年7月1日实施）；</w:t>
      </w:r>
      <w:bookmarkEnd w:id="31"/>
      <w:bookmarkStart w:id="34" w:name="_Toc63601738"/>
    </w:p>
    <w:p w14:paraId="54AC4CB5">
      <w:pPr>
        <w:ind w:firstLine="520"/>
        <w:rPr>
          <w:bCs/>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w:t>
      </w:r>
      <w:r>
        <w:rPr>
          <w:snapToGrid/>
          <w:color w:val="000000" w:themeColor="text1"/>
          <w14:textFill>
            <w14:solidFill>
              <w14:schemeClr w14:val="tx1"/>
            </w14:solidFill>
          </w14:textFill>
        </w:rPr>
        <w:t>10</w:t>
      </w:r>
      <w:r>
        <w:rPr>
          <w:rFonts w:hint="eastAsia"/>
          <w:snapToGrid/>
          <w:color w:val="000000" w:themeColor="text1"/>
          <w14:textFill>
            <w14:solidFill>
              <w14:schemeClr w14:val="tx1"/>
            </w14:solidFill>
          </w14:textFill>
        </w:rPr>
        <w:t>）《中华人民共和国水法》（2016年7月2日修订）；</w:t>
      </w:r>
    </w:p>
    <w:p w14:paraId="71079896">
      <w:pPr>
        <w:ind w:firstLine="520"/>
        <w:rPr>
          <w:bCs/>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w:t>
      </w:r>
      <w:r>
        <w:rPr>
          <w:snapToGrid/>
          <w:color w:val="000000" w:themeColor="text1"/>
          <w14:textFill>
            <w14:solidFill>
              <w14:schemeClr w14:val="tx1"/>
            </w14:solidFill>
          </w14:textFill>
        </w:rPr>
        <w:t>11</w:t>
      </w:r>
      <w:r>
        <w:rPr>
          <w:rFonts w:hint="eastAsia"/>
          <w:snapToGrid/>
          <w:color w:val="000000" w:themeColor="text1"/>
          <w14:textFill>
            <w14:solidFill>
              <w14:schemeClr w14:val="tx1"/>
            </w14:solidFill>
          </w14:textFill>
        </w:rPr>
        <w:t>）《中华人民共和国节约能源法》（2018年10月26日修订）；</w:t>
      </w:r>
    </w:p>
    <w:bookmarkEnd w:id="32"/>
    <w:p w14:paraId="4B75B4B8">
      <w:pPr>
        <w:pStyle w:val="5"/>
        <w:rPr>
          <w:color w:val="000000" w:themeColor="text1"/>
          <w14:textFill>
            <w14:solidFill>
              <w14:schemeClr w14:val="tx1"/>
            </w14:solidFill>
          </w14:textFill>
        </w:rPr>
      </w:pPr>
      <w:bookmarkStart w:id="35" w:name="_Toc97206304"/>
      <w:r>
        <w:rPr>
          <w:color w:val="000000" w:themeColor="text1"/>
          <w14:textFill>
            <w14:solidFill>
              <w14:schemeClr w14:val="tx1"/>
            </w14:solidFill>
          </w14:textFill>
        </w:rPr>
        <w:t>行政法规及部门规章</w:t>
      </w:r>
      <w:bookmarkEnd w:id="35"/>
    </w:p>
    <w:p w14:paraId="7DA2C4FE">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（1）《建设项目环境保护管理条例》（国务院令第682号）；</w:t>
      </w:r>
    </w:p>
    <w:p w14:paraId="686C2F6B">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2</w:t>
      </w:r>
      <w:r>
        <w:rPr>
          <w:snapToGrid/>
          <w:color w:val="000000" w:themeColor="text1"/>
          <w14:textFill>
            <w14:solidFill>
              <w14:schemeClr w14:val="tx1"/>
            </w14:solidFill>
          </w14:textFill>
        </w:rPr>
        <w:t>）《建设项目环境影响评价分类管理名录》（2021年版）；</w:t>
      </w:r>
    </w:p>
    <w:p w14:paraId="1964127C">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3</w:t>
      </w:r>
      <w:r>
        <w:rPr>
          <w:snapToGrid/>
          <w:color w:val="000000" w:themeColor="text1"/>
          <w14:textFill>
            <w14:solidFill>
              <w14:schemeClr w14:val="tx1"/>
            </w14:solidFill>
          </w14:textFill>
        </w:rPr>
        <w:t>）《中华人民共和国水污染防治法实施细则》（国务院令第284号）；</w:t>
      </w:r>
    </w:p>
    <w:p w14:paraId="2F25E721">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4</w:t>
      </w:r>
      <w:r>
        <w:rPr>
          <w:snapToGrid/>
          <w:color w:val="000000" w:themeColor="text1"/>
          <w14:textFill>
            <w14:solidFill>
              <w14:schemeClr w14:val="tx1"/>
            </w14:solidFill>
          </w14:textFill>
        </w:rPr>
        <w:t>）《国家发展改革委环境保护部印发关于加强长江黄金水道环境污染防控治理的指导意见的通知》（发改环资[2016]370号）；</w:t>
      </w:r>
    </w:p>
    <w:p w14:paraId="5C20ACC9">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5</w:t>
      </w:r>
      <w:r>
        <w:rPr>
          <w:snapToGrid/>
          <w:color w:val="000000" w:themeColor="text1"/>
          <w14:textFill>
            <w14:solidFill>
              <w14:schemeClr w14:val="tx1"/>
            </w14:solidFill>
          </w14:textFill>
        </w:rPr>
        <w:t>）《环境影响评价公众参与办法》（生态环境部令第4号）；</w:t>
      </w:r>
    </w:p>
    <w:p w14:paraId="6C918604">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6</w:t>
      </w:r>
      <w:r>
        <w:rPr>
          <w:snapToGrid/>
          <w:color w:val="000000" w:themeColor="text1"/>
          <w14:textFill>
            <w14:solidFill>
              <w14:schemeClr w14:val="tx1"/>
            </w14:solidFill>
          </w14:textFill>
        </w:rPr>
        <w:t>）《生态环境部关于发布〈环境影响评价公众参与办法〉配套文件的公告》（生态环境部公告2018年第48号）；</w:t>
      </w:r>
    </w:p>
    <w:p w14:paraId="25CF2FFB">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7</w:t>
      </w:r>
      <w:r>
        <w:rPr>
          <w:snapToGrid/>
          <w:color w:val="000000" w:themeColor="text1"/>
          <w14:textFill>
            <w14:solidFill>
              <w14:schemeClr w14:val="tx1"/>
            </w14:solidFill>
          </w14:textFill>
        </w:rPr>
        <w:t>）《危险化学品安全管理条例》（2013年12月4日国务院第32次常务会议修订通过，自2013年12月7日起施行）；</w:t>
      </w:r>
    </w:p>
    <w:p w14:paraId="187072A6">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8</w:t>
      </w:r>
      <w:r>
        <w:rPr>
          <w:snapToGrid/>
          <w:color w:val="000000" w:themeColor="text1"/>
          <w14:textFill>
            <w14:solidFill>
              <w14:schemeClr w14:val="tx1"/>
            </w14:solidFill>
          </w14:textFill>
        </w:rPr>
        <w:t>）《危险废物转移联单管理办法》（国家环境保护总局令第5号）；</w:t>
      </w:r>
    </w:p>
    <w:p w14:paraId="2CEB0234">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9</w:t>
      </w:r>
      <w:r>
        <w:rPr>
          <w:snapToGrid/>
          <w:color w:val="000000" w:themeColor="text1"/>
          <w14:textFill>
            <w14:solidFill>
              <w14:schemeClr w14:val="tx1"/>
            </w14:solidFill>
          </w14:textFill>
        </w:rPr>
        <w:t>）《关于印发&lt;企业事业单位突发环境事件应急预案备案管理办法（试行）&gt;的通知》（环发[2015]4号）；</w:t>
      </w:r>
    </w:p>
    <w:p w14:paraId="4EC04BB3">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w:t>
      </w:r>
      <w:r>
        <w:rPr>
          <w:rFonts w:hint="eastAsia"/>
          <w:snapToGrid/>
          <w:color w:val="000000" w:themeColor="text1"/>
          <w14:textFill>
            <w14:solidFill>
              <w14:schemeClr w14:val="tx1"/>
            </w14:solidFill>
          </w14:textFill>
        </w:rPr>
        <w:t>0</w:t>
      </w:r>
      <w:r>
        <w:rPr>
          <w:snapToGrid/>
          <w:color w:val="000000" w:themeColor="text1"/>
          <w14:textFill>
            <w14:solidFill>
              <w14:schemeClr w14:val="tx1"/>
            </w14:solidFill>
          </w14:textFill>
        </w:rPr>
        <w:t>）《建设项目危险废物环境影响评价指南》（2017年第43号）；</w:t>
      </w:r>
    </w:p>
    <w:p w14:paraId="4224DE74">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w:t>
      </w:r>
      <w:r>
        <w:rPr>
          <w:rFonts w:hint="eastAsia"/>
          <w:snapToGrid/>
          <w:color w:val="000000" w:themeColor="text1"/>
          <w14:textFill>
            <w14:solidFill>
              <w14:schemeClr w14:val="tx1"/>
            </w14:solidFill>
          </w14:textFill>
        </w:rPr>
        <w:t>1</w:t>
      </w:r>
      <w:r>
        <w:rPr>
          <w:snapToGrid/>
          <w:color w:val="000000" w:themeColor="text1"/>
          <w14:textFill>
            <w14:solidFill>
              <w14:schemeClr w14:val="tx1"/>
            </w14:solidFill>
          </w14:textFill>
        </w:rPr>
        <w:t>）《推动长江经济带发展领导小组办公室关于印发&lt;长江经济带发展负面清单指南（试行，2022年版）&gt;的通知》（2022年1月19日实施）；</w:t>
      </w:r>
    </w:p>
    <w:p w14:paraId="1B76EC79">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w:t>
      </w:r>
      <w:r>
        <w:rPr>
          <w:rFonts w:hint="eastAsia"/>
          <w:snapToGrid/>
          <w:color w:val="000000" w:themeColor="text1"/>
          <w14:textFill>
            <w14:solidFill>
              <w14:schemeClr w14:val="tx1"/>
            </w14:solidFill>
          </w14:textFill>
        </w:rPr>
        <w:t>2</w:t>
      </w:r>
      <w:r>
        <w:rPr>
          <w:snapToGrid/>
          <w:color w:val="000000" w:themeColor="text1"/>
          <w14:textFill>
            <w14:solidFill>
              <w14:schemeClr w14:val="tx1"/>
            </w14:solidFill>
          </w14:textFill>
        </w:rPr>
        <w:t>）《国家危险废物名录》（202</w:t>
      </w:r>
      <w:r>
        <w:rPr>
          <w:rFonts w:hint="eastAsia"/>
          <w:snapToGrid/>
          <w:color w:val="000000" w:themeColor="text1"/>
          <w14:textFill>
            <w14:solidFill>
              <w14:schemeClr w14:val="tx1"/>
            </w14:solidFill>
          </w14:textFill>
        </w:rPr>
        <w:t>5</w:t>
      </w:r>
      <w:r>
        <w:rPr>
          <w:snapToGrid/>
          <w:color w:val="000000" w:themeColor="text1"/>
          <w14:textFill>
            <w14:solidFill>
              <w14:schemeClr w14:val="tx1"/>
            </w14:solidFill>
          </w14:textFill>
        </w:rPr>
        <w:t>年版）；</w:t>
      </w:r>
    </w:p>
    <w:p w14:paraId="3C5A99C0">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13</w:t>
      </w:r>
      <w:r>
        <w:rPr>
          <w:snapToGrid/>
          <w:color w:val="000000" w:themeColor="text1"/>
          <w14:textFill>
            <w14:solidFill>
              <w14:schemeClr w14:val="tx1"/>
            </w14:solidFill>
          </w14:textFill>
        </w:rPr>
        <w:t>）《排污许可管理条例》（国务院令第736号，2021年3月1日实施）</w:t>
      </w:r>
      <w:r>
        <w:rPr>
          <w:rFonts w:hint="eastAsia"/>
          <w:snapToGrid/>
          <w:color w:val="000000" w:themeColor="text1"/>
          <w14:textFill>
            <w14:solidFill>
              <w14:schemeClr w14:val="tx1"/>
            </w14:solidFill>
          </w14:textFill>
        </w:rPr>
        <w:t>。</w:t>
      </w:r>
    </w:p>
    <w:p w14:paraId="7AC932A3">
      <w:pPr>
        <w:pStyle w:val="5"/>
        <w:rPr>
          <w:color w:val="000000" w:themeColor="text1"/>
          <w14:textFill>
            <w14:solidFill>
              <w14:schemeClr w14:val="tx1"/>
            </w14:solidFill>
          </w14:textFill>
        </w:rPr>
      </w:pPr>
      <w:r>
        <w:rPr>
          <w:color w:val="000000" w:themeColor="text1"/>
          <w14:textFill>
            <w14:solidFill>
              <w14:schemeClr w14:val="tx1"/>
            </w14:solidFill>
          </w14:textFill>
        </w:rPr>
        <w:t>地方法律法规及政策性文件</w:t>
      </w:r>
      <w:bookmarkEnd w:id="34"/>
    </w:p>
    <w:p w14:paraId="13A899E5">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（1）《重庆市环境保护条例》（20</w:t>
      </w:r>
      <w:r>
        <w:rPr>
          <w:rFonts w:hint="eastAsia"/>
          <w:snapToGrid/>
          <w:color w:val="000000" w:themeColor="text1"/>
          <w14:textFill>
            <w14:solidFill>
              <w14:schemeClr w14:val="tx1"/>
            </w14:solidFill>
          </w14:textFill>
        </w:rPr>
        <w:t>22</w:t>
      </w:r>
      <w:r>
        <w:rPr>
          <w:snapToGrid/>
          <w:color w:val="000000" w:themeColor="text1"/>
          <w14:textFill>
            <w14:solidFill>
              <w14:schemeClr w14:val="tx1"/>
            </w14:solidFill>
          </w14:textFill>
        </w:rPr>
        <w:t>年</w:t>
      </w:r>
      <w:r>
        <w:rPr>
          <w:rFonts w:hint="eastAsia"/>
          <w:snapToGrid/>
          <w:color w:val="000000" w:themeColor="text1"/>
          <w14:textFill>
            <w14:solidFill>
              <w14:schemeClr w14:val="tx1"/>
            </w14:solidFill>
          </w14:textFill>
        </w:rPr>
        <w:t>9</w:t>
      </w:r>
      <w:r>
        <w:rPr>
          <w:snapToGrid/>
          <w:color w:val="000000" w:themeColor="text1"/>
          <w14:textFill>
            <w14:solidFill>
              <w14:schemeClr w14:val="tx1"/>
            </w14:solidFill>
          </w14:textFill>
        </w:rPr>
        <w:t>月</w:t>
      </w:r>
      <w:r>
        <w:rPr>
          <w:rFonts w:hint="eastAsia"/>
          <w:snapToGrid/>
          <w:color w:val="000000" w:themeColor="text1"/>
          <w14:textFill>
            <w14:solidFill>
              <w14:schemeClr w14:val="tx1"/>
            </w14:solidFill>
          </w14:textFill>
        </w:rPr>
        <w:t>28</w:t>
      </w:r>
      <w:r>
        <w:rPr>
          <w:snapToGrid/>
          <w:color w:val="000000" w:themeColor="text1"/>
          <w14:textFill>
            <w14:solidFill>
              <w14:schemeClr w14:val="tx1"/>
            </w14:solidFill>
          </w14:textFill>
        </w:rPr>
        <w:t>日修</w:t>
      </w:r>
      <w:r>
        <w:rPr>
          <w:rFonts w:hint="eastAsia"/>
          <w:snapToGrid/>
          <w:color w:val="000000" w:themeColor="text1"/>
          <w14:textFill>
            <w14:solidFill>
              <w14:schemeClr w14:val="tx1"/>
            </w14:solidFill>
          </w14:textFill>
        </w:rPr>
        <w:t>正</w:t>
      </w:r>
      <w:r>
        <w:rPr>
          <w:snapToGrid/>
          <w:color w:val="000000" w:themeColor="text1"/>
          <w14:textFill>
            <w14:solidFill>
              <w14:schemeClr w14:val="tx1"/>
            </w14:solidFill>
          </w14:textFill>
        </w:rPr>
        <w:t>）；</w:t>
      </w:r>
    </w:p>
    <w:p w14:paraId="46249146">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（2）《重庆市大气污染防治条例》（20</w:t>
      </w:r>
      <w:r>
        <w:rPr>
          <w:rFonts w:hint="eastAsia"/>
          <w:snapToGrid/>
          <w:color w:val="000000" w:themeColor="text1"/>
          <w14:textFill>
            <w14:solidFill>
              <w14:schemeClr w14:val="tx1"/>
            </w14:solidFill>
          </w14:textFill>
        </w:rPr>
        <w:t>21</w:t>
      </w:r>
      <w:r>
        <w:rPr>
          <w:snapToGrid/>
          <w:color w:val="000000" w:themeColor="text1"/>
          <w14:textFill>
            <w14:solidFill>
              <w14:schemeClr w14:val="tx1"/>
            </w14:solidFill>
          </w14:textFill>
        </w:rPr>
        <w:t>年</w:t>
      </w:r>
      <w:r>
        <w:rPr>
          <w:rFonts w:hint="eastAsia"/>
          <w:snapToGrid/>
          <w:color w:val="000000" w:themeColor="text1"/>
          <w14:textFill>
            <w14:solidFill>
              <w14:schemeClr w14:val="tx1"/>
            </w14:solidFill>
          </w14:textFill>
        </w:rPr>
        <w:t>5</w:t>
      </w:r>
      <w:r>
        <w:rPr>
          <w:snapToGrid/>
          <w:color w:val="000000" w:themeColor="text1"/>
          <w14:textFill>
            <w14:solidFill>
              <w14:schemeClr w14:val="tx1"/>
            </w14:solidFill>
          </w14:textFill>
        </w:rPr>
        <w:t>月2</w:t>
      </w:r>
      <w:r>
        <w:rPr>
          <w:rFonts w:hint="eastAsia"/>
          <w:snapToGrid/>
          <w:color w:val="000000" w:themeColor="text1"/>
          <w14:textFill>
            <w14:solidFill>
              <w14:schemeClr w14:val="tx1"/>
            </w14:solidFill>
          </w14:textFill>
        </w:rPr>
        <w:t>7</w:t>
      </w:r>
      <w:r>
        <w:rPr>
          <w:snapToGrid/>
          <w:color w:val="000000" w:themeColor="text1"/>
          <w14:textFill>
            <w14:solidFill>
              <w14:schemeClr w14:val="tx1"/>
            </w14:solidFill>
          </w14:textFill>
        </w:rPr>
        <w:t>日修</w:t>
      </w:r>
      <w:r>
        <w:rPr>
          <w:rFonts w:hint="eastAsia"/>
          <w:snapToGrid/>
          <w:color w:val="000000" w:themeColor="text1"/>
          <w14:textFill>
            <w14:solidFill>
              <w14:schemeClr w14:val="tx1"/>
            </w14:solidFill>
          </w14:textFill>
        </w:rPr>
        <w:t>正</w:t>
      </w:r>
      <w:r>
        <w:rPr>
          <w:snapToGrid/>
          <w:color w:val="000000" w:themeColor="text1"/>
          <w14:textFill>
            <w14:solidFill>
              <w14:schemeClr w14:val="tx1"/>
            </w14:solidFill>
          </w14:textFill>
        </w:rPr>
        <w:t>）；</w:t>
      </w:r>
    </w:p>
    <w:p w14:paraId="03E61548">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（3）《重庆市水污染防治条例》（2020</w:t>
      </w:r>
      <w:r>
        <w:rPr>
          <w:rFonts w:hint="eastAsia"/>
          <w:snapToGrid/>
          <w:color w:val="000000" w:themeColor="text1"/>
          <w14:textFill>
            <w14:solidFill>
              <w14:schemeClr w14:val="tx1"/>
            </w14:solidFill>
          </w14:textFill>
        </w:rPr>
        <w:t>年</w:t>
      </w:r>
      <w:r>
        <w:rPr>
          <w:snapToGrid/>
          <w:color w:val="000000" w:themeColor="text1"/>
          <w14:textFill>
            <w14:solidFill>
              <w14:schemeClr w14:val="tx1"/>
            </w14:solidFill>
          </w14:textFill>
        </w:rPr>
        <w:t>10月1日起实行）；</w:t>
      </w:r>
    </w:p>
    <w:p w14:paraId="2CCB1F62">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（4）《重庆市环境噪声污染防治办法》（</w:t>
      </w:r>
      <w:r>
        <w:rPr>
          <w:rFonts w:hint="eastAsia"/>
          <w:snapToGrid/>
          <w:color w:val="000000" w:themeColor="text1"/>
          <w14:textFill>
            <w14:solidFill>
              <w14:schemeClr w14:val="tx1"/>
            </w14:solidFill>
          </w14:textFill>
        </w:rPr>
        <w:t>重庆市人民政府令第363号，2024年1月1日实施</w:t>
      </w:r>
      <w:r>
        <w:rPr>
          <w:snapToGrid/>
          <w:color w:val="000000" w:themeColor="text1"/>
          <w14:textFill>
            <w14:solidFill>
              <w14:schemeClr w14:val="tx1"/>
            </w14:solidFill>
          </w14:textFill>
        </w:rPr>
        <w:t>）；</w:t>
      </w:r>
    </w:p>
    <w:p w14:paraId="077FBD3C">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（5）《重庆市人民政府关于印发重庆市环境空气质量功能区划分规定的通知》（渝府发[2016]19号）；</w:t>
      </w:r>
    </w:p>
    <w:p w14:paraId="4A8B56FA">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（6）《重庆市人民政府批转重庆市地表水环境功能类别调整方案的通知》（渝府发[2012]4号）</w:t>
      </w:r>
      <w:r>
        <w:rPr>
          <w:rFonts w:hint="eastAsia"/>
          <w:snapToGrid/>
          <w:color w:val="000000" w:themeColor="text1"/>
          <w14:textFill>
            <w14:solidFill>
              <w14:schemeClr w14:val="tx1"/>
            </w14:solidFill>
          </w14:textFill>
        </w:rPr>
        <w:t>，《重庆市人民政府关于批转重庆市地表水环境功能类别局部调整方案的通知》(渝府(2016)43号);</w:t>
      </w:r>
      <w:r>
        <w:rPr>
          <w:snapToGrid/>
          <w:color w:val="000000" w:themeColor="text1"/>
          <w14:textFill>
            <w14:solidFill>
              <w14:schemeClr w14:val="tx1"/>
            </w14:solidFill>
          </w14:textFill>
        </w:rPr>
        <w:t>；</w:t>
      </w:r>
    </w:p>
    <w:p w14:paraId="5E9486CA">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（7）</w:t>
      </w:r>
      <w:r>
        <w:rPr>
          <w:rFonts w:hint="eastAsia"/>
          <w:snapToGrid/>
          <w:color w:val="000000" w:themeColor="text1"/>
          <w14:textFill>
            <w14:solidFill>
              <w14:schemeClr w14:val="tx1"/>
            </w14:solidFill>
          </w14:textFill>
        </w:rPr>
        <w:t>重庆市生态环境局关于印发《重庆市中心城区声环境功能区划分方案（2023年）》的函（渝环〔2023〕61号）</w:t>
      </w:r>
      <w:r>
        <w:rPr>
          <w:snapToGrid/>
          <w:color w:val="000000" w:themeColor="text1"/>
          <w14:textFill>
            <w14:solidFill>
              <w14:schemeClr w14:val="tx1"/>
            </w14:solidFill>
          </w14:textFill>
        </w:rPr>
        <w:t>；</w:t>
      </w:r>
    </w:p>
    <w:p w14:paraId="0303E8A6">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8</w:t>
      </w:r>
      <w:r>
        <w:rPr>
          <w:snapToGrid/>
          <w:color w:val="000000" w:themeColor="text1"/>
          <w14:textFill>
            <w14:solidFill>
              <w14:schemeClr w14:val="tx1"/>
            </w14:solidFill>
          </w14:textFill>
        </w:rPr>
        <w:t>）关于印发《重庆市产业投资准入工作手册》的通知（渝发改投资〔2022〕1436号）；</w:t>
      </w:r>
    </w:p>
    <w:p w14:paraId="4800E60C">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9</w:t>
      </w:r>
      <w:r>
        <w:rPr>
          <w:snapToGrid/>
          <w:color w:val="000000" w:themeColor="text1"/>
          <w14:textFill>
            <w14:solidFill>
              <w14:schemeClr w14:val="tx1"/>
            </w14:solidFill>
          </w14:textFill>
        </w:rPr>
        <w:t>）《四川省、重庆市长江经济带发展负面清单实施细则（试行，2022年版）》（川长江办发〔2022〕17号）；</w:t>
      </w:r>
    </w:p>
    <w:p w14:paraId="6586279C">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w:t>
      </w:r>
      <w:r>
        <w:rPr>
          <w:rFonts w:hint="eastAsia"/>
          <w:snapToGrid/>
          <w:color w:val="000000" w:themeColor="text1"/>
          <w14:textFill>
            <w14:solidFill>
              <w14:schemeClr w14:val="tx1"/>
            </w14:solidFill>
          </w14:textFill>
        </w:rPr>
        <w:t>0</w:t>
      </w: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重庆市生态环境局关于印发《重庆市“三线一单”生态环境分区管控调整方案（2023年）》的通知（渝环规〔2024〕2号）</w:t>
      </w:r>
      <w:r>
        <w:rPr>
          <w:snapToGrid/>
          <w:color w:val="000000" w:themeColor="text1"/>
          <w14:textFill>
            <w14:solidFill>
              <w14:schemeClr w14:val="tx1"/>
            </w14:solidFill>
          </w14:textFill>
        </w:rPr>
        <w:t>；</w:t>
      </w:r>
    </w:p>
    <w:p w14:paraId="66AA86ED">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w:t>
      </w:r>
      <w:r>
        <w:rPr>
          <w:rFonts w:hint="eastAsia"/>
          <w:snapToGrid/>
          <w:color w:val="000000" w:themeColor="text1"/>
          <w14:textFill>
            <w14:solidFill>
              <w14:schemeClr w14:val="tx1"/>
            </w14:solidFill>
          </w14:textFill>
        </w:rPr>
        <w:t>1</w:t>
      </w:r>
      <w:r>
        <w:rPr>
          <w:snapToGrid/>
          <w:color w:val="000000" w:themeColor="text1"/>
          <w14:textFill>
            <w14:solidFill>
              <w14:schemeClr w14:val="tx1"/>
            </w14:solidFill>
          </w14:textFill>
        </w:rPr>
        <w:t>）《重庆市生态环境保护“十四五”规划（2021-2025）》（渝府发[2022]11号）；</w:t>
      </w:r>
    </w:p>
    <w:p w14:paraId="37072A95">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w:t>
      </w:r>
      <w:r>
        <w:rPr>
          <w:rFonts w:hint="eastAsia"/>
          <w:snapToGrid/>
          <w:color w:val="000000" w:themeColor="text1"/>
          <w14:textFill>
            <w14:solidFill>
              <w14:schemeClr w14:val="tx1"/>
            </w14:solidFill>
          </w14:textFill>
        </w:rPr>
        <w:t>2</w:t>
      </w:r>
      <w:r>
        <w:rPr>
          <w:snapToGrid/>
          <w:color w:val="000000" w:themeColor="text1"/>
          <w14:textFill>
            <w14:solidFill>
              <w14:schemeClr w14:val="tx1"/>
            </w14:solidFill>
          </w14:textFill>
        </w:rPr>
        <w:t>）《重庆市九龙坡区生态环境保护“十四五”规划2021-2025年》（九龙坡府办发[2022]1号）；</w:t>
      </w:r>
    </w:p>
    <w:p w14:paraId="28F972F7">
      <w:pPr>
        <w:ind w:firstLine="520"/>
        <w:rPr>
          <w:snapToGrid/>
          <w:color w:val="000000" w:themeColor="text1"/>
          <w14:textFill>
            <w14:solidFill>
              <w14:schemeClr w14:val="tx1"/>
            </w14:solidFill>
          </w14:textFill>
        </w:rPr>
      </w:pP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13</w:t>
      </w:r>
      <w:r>
        <w:rPr>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重庆市九龙坡区人民政府办公室关于印发《重庆市九龙坡区“三线一单”生态环境分区管控调整方案（2023年）》的通知（九龙坡府办发〔2024〕51号）</w:t>
      </w:r>
      <w:r>
        <w:rPr>
          <w:snapToGrid/>
          <w:color w:val="000000" w:themeColor="text1"/>
          <w14:textFill>
            <w14:solidFill>
              <w14:schemeClr w14:val="tx1"/>
            </w14:solidFill>
          </w14:textFill>
        </w:rPr>
        <w:t>；</w:t>
      </w:r>
    </w:p>
    <w:p w14:paraId="04BC4999">
      <w:pPr>
        <w:ind w:firstLine="520"/>
        <w:rPr>
          <w:bCs/>
          <w:snapToGrid/>
          <w:color w:val="000000" w:themeColor="text1"/>
          <w14:textFill>
            <w14:solidFill>
              <w14:schemeClr w14:val="tx1"/>
            </w14:solidFill>
          </w14:textFill>
        </w:rPr>
      </w:pPr>
      <w:r>
        <w:rPr>
          <w:rFonts w:hint="eastAsia"/>
          <w:color w:val="000000" w:themeColor="text1"/>
          <w:kern w:val="2"/>
          <w:szCs w:val="26"/>
          <w14:textFill>
            <w14:solidFill>
              <w14:schemeClr w14:val="tx1"/>
            </w14:solidFill>
          </w14:textFill>
        </w:rPr>
        <w:t>（14）《重庆市材料工业高质量发展“十四五”规划》（渝经信材料[2022]1</w:t>
      </w:r>
      <w:r>
        <w:rPr>
          <w:color w:val="000000" w:themeColor="text1"/>
          <w:kern w:val="2"/>
          <w:szCs w:val="26"/>
          <w14:textFill>
            <w14:solidFill>
              <w14:schemeClr w14:val="tx1"/>
            </w14:solidFill>
          </w14:textFill>
        </w:rPr>
        <w:t>2</w:t>
      </w:r>
      <w:r>
        <w:rPr>
          <w:rFonts w:hint="eastAsia"/>
          <w:color w:val="000000" w:themeColor="text1"/>
          <w:kern w:val="2"/>
          <w:szCs w:val="26"/>
          <w14:textFill>
            <w14:solidFill>
              <w14:schemeClr w14:val="tx1"/>
            </w14:solidFill>
          </w14:textFill>
        </w:rPr>
        <w:t>号）。</w:t>
      </w:r>
    </w:p>
    <w:p w14:paraId="46601A38">
      <w:pPr>
        <w:pStyle w:val="5"/>
        <w:rPr>
          <w:color w:val="000000" w:themeColor="text1"/>
          <w14:textFill>
            <w14:solidFill>
              <w14:schemeClr w14:val="tx1"/>
            </w14:solidFill>
          </w14:textFill>
        </w:rPr>
      </w:pPr>
      <w:bookmarkStart w:id="36" w:name="_Toc40050756"/>
      <w:bookmarkStart w:id="37" w:name="_Toc290276677"/>
      <w:bookmarkStart w:id="38" w:name="_Toc290277375"/>
      <w:bookmarkStart w:id="39" w:name="_Toc290277026"/>
      <w:bookmarkStart w:id="40" w:name="_Toc11942501"/>
      <w:r>
        <w:rPr>
          <w:color w:val="000000" w:themeColor="text1"/>
          <w14:textFill>
            <w14:solidFill>
              <w14:schemeClr w14:val="tx1"/>
            </w14:solidFill>
          </w14:textFill>
        </w:rPr>
        <w:t>技术导则</w:t>
      </w:r>
      <w:bookmarkEnd w:id="36"/>
      <w:bookmarkEnd w:id="37"/>
      <w:bookmarkEnd w:id="38"/>
      <w:bookmarkEnd w:id="39"/>
      <w:r>
        <w:rPr>
          <w:color w:val="000000" w:themeColor="text1"/>
          <w14:textFill>
            <w14:solidFill>
              <w14:schemeClr w14:val="tx1"/>
            </w14:solidFill>
          </w14:textFill>
        </w:rPr>
        <w:t>及规范</w:t>
      </w:r>
      <w:bookmarkEnd w:id="40"/>
    </w:p>
    <w:p w14:paraId="6FDAB38D">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（1）《建设项目环境影响评价技术导则</w:t>
      </w:r>
      <w:r>
        <w:rPr>
          <w:rFonts w:hint="eastAsia"/>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t>总纲》(HJ2.1-2016)；</w:t>
      </w:r>
    </w:p>
    <w:p w14:paraId="342726ED">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（2）《环境影响评价技术导则</w:t>
      </w:r>
      <w:r>
        <w:rPr>
          <w:rFonts w:hint="eastAsia"/>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t>大气环境》(HJ2.2-2018)；</w:t>
      </w:r>
    </w:p>
    <w:p w14:paraId="5D0D31EE">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（3）《环境影响评价技术导则</w:t>
      </w:r>
      <w:r>
        <w:rPr>
          <w:rFonts w:hint="eastAsia"/>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t>地表水环境》(HJ2.3-2018)；</w:t>
      </w:r>
    </w:p>
    <w:p w14:paraId="5E415D83">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（4）《环境影响评价技术导则</w:t>
      </w:r>
      <w:r>
        <w:rPr>
          <w:rFonts w:hint="eastAsia"/>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t>地下水环境》(HJ610-2016)；</w:t>
      </w:r>
    </w:p>
    <w:p w14:paraId="0CAD5391">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（5）《环境影响评价技术导则</w:t>
      </w:r>
      <w:r>
        <w:rPr>
          <w:rFonts w:hint="eastAsia"/>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t>声环境》(HJ2.4-2021)；</w:t>
      </w:r>
    </w:p>
    <w:p w14:paraId="706BA782">
      <w:pPr>
        <w:ind w:firstLine="520"/>
        <w:rPr>
          <w:bCs/>
          <w:snapToGrid/>
          <w:color w:val="000000" w:themeColor="text1"/>
          <w14:textFill>
            <w14:solidFill>
              <w14:schemeClr w14:val="tx1"/>
            </w14:solidFill>
          </w14:textFill>
        </w:rPr>
      </w:pPr>
      <w:bookmarkStart w:id="41" w:name="_Hlk160464229"/>
      <w:r>
        <w:rPr>
          <w:snapToGrid/>
          <w:color w:val="000000" w:themeColor="text1"/>
          <w14:textFill>
            <w14:solidFill>
              <w14:schemeClr w14:val="tx1"/>
            </w14:solidFill>
          </w14:textFill>
        </w:rPr>
        <w:t>（6）《环境影响评价技术导则</w:t>
      </w:r>
      <w:r>
        <w:rPr>
          <w:rFonts w:hint="eastAsia"/>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t>生态影响》(HJ19-2022)；</w:t>
      </w:r>
    </w:p>
    <w:bookmarkEnd w:id="41"/>
    <w:p w14:paraId="6D060B27">
      <w:pPr>
        <w:ind w:firstLine="520"/>
        <w:rPr>
          <w:bCs/>
          <w:snapToGrid/>
          <w:color w:val="000000" w:themeColor="text1"/>
          <w14:textFill>
            <w14:solidFill>
              <w14:schemeClr w14:val="tx1"/>
            </w14:solidFill>
          </w14:textFill>
        </w:rPr>
      </w:pPr>
      <w:bookmarkStart w:id="42" w:name="_Hlk160464252"/>
      <w:r>
        <w:rPr>
          <w:snapToGrid/>
          <w:color w:val="000000" w:themeColor="text1"/>
          <w14:textFill>
            <w14:solidFill>
              <w14:schemeClr w14:val="tx1"/>
            </w14:solidFill>
          </w14:textFill>
        </w:rPr>
        <w:t>（7）《环境影响评价技术导则</w:t>
      </w:r>
      <w:r>
        <w:rPr>
          <w:rFonts w:hint="eastAsia"/>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t>土壤环境》（HJ964-2018）；</w:t>
      </w:r>
    </w:p>
    <w:bookmarkEnd w:id="42"/>
    <w:p w14:paraId="1BE6CAC9">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（8）《建设项目环境风险评价技术导则》(HJ169-2018)；</w:t>
      </w:r>
    </w:p>
    <w:p w14:paraId="7FFE3EFB">
      <w:pPr>
        <w:ind w:firstLine="520"/>
        <w:rPr>
          <w:bCs/>
          <w:snapToGrid/>
          <w:color w:val="000000" w:themeColor="text1"/>
          <w14:textFill>
            <w14:solidFill>
              <w14:schemeClr w14:val="tx1"/>
            </w14:solidFill>
          </w14:textFill>
        </w:rPr>
      </w:pPr>
      <w:bookmarkStart w:id="43" w:name="_Hlk160464293"/>
      <w:r>
        <w:rPr>
          <w:snapToGrid/>
          <w:color w:val="000000" w:themeColor="text1"/>
          <w14:textFill>
            <w14:solidFill>
              <w14:schemeClr w14:val="tx1"/>
            </w14:solidFill>
          </w14:textFill>
        </w:rPr>
        <w:t>（9）《工业企业土壤和地下水自行监测技术指南（试行）》（HJ1209-2021）；</w:t>
      </w:r>
    </w:p>
    <w:p w14:paraId="57C32BB4">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（10）《排污单位自行监测技术指南总则》（HJ819-2017）；</w:t>
      </w:r>
    </w:p>
    <w:p w14:paraId="7570706E">
      <w:pPr>
        <w:ind w:firstLine="520"/>
        <w:rPr>
          <w:bCs/>
          <w:snapToGrid/>
          <w:color w:val="000000" w:themeColor="text1"/>
          <w14:textFill>
            <w14:solidFill>
              <w14:schemeClr w14:val="tx1"/>
            </w14:solidFill>
          </w14:textFill>
        </w:rPr>
      </w:pPr>
      <w:r>
        <w:rPr>
          <w:snapToGrid/>
          <w:color w:val="000000" w:themeColor="text1"/>
          <w14:textFill>
            <w14:solidFill>
              <w14:schemeClr w14:val="tx1"/>
            </w14:solidFill>
          </w14:textFill>
        </w:rPr>
        <w:t>（11）《一般工业固体废物管理台账制定指南（试行）》（公告2021年第82号）；</w:t>
      </w:r>
    </w:p>
    <w:p w14:paraId="75961635">
      <w:pPr>
        <w:ind w:firstLine="520"/>
        <w:rPr>
          <w:snapToGrid/>
          <w:color w:val="000000" w:themeColor="text1"/>
          <w14:textFill>
            <w14:solidFill>
              <w14:schemeClr w14:val="tx1"/>
            </w14:solidFill>
          </w14:textFill>
        </w:rPr>
      </w:pPr>
      <w:r>
        <w:rPr>
          <w:snapToGrid/>
          <w:color w:val="000000" w:themeColor="text1"/>
          <w14:textFill>
            <w14:solidFill>
              <w14:schemeClr w14:val="tx1"/>
            </w14:solidFill>
          </w14:textFill>
        </w:rPr>
        <w:t>（12）《危险废物管理计划和管理台账制定技术导则》（HJ1259-2022）；</w:t>
      </w:r>
    </w:p>
    <w:p w14:paraId="19DEDEFA">
      <w:pPr>
        <w:ind w:firstLine="520"/>
        <w:rPr>
          <w:snapToGrid/>
          <w:color w:val="000000" w:themeColor="text1"/>
          <w14:textFill>
            <w14:solidFill>
              <w14:schemeClr w14:val="tx1"/>
            </w14:solidFill>
          </w14:textFill>
        </w:rPr>
      </w:pPr>
      <w:r>
        <w:rPr>
          <w:snapToGrid/>
          <w:color w:val="000000" w:themeColor="text1"/>
          <w14:textFill>
            <w14:solidFill>
              <w14:schemeClr w14:val="tx1"/>
            </w14:solidFill>
          </w14:textFill>
        </w:rPr>
        <w:t>（13）《排污单位自行监测技术指南</w:t>
      </w:r>
      <w:r>
        <w:rPr>
          <w:rFonts w:hint="eastAsia"/>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t>电子工业》（HJ1253—2018）。</w:t>
      </w:r>
    </w:p>
    <w:p w14:paraId="161CC9B5">
      <w:pPr>
        <w:ind w:firstLine="520"/>
        <w:rPr>
          <w:bCs/>
          <w:snapToGrid/>
          <w:color w:val="000000" w:themeColor="text1"/>
          <w14:textFill>
            <w14:solidFill>
              <w14:schemeClr w14:val="tx1"/>
            </w14:solidFill>
          </w14:textFill>
        </w:rPr>
      </w:pPr>
      <w:r>
        <w:rPr>
          <w:rFonts w:hint="eastAsia"/>
          <w:bCs/>
          <w:snapToGrid/>
          <w:color w:val="000000" w:themeColor="text1"/>
          <w14:textFill>
            <w14:solidFill>
              <w14:schemeClr w14:val="tx1"/>
            </w14:solidFill>
          </w14:textFill>
        </w:rPr>
        <w:t>（14）《排污单位自行监测技术指南 总则》（HJ 819-2017）；</w:t>
      </w:r>
    </w:p>
    <w:p w14:paraId="6972D0A9">
      <w:pPr>
        <w:ind w:firstLine="520"/>
        <w:rPr>
          <w:bCs/>
          <w:snapToGrid/>
          <w:color w:val="000000" w:themeColor="text1"/>
          <w14:textFill>
            <w14:solidFill>
              <w14:schemeClr w14:val="tx1"/>
            </w14:solidFill>
          </w14:textFill>
        </w:rPr>
      </w:pPr>
      <w:r>
        <w:rPr>
          <w:rFonts w:hint="eastAsia"/>
          <w:bCs/>
          <w:snapToGrid/>
          <w:color w:val="000000" w:themeColor="text1"/>
          <w14:textFill>
            <w14:solidFill>
              <w14:schemeClr w14:val="tx1"/>
            </w14:solidFill>
          </w14:textFill>
        </w:rPr>
        <w:t>（15）《排污许可证申请与核发技术规范 电子工业》（HJ 1031-2019）；</w:t>
      </w:r>
    </w:p>
    <w:p w14:paraId="74BBCE2A">
      <w:pPr>
        <w:ind w:firstLine="520"/>
        <w:rPr>
          <w:bCs/>
          <w:snapToGrid/>
          <w:color w:val="000000" w:themeColor="text1"/>
          <w14:textFill>
            <w14:solidFill>
              <w14:schemeClr w14:val="tx1"/>
            </w14:solidFill>
          </w14:textFill>
        </w:rPr>
      </w:pPr>
      <w:r>
        <w:rPr>
          <w:rFonts w:hint="eastAsia"/>
          <w:bCs/>
          <w:snapToGrid/>
          <w:color w:val="000000" w:themeColor="text1"/>
          <w14:textFill>
            <w14:solidFill>
              <w14:schemeClr w14:val="tx1"/>
            </w14:solidFill>
          </w14:textFill>
        </w:rPr>
        <w:t>（16）《电子工业水污染物排放标准》（GB 39731-2020）；</w:t>
      </w:r>
    </w:p>
    <w:p w14:paraId="63E11B3D">
      <w:pPr>
        <w:ind w:firstLine="520"/>
        <w:rPr>
          <w:bCs/>
          <w:snapToGrid/>
          <w:color w:val="000000" w:themeColor="text1"/>
          <w14:textFill>
            <w14:solidFill>
              <w14:schemeClr w14:val="tx1"/>
            </w14:solidFill>
          </w14:textFill>
        </w:rPr>
      </w:pPr>
      <w:r>
        <w:rPr>
          <w:rFonts w:hint="eastAsia"/>
          <w:bCs/>
          <w:snapToGrid/>
          <w:color w:val="000000" w:themeColor="text1"/>
          <w14:textFill>
            <w14:solidFill>
              <w14:schemeClr w14:val="tx1"/>
            </w14:solidFill>
          </w14:textFill>
        </w:rPr>
        <w:t>（17）《电子工业废气处理工程设计标准》（GB 51401-2019）；</w:t>
      </w:r>
    </w:p>
    <w:p w14:paraId="4DDEE846">
      <w:pPr>
        <w:ind w:firstLine="520"/>
        <w:rPr>
          <w:bCs/>
          <w:snapToGrid/>
          <w:color w:val="000000" w:themeColor="text1"/>
          <w14:textFill>
            <w14:solidFill>
              <w14:schemeClr w14:val="tx1"/>
            </w14:solidFill>
          </w14:textFill>
        </w:rPr>
      </w:pPr>
      <w:r>
        <w:rPr>
          <w:rFonts w:hint="eastAsia"/>
          <w:bCs/>
          <w:snapToGrid/>
          <w:color w:val="000000" w:themeColor="text1"/>
          <w14:textFill>
            <w14:solidFill>
              <w14:schemeClr w14:val="tx1"/>
            </w14:solidFill>
          </w14:textFill>
        </w:rPr>
        <w:t>（18）《电子工业水污染防治可行技术指南》（HJ 1298-2023）。</w:t>
      </w:r>
    </w:p>
    <w:bookmarkEnd w:id="43"/>
    <w:p w14:paraId="7B819B98">
      <w:pPr>
        <w:pStyle w:val="5"/>
        <w:rPr>
          <w:color w:val="000000" w:themeColor="text1"/>
          <w14:textFill>
            <w14:solidFill>
              <w14:schemeClr w14:val="tx1"/>
            </w14:solidFill>
          </w14:textFill>
        </w:rPr>
      </w:pPr>
      <w:r>
        <w:rPr>
          <w:color w:val="000000" w:themeColor="text1"/>
          <w14:textFill>
            <w14:solidFill>
              <w14:schemeClr w14:val="tx1"/>
            </w14:solidFill>
          </w14:textFill>
        </w:rPr>
        <w:t>建设项目有关资料及文件</w:t>
      </w:r>
    </w:p>
    <w:p w14:paraId="363B1213">
      <w:pPr>
        <w:ind w:firstLine="520"/>
        <w:rPr>
          <w:color w:val="000000" w:themeColor="text1"/>
          <w14:textFill>
            <w14:solidFill>
              <w14:schemeClr w14:val="tx1"/>
            </w14:solidFill>
          </w14:textFill>
        </w:rPr>
      </w:pPr>
      <w:r>
        <w:rPr>
          <w:color w:val="000000" w:themeColor="text1"/>
          <w14:textFill>
            <w14:solidFill>
              <w14:schemeClr w14:val="tx1"/>
            </w14:solidFill>
          </w14:textFill>
        </w:rPr>
        <w:t>（1）重庆市企业投资项目备案证（项目编码：2504-500107-04-01-860316）</w:t>
      </w:r>
      <w:r>
        <w:rPr>
          <w:rFonts w:hint="eastAsia"/>
          <w:color w:val="000000" w:themeColor="text1"/>
          <w14:textFill>
            <w14:solidFill>
              <w14:schemeClr w14:val="tx1"/>
            </w14:solidFill>
          </w14:textFill>
        </w:rPr>
        <w:t>；</w:t>
      </w:r>
    </w:p>
    <w:p w14:paraId="1331467C">
      <w:pPr>
        <w:ind w:firstLine="52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）《重庆西彭工业园区规划环境影响报告书》及《</w:t>
      </w:r>
      <w:r>
        <w:rPr>
          <w:rFonts w:hint="eastAsia"/>
          <w:color w:val="000000" w:themeColor="text1"/>
          <w14:textFill>
            <w14:solidFill>
              <w14:schemeClr w14:val="tx1"/>
            </w14:solidFill>
          </w14:textFill>
        </w:rPr>
        <w:t>重庆市生态环境局</w:t>
      </w:r>
      <w:r>
        <w:rPr>
          <w:color w:val="000000" w:themeColor="text1"/>
          <w14:textFill>
            <w14:solidFill>
              <w14:schemeClr w14:val="tx1"/>
            </w14:solidFill>
          </w14:textFill>
        </w:rPr>
        <w:t>关于重庆西彭工业园区规划环境影响报告书审查意见的函》（渝环函〔2023〕439号）</w:t>
      </w:r>
      <w:r>
        <w:rPr>
          <w:rFonts w:hint="eastAsia"/>
          <w:color w:val="000000" w:themeColor="text1"/>
          <w14:textFill>
            <w14:solidFill>
              <w14:schemeClr w14:val="tx1"/>
            </w14:solidFill>
          </w14:textFill>
        </w:rPr>
        <w:t>；</w:t>
      </w:r>
    </w:p>
    <w:p w14:paraId="6469C5E2">
      <w:pPr>
        <w:ind w:firstLine="52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）建设单位提供的相关技术资料</w:t>
      </w:r>
      <w:r>
        <w:rPr>
          <w:rFonts w:hint="eastAsia"/>
          <w:color w:val="000000" w:themeColor="text1"/>
          <w14:textFill>
            <w14:solidFill>
              <w14:schemeClr w14:val="tx1"/>
            </w14:solidFill>
          </w14:textFill>
        </w:rPr>
        <w:t>。</w:t>
      </w:r>
    </w:p>
    <w:p w14:paraId="48D949D7">
      <w:pPr>
        <w:pStyle w:val="4"/>
        <w:rPr>
          <w:color w:val="000000" w:themeColor="text1"/>
          <w14:textFill>
            <w14:solidFill>
              <w14:schemeClr w14:val="tx1"/>
            </w14:solidFill>
          </w14:textFill>
        </w:rPr>
      </w:pPr>
      <w:bookmarkStart w:id="44" w:name="_Toc399"/>
      <w:r>
        <w:rPr>
          <w:color w:val="000000" w:themeColor="text1"/>
          <w14:textFill>
            <w14:solidFill>
              <w14:schemeClr w14:val="tx1"/>
            </w14:solidFill>
          </w14:textFill>
        </w:rPr>
        <w:t>评价原则与总体构思</w:t>
      </w:r>
      <w:bookmarkEnd w:id="44"/>
    </w:p>
    <w:p w14:paraId="52F295AB">
      <w:pPr>
        <w:pStyle w:val="5"/>
        <w:rPr>
          <w:color w:val="000000" w:themeColor="text1"/>
          <w14:textFill>
            <w14:solidFill>
              <w14:schemeClr w14:val="tx1"/>
            </w14:solidFill>
          </w14:textFill>
        </w:rPr>
      </w:pPr>
      <w:r>
        <w:rPr>
          <w:color w:val="000000" w:themeColor="text1"/>
          <w14:textFill>
            <w14:solidFill>
              <w14:schemeClr w14:val="tx1"/>
            </w14:solidFill>
          </w14:textFill>
        </w:rPr>
        <w:t>评价原则</w:t>
      </w:r>
    </w:p>
    <w:p w14:paraId="3F64B5C9">
      <w:pPr>
        <w:spacing w:before="24"/>
        <w:ind w:firstLine="520"/>
        <w:rPr>
          <w:color w:val="000000" w:themeColor="text1"/>
          <w14:textFill>
            <w14:solidFill>
              <w14:schemeClr w14:val="tx1"/>
            </w14:solidFill>
          </w14:textFill>
        </w:rPr>
      </w:pPr>
      <w:r>
        <w:rPr>
          <w:color w:val="000000" w:themeColor="text1"/>
          <w14:textFill>
            <w14:solidFill>
              <w14:schemeClr w14:val="tx1"/>
            </w14:solidFill>
          </w14:textFill>
        </w:rPr>
        <w:t>项目环境影响评价将本着客观、公开、公正的原则，结合项目特点和周边环境特点，综合考虑项目在拟选场地实施后对区域各种环境要素可能造成的影响，为决策提供科学依据。在具体的环境评价工作中，将遵循以下基本原则：</w:t>
      </w:r>
    </w:p>
    <w:p w14:paraId="159EB2BE">
      <w:pPr>
        <w:spacing w:before="24"/>
        <w:ind w:firstLine="520"/>
        <w:rPr>
          <w:color w:val="000000" w:themeColor="text1"/>
          <w14:textFill>
            <w14:solidFill>
              <w14:schemeClr w14:val="tx1"/>
            </w14:solidFill>
          </w14:textFill>
        </w:rPr>
      </w:pPr>
      <w:r>
        <w:rPr>
          <w:color w:val="000000" w:themeColor="text1"/>
          <w14:textFill>
            <w14:solidFill>
              <w14:schemeClr w14:val="tx1"/>
            </w14:solidFill>
          </w14:textFill>
        </w:rPr>
        <w:t>（1）认真执行国家和重庆市的产业政策、环保政策和法规，满足各级环境保护部门和行业主管部门对建设项目环境保护方面的要求，确保污染控制设施与项目主体工程同步建设，在发展经济的同时保护好环境，实现可持续发展的目标。</w:t>
      </w:r>
    </w:p>
    <w:p w14:paraId="043BEAE2">
      <w:pPr>
        <w:spacing w:before="24"/>
        <w:ind w:firstLine="520"/>
        <w:rPr>
          <w:color w:val="000000" w:themeColor="text1"/>
          <w14:textFill>
            <w14:solidFill>
              <w14:schemeClr w14:val="tx1"/>
            </w14:solidFill>
          </w14:textFill>
        </w:rPr>
      </w:pPr>
      <w:r>
        <w:rPr>
          <w:color w:val="000000" w:themeColor="text1"/>
          <w14:textFill>
            <w14:solidFill>
              <w14:schemeClr w14:val="tx1"/>
            </w14:solidFill>
          </w14:textFill>
        </w:rPr>
        <w:t>（2）贯彻“污染物达标排放”和“总量控制”的要求，保护区域环境质量，符合区域功能区划、生态保护规划和城市发展总体规划，对项目主要环境影响予以重点分析和评价。</w:t>
      </w:r>
    </w:p>
    <w:p w14:paraId="09AE9B00">
      <w:pPr>
        <w:spacing w:before="24"/>
        <w:ind w:firstLine="520"/>
        <w:rPr>
          <w:color w:val="000000" w:themeColor="text1"/>
          <w14:textFill>
            <w14:solidFill>
              <w14:schemeClr w14:val="tx1"/>
            </w14:solidFill>
          </w14:textFill>
        </w:rPr>
      </w:pPr>
      <w:r>
        <w:rPr>
          <w:color w:val="000000" w:themeColor="text1"/>
          <w14:textFill>
            <w14:solidFill>
              <w14:schemeClr w14:val="tx1"/>
            </w14:solidFill>
          </w14:textFill>
        </w:rPr>
        <w:t>（3）贯彻“清洁生产”和“资源能源综合利用”的原则。</w:t>
      </w:r>
    </w:p>
    <w:p w14:paraId="0A7CF9A3">
      <w:pPr>
        <w:pStyle w:val="5"/>
        <w:rPr>
          <w:color w:val="000000" w:themeColor="text1"/>
          <w14:textFill>
            <w14:solidFill>
              <w14:schemeClr w14:val="tx1"/>
            </w14:solidFill>
          </w14:textFill>
        </w:rPr>
      </w:pPr>
      <w:r>
        <w:rPr>
          <w:color w:val="000000" w:themeColor="text1"/>
          <w14:textFill>
            <w14:solidFill>
              <w14:schemeClr w14:val="tx1"/>
            </w14:solidFill>
          </w14:textFill>
        </w:rPr>
        <w:t>总体构思</w:t>
      </w:r>
    </w:p>
    <w:p w14:paraId="7781A340">
      <w:pPr>
        <w:spacing w:before="24"/>
        <w:ind w:firstLine="520"/>
        <w:rPr>
          <w:color w:val="000000" w:themeColor="text1"/>
          <w14:textFill>
            <w14:solidFill>
              <w14:schemeClr w14:val="tx1"/>
            </w14:solidFill>
          </w14:textFill>
        </w:rPr>
      </w:pPr>
      <w:r>
        <w:rPr>
          <w:color w:val="000000" w:themeColor="text1"/>
          <w14:textFill>
            <w14:solidFill>
              <w14:schemeClr w14:val="tx1"/>
            </w14:solidFill>
          </w14:textFill>
        </w:rPr>
        <w:t>（1）结合国家产业政策、区域总体规划、园区总体规划、环境功能区划，详细分析扩建项目与产业政策及规划协调性、污染防治措施的合理性。详细分析扩建项目运营期各生产工序的产污环节和产排量，对项目建设的环境影响进行科学预测与评价，以废气、废水、危险废物、环境风险为重点，通过类比、排污系数等方法核算污染物排放量，论证项目建设对周围环境影响。</w:t>
      </w:r>
    </w:p>
    <w:p w14:paraId="4360C191">
      <w:pPr>
        <w:spacing w:before="24"/>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（2）扩建项目分两处地块建设，其中石墨纯化及碳化硅涂层依托现有工程闲置厂房建设，GASKET（垫片）产品及石墨机加租赁臻宝科技公司（为项目建设单位臻宝半导体公司母公司）厂房闲置区域建设。</w:t>
      </w:r>
    </w:p>
    <w:p w14:paraId="71EEA021">
      <w:pPr>
        <w:spacing w:before="24"/>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（3）由于项目现有工程尚未投产，本次厂界噪声预测时对现有工程厂界噪声贡献值进行叠加，整体分析项目运营后厂界噪声达标情况。</w:t>
      </w:r>
    </w:p>
    <w:p w14:paraId="6A8204A0">
      <w:pPr>
        <w:spacing w:before="24"/>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4）本次扩建石墨纯化和碳化硅涂层产品生产过程中产生的废气和GASKET产品清洗废气均依托现有工程废气治理措施处理后通过相应排气筒排放，本次对依托排气筒的环境影响分析，将现有工程与扩建项目排放大气污染物一并纳入，整体分析。</w:t>
      </w:r>
    </w:p>
    <w:p w14:paraId="18F86B08">
      <w:pPr>
        <w:pStyle w:val="4"/>
        <w:rPr>
          <w:color w:val="000000" w:themeColor="text1"/>
          <w14:textFill>
            <w14:solidFill>
              <w14:schemeClr w14:val="tx1"/>
            </w14:solidFill>
          </w14:textFill>
        </w:rPr>
      </w:pPr>
      <w:bookmarkStart w:id="45" w:name="_Toc1850"/>
      <w:r>
        <w:rPr>
          <w:color w:val="000000" w:themeColor="text1"/>
          <w14:textFill>
            <w14:solidFill>
              <w14:schemeClr w14:val="tx1"/>
            </w14:solidFill>
          </w14:textFill>
        </w:rPr>
        <w:t>环境影响识别</w:t>
      </w:r>
      <w:bookmarkEnd w:id="45"/>
    </w:p>
    <w:p w14:paraId="0D2EE3E2">
      <w:pPr>
        <w:pStyle w:val="5"/>
        <w:rPr>
          <w:bCs/>
          <w:color w:val="000000" w:themeColor="text1"/>
          <w14:textFill>
            <w14:solidFill>
              <w14:schemeClr w14:val="tx1"/>
            </w14:solidFill>
          </w14:textFill>
        </w:rPr>
      </w:pPr>
      <w:r>
        <w:rPr>
          <w:color w:val="000000" w:themeColor="text1"/>
          <w14:textFill>
            <w14:solidFill>
              <w14:schemeClr w14:val="tx1"/>
            </w14:solidFill>
          </w14:textFill>
        </w:rPr>
        <w:t>环境影响因素识别</w:t>
      </w:r>
    </w:p>
    <w:p w14:paraId="5AE8FDA3">
      <w:pPr>
        <w:ind w:firstLine="520"/>
        <w:rPr>
          <w:color w:val="000000" w:themeColor="text1"/>
          <w14:textFill>
            <w14:solidFill>
              <w14:schemeClr w14:val="tx1"/>
            </w14:solidFill>
          </w14:textFill>
        </w:rPr>
      </w:pPr>
      <w:bookmarkStart w:id="46" w:name="_Hlk160469392"/>
      <w:r>
        <w:rPr>
          <w:rFonts w:hint="eastAsia"/>
          <w:color w:val="000000" w:themeColor="text1"/>
          <w14:textFill>
            <w14:solidFill>
              <w14:schemeClr w14:val="tx1"/>
            </w14:solidFill>
          </w14:textFill>
        </w:rPr>
        <w:t>扩建项目施工期主要为现有厂房进行装修及购置设备安装调试，环境影响较小。</w:t>
      </w:r>
      <w:r>
        <w:rPr>
          <w:color w:val="000000" w:themeColor="text1"/>
          <w14:textFill>
            <w14:solidFill>
              <w14:schemeClr w14:val="tx1"/>
            </w14:solidFill>
          </w14:textFill>
        </w:rPr>
        <w:t>通过工程分析，结合项目的工程特点和所在区域的环境特征，对</w:t>
      </w: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可能造成环境影响的因素分阶段（施工期、运营期）确定如下：</w:t>
      </w:r>
    </w:p>
    <w:p w14:paraId="37573A52">
      <w:pPr>
        <w:ind w:firstLine="520"/>
        <w:rPr>
          <w:color w:val="000000" w:themeColor="text1"/>
          <w14:textFill>
            <w14:solidFill>
              <w14:schemeClr w14:val="tx1"/>
            </w14:solidFill>
          </w14:textFill>
        </w:rPr>
      </w:pPr>
      <w:r>
        <w:rPr>
          <w:color w:val="000000" w:themeColor="text1"/>
          <w14:textFill>
            <w14:solidFill>
              <w14:schemeClr w14:val="tx1"/>
            </w14:solidFill>
          </w14:textFill>
        </w:rPr>
        <w:t>（1）施工期环境影响的主要因素有：</w:t>
      </w:r>
      <w:r>
        <w:rPr>
          <w:rFonts w:hint="eastAsia"/>
          <w:color w:val="000000" w:themeColor="text1"/>
          <w14:textFill>
            <w14:solidFill>
              <w14:schemeClr w14:val="tx1"/>
            </w14:solidFill>
          </w14:textFill>
        </w:rPr>
        <w:t>装修、设备安装调试</w:t>
      </w:r>
      <w:r>
        <w:rPr>
          <w:color w:val="000000" w:themeColor="text1"/>
          <w14:textFill>
            <w14:solidFill>
              <w14:schemeClr w14:val="tx1"/>
            </w14:solidFill>
          </w14:textFill>
        </w:rPr>
        <w:t>等对环境空气、地表水、地下水、声环境造成的不利影响。</w:t>
      </w:r>
    </w:p>
    <w:p w14:paraId="2865290B">
      <w:pPr>
        <w:ind w:firstLine="520"/>
        <w:rPr>
          <w:color w:val="000000" w:themeColor="text1"/>
          <w14:textFill>
            <w14:solidFill>
              <w14:schemeClr w14:val="tx1"/>
            </w14:solidFill>
          </w14:textFill>
        </w:rPr>
      </w:pPr>
      <w:r>
        <w:rPr>
          <w:color w:val="000000" w:themeColor="text1"/>
          <w14:textFill>
            <w14:solidFill>
              <w14:schemeClr w14:val="tx1"/>
            </w14:solidFill>
          </w14:textFill>
        </w:rPr>
        <w:t>（2）运营期环境影响的主要因素有：运营期废气对环境空气的不利影响；废水稳定达标排放和依托环保设施可行性；设备噪声、固体废物对周边环境的影响。</w:t>
      </w:r>
    </w:p>
    <w:p w14:paraId="4BE448E3">
      <w:pPr>
        <w:ind w:firstLine="520"/>
        <w:rPr>
          <w:color w:val="000000" w:themeColor="text1"/>
          <w14:textFill>
            <w14:solidFill>
              <w14:schemeClr w14:val="tx1"/>
            </w14:solidFill>
          </w14:textFill>
        </w:rPr>
      </w:pPr>
      <w:r>
        <w:rPr>
          <w:color w:val="000000" w:themeColor="text1"/>
          <w14:textFill>
            <w14:solidFill>
              <w14:schemeClr w14:val="tx1"/>
            </w14:solidFill>
          </w14:textFill>
        </w:rPr>
        <w:t>评价根据扩建项目建设特征、区域环境现状，识别项目建设的环境影响因素及环境影响性质见</w:t>
      </w:r>
      <w:bookmarkEnd w:id="46"/>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_Ref160531611 \h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1.4</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0FCD07A8">
      <w:pPr>
        <w:pStyle w:val="84"/>
        <w:rPr>
          <w:color w:val="000000" w:themeColor="text1"/>
          <w14:textFill>
            <w14:solidFill>
              <w14:schemeClr w14:val="tx1"/>
            </w14:solidFill>
          </w14:textFill>
        </w:rPr>
      </w:pPr>
      <w:bookmarkStart w:id="47" w:name="_Ref160531611"/>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表格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47"/>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大气</w:t>
      </w:r>
      <w:r>
        <w:rPr>
          <w:color w:val="000000" w:themeColor="text1"/>
          <w14:textFill>
            <w14:solidFill>
              <w14:schemeClr w14:val="tx1"/>
            </w14:solidFill>
          </w14:textFill>
        </w:rPr>
        <w:t>环境影响评价工作等级分级表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2370"/>
        <w:gridCol w:w="2481"/>
        <w:gridCol w:w="2478"/>
      </w:tblGrid>
      <w:tr w14:paraId="3C4E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00" w:type="pct"/>
            <w:gridSpan w:val="2"/>
            <w:vAlign w:val="center"/>
          </w:tcPr>
          <w:p w14:paraId="47AB6DAE">
            <w:pPr>
              <w:pStyle w:val="1535"/>
            </w:pPr>
            <w:bookmarkStart w:id="48" w:name="_Hlk160469433"/>
            <w:r>
              <w:t>环境影响要素</w:t>
            </w:r>
          </w:p>
        </w:tc>
        <w:tc>
          <w:tcPr>
            <w:tcW w:w="1401" w:type="pct"/>
            <w:vAlign w:val="center"/>
          </w:tcPr>
          <w:p w14:paraId="169B8827">
            <w:pPr>
              <w:pStyle w:val="1535"/>
            </w:pPr>
            <w:r>
              <w:t>施工期</w:t>
            </w:r>
          </w:p>
        </w:tc>
        <w:tc>
          <w:tcPr>
            <w:tcW w:w="1399" w:type="pct"/>
            <w:vAlign w:val="center"/>
          </w:tcPr>
          <w:p w14:paraId="67C2EEC5">
            <w:pPr>
              <w:pStyle w:val="1535"/>
            </w:pPr>
            <w:r>
              <w:t>营运期</w:t>
            </w:r>
          </w:p>
        </w:tc>
      </w:tr>
      <w:tr w14:paraId="0447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2" w:type="pct"/>
            <w:vMerge w:val="restart"/>
            <w:vAlign w:val="center"/>
          </w:tcPr>
          <w:p w14:paraId="3D00C788">
            <w:pPr>
              <w:pStyle w:val="1535"/>
            </w:pPr>
            <w:r>
              <w:t>自然环境</w:t>
            </w:r>
          </w:p>
        </w:tc>
        <w:tc>
          <w:tcPr>
            <w:tcW w:w="1338" w:type="pct"/>
            <w:vAlign w:val="center"/>
          </w:tcPr>
          <w:p w14:paraId="61F388A4">
            <w:pPr>
              <w:pStyle w:val="1535"/>
            </w:pPr>
            <w:r>
              <w:t>环境空气</w:t>
            </w:r>
          </w:p>
        </w:tc>
        <w:tc>
          <w:tcPr>
            <w:tcW w:w="1401" w:type="pct"/>
            <w:vAlign w:val="center"/>
          </w:tcPr>
          <w:p w14:paraId="56CDEC6B">
            <w:pPr>
              <w:pStyle w:val="1535"/>
            </w:pPr>
            <w:r>
              <w:t>-1</w:t>
            </w:r>
          </w:p>
        </w:tc>
        <w:tc>
          <w:tcPr>
            <w:tcW w:w="1399" w:type="pct"/>
            <w:vAlign w:val="center"/>
          </w:tcPr>
          <w:p w14:paraId="34F3B3D7">
            <w:pPr>
              <w:pStyle w:val="1535"/>
            </w:pPr>
            <w:r>
              <w:t>-</w:t>
            </w:r>
            <w:r>
              <w:rPr>
                <w:rFonts w:hint="eastAsia"/>
              </w:rPr>
              <w:t>1</w:t>
            </w:r>
          </w:p>
        </w:tc>
      </w:tr>
      <w:tr w14:paraId="59FB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2" w:type="pct"/>
            <w:vMerge w:val="continue"/>
            <w:vAlign w:val="center"/>
          </w:tcPr>
          <w:p w14:paraId="36A32CF1">
            <w:pPr>
              <w:pStyle w:val="1535"/>
            </w:pPr>
          </w:p>
        </w:tc>
        <w:tc>
          <w:tcPr>
            <w:tcW w:w="1338" w:type="pct"/>
            <w:vAlign w:val="center"/>
          </w:tcPr>
          <w:p w14:paraId="2CFFDE56">
            <w:pPr>
              <w:pStyle w:val="1535"/>
            </w:pPr>
            <w:r>
              <w:t>地表水环境</w:t>
            </w:r>
          </w:p>
        </w:tc>
        <w:tc>
          <w:tcPr>
            <w:tcW w:w="1401" w:type="pct"/>
            <w:vAlign w:val="center"/>
          </w:tcPr>
          <w:p w14:paraId="6F015957">
            <w:pPr>
              <w:pStyle w:val="1535"/>
            </w:pPr>
            <w:r>
              <w:rPr>
                <w:rFonts w:hint="eastAsia"/>
              </w:rPr>
              <w:t>0</w:t>
            </w:r>
          </w:p>
        </w:tc>
        <w:tc>
          <w:tcPr>
            <w:tcW w:w="1399" w:type="pct"/>
            <w:vAlign w:val="center"/>
          </w:tcPr>
          <w:p w14:paraId="21CD3F1E">
            <w:pPr>
              <w:pStyle w:val="1535"/>
            </w:pPr>
            <w:r>
              <w:t>-</w:t>
            </w:r>
            <w:r>
              <w:rPr>
                <w:rFonts w:hint="eastAsia"/>
              </w:rPr>
              <w:t>1</w:t>
            </w:r>
          </w:p>
        </w:tc>
      </w:tr>
      <w:tr w14:paraId="2C2A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2" w:type="pct"/>
            <w:vMerge w:val="continue"/>
            <w:vAlign w:val="center"/>
          </w:tcPr>
          <w:p w14:paraId="102AD8A7">
            <w:pPr>
              <w:pStyle w:val="1535"/>
            </w:pPr>
          </w:p>
        </w:tc>
        <w:tc>
          <w:tcPr>
            <w:tcW w:w="1338" w:type="pct"/>
            <w:vAlign w:val="center"/>
          </w:tcPr>
          <w:p w14:paraId="56C647DF">
            <w:pPr>
              <w:pStyle w:val="1535"/>
            </w:pPr>
            <w:r>
              <w:t>地下水环境</w:t>
            </w:r>
          </w:p>
        </w:tc>
        <w:tc>
          <w:tcPr>
            <w:tcW w:w="1401" w:type="pct"/>
            <w:vAlign w:val="center"/>
          </w:tcPr>
          <w:p w14:paraId="0FC0219D">
            <w:pPr>
              <w:pStyle w:val="1535"/>
            </w:pPr>
            <w:r>
              <w:t>0</w:t>
            </w:r>
          </w:p>
        </w:tc>
        <w:tc>
          <w:tcPr>
            <w:tcW w:w="1399" w:type="pct"/>
            <w:vAlign w:val="center"/>
          </w:tcPr>
          <w:p w14:paraId="58D63137">
            <w:pPr>
              <w:pStyle w:val="1535"/>
            </w:pPr>
            <w:r>
              <w:t>-1</w:t>
            </w:r>
          </w:p>
        </w:tc>
      </w:tr>
      <w:tr w14:paraId="3E18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2" w:type="pct"/>
            <w:vMerge w:val="continue"/>
            <w:vAlign w:val="center"/>
          </w:tcPr>
          <w:p w14:paraId="07A41AEB">
            <w:pPr>
              <w:pStyle w:val="1535"/>
            </w:pPr>
          </w:p>
        </w:tc>
        <w:tc>
          <w:tcPr>
            <w:tcW w:w="1338" w:type="pct"/>
            <w:vAlign w:val="center"/>
          </w:tcPr>
          <w:p w14:paraId="3DA95820">
            <w:pPr>
              <w:pStyle w:val="1535"/>
            </w:pPr>
            <w:r>
              <w:t>环境噪声</w:t>
            </w:r>
          </w:p>
        </w:tc>
        <w:tc>
          <w:tcPr>
            <w:tcW w:w="1401" w:type="pct"/>
            <w:vAlign w:val="center"/>
          </w:tcPr>
          <w:p w14:paraId="24A6AAA7">
            <w:pPr>
              <w:pStyle w:val="1535"/>
            </w:pPr>
            <w:r>
              <w:t>-1</w:t>
            </w:r>
          </w:p>
        </w:tc>
        <w:tc>
          <w:tcPr>
            <w:tcW w:w="1399" w:type="pct"/>
            <w:vAlign w:val="center"/>
          </w:tcPr>
          <w:p w14:paraId="28ED9925">
            <w:pPr>
              <w:pStyle w:val="1535"/>
            </w:pPr>
            <w:r>
              <w:t>-1</w:t>
            </w:r>
          </w:p>
        </w:tc>
      </w:tr>
      <w:tr w14:paraId="2B79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2" w:type="pct"/>
            <w:vMerge w:val="continue"/>
            <w:vAlign w:val="center"/>
          </w:tcPr>
          <w:p w14:paraId="59FF6A9C">
            <w:pPr>
              <w:pStyle w:val="1535"/>
            </w:pPr>
          </w:p>
        </w:tc>
        <w:tc>
          <w:tcPr>
            <w:tcW w:w="1338" w:type="pct"/>
            <w:vAlign w:val="center"/>
          </w:tcPr>
          <w:p w14:paraId="36A9CECB">
            <w:pPr>
              <w:pStyle w:val="1535"/>
            </w:pPr>
            <w:r>
              <w:t>土壤环境</w:t>
            </w:r>
          </w:p>
        </w:tc>
        <w:tc>
          <w:tcPr>
            <w:tcW w:w="1401" w:type="pct"/>
            <w:vAlign w:val="center"/>
          </w:tcPr>
          <w:p w14:paraId="2B6F1FB5">
            <w:pPr>
              <w:pStyle w:val="1535"/>
            </w:pPr>
            <w:r>
              <w:t>0</w:t>
            </w:r>
          </w:p>
        </w:tc>
        <w:tc>
          <w:tcPr>
            <w:tcW w:w="1399" w:type="pct"/>
            <w:vAlign w:val="center"/>
          </w:tcPr>
          <w:p w14:paraId="6120340D">
            <w:pPr>
              <w:pStyle w:val="1535"/>
            </w:pPr>
            <w:r>
              <w:t>-1</w:t>
            </w:r>
          </w:p>
        </w:tc>
      </w:tr>
      <w:tr w14:paraId="017B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2" w:type="pct"/>
            <w:vMerge w:val="restart"/>
            <w:vAlign w:val="center"/>
          </w:tcPr>
          <w:p w14:paraId="76ED30AE">
            <w:pPr>
              <w:pStyle w:val="1535"/>
            </w:pPr>
            <w:r>
              <w:t>生态环境</w:t>
            </w:r>
          </w:p>
        </w:tc>
        <w:tc>
          <w:tcPr>
            <w:tcW w:w="1338" w:type="pct"/>
            <w:vAlign w:val="center"/>
          </w:tcPr>
          <w:p w14:paraId="04717375">
            <w:pPr>
              <w:pStyle w:val="1535"/>
            </w:pPr>
            <w:r>
              <w:t>植被</w:t>
            </w:r>
          </w:p>
        </w:tc>
        <w:tc>
          <w:tcPr>
            <w:tcW w:w="1401" w:type="pct"/>
            <w:vAlign w:val="center"/>
          </w:tcPr>
          <w:p w14:paraId="0F6706E1">
            <w:pPr>
              <w:pStyle w:val="1535"/>
            </w:pPr>
            <w:r>
              <w:rPr>
                <w:rFonts w:hint="eastAsia"/>
              </w:rPr>
              <w:t>/</w:t>
            </w:r>
          </w:p>
        </w:tc>
        <w:tc>
          <w:tcPr>
            <w:tcW w:w="1399" w:type="pct"/>
            <w:vAlign w:val="center"/>
          </w:tcPr>
          <w:p w14:paraId="7E7FA221">
            <w:pPr>
              <w:pStyle w:val="1535"/>
            </w:pPr>
            <w:r>
              <w:t>0</w:t>
            </w:r>
          </w:p>
        </w:tc>
      </w:tr>
      <w:tr w14:paraId="7966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2" w:type="pct"/>
            <w:vMerge w:val="continue"/>
            <w:vAlign w:val="center"/>
          </w:tcPr>
          <w:p w14:paraId="01E5AD20">
            <w:pPr>
              <w:pStyle w:val="1535"/>
            </w:pPr>
          </w:p>
        </w:tc>
        <w:tc>
          <w:tcPr>
            <w:tcW w:w="1338" w:type="pct"/>
            <w:vAlign w:val="center"/>
          </w:tcPr>
          <w:p w14:paraId="632F59AC">
            <w:pPr>
              <w:pStyle w:val="1535"/>
            </w:pPr>
            <w:r>
              <w:t>水土流失</w:t>
            </w:r>
          </w:p>
        </w:tc>
        <w:tc>
          <w:tcPr>
            <w:tcW w:w="1401" w:type="pct"/>
            <w:vAlign w:val="center"/>
          </w:tcPr>
          <w:p w14:paraId="2A9017E7">
            <w:pPr>
              <w:pStyle w:val="1535"/>
            </w:pPr>
            <w:r>
              <w:rPr>
                <w:rFonts w:hint="eastAsia"/>
              </w:rPr>
              <w:t>/</w:t>
            </w:r>
          </w:p>
        </w:tc>
        <w:tc>
          <w:tcPr>
            <w:tcW w:w="1399" w:type="pct"/>
            <w:vAlign w:val="center"/>
          </w:tcPr>
          <w:p w14:paraId="74F1C02C">
            <w:pPr>
              <w:pStyle w:val="1535"/>
            </w:pPr>
            <w:r>
              <w:rPr>
                <w:rFonts w:hint="eastAsia"/>
              </w:rPr>
              <w:t>/</w:t>
            </w:r>
          </w:p>
        </w:tc>
      </w:tr>
      <w:bookmarkEnd w:id="48"/>
    </w:tbl>
    <w:p w14:paraId="64D3AC75">
      <w:pPr>
        <w:spacing w:line="240" w:lineRule="auto"/>
        <w:ind w:firstLine="42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注：</w:t>
      </w:r>
      <w:bookmarkStart w:id="49" w:name="_Hlk160469503"/>
      <w:r>
        <w:rPr>
          <w:color w:val="000000" w:themeColor="text1"/>
          <w:sz w:val="21"/>
          <w:szCs w:val="21"/>
          <w14:textFill>
            <w14:solidFill>
              <w14:schemeClr w14:val="tx1"/>
            </w14:solidFill>
          </w14:textFill>
        </w:rPr>
        <w:t>“-”表示不利影响，“+”表示有利影响，数字大小表示影响程度。1表示轻微影响，2表示可接受影响，3表示中等影响，4表示较大影响，5表示重大影响。</w:t>
      </w:r>
      <w:bookmarkEnd w:id="49"/>
    </w:p>
    <w:p w14:paraId="278BF6EC">
      <w:pPr>
        <w:pStyle w:val="5"/>
        <w:rPr>
          <w:bCs/>
          <w:color w:val="000000" w:themeColor="text1"/>
          <w14:textFill>
            <w14:solidFill>
              <w14:schemeClr w14:val="tx1"/>
            </w14:solidFill>
          </w14:textFill>
        </w:rPr>
      </w:pPr>
      <w:r>
        <w:rPr>
          <w:color w:val="000000" w:themeColor="text1"/>
          <w14:textFill>
            <w14:solidFill>
              <w14:schemeClr w14:val="tx1"/>
            </w14:solidFill>
          </w14:textFill>
        </w:rPr>
        <w:t>评价因子识别</w:t>
      </w:r>
    </w:p>
    <w:p w14:paraId="3F8C7D39">
      <w:pPr>
        <w:spacing w:before="24" w:line="360" w:lineRule="auto"/>
        <w:ind w:firstLine="520"/>
        <w:rPr>
          <w:color w:val="000000" w:themeColor="text1"/>
          <w14:textFill>
            <w14:solidFill>
              <w14:schemeClr w14:val="tx1"/>
            </w14:solidFill>
          </w14:textFill>
        </w:rPr>
      </w:pPr>
      <w:r>
        <w:rPr>
          <w:color w:val="000000" w:themeColor="text1"/>
          <w14:textFill>
            <w14:solidFill>
              <w14:schemeClr w14:val="tx1"/>
            </w14:solidFill>
          </w14:textFill>
        </w:rPr>
        <w:t>根据项目的建设内容和开发建设特征，环境影响及评价因子如</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_Ref160531456 \h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1.4</w:t>
      </w:r>
      <w:r>
        <w:rPr>
          <w:color w:val="000000" w:themeColor="text1"/>
          <w14:textFill>
            <w14:solidFill>
              <w14:schemeClr w14:val="tx1"/>
            </w14:solidFill>
          </w14:textFill>
        </w:rPr>
        <w:noBreakHyphen/>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_Ref160540857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1.4</w:t>
      </w:r>
      <w:r>
        <w:rPr>
          <w:color w:val="000000" w:themeColor="text1"/>
          <w14:textFill>
            <w14:solidFill>
              <w14:schemeClr w14:val="tx1"/>
            </w14:solidFill>
          </w14:textFill>
        </w:rPr>
        <w:noBreakHyphen/>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p>
    <w:p w14:paraId="0BACC41C">
      <w:pPr>
        <w:pStyle w:val="22"/>
        <w:keepNext/>
        <w:rPr>
          <w:color w:val="000000" w:themeColor="text1"/>
          <w14:textFill>
            <w14:solidFill>
              <w14:schemeClr w14:val="tx1"/>
            </w14:solidFill>
          </w14:textFill>
        </w:rPr>
      </w:pPr>
      <w:bookmarkStart w:id="50" w:name="_Ref160531456"/>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表格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bookmarkEnd w:id="50"/>
      <w:r>
        <w:rPr>
          <w:color w:val="000000" w:themeColor="text1"/>
          <w14:textFill>
            <w14:solidFill>
              <w14:schemeClr w14:val="tx1"/>
            </w14:solidFill>
          </w14:textFill>
        </w:rPr>
        <w:t xml:space="preserve">   </w:t>
      </w:r>
      <w:r>
        <w:rPr>
          <w:b w:val="0"/>
          <w:bCs w:val="0"/>
          <w:color w:val="000000" w:themeColor="text1"/>
          <w14:textFill>
            <w14:solidFill>
              <w14:schemeClr w14:val="tx1"/>
            </w14:solidFill>
          </w14:textFill>
        </w:rPr>
        <w:t>营运期主要排污环节与环境要素及主要污染因子</w:t>
      </w:r>
      <w:r>
        <w:rPr>
          <w:rFonts w:hint="eastAsia"/>
          <w:b w:val="0"/>
          <w:bCs w:val="0"/>
          <w:color w:val="000000" w:themeColor="text1"/>
          <w14:textFill>
            <w14:solidFill>
              <w14:schemeClr w14:val="tx1"/>
            </w14:solidFill>
          </w14:textFill>
        </w:rPr>
        <w:t>识别</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873"/>
        <w:gridCol w:w="2617"/>
        <w:gridCol w:w="2209"/>
        <w:gridCol w:w="1401"/>
        <w:gridCol w:w="1178"/>
      </w:tblGrid>
      <w:tr w14:paraId="7F8C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9" w:type="pct"/>
            <w:gridSpan w:val="2"/>
            <w:vAlign w:val="center"/>
          </w:tcPr>
          <w:p w14:paraId="7DEC15D3">
            <w:pPr>
              <w:pStyle w:val="1535"/>
            </w:pPr>
            <w:bookmarkStart w:id="51" w:name="_Hlk160469628"/>
            <w:r>
              <w:t>环境要素排污环节</w:t>
            </w:r>
          </w:p>
        </w:tc>
        <w:tc>
          <w:tcPr>
            <w:tcW w:w="1477" w:type="pct"/>
            <w:vAlign w:val="center"/>
          </w:tcPr>
          <w:p w14:paraId="650E2D92">
            <w:pPr>
              <w:pStyle w:val="1535"/>
            </w:pPr>
            <w:r>
              <w:t>水环境</w:t>
            </w:r>
          </w:p>
        </w:tc>
        <w:tc>
          <w:tcPr>
            <w:tcW w:w="1247" w:type="pct"/>
            <w:vAlign w:val="center"/>
          </w:tcPr>
          <w:p w14:paraId="6BF725DC">
            <w:pPr>
              <w:pStyle w:val="1535"/>
            </w:pPr>
            <w:r>
              <w:t>大气环境</w:t>
            </w:r>
          </w:p>
        </w:tc>
        <w:tc>
          <w:tcPr>
            <w:tcW w:w="791" w:type="pct"/>
            <w:vAlign w:val="center"/>
          </w:tcPr>
          <w:p w14:paraId="03745160">
            <w:pPr>
              <w:pStyle w:val="1535"/>
            </w:pPr>
            <w:r>
              <w:t>声环境</w:t>
            </w:r>
          </w:p>
        </w:tc>
        <w:tc>
          <w:tcPr>
            <w:tcW w:w="665" w:type="pct"/>
            <w:vAlign w:val="center"/>
          </w:tcPr>
          <w:p w14:paraId="20628B72">
            <w:pPr>
              <w:pStyle w:val="1535"/>
            </w:pPr>
            <w:r>
              <w:t>固体废物</w:t>
            </w:r>
          </w:p>
        </w:tc>
      </w:tr>
      <w:tr w14:paraId="30CB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9" w:type="pct"/>
            <w:gridSpan w:val="2"/>
            <w:vAlign w:val="center"/>
          </w:tcPr>
          <w:p w14:paraId="4601CCBB">
            <w:pPr>
              <w:pStyle w:val="1535"/>
            </w:pPr>
            <w:r>
              <w:t>员工生活</w:t>
            </w:r>
          </w:p>
        </w:tc>
        <w:tc>
          <w:tcPr>
            <w:tcW w:w="1477" w:type="pct"/>
            <w:vAlign w:val="center"/>
          </w:tcPr>
          <w:p w14:paraId="4E17F255">
            <w:pPr>
              <w:pStyle w:val="1535"/>
            </w:pPr>
            <w:r>
              <w:t>生活污水（COD、BOD</w:t>
            </w:r>
            <w:r>
              <w:rPr>
                <w:vertAlign w:val="subscript"/>
              </w:rPr>
              <w:t>5</w:t>
            </w:r>
            <w:r>
              <w:t>、SS、NH</w:t>
            </w:r>
            <w:r>
              <w:rPr>
                <w:vertAlign w:val="subscript"/>
              </w:rPr>
              <w:t>3</w:t>
            </w:r>
            <w:r>
              <w:t>-N、动植物油）</w:t>
            </w:r>
          </w:p>
        </w:tc>
        <w:tc>
          <w:tcPr>
            <w:tcW w:w="1247" w:type="pct"/>
            <w:vAlign w:val="center"/>
          </w:tcPr>
          <w:p w14:paraId="07B87CE6">
            <w:pPr>
              <w:pStyle w:val="1535"/>
            </w:pPr>
            <w:r>
              <w:t>/</w:t>
            </w:r>
          </w:p>
        </w:tc>
        <w:tc>
          <w:tcPr>
            <w:tcW w:w="791" w:type="pct"/>
            <w:vAlign w:val="center"/>
          </w:tcPr>
          <w:p w14:paraId="4B9C4B1C">
            <w:pPr>
              <w:pStyle w:val="1535"/>
            </w:pPr>
            <w:r>
              <w:t>/</w:t>
            </w:r>
          </w:p>
        </w:tc>
        <w:tc>
          <w:tcPr>
            <w:tcW w:w="665" w:type="pct"/>
            <w:vAlign w:val="center"/>
          </w:tcPr>
          <w:p w14:paraId="45FA5CEB">
            <w:pPr>
              <w:pStyle w:val="1535"/>
            </w:pPr>
            <w:r>
              <w:t>生活垃圾</w:t>
            </w:r>
          </w:p>
        </w:tc>
      </w:tr>
      <w:tr w14:paraId="4F84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6" w:type="pct"/>
            <w:vAlign w:val="center"/>
          </w:tcPr>
          <w:p w14:paraId="0AB4851A">
            <w:pPr>
              <w:pStyle w:val="1535"/>
            </w:pPr>
            <w:r>
              <w:t>生产</w:t>
            </w:r>
          </w:p>
        </w:tc>
        <w:tc>
          <w:tcPr>
            <w:tcW w:w="493" w:type="pct"/>
            <w:vAlign w:val="center"/>
          </w:tcPr>
          <w:p w14:paraId="4A62EB1F">
            <w:pPr>
              <w:pStyle w:val="1535"/>
            </w:pPr>
            <w:r>
              <w:t>生产车间</w:t>
            </w:r>
          </w:p>
        </w:tc>
        <w:tc>
          <w:tcPr>
            <w:tcW w:w="1477" w:type="pct"/>
            <w:vAlign w:val="center"/>
          </w:tcPr>
          <w:p w14:paraId="4FE2D256">
            <w:pPr>
              <w:pStyle w:val="1535"/>
            </w:pPr>
            <w:r>
              <w:t>清洗线废水、纯水站浓水（pH、COD、SS、石油类、氟化物、氨氮）</w:t>
            </w:r>
          </w:p>
        </w:tc>
        <w:tc>
          <w:tcPr>
            <w:tcW w:w="1247" w:type="pct"/>
            <w:vAlign w:val="center"/>
          </w:tcPr>
          <w:p w14:paraId="4BAC116C">
            <w:pPr>
              <w:pStyle w:val="1535"/>
            </w:pPr>
            <w:r>
              <w:t>氟化物、氯化氢、颗粒物</w:t>
            </w:r>
            <w:r>
              <w:rPr>
                <w:rFonts w:hint="eastAsia"/>
              </w:rPr>
              <w:t>、非甲烷总烃</w:t>
            </w:r>
          </w:p>
        </w:tc>
        <w:tc>
          <w:tcPr>
            <w:tcW w:w="791" w:type="pct"/>
            <w:vAlign w:val="center"/>
          </w:tcPr>
          <w:p w14:paraId="23253075">
            <w:pPr>
              <w:pStyle w:val="1535"/>
            </w:pPr>
            <w:r>
              <w:t>加工中心、空压机等（Leq）</w:t>
            </w:r>
          </w:p>
        </w:tc>
        <w:tc>
          <w:tcPr>
            <w:tcW w:w="665" w:type="pct"/>
            <w:vAlign w:val="center"/>
          </w:tcPr>
          <w:p w14:paraId="64C0B246">
            <w:pPr>
              <w:pStyle w:val="1535"/>
            </w:pPr>
            <w:r>
              <w:t>废切削液等</w:t>
            </w:r>
          </w:p>
        </w:tc>
      </w:tr>
      <w:tr w14:paraId="52BB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9" w:type="pct"/>
            <w:gridSpan w:val="2"/>
            <w:vAlign w:val="center"/>
          </w:tcPr>
          <w:p w14:paraId="1673A2C4">
            <w:pPr>
              <w:pStyle w:val="1535"/>
            </w:pPr>
            <w:r>
              <w:t>厂区综合污水处理站</w:t>
            </w:r>
          </w:p>
        </w:tc>
        <w:tc>
          <w:tcPr>
            <w:tcW w:w="1477" w:type="pct"/>
            <w:vAlign w:val="center"/>
          </w:tcPr>
          <w:p w14:paraId="6D380088">
            <w:pPr>
              <w:pStyle w:val="1535"/>
            </w:pPr>
            <w:r>
              <w:t>COD、SS、NH</w:t>
            </w:r>
            <w:r>
              <w:rPr>
                <w:vertAlign w:val="subscript"/>
              </w:rPr>
              <w:t>3</w:t>
            </w:r>
            <w:r>
              <w:t>-N、石油类、氟化物</w:t>
            </w:r>
          </w:p>
        </w:tc>
        <w:tc>
          <w:tcPr>
            <w:tcW w:w="1247" w:type="pct"/>
            <w:vAlign w:val="center"/>
          </w:tcPr>
          <w:p w14:paraId="18795E9D">
            <w:pPr>
              <w:pStyle w:val="1535"/>
            </w:pPr>
            <w:r>
              <w:rPr>
                <w:rFonts w:hint="eastAsia"/>
              </w:rPr>
              <w:t>/</w:t>
            </w:r>
          </w:p>
        </w:tc>
        <w:tc>
          <w:tcPr>
            <w:tcW w:w="791" w:type="pct"/>
            <w:vAlign w:val="center"/>
          </w:tcPr>
          <w:p w14:paraId="032F7499">
            <w:pPr>
              <w:pStyle w:val="1535"/>
            </w:pPr>
            <w:r>
              <w:t>水泵（Leq）</w:t>
            </w:r>
          </w:p>
        </w:tc>
        <w:tc>
          <w:tcPr>
            <w:tcW w:w="665" w:type="pct"/>
            <w:vAlign w:val="center"/>
          </w:tcPr>
          <w:p w14:paraId="4E98B09A">
            <w:pPr>
              <w:pStyle w:val="1535"/>
            </w:pPr>
            <w:r>
              <w:t>污泥等</w:t>
            </w:r>
          </w:p>
        </w:tc>
      </w:tr>
      <w:bookmarkEnd w:id="51"/>
    </w:tbl>
    <w:p w14:paraId="0D5D8382">
      <w:pPr>
        <w:pStyle w:val="22"/>
        <w:keepNext/>
        <w:rPr>
          <w:color w:val="000000" w:themeColor="text1"/>
          <w14:textFill>
            <w14:solidFill>
              <w14:schemeClr w14:val="tx1"/>
            </w14:solidFill>
          </w14:textFill>
        </w:rPr>
      </w:pPr>
      <w:bookmarkStart w:id="52" w:name="_Ref160540857"/>
      <w:bookmarkStart w:id="53" w:name="_Hlk160469729"/>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bookmarkEnd w:id="52"/>
      <w:r>
        <w:rPr>
          <w:color w:val="000000" w:themeColor="text1"/>
          <w14:textFill>
            <w14:solidFill>
              <w14:schemeClr w14:val="tx1"/>
            </w14:solidFill>
          </w14:textFill>
        </w:rPr>
        <w:t xml:space="preserve">  </w:t>
      </w:r>
      <w:r>
        <w:rPr>
          <w:b w:val="0"/>
          <w:bCs w:val="0"/>
          <w:color w:val="000000" w:themeColor="text1"/>
          <w14:textFill>
            <w14:solidFill>
              <w14:schemeClr w14:val="tx1"/>
            </w14:solidFill>
          </w14:textFill>
        </w:rPr>
        <w:t>环境影响评价因子一览表</w:t>
      </w:r>
    </w:p>
    <w:bookmarkEnd w:id="53"/>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215"/>
        <w:gridCol w:w="6518"/>
      </w:tblGrid>
      <w:tr w14:paraId="7F66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4" w:type="pct"/>
            <w:vAlign w:val="center"/>
          </w:tcPr>
          <w:p w14:paraId="578ABDD5">
            <w:pPr>
              <w:pStyle w:val="1535"/>
            </w:pPr>
            <w:bookmarkStart w:id="54" w:name="_Hlk160469684"/>
            <w:r>
              <w:t>类别</w:t>
            </w:r>
          </w:p>
        </w:tc>
        <w:tc>
          <w:tcPr>
            <w:tcW w:w="686" w:type="pct"/>
            <w:vAlign w:val="center"/>
          </w:tcPr>
          <w:p w14:paraId="00A189A5">
            <w:pPr>
              <w:pStyle w:val="1535"/>
            </w:pPr>
            <w:r>
              <w:t>环境要素</w:t>
            </w:r>
          </w:p>
        </w:tc>
        <w:tc>
          <w:tcPr>
            <w:tcW w:w="3680" w:type="pct"/>
            <w:vAlign w:val="center"/>
          </w:tcPr>
          <w:p w14:paraId="502A3CAF">
            <w:pPr>
              <w:pStyle w:val="1535"/>
            </w:pPr>
            <w:r>
              <w:t>评价因子</w:t>
            </w:r>
          </w:p>
        </w:tc>
      </w:tr>
      <w:tr w14:paraId="26C9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4" w:type="pct"/>
            <w:vMerge w:val="restart"/>
            <w:vAlign w:val="center"/>
          </w:tcPr>
          <w:p w14:paraId="26B2D85F">
            <w:pPr>
              <w:pStyle w:val="1535"/>
            </w:pPr>
            <w:r>
              <w:t>环境质量现状评价</w:t>
            </w:r>
          </w:p>
        </w:tc>
        <w:tc>
          <w:tcPr>
            <w:tcW w:w="686" w:type="pct"/>
            <w:vAlign w:val="center"/>
          </w:tcPr>
          <w:p w14:paraId="362387C2">
            <w:pPr>
              <w:pStyle w:val="1535"/>
            </w:pPr>
            <w:r>
              <w:t>环境空气</w:t>
            </w:r>
          </w:p>
        </w:tc>
        <w:tc>
          <w:tcPr>
            <w:tcW w:w="3680" w:type="pct"/>
            <w:vAlign w:val="center"/>
          </w:tcPr>
          <w:p w14:paraId="0C1BEFC0">
            <w:pPr>
              <w:pStyle w:val="1535"/>
            </w:pPr>
            <w:r>
              <w:t>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r>
              <w:t>、氟化物、氯化氢、非甲烷总烃</w:t>
            </w:r>
          </w:p>
        </w:tc>
      </w:tr>
      <w:tr w14:paraId="3695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1607C184">
            <w:pPr>
              <w:pStyle w:val="1535"/>
            </w:pPr>
          </w:p>
        </w:tc>
        <w:tc>
          <w:tcPr>
            <w:tcW w:w="686" w:type="pct"/>
            <w:vAlign w:val="center"/>
          </w:tcPr>
          <w:p w14:paraId="4297B3B4">
            <w:pPr>
              <w:pStyle w:val="1535"/>
            </w:pPr>
            <w:r>
              <w:t>地表水环境</w:t>
            </w:r>
          </w:p>
        </w:tc>
        <w:tc>
          <w:tcPr>
            <w:tcW w:w="3680" w:type="pct"/>
            <w:vAlign w:val="center"/>
          </w:tcPr>
          <w:p w14:paraId="50D5D68F">
            <w:pPr>
              <w:pStyle w:val="1535"/>
            </w:pPr>
            <w:r>
              <w:t>pH、COD、氨氮、石油类、氟化物</w:t>
            </w:r>
          </w:p>
        </w:tc>
      </w:tr>
      <w:tr w14:paraId="3321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0D652F8F">
            <w:pPr>
              <w:pStyle w:val="1535"/>
            </w:pPr>
          </w:p>
        </w:tc>
        <w:tc>
          <w:tcPr>
            <w:tcW w:w="686" w:type="pct"/>
            <w:vAlign w:val="center"/>
          </w:tcPr>
          <w:p w14:paraId="7DDE3CD0">
            <w:pPr>
              <w:pStyle w:val="1535"/>
            </w:pPr>
            <w:r>
              <w:t>声环境</w:t>
            </w:r>
          </w:p>
        </w:tc>
        <w:tc>
          <w:tcPr>
            <w:tcW w:w="3680" w:type="pct"/>
            <w:vAlign w:val="center"/>
          </w:tcPr>
          <w:p w14:paraId="51CFFCC9">
            <w:pPr>
              <w:pStyle w:val="1535"/>
            </w:pPr>
            <w:r>
              <w:t>等效连续A声级</w:t>
            </w:r>
          </w:p>
        </w:tc>
      </w:tr>
      <w:tr w14:paraId="0015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27B9402F">
            <w:pPr>
              <w:pStyle w:val="1535"/>
            </w:pPr>
          </w:p>
        </w:tc>
        <w:tc>
          <w:tcPr>
            <w:tcW w:w="686" w:type="pct"/>
            <w:vAlign w:val="center"/>
          </w:tcPr>
          <w:p w14:paraId="08E003CC">
            <w:pPr>
              <w:pStyle w:val="1535"/>
            </w:pPr>
            <w:r>
              <w:t>土壤环境</w:t>
            </w:r>
          </w:p>
        </w:tc>
        <w:tc>
          <w:tcPr>
            <w:tcW w:w="3680" w:type="pct"/>
            <w:vAlign w:val="center"/>
          </w:tcPr>
          <w:p w14:paraId="14FE6FD8">
            <w:pPr>
              <w:pStyle w:val="1535"/>
            </w:pPr>
            <w:r>
              <w:t>pH值、石油烃、砷、镉、铬（六价）、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r>
      <w:tr w14:paraId="4D7E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4" w:type="pct"/>
            <w:vMerge w:val="restart"/>
            <w:vAlign w:val="center"/>
          </w:tcPr>
          <w:p w14:paraId="52804A8C">
            <w:pPr>
              <w:pStyle w:val="1535"/>
            </w:pPr>
            <w:r>
              <w:t>环境影响分析评价</w:t>
            </w:r>
          </w:p>
        </w:tc>
        <w:tc>
          <w:tcPr>
            <w:tcW w:w="686" w:type="pct"/>
            <w:vAlign w:val="center"/>
          </w:tcPr>
          <w:p w14:paraId="1EB8BEA5">
            <w:pPr>
              <w:pStyle w:val="1535"/>
            </w:pPr>
            <w:r>
              <w:t>大气</w:t>
            </w:r>
          </w:p>
        </w:tc>
        <w:tc>
          <w:tcPr>
            <w:tcW w:w="3680" w:type="pct"/>
            <w:vAlign w:val="center"/>
          </w:tcPr>
          <w:p w14:paraId="307682A1">
            <w:pPr>
              <w:pStyle w:val="1535"/>
            </w:pPr>
            <w:r>
              <w:t>氟化物、氯化氢、</w:t>
            </w:r>
            <w:r>
              <w:rPr>
                <w:rFonts w:hint="eastAsia"/>
              </w:rPr>
              <w:t>颗粒物</w:t>
            </w:r>
            <w:r>
              <w:t>、非甲烷总烃</w:t>
            </w:r>
          </w:p>
        </w:tc>
      </w:tr>
      <w:tr w14:paraId="3E9B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7BB622B0">
            <w:pPr>
              <w:pStyle w:val="1535"/>
            </w:pPr>
          </w:p>
        </w:tc>
        <w:tc>
          <w:tcPr>
            <w:tcW w:w="686" w:type="pct"/>
            <w:vAlign w:val="center"/>
          </w:tcPr>
          <w:p w14:paraId="155DADDB">
            <w:pPr>
              <w:pStyle w:val="1535"/>
            </w:pPr>
            <w:r>
              <w:t>地表水</w:t>
            </w:r>
          </w:p>
        </w:tc>
        <w:tc>
          <w:tcPr>
            <w:tcW w:w="3680" w:type="pct"/>
            <w:vAlign w:val="center"/>
          </w:tcPr>
          <w:p w14:paraId="45E35E09">
            <w:pPr>
              <w:pStyle w:val="1535"/>
            </w:pPr>
            <w:r>
              <w:t>COD、SS、NH</w:t>
            </w:r>
            <w:r>
              <w:rPr>
                <w:vertAlign w:val="subscript"/>
              </w:rPr>
              <w:t>3</w:t>
            </w:r>
            <w:r>
              <w:t>-N、石油类、氟化物、动植物油</w:t>
            </w:r>
          </w:p>
        </w:tc>
      </w:tr>
      <w:tr w14:paraId="3D06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677D06F0">
            <w:pPr>
              <w:pStyle w:val="1535"/>
            </w:pPr>
          </w:p>
        </w:tc>
        <w:tc>
          <w:tcPr>
            <w:tcW w:w="686" w:type="pct"/>
            <w:vAlign w:val="center"/>
          </w:tcPr>
          <w:p w14:paraId="428019C7">
            <w:pPr>
              <w:pStyle w:val="1535"/>
            </w:pPr>
            <w:r>
              <w:t>地下水</w:t>
            </w:r>
          </w:p>
        </w:tc>
        <w:tc>
          <w:tcPr>
            <w:tcW w:w="3680" w:type="pct"/>
            <w:vAlign w:val="center"/>
          </w:tcPr>
          <w:p w14:paraId="4769B30C">
            <w:pPr>
              <w:pStyle w:val="1535"/>
            </w:pPr>
            <w:r>
              <w:rPr>
                <w:rFonts w:hint="eastAsia"/>
              </w:rPr>
              <w:t>氟化物</w:t>
            </w:r>
          </w:p>
        </w:tc>
      </w:tr>
      <w:tr w14:paraId="601B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421B8720">
            <w:pPr>
              <w:pStyle w:val="1535"/>
            </w:pPr>
          </w:p>
        </w:tc>
        <w:tc>
          <w:tcPr>
            <w:tcW w:w="686" w:type="pct"/>
            <w:vAlign w:val="center"/>
          </w:tcPr>
          <w:p w14:paraId="351BAB25">
            <w:pPr>
              <w:pStyle w:val="1535"/>
            </w:pPr>
            <w:r>
              <w:t>固体废物</w:t>
            </w:r>
          </w:p>
        </w:tc>
        <w:tc>
          <w:tcPr>
            <w:tcW w:w="3680" w:type="pct"/>
            <w:vAlign w:val="center"/>
          </w:tcPr>
          <w:p w14:paraId="01818017">
            <w:pPr>
              <w:pStyle w:val="1535"/>
            </w:pPr>
            <w:r>
              <w:t>一般工业固废、危险废物、生活垃圾</w:t>
            </w:r>
          </w:p>
        </w:tc>
      </w:tr>
      <w:tr w14:paraId="220E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1D7F6788">
            <w:pPr>
              <w:pStyle w:val="1535"/>
            </w:pPr>
          </w:p>
        </w:tc>
        <w:tc>
          <w:tcPr>
            <w:tcW w:w="686" w:type="pct"/>
            <w:vAlign w:val="center"/>
          </w:tcPr>
          <w:p w14:paraId="3BB3911E">
            <w:pPr>
              <w:pStyle w:val="1535"/>
            </w:pPr>
            <w:r>
              <w:t>厂界噪声</w:t>
            </w:r>
          </w:p>
        </w:tc>
        <w:tc>
          <w:tcPr>
            <w:tcW w:w="3680" w:type="pct"/>
            <w:vAlign w:val="center"/>
          </w:tcPr>
          <w:p w14:paraId="72D2F507">
            <w:pPr>
              <w:pStyle w:val="1535"/>
            </w:pPr>
            <w:r>
              <w:t>等效连续A声级</w:t>
            </w:r>
          </w:p>
        </w:tc>
      </w:tr>
      <w:tr w14:paraId="789D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326D59BA">
            <w:pPr>
              <w:pStyle w:val="1535"/>
            </w:pPr>
          </w:p>
        </w:tc>
        <w:tc>
          <w:tcPr>
            <w:tcW w:w="686" w:type="pct"/>
            <w:vAlign w:val="center"/>
          </w:tcPr>
          <w:p w14:paraId="281802F2">
            <w:pPr>
              <w:pStyle w:val="1535"/>
            </w:pPr>
            <w:r>
              <w:t>土壤环境</w:t>
            </w:r>
          </w:p>
        </w:tc>
        <w:tc>
          <w:tcPr>
            <w:tcW w:w="3680" w:type="pct"/>
            <w:vAlign w:val="center"/>
          </w:tcPr>
          <w:p w14:paraId="3C35D79B">
            <w:pPr>
              <w:pStyle w:val="1535"/>
            </w:pPr>
            <w:r>
              <w:rPr>
                <w:rFonts w:hint="eastAsia"/>
              </w:rPr>
              <w:t>pH、</w:t>
            </w:r>
            <w:r>
              <w:t>石油烃</w:t>
            </w:r>
          </w:p>
        </w:tc>
      </w:tr>
      <w:bookmarkEnd w:id="54"/>
    </w:tbl>
    <w:p w14:paraId="3DD69CA1">
      <w:pPr>
        <w:pStyle w:val="4"/>
        <w:rPr>
          <w:color w:val="000000" w:themeColor="text1"/>
          <w14:textFill>
            <w14:solidFill>
              <w14:schemeClr w14:val="tx1"/>
            </w14:solidFill>
          </w14:textFill>
        </w:rPr>
      </w:pPr>
      <w:bookmarkStart w:id="55" w:name="_Toc28741"/>
      <w:r>
        <w:rPr>
          <w:color w:val="000000" w:themeColor="text1"/>
          <w14:textFill>
            <w14:solidFill>
              <w14:schemeClr w14:val="tx1"/>
            </w14:solidFill>
          </w14:textFill>
        </w:rPr>
        <w:t>评价标准</w:t>
      </w:r>
      <w:bookmarkEnd w:id="55"/>
    </w:p>
    <w:p w14:paraId="6D439A09">
      <w:pPr>
        <w:pStyle w:val="5"/>
        <w:rPr>
          <w:bCs/>
          <w:color w:val="000000" w:themeColor="text1"/>
          <w14:textFill>
            <w14:solidFill>
              <w14:schemeClr w14:val="tx1"/>
            </w14:solidFill>
          </w14:textFill>
        </w:rPr>
      </w:pPr>
      <w:r>
        <w:rPr>
          <w:color w:val="000000" w:themeColor="text1"/>
          <w14:textFill>
            <w14:solidFill>
              <w14:schemeClr w14:val="tx1"/>
            </w14:solidFill>
          </w14:textFill>
        </w:rPr>
        <w:t>环境质量标准</w:t>
      </w:r>
    </w:p>
    <w:p w14:paraId="55794B65">
      <w:pPr>
        <w:ind w:firstLine="520"/>
        <w:rPr>
          <w:color w:val="000000" w:themeColor="text1"/>
          <w14:textFill>
            <w14:solidFill>
              <w14:schemeClr w14:val="tx1"/>
            </w14:solidFill>
          </w14:textFill>
        </w:rPr>
      </w:pPr>
      <w:r>
        <w:rPr>
          <w:color w:val="000000" w:themeColor="text1"/>
          <w14:textFill>
            <w14:solidFill>
              <w14:schemeClr w14:val="tx1"/>
            </w14:solidFill>
          </w14:textFill>
        </w:rPr>
        <w:t>（1）环境空气</w:t>
      </w:r>
    </w:p>
    <w:p w14:paraId="294E52E9">
      <w:pPr>
        <w:ind w:firstLine="520"/>
        <w:rPr>
          <w:color w:val="000000" w:themeColor="text1"/>
          <w14:textFill>
            <w14:solidFill>
              <w14:schemeClr w14:val="tx1"/>
            </w14:solidFill>
          </w14:textFill>
        </w:rPr>
      </w:pPr>
      <w:r>
        <w:rPr>
          <w:color w:val="000000" w:themeColor="text1"/>
          <w14:textFill>
            <w14:solidFill>
              <w14:schemeClr w14:val="tx1"/>
            </w14:solidFill>
          </w14:textFill>
        </w:rPr>
        <w:t>根据《重庆市环境空气质量功能区划分规定》（渝府发[2016]19号），项目所在地SO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执行《环境空气质量标准》（GB3095-2012）中二级标准，</w:t>
      </w:r>
      <w:bookmarkStart w:id="56" w:name="_Hlk160469773"/>
      <w:r>
        <w:rPr>
          <w:color w:val="000000" w:themeColor="text1"/>
          <w14:textFill>
            <w14:solidFill>
              <w14:schemeClr w14:val="tx1"/>
            </w14:solidFill>
          </w14:textFill>
        </w:rPr>
        <w:t>氯化氢</w:t>
      </w:r>
      <w:bookmarkEnd w:id="56"/>
      <w:r>
        <w:rPr>
          <w:color w:val="000000" w:themeColor="text1"/>
          <w:spacing w:val="-4"/>
          <w14:textFill>
            <w14:solidFill>
              <w14:schemeClr w14:val="tx1"/>
            </w14:solidFill>
          </w14:textFill>
        </w:rPr>
        <w:t>小时平均值</w:t>
      </w:r>
      <w:r>
        <w:rPr>
          <w:color w:val="000000" w:themeColor="text1"/>
          <w14:textFill>
            <w14:solidFill>
              <w14:schemeClr w14:val="tx1"/>
            </w14:solidFill>
          </w14:textFill>
        </w:rPr>
        <w:t>参照执行《环境影响评价技术导则大气环境》（HJ2.2-2018）“附录D其他污染物空气质量浓度参考限值”，非甲烷总烃参照执行河北省地方标准《环境空气质量非甲烷总烃限值》（DB13/1577-2012），</w:t>
      </w:r>
      <w:bookmarkStart w:id="57" w:name="_Hlk160469812"/>
      <w:r>
        <w:rPr>
          <w:color w:val="000000" w:themeColor="text1"/>
          <w14:textFill>
            <w14:solidFill>
              <w14:schemeClr w14:val="tx1"/>
            </w14:solidFill>
          </w14:textFill>
        </w:rPr>
        <w:t>氟化物执行《环境空气质量标准》（GB3095-2012）附录A二级标准。</w:t>
      </w:r>
      <w:bookmarkEnd w:id="57"/>
    </w:p>
    <w:p w14:paraId="3CCF79BB">
      <w:pPr>
        <w:spacing w:before="24"/>
        <w:ind w:firstLine="1040" w:firstLineChars="40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环境空气质量标准限值单位：μg/m</w:t>
      </w:r>
      <w:r>
        <w:rPr>
          <w:color w:val="000000" w:themeColor="text1"/>
          <w:vertAlign w:val="superscript"/>
          <w14:textFill>
            <w14:solidFill>
              <w14:schemeClr w14:val="tx1"/>
            </w14:solidFill>
          </w14:textFill>
        </w:rPr>
        <w:t>3</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121"/>
        <w:gridCol w:w="962"/>
        <w:gridCol w:w="831"/>
        <w:gridCol w:w="1585"/>
        <w:gridCol w:w="3124"/>
      </w:tblGrid>
      <w:tr w14:paraId="45F9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96" w:type="pct"/>
            <w:vMerge w:val="restart"/>
            <w:vAlign w:val="center"/>
          </w:tcPr>
          <w:p w14:paraId="7E7DC08A">
            <w:pPr>
              <w:pStyle w:val="1535"/>
            </w:pPr>
            <w:bookmarkStart w:id="58" w:name="_Hlk160469837"/>
            <w:r>
              <w:t>污染物</w:t>
            </w:r>
          </w:p>
        </w:tc>
        <w:tc>
          <w:tcPr>
            <w:tcW w:w="633" w:type="pct"/>
            <w:vMerge w:val="restart"/>
            <w:vAlign w:val="center"/>
          </w:tcPr>
          <w:p w14:paraId="39506485">
            <w:pPr>
              <w:pStyle w:val="1535"/>
            </w:pPr>
            <w:r>
              <w:t>小时平均</w:t>
            </w:r>
          </w:p>
        </w:tc>
        <w:tc>
          <w:tcPr>
            <w:tcW w:w="543" w:type="pct"/>
            <w:vMerge w:val="restart"/>
            <w:vAlign w:val="center"/>
          </w:tcPr>
          <w:p w14:paraId="5C2D1BDB">
            <w:pPr>
              <w:pStyle w:val="1535"/>
            </w:pPr>
            <w:r>
              <w:t>日平均</w:t>
            </w:r>
          </w:p>
        </w:tc>
        <w:tc>
          <w:tcPr>
            <w:tcW w:w="469" w:type="pct"/>
            <w:vMerge w:val="restart"/>
            <w:vAlign w:val="center"/>
          </w:tcPr>
          <w:p w14:paraId="49927CB8">
            <w:pPr>
              <w:pStyle w:val="1535"/>
            </w:pPr>
            <w:r>
              <w:t>年平均</w:t>
            </w:r>
          </w:p>
        </w:tc>
        <w:tc>
          <w:tcPr>
            <w:tcW w:w="895" w:type="pct"/>
            <w:vMerge w:val="restart"/>
            <w:vAlign w:val="center"/>
          </w:tcPr>
          <w:p w14:paraId="13C788B8">
            <w:pPr>
              <w:pStyle w:val="1535"/>
            </w:pPr>
            <w:bookmarkStart w:id="59" w:name="RANGE!R11"/>
            <w:r>
              <w:t>最大8小时平均</w:t>
            </w:r>
            <w:bookmarkEnd w:id="59"/>
          </w:p>
        </w:tc>
        <w:tc>
          <w:tcPr>
            <w:tcW w:w="1764" w:type="pct"/>
            <w:vMerge w:val="restart"/>
            <w:vAlign w:val="center"/>
          </w:tcPr>
          <w:p w14:paraId="68D4C791">
            <w:pPr>
              <w:pStyle w:val="1535"/>
            </w:pPr>
            <w:r>
              <w:t>备注</w:t>
            </w:r>
          </w:p>
        </w:tc>
      </w:tr>
      <w:tr w14:paraId="704E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96" w:type="pct"/>
            <w:vMerge w:val="continue"/>
            <w:vAlign w:val="center"/>
          </w:tcPr>
          <w:p w14:paraId="7D635A68">
            <w:pPr>
              <w:pStyle w:val="1535"/>
            </w:pPr>
          </w:p>
        </w:tc>
        <w:tc>
          <w:tcPr>
            <w:tcW w:w="633" w:type="pct"/>
            <w:vMerge w:val="continue"/>
            <w:vAlign w:val="center"/>
          </w:tcPr>
          <w:p w14:paraId="67904788">
            <w:pPr>
              <w:pStyle w:val="1535"/>
            </w:pPr>
          </w:p>
        </w:tc>
        <w:tc>
          <w:tcPr>
            <w:tcW w:w="543" w:type="pct"/>
            <w:vMerge w:val="continue"/>
            <w:vAlign w:val="center"/>
          </w:tcPr>
          <w:p w14:paraId="25152112">
            <w:pPr>
              <w:pStyle w:val="1535"/>
            </w:pPr>
          </w:p>
        </w:tc>
        <w:tc>
          <w:tcPr>
            <w:tcW w:w="469" w:type="pct"/>
            <w:vMerge w:val="continue"/>
            <w:vAlign w:val="center"/>
          </w:tcPr>
          <w:p w14:paraId="36A28243">
            <w:pPr>
              <w:pStyle w:val="1535"/>
            </w:pPr>
          </w:p>
        </w:tc>
        <w:tc>
          <w:tcPr>
            <w:tcW w:w="895" w:type="pct"/>
            <w:vMerge w:val="continue"/>
            <w:vAlign w:val="center"/>
          </w:tcPr>
          <w:p w14:paraId="136C0C33">
            <w:pPr>
              <w:pStyle w:val="1535"/>
            </w:pPr>
          </w:p>
        </w:tc>
        <w:tc>
          <w:tcPr>
            <w:tcW w:w="1764" w:type="pct"/>
            <w:vMerge w:val="continue"/>
            <w:vAlign w:val="center"/>
          </w:tcPr>
          <w:p w14:paraId="331CBB6C">
            <w:pPr>
              <w:pStyle w:val="1535"/>
            </w:pPr>
          </w:p>
        </w:tc>
      </w:tr>
      <w:tr w14:paraId="70D7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6" w:type="pct"/>
            <w:vAlign w:val="center"/>
          </w:tcPr>
          <w:p w14:paraId="1F3C91D6">
            <w:pPr>
              <w:pStyle w:val="1535"/>
            </w:pPr>
            <w:r>
              <w:t>SO</w:t>
            </w:r>
            <w:r>
              <w:rPr>
                <w:vertAlign w:val="subscript"/>
              </w:rPr>
              <w:t>2</w:t>
            </w:r>
          </w:p>
        </w:tc>
        <w:tc>
          <w:tcPr>
            <w:tcW w:w="633" w:type="pct"/>
            <w:vAlign w:val="center"/>
          </w:tcPr>
          <w:p w14:paraId="71B38BB1">
            <w:pPr>
              <w:pStyle w:val="1535"/>
            </w:pPr>
            <w:r>
              <w:t>500</w:t>
            </w:r>
          </w:p>
        </w:tc>
        <w:tc>
          <w:tcPr>
            <w:tcW w:w="543" w:type="pct"/>
            <w:vAlign w:val="center"/>
          </w:tcPr>
          <w:p w14:paraId="1002F40C">
            <w:pPr>
              <w:pStyle w:val="1535"/>
            </w:pPr>
            <w:r>
              <w:t>150</w:t>
            </w:r>
          </w:p>
        </w:tc>
        <w:tc>
          <w:tcPr>
            <w:tcW w:w="469" w:type="pct"/>
            <w:vAlign w:val="center"/>
          </w:tcPr>
          <w:p w14:paraId="5C5935D1">
            <w:pPr>
              <w:pStyle w:val="1535"/>
            </w:pPr>
            <w:r>
              <w:t>60</w:t>
            </w:r>
          </w:p>
        </w:tc>
        <w:tc>
          <w:tcPr>
            <w:tcW w:w="895" w:type="pct"/>
            <w:vAlign w:val="center"/>
          </w:tcPr>
          <w:p w14:paraId="65727B60">
            <w:pPr>
              <w:pStyle w:val="1535"/>
            </w:pPr>
            <w:r>
              <w:t>/</w:t>
            </w:r>
          </w:p>
        </w:tc>
        <w:tc>
          <w:tcPr>
            <w:tcW w:w="1764" w:type="pct"/>
            <w:vMerge w:val="restart"/>
            <w:vAlign w:val="center"/>
          </w:tcPr>
          <w:p w14:paraId="73F3F3A7">
            <w:pPr>
              <w:pStyle w:val="1535"/>
            </w:pPr>
            <w:r>
              <w:t>执行《环境空气质量标准》（GB3095-2012）二级标准</w:t>
            </w:r>
          </w:p>
        </w:tc>
      </w:tr>
      <w:tr w14:paraId="23D0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6" w:type="pct"/>
            <w:vAlign w:val="center"/>
          </w:tcPr>
          <w:p w14:paraId="0F0F92F9">
            <w:pPr>
              <w:pStyle w:val="1535"/>
            </w:pPr>
            <w:r>
              <w:t>NO</w:t>
            </w:r>
            <w:r>
              <w:rPr>
                <w:vertAlign w:val="subscript"/>
              </w:rPr>
              <w:t>2</w:t>
            </w:r>
          </w:p>
        </w:tc>
        <w:tc>
          <w:tcPr>
            <w:tcW w:w="633" w:type="pct"/>
            <w:vAlign w:val="center"/>
          </w:tcPr>
          <w:p w14:paraId="638603BE">
            <w:pPr>
              <w:pStyle w:val="1535"/>
            </w:pPr>
            <w:r>
              <w:t>200</w:t>
            </w:r>
          </w:p>
        </w:tc>
        <w:tc>
          <w:tcPr>
            <w:tcW w:w="543" w:type="pct"/>
            <w:vAlign w:val="center"/>
          </w:tcPr>
          <w:p w14:paraId="274A6D16">
            <w:pPr>
              <w:pStyle w:val="1535"/>
            </w:pPr>
            <w:r>
              <w:t>80</w:t>
            </w:r>
          </w:p>
        </w:tc>
        <w:tc>
          <w:tcPr>
            <w:tcW w:w="469" w:type="pct"/>
            <w:vAlign w:val="center"/>
          </w:tcPr>
          <w:p w14:paraId="6D47AF65">
            <w:pPr>
              <w:pStyle w:val="1535"/>
            </w:pPr>
            <w:r>
              <w:t>40</w:t>
            </w:r>
          </w:p>
        </w:tc>
        <w:tc>
          <w:tcPr>
            <w:tcW w:w="895" w:type="pct"/>
            <w:vAlign w:val="center"/>
          </w:tcPr>
          <w:p w14:paraId="72209DB0">
            <w:pPr>
              <w:pStyle w:val="1535"/>
            </w:pPr>
            <w:r>
              <w:t>/</w:t>
            </w:r>
          </w:p>
        </w:tc>
        <w:tc>
          <w:tcPr>
            <w:tcW w:w="1764" w:type="pct"/>
            <w:vMerge w:val="continue"/>
            <w:vAlign w:val="center"/>
          </w:tcPr>
          <w:p w14:paraId="684E6DA2">
            <w:pPr>
              <w:pStyle w:val="1535"/>
            </w:pPr>
          </w:p>
        </w:tc>
      </w:tr>
      <w:tr w14:paraId="08B1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6" w:type="pct"/>
            <w:vAlign w:val="center"/>
          </w:tcPr>
          <w:p w14:paraId="1D645F74">
            <w:pPr>
              <w:pStyle w:val="1535"/>
            </w:pPr>
            <w:r>
              <w:t>PM</w:t>
            </w:r>
            <w:r>
              <w:rPr>
                <w:vertAlign w:val="subscript"/>
              </w:rPr>
              <w:t>10</w:t>
            </w:r>
          </w:p>
        </w:tc>
        <w:tc>
          <w:tcPr>
            <w:tcW w:w="633" w:type="pct"/>
            <w:vAlign w:val="center"/>
          </w:tcPr>
          <w:p w14:paraId="2EAE9F5C">
            <w:pPr>
              <w:pStyle w:val="1535"/>
            </w:pPr>
            <w:r>
              <w:t>/</w:t>
            </w:r>
          </w:p>
        </w:tc>
        <w:tc>
          <w:tcPr>
            <w:tcW w:w="543" w:type="pct"/>
            <w:vAlign w:val="center"/>
          </w:tcPr>
          <w:p w14:paraId="7C246B6D">
            <w:pPr>
              <w:pStyle w:val="1535"/>
            </w:pPr>
            <w:r>
              <w:t>150</w:t>
            </w:r>
          </w:p>
        </w:tc>
        <w:tc>
          <w:tcPr>
            <w:tcW w:w="469" w:type="pct"/>
            <w:vAlign w:val="center"/>
          </w:tcPr>
          <w:p w14:paraId="1C3A4117">
            <w:pPr>
              <w:pStyle w:val="1535"/>
            </w:pPr>
            <w:r>
              <w:t>70</w:t>
            </w:r>
          </w:p>
        </w:tc>
        <w:tc>
          <w:tcPr>
            <w:tcW w:w="895" w:type="pct"/>
            <w:vAlign w:val="center"/>
          </w:tcPr>
          <w:p w14:paraId="01DFD904">
            <w:pPr>
              <w:pStyle w:val="1535"/>
            </w:pPr>
            <w:r>
              <w:t>/</w:t>
            </w:r>
          </w:p>
        </w:tc>
        <w:tc>
          <w:tcPr>
            <w:tcW w:w="1764" w:type="pct"/>
            <w:vMerge w:val="continue"/>
            <w:vAlign w:val="center"/>
          </w:tcPr>
          <w:p w14:paraId="039510C6">
            <w:pPr>
              <w:pStyle w:val="1535"/>
            </w:pPr>
          </w:p>
        </w:tc>
      </w:tr>
      <w:tr w14:paraId="016E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6" w:type="pct"/>
            <w:vAlign w:val="center"/>
          </w:tcPr>
          <w:p w14:paraId="118E44C7">
            <w:pPr>
              <w:pStyle w:val="1535"/>
            </w:pPr>
            <w:r>
              <w:t>PM</w:t>
            </w:r>
            <w:r>
              <w:rPr>
                <w:vertAlign w:val="subscript"/>
              </w:rPr>
              <w:t>2.5</w:t>
            </w:r>
          </w:p>
        </w:tc>
        <w:tc>
          <w:tcPr>
            <w:tcW w:w="633" w:type="pct"/>
            <w:vAlign w:val="center"/>
          </w:tcPr>
          <w:p w14:paraId="19F13321">
            <w:pPr>
              <w:pStyle w:val="1535"/>
            </w:pPr>
            <w:r>
              <w:t>/</w:t>
            </w:r>
          </w:p>
        </w:tc>
        <w:tc>
          <w:tcPr>
            <w:tcW w:w="543" w:type="pct"/>
            <w:vAlign w:val="center"/>
          </w:tcPr>
          <w:p w14:paraId="55434BB5">
            <w:pPr>
              <w:pStyle w:val="1535"/>
            </w:pPr>
            <w:r>
              <w:t>75</w:t>
            </w:r>
          </w:p>
        </w:tc>
        <w:tc>
          <w:tcPr>
            <w:tcW w:w="469" w:type="pct"/>
            <w:vAlign w:val="center"/>
          </w:tcPr>
          <w:p w14:paraId="11BC4CFA">
            <w:pPr>
              <w:pStyle w:val="1535"/>
            </w:pPr>
            <w:r>
              <w:t>35</w:t>
            </w:r>
          </w:p>
        </w:tc>
        <w:tc>
          <w:tcPr>
            <w:tcW w:w="895" w:type="pct"/>
            <w:vAlign w:val="center"/>
          </w:tcPr>
          <w:p w14:paraId="7FE1CDB6">
            <w:pPr>
              <w:pStyle w:val="1535"/>
            </w:pPr>
            <w:r>
              <w:t>/</w:t>
            </w:r>
          </w:p>
        </w:tc>
        <w:tc>
          <w:tcPr>
            <w:tcW w:w="1764" w:type="pct"/>
            <w:vMerge w:val="continue"/>
            <w:vAlign w:val="center"/>
          </w:tcPr>
          <w:p w14:paraId="149DB67B">
            <w:pPr>
              <w:pStyle w:val="1535"/>
            </w:pPr>
          </w:p>
        </w:tc>
      </w:tr>
      <w:tr w14:paraId="071B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6" w:type="pct"/>
            <w:vAlign w:val="center"/>
          </w:tcPr>
          <w:p w14:paraId="7FAB5F07">
            <w:pPr>
              <w:pStyle w:val="1535"/>
            </w:pPr>
            <w:r>
              <w:t>CO</w:t>
            </w:r>
          </w:p>
        </w:tc>
        <w:tc>
          <w:tcPr>
            <w:tcW w:w="633" w:type="pct"/>
            <w:vAlign w:val="center"/>
          </w:tcPr>
          <w:p w14:paraId="6C697A2A">
            <w:pPr>
              <w:pStyle w:val="1535"/>
            </w:pPr>
            <w:r>
              <w:t>10000</w:t>
            </w:r>
          </w:p>
        </w:tc>
        <w:tc>
          <w:tcPr>
            <w:tcW w:w="543" w:type="pct"/>
            <w:vAlign w:val="center"/>
          </w:tcPr>
          <w:p w14:paraId="258094EC">
            <w:pPr>
              <w:pStyle w:val="1535"/>
            </w:pPr>
            <w:r>
              <w:t>4000</w:t>
            </w:r>
          </w:p>
        </w:tc>
        <w:tc>
          <w:tcPr>
            <w:tcW w:w="469" w:type="pct"/>
            <w:vAlign w:val="center"/>
          </w:tcPr>
          <w:p w14:paraId="50DDD85B">
            <w:pPr>
              <w:pStyle w:val="1535"/>
            </w:pPr>
            <w:r>
              <w:t>/</w:t>
            </w:r>
          </w:p>
        </w:tc>
        <w:tc>
          <w:tcPr>
            <w:tcW w:w="895" w:type="pct"/>
            <w:vAlign w:val="center"/>
          </w:tcPr>
          <w:p w14:paraId="69C204DB">
            <w:pPr>
              <w:pStyle w:val="1535"/>
            </w:pPr>
            <w:r>
              <w:t>/</w:t>
            </w:r>
          </w:p>
        </w:tc>
        <w:tc>
          <w:tcPr>
            <w:tcW w:w="1764" w:type="pct"/>
            <w:vMerge w:val="continue"/>
            <w:vAlign w:val="center"/>
          </w:tcPr>
          <w:p w14:paraId="534131AE">
            <w:pPr>
              <w:pStyle w:val="1535"/>
            </w:pPr>
          </w:p>
        </w:tc>
      </w:tr>
      <w:tr w14:paraId="397E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6" w:type="pct"/>
            <w:vAlign w:val="center"/>
          </w:tcPr>
          <w:p w14:paraId="4E5B6F48">
            <w:pPr>
              <w:pStyle w:val="1535"/>
            </w:pPr>
            <w:r>
              <w:t>O</w:t>
            </w:r>
            <w:r>
              <w:rPr>
                <w:vertAlign w:val="subscript"/>
              </w:rPr>
              <w:t>3</w:t>
            </w:r>
          </w:p>
        </w:tc>
        <w:tc>
          <w:tcPr>
            <w:tcW w:w="633" w:type="pct"/>
            <w:vAlign w:val="center"/>
          </w:tcPr>
          <w:p w14:paraId="24C8FA12">
            <w:pPr>
              <w:pStyle w:val="1535"/>
            </w:pPr>
            <w:r>
              <w:t>200</w:t>
            </w:r>
          </w:p>
        </w:tc>
        <w:tc>
          <w:tcPr>
            <w:tcW w:w="543" w:type="pct"/>
            <w:vAlign w:val="center"/>
          </w:tcPr>
          <w:p w14:paraId="4D2E4101">
            <w:pPr>
              <w:pStyle w:val="1535"/>
            </w:pPr>
            <w:r>
              <w:t>/</w:t>
            </w:r>
          </w:p>
        </w:tc>
        <w:tc>
          <w:tcPr>
            <w:tcW w:w="469" w:type="pct"/>
            <w:vAlign w:val="center"/>
          </w:tcPr>
          <w:p w14:paraId="0280B39C">
            <w:pPr>
              <w:pStyle w:val="1535"/>
            </w:pPr>
            <w:r>
              <w:t>/</w:t>
            </w:r>
          </w:p>
        </w:tc>
        <w:tc>
          <w:tcPr>
            <w:tcW w:w="895" w:type="pct"/>
            <w:vAlign w:val="center"/>
          </w:tcPr>
          <w:p w14:paraId="1E771EE5">
            <w:pPr>
              <w:pStyle w:val="1535"/>
            </w:pPr>
            <w:r>
              <w:t>160</w:t>
            </w:r>
          </w:p>
        </w:tc>
        <w:tc>
          <w:tcPr>
            <w:tcW w:w="1764" w:type="pct"/>
            <w:vMerge w:val="continue"/>
            <w:vAlign w:val="center"/>
          </w:tcPr>
          <w:p w14:paraId="5AE90C03">
            <w:pPr>
              <w:pStyle w:val="1535"/>
            </w:pPr>
          </w:p>
        </w:tc>
      </w:tr>
      <w:tr w14:paraId="4B8D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6" w:type="pct"/>
            <w:vAlign w:val="center"/>
          </w:tcPr>
          <w:p w14:paraId="4C6295C7">
            <w:pPr>
              <w:pStyle w:val="1535"/>
            </w:pPr>
            <w:r>
              <w:t>氯化氢</w:t>
            </w:r>
          </w:p>
        </w:tc>
        <w:tc>
          <w:tcPr>
            <w:tcW w:w="633" w:type="pct"/>
            <w:vAlign w:val="center"/>
          </w:tcPr>
          <w:p w14:paraId="7D18CF9A">
            <w:pPr>
              <w:pStyle w:val="1535"/>
            </w:pPr>
            <w:r>
              <w:t>50</w:t>
            </w:r>
          </w:p>
        </w:tc>
        <w:tc>
          <w:tcPr>
            <w:tcW w:w="543" w:type="pct"/>
            <w:vAlign w:val="center"/>
          </w:tcPr>
          <w:p w14:paraId="3BE13EC2">
            <w:pPr>
              <w:pStyle w:val="1535"/>
            </w:pPr>
            <w:r>
              <w:t>15</w:t>
            </w:r>
          </w:p>
        </w:tc>
        <w:tc>
          <w:tcPr>
            <w:tcW w:w="469" w:type="pct"/>
            <w:vAlign w:val="center"/>
          </w:tcPr>
          <w:p w14:paraId="4B315D09">
            <w:pPr>
              <w:pStyle w:val="1535"/>
            </w:pPr>
            <w:r>
              <w:t>/</w:t>
            </w:r>
          </w:p>
        </w:tc>
        <w:tc>
          <w:tcPr>
            <w:tcW w:w="895" w:type="pct"/>
            <w:vAlign w:val="center"/>
          </w:tcPr>
          <w:p w14:paraId="3FCB03D4">
            <w:pPr>
              <w:pStyle w:val="1535"/>
            </w:pPr>
            <w:r>
              <w:t>/</w:t>
            </w:r>
          </w:p>
        </w:tc>
        <w:tc>
          <w:tcPr>
            <w:tcW w:w="1764" w:type="pct"/>
            <w:vAlign w:val="center"/>
          </w:tcPr>
          <w:p w14:paraId="6A5EA285">
            <w:pPr>
              <w:pStyle w:val="1535"/>
            </w:pPr>
            <w:r>
              <w:t>参照执行《环境影响评价技术导则大气环境》（HJ2.2-2018）“附录D其他污染物空气质量浓度参考限值”</w:t>
            </w:r>
          </w:p>
        </w:tc>
      </w:tr>
      <w:tr w14:paraId="6D8F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6" w:type="pct"/>
            <w:vAlign w:val="center"/>
          </w:tcPr>
          <w:p w14:paraId="18E24D09">
            <w:pPr>
              <w:pStyle w:val="1535"/>
            </w:pPr>
            <w:r>
              <w:t>非甲烷总烃</w:t>
            </w:r>
          </w:p>
        </w:tc>
        <w:tc>
          <w:tcPr>
            <w:tcW w:w="633" w:type="pct"/>
            <w:vAlign w:val="center"/>
          </w:tcPr>
          <w:p w14:paraId="3CB20C90">
            <w:pPr>
              <w:pStyle w:val="1535"/>
            </w:pPr>
            <w:r>
              <w:t>2000</w:t>
            </w:r>
          </w:p>
        </w:tc>
        <w:tc>
          <w:tcPr>
            <w:tcW w:w="543" w:type="pct"/>
            <w:vAlign w:val="center"/>
          </w:tcPr>
          <w:p w14:paraId="1598D64B">
            <w:pPr>
              <w:pStyle w:val="1535"/>
            </w:pPr>
            <w:r>
              <w:t>/</w:t>
            </w:r>
          </w:p>
        </w:tc>
        <w:tc>
          <w:tcPr>
            <w:tcW w:w="469" w:type="pct"/>
            <w:vAlign w:val="center"/>
          </w:tcPr>
          <w:p w14:paraId="2361B6E4">
            <w:pPr>
              <w:pStyle w:val="1535"/>
            </w:pPr>
            <w:r>
              <w:t>/</w:t>
            </w:r>
          </w:p>
        </w:tc>
        <w:tc>
          <w:tcPr>
            <w:tcW w:w="895" w:type="pct"/>
            <w:vAlign w:val="center"/>
          </w:tcPr>
          <w:p w14:paraId="76B212C8">
            <w:pPr>
              <w:pStyle w:val="1535"/>
            </w:pPr>
            <w:r>
              <w:t>/</w:t>
            </w:r>
          </w:p>
        </w:tc>
        <w:tc>
          <w:tcPr>
            <w:tcW w:w="1764" w:type="pct"/>
            <w:vAlign w:val="center"/>
          </w:tcPr>
          <w:p w14:paraId="28876736">
            <w:pPr>
              <w:pStyle w:val="1535"/>
            </w:pPr>
            <w:r>
              <w:t>《环境空气质量非甲烷总烃限值》（DB13/1577-2012）表1中二级标准</w:t>
            </w:r>
          </w:p>
        </w:tc>
      </w:tr>
      <w:tr w14:paraId="6D2E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6" w:type="pct"/>
            <w:vAlign w:val="center"/>
          </w:tcPr>
          <w:p w14:paraId="2E81D5B2">
            <w:pPr>
              <w:pStyle w:val="1535"/>
            </w:pPr>
            <w:r>
              <w:t>氟化物</w:t>
            </w:r>
          </w:p>
        </w:tc>
        <w:tc>
          <w:tcPr>
            <w:tcW w:w="633" w:type="pct"/>
            <w:vAlign w:val="center"/>
          </w:tcPr>
          <w:p w14:paraId="45EFE302">
            <w:pPr>
              <w:pStyle w:val="1535"/>
            </w:pPr>
            <w:r>
              <w:t>20</w:t>
            </w:r>
          </w:p>
        </w:tc>
        <w:tc>
          <w:tcPr>
            <w:tcW w:w="543" w:type="pct"/>
            <w:vAlign w:val="center"/>
          </w:tcPr>
          <w:p w14:paraId="1EE4994C">
            <w:pPr>
              <w:pStyle w:val="1535"/>
            </w:pPr>
            <w:r>
              <w:t>7</w:t>
            </w:r>
          </w:p>
        </w:tc>
        <w:tc>
          <w:tcPr>
            <w:tcW w:w="469" w:type="pct"/>
            <w:vAlign w:val="center"/>
          </w:tcPr>
          <w:p w14:paraId="42D9BCB8">
            <w:pPr>
              <w:pStyle w:val="1535"/>
            </w:pPr>
            <w:r>
              <w:t>/</w:t>
            </w:r>
          </w:p>
        </w:tc>
        <w:tc>
          <w:tcPr>
            <w:tcW w:w="895" w:type="pct"/>
            <w:vAlign w:val="center"/>
          </w:tcPr>
          <w:p w14:paraId="3629BCF4">
            <w:pPr>
              <w:pStyle w:val="1535"/>
            </w:pPr>
            <w:r>
              <w:t>/</w:t>
            </w:r>
          </w:p>
        </w:tc>
        <w:tc>
          <w:tcPr>
            <w:tcW w:w="1764" w:type="pct"/>
            <w:vAlign w:val="center"/>
          </w:tcPr>
          <w:p w14:paraId="7A42BBDF">
            <w:pPr>
              <w:pStyle w:val="1535"/>
            </w:pPr>
            <w:r>
              <w:t>执行《环境空气质量标准》（GB3095-2012）附录A二级标准</w:t>
            </w:r>
          </w:p>
        </w:tc>
      </w:tr>
      <w:bookmarkEnd w:id="58"/>
    </w:tbl>
    <w:p w14:paraId="25816ABA">
      <w:pPr>
        <w:ind w:firstLine="520"/>
        <w:rPr>
          <w:color w:val="000000" w:themeColor="text1"/>
          <w14:textFill>
            <w14:solidFill>
              <w14:schemeClr w14:val="tx1"/>
            </w14:solidFill>
          </w14:textFill>
        </w:rPr>
      </w:pPr>
      <w:r>
        <w:rPr>
          <w:color w:val="000000" w:themeColor="text1"/>
          <w14:textFill>
            <w14:solidFill>
              <w14:schemeClr w14:val="tx1"/>
            </w14:solidFill>
          </w14:textFill>
        </w:rPr>
        <w:t>（2）地表水</w:t>
      </w:r>
    </w:p>
    <w:p w14:paraId="70E8326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污水受纳水体</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桥头河，属于长江支流。根据《重庆市人民政府批转重庆市地表水环境功能类别调整方案的通知》（渝府发[2012]4号），</w:t>
      </w:r>
      <w:r>
        <w:rPr>
          <w:rFonts w:hint="eastAsia"/>
          <w:color w:val="000000" w:themeColor="text1"/>
          <w14:textFill>
            <w14:solidFill>
              <w14:schemeClr w14:val="tx1"/>
            </w14:solidFill>
          </w14:textFill>
        </w:rPr>
        <w:t>桥头河为划分水域功能，</w:t>
      </w:r>
      <w:r>
        <w:rPr>
          <w:color w:val="000000" w:themeColor="text1"/>
          <w14:textFill>
            <w14:solidFill>
              <w14:schemeClr w14:val="tx1"/>
            </w14:solidFill>
          </w14:textFill>
        </w:rPr>
        <w:t>长江项目</w:t>
      </w:r>
      <w:r>
        <w:rPr>
          <w:rFonts w:hint="eastAsia"/>
          <w:color w:val="000000" w:themeColor="text1"/>
          <w14:textFill>
            <w14:solidFill>
              <w14:schemeClr w14:val="tx1"/>
            </w14:solidFill>
          </w14:textFill>
        </w:rPr>
        <w:t>所在</w:t>
      </w:r>
      <w:r>
        <w:rPr>
          <w:color w:val="000000" w:themeColor="text1"/>
          <w14:textFill>
            <w14:solidFill>
              <w14:schemeClr w14:val="tx1"/>
            </w14:solidFill>
          </w14:textFill>
        </w:rPr>
        <w:t>段属于III类水域，执行《地表水环境质量标准》（GB3838-2002）III类标准。</w:t>
      </w:r>
      <w:r>
        <w:rPr>
          <w:color w:val="000000" w:themeColor="text1"/>
          <w:spacing w:val="-2"/>
          <w14:textFill>
            <w14:solidFill>
              <w14:schemeClr w14:val="tx1"/>
            </w14:solidFill>
          </w14:textFill>
        </w:rPr>
        <w:t>根据《重庆市九龙坡区人民政府印发重庆市九龙坡区深入打好污染防治攻坚战实施方案的通知》（九龙坡委发〔2022〕14号），到2025年九龙坡区跳磴河、桃花溪、大溪河水质基本达</w:t>
      </w:r>
      <w:r>
        <w:rPr>
          <w:rFonts w:hint="eastAsia"/>
          <w:color w:val="000000" w:themeColor="text1"/>
          <w:spacing w:val="-2"/>
          <w14:textFill>
            <w14:solidFill>
              <w14:schemeClr w14:val="tx1"/>
            </w14:solidFill>
          </w14:textFill>
        </w:rPr>
        <w:t>Ⅳ类</w:t>
      </w:r>
      <w:r>
        <w:rPr>
          <w:color w:val="000000" w:themeColor="text1"/>
          <w:spacing w:val="-2"/>
          <w14:textFill>
            <w14:solidFill>
              <w14:schemeClr w14:val="tx1"/>
            </w14:solidFill>
          </w14:textFill>
        </w:rPr>
        <w:t>，滨河六溪水质基本达到V类（预期性目标），其中滨河六溪中包括桥头河和金竹沟</w:t>
      </w:r>
      <w:r>
        <w:rPr>
          <w:rFonts w:hint="eastAsia"/>
          <w:color w:val="000000" w:themeColor="text1"/>
          <w:spacing w:val="-2"/>
          <w14:textFill>
            <w14:solidFill>
              <w14:schemeClr w14:val="tx1"/>
            </w14:solidFill>
          </w14:textFill>
        </w:rPr>
        <w:t>，因此，桥头河参照</w:t>
      </w:r>
      <w:r>
        <w:rPr>
          <w:color w:val="000000" w:themeColor="text1"/>
          <w14:textFill>
            <w14:solidFill>
              <w14:schemeClr w14:val="tx1"/>
            </w14:solidFill>
          </w14:textFill>
        </w:rPr>
        <w:t>执行《地表水环境质量标准》（GB3838-2002）</w:t>
      </w:r>
      <w:r>
        <w:rPr>
          <w:color w:val="000000" w:themeColor="text1"/>
          <w:spacing w:val="-2"/>
          <w14:textFill>
            <w14:solidFill>
              <w14:schemeClr w14:val="tx1"/>
            </w14:solidFill>
          </w14:textFill>
        </w:rPr>
        <w:t>V</w:t>
      </w:r>
      <w:r>
        <w:rPr>
          <w:color w:val="000000" w:themeColor="text1"/>
          <w14:textFill>
            <w14:solidFill>
              <w14:schemeClr w14:val="tx1"/>
            </w14:solidFill>
          </w14:textFill>
        </w:rPr>
        <w:t>类标准。相关标准见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_Ref160532078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1.5</w:t>
      </w:r>
      <w:r>
        <w:rPr>
          <w:color w:val="000000" w:themeColor="text1"/>
          <w14:textFill>
            <w14:solidFill>
              <w14:schemeClr w14:val="tx1"/>
            </w14:solidFill>
          </w14:textFill>
        </w:rPr>
        <w:noBreakHyphen/>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16E30C57">
      <w:pPr>
        <w:spacing w:before="24"/>
        <w:ind w:firstLine="0" w:firstLineChars="0"/>
        <w:jc w:val="center"/>
        <w:rPr>
          <w:color w:val="000000" w:themeColor="text1"/>
          <w14:textFill>
            <w14:solidFill>
              <w14:schemeClr w14:val="tx1"/>
            </w14:solidFill>
          </w14:textFill>
        </w:rPr>
      </w:pPr>
      <w:bookmarkStart w:id="60" w:name="_Ref160532078"/>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bookmarkEnd w:id="60"/>
      <w:r>
        <w:rPr>
          <w:color w:val="000000" w:themeColor="text1"/>
          <w14:textFill>
            <w14:solidFill>
              <w14:schemeClr w14:val="tx1"/>
            </w14:solidFill>
          </w14:textFill>
        </w:rPr>
        <w:t xml:space="preserve">    地表水质量标准限值单位：mg/L</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2097"/>
        <w:gridCol w:w="2708"/>
        <w:gridCol w:w="2708"/>
      </w:tblGrid>
      <w:tr w14:paraId="47DA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758" w:type="pct"/>
            <w:vAlign w:val="center"/>
          </w:tcPr>
          <w:p w14:paraId="1F5D1496">
            <w:pPr>
              <w:pStyle w:val="1535"/>
            </w:pPr>
            <w:r>
              <w:t>序号</w:t>
            </w:r>
          </w:p>
        </w:tc>
        <w:tc>
          <w:tcPr>
            <w:tcW w:w="1184" w:type="pct"/>
            <w:vAlign w:val="center"/>
          </w:tcPr>
          <w:p w14:paraId="50EB940F">
            <w:pPr>
              <w:pStyle w:val="1535"/>
            </w:pPr>
            <w:r>
              <w:t>项目</w:t>
            </w:r>
          </w:p>
        </w:tc>
        <w:tc>
          <w:tcPr>
            <w:tcW w:w="1529" w:type="pct"/>
            <w:vAlign w:val="center"/>
          </w:tcPr>
          <w:p w14:paraId="789BEDEB">
            <w:pPr>
              <w:pStyle w:val="1535"/>
            </w:pPr>
            <w:r>
              <w:t>III类</w:t>
            </w:r>
          </w:p>
        </w:tc>
        <w:tc>
          <w:tcPr>
            <w:tcW w:w="1529" w:type="pct"/>
            <w:vAlign w:val="center"/>
          </w:tcPr>
          <w:p w14:paraId="110354D9">
            <w:pPr>
              <w:pStyle w:val="1535"/>
            </w:pPr>
            <w:r>
              <w:rPr>
                <w:spacing w:val="-2"/>
              </w:rPr>
              <w:t>V</w:t>
            </w:r>
            <w:r>
              <w:t>类</w:t>
            </w:r>
          </w:p>
        </w:tc>
      </w:tr>
      <w:tr w14:paraId="4248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vAlign w:val="center"/>
          </w:tcPr>
          <w:p w14:paraId="2E45EB10">
            <w:pPr>
              <w:pStyle w:val="1535"/>
            </w:pPr>
            <w:r>
              <w:t>1</w:t>
            </w:r>
          </w:p>
        </w:tc>
        <w:tc>
          <w:tcPr>
            <w:tcW w:w="1184" w:type="pct"/>
            <w:vAlign w:val="center"/>
          </w:tcPr>
          <w:p w14:paraId="4B578207">
            <w:pPr>
              <w:pStyle w:val="1535"/>
            </w:pPr>
            <w:r>
              <w:t>水温（℃）</w:t>
            </w:r>
          </w:p>
        </w:tc>
        <w:tc>
          <w:tcPr>
            <w:tcW w:w="3058" w:type="pct"/>
            <w:gridSpan w:val="2"/>
            <w:vAlign w:val="center"/>
          </w:tcPr>
          <w:p w14:paraId="77242FBD">
            <w:pPr>
              <w:pStyle w:val="1535"/>
            </w:pPr>
            <w:r>
              <w:t>人为造成的环境水温变化应限制在：周平均最大温升≤1℃；周平均最大温降≤2℃</w:t>
            </w:r>
          </w:p>
        </w:tc>
      </w:tr>
      <w:tr w14:paraId="1367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vAlign w:val="center"/>
          </w:tcPr>
          <w:p w14:paraId="6E9B1F7A">
            <w:pPr>
              <w:pStyle w:val="1535"/>
            </w:pPr>
            <w:r>
              <w:t>2</w:t>
            </w:r>
          </w:p>
        </w:tc>
        <w:tc>
          <w:tcPr>
            <w:tcW w:w="1184" w:type="pct"/>
            <w:vAlign w:val="center"/>
          </w:tcPr>
          <w:p w14:paraId="501386F4">
            <w:pPr>
              <w:pStyle w:val="1535"/>
            </w:pPr>
            <w:r>
              <w:t>pH值（无量纲）</w:t>
            </w:r>
          </w:p>
        </w:tc>
        <w:tc>
          <w:tcPr>
            <w:tcW w:w="3058" w:type="pct"/>
            <w:gridSpan w:val="2"/>
            <w:vAlign w:val="center"/>
          </w:tcPr>
          <w:p w14:paraId="182D0D65">
            <w:pPr>
              <w:pStyle w:val="1535"/>
            </w:pPr>
            <w:r>
              <w:t>6~9</w:t>
            </w:r>
          </w:p>
        </w:tc>
      </w:tr>
      <w:tr w14:paraId="4006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vAlign w:val="center"/>
          </w:tcPr>
          <w:p w14:paraId="065F5CA2">
            <w:pPr>
              <w:pStyle w:val="1535"/>
            </w:pPr>
            <w:r>
              <w:t>3</w:t>
            </w:r>
          </w:p>
        </w:tc>
        <w:tc>
          <w:tcPr>
            <w:tcW w:w="1184" w:type="pct"/>
            <w:vAlign w:val="center"/>
          </w:tcPr>
          <w:p w14:paraId="13716FFF">
            <w:pPr>
              <w:pStyle w:val="1535"/>
            </w:pPr>
            <w:r>
              <w:t>化学需氧量（COD）≤</w:t>
            </w:r>
          </w:p>
        </w:tc>
        <w:tc>
          <w:tcPr>
            <w:tcW w:w="1529" w:type="pct"/>
            <w:vAlign w:val="center"/>
          </w:tcPr>
          <w:p w14:paraId="01E24582">
            <w:pPr>
              <w:pStyle w:val="1535"/>
            </w:pPr>
            <w:r>
              <w:t>20</w:t>
            </w:r>
          </w:p>
        </w:tc>
        <w:tc>
          <w:tcPr>
            <w:tcW w:w="1529" w:type="pct"/>
            <w:vAlign w:val="center"/>
          </w:tcPr>
          <w:p w14:paraId="609144B9">
            <w:pPr>
              <w:pStyle w:val="1535"/>
            </w:pPr>
            <w:r>
              <w:rPr>
                <w:rFonts w:hint="eastAsia"/>
              </w:rPr>
              <w:t>40</w:t>
            </w:r>
          </w:p>
        </w:tc>
      </w:tr>
      <w:tr w14:paraId="4F99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vAlign w:val="center"/>
          </w:tcPr>
          <w:p w14:paraId="4BA142E1">
            <w:pPr>
              <w:pStyle w:val="1535"/>
            </w:pPr>
            <w:r>
              <w:rPr>
                <w:rFonts w:hint="eastAsia"/>
              </w:rPr>
              <w:t>4</w:t>
            </w:r>
          </w:p>
        </w:tc>
        <w:tc>
          <w:tcPr>
            <w:tcW w:w="1184" w:type="pct"/>
            <w:vAlign w:val="center"/>
          </w:tcPr>
          <w:p w14:paraId="048F9001">
            <w:pPr>
              <w:pStyle w:val="1535"/>
            </w:pPr>
            <w:r>
              <w:rPr>
                <w:rFonts w:hint="eastAsia"/>
              </w:rPr>
              <w:t>BOD</w:t>
            </w:r>
            <w:r>
              <w:rPr>
                <w:rFonts w:hint="eastAsia"/>
                <w:vertAlign w:val="subscript"/>
              </w:rPr>
              <w:t>5</w:t>
            </w:r>
          </w:p>
        </w:tc>
        <w:tc>
          <w:tcPr>
            <w:tcW w:w="1529" w:type="pct"/>
            <w:vAlign w:val="center"/>
          </w:tcPr>
          <w:p w14:paraId="129416CF">
            <w:pPr>
              <w:pStyle w:val="1535"/>
            </w:pPr>
            <w:r>
              <w:rPr>
                <w:rFonts w:hint="eastAsia"/>
              </w:rPr>
              <w:t>4</w:t>
            </w:r>
          </w:p>
        </w:tc>
        <w:tc>
          <w:tcPr>
            <w:tcW w:w="1529" w:type="pct"/>
            <w:vAlign w:val="center"/>
          </w:tcPr>
          <w:p w14:paraId="563BCFA0">
            <w:pPr>
              <w:pStyle w:val="1535"/>
            </w:pPr>
            <w:r>
              <w:rPr>
                <w:rFonts w:hint="eastAsia"/>
              </w:rPr>
              <w:t>10</w:t>
            </w:r>
          </w:p>
        </w:tc>
      </w:tr>
      <w:tr w14:paraId="79F3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vAlign w:val="center"/>
          </w:tcPr>
          <w:p w14:paraId="3E3F714C">
            <w:pPr>
              <w:pStyle w:val="1535"/>
            </w:pPr>
            <w:r>
              <w:t>5</w:t>
            </w:r>
          </w:p>
        </w:tc>
        <w:tc>
          <w:tcPr>
            <w:tcW w:w="1184" w:type="pct"/>
            <w:vAlign w:val="center"/>
          </w:tcPr>
          <w:p w14:paraId="22EA4881">
            <w:pPr>
              <w:pStyle w:val="1535"/>
            </w:pPr>
            <w:r>
              <w:t>氨氮（NH</w:t>
            </w:r>
            <w:r>
              <w:rPr>
                <w:vertAlign w:val="subscript"/>
              </w:rPr>
              <w:t>3</w:t>
            </w:r>
            <w:r>
              <w:t>-N）≤</w:t>
            </w:r>
          </w:p>
        </w:tc>
        <w:tc>
          <w:tcPr>
            <w:tcW w:w="1529" w:type="pct"/>
            <w:vAlign w:val="center"/>
          </w:tcPr>
          <w:p w14:paraId="10EC32D1">
            <w:pPr>
              <w:pStyle w:val="1535"/>
            </w:pPr>
            <w:r>
              <w:t>1</w:t>
            </w:r>
            <w:r>
              <w:rPr>
                <w:rFonts w:hint="eastAsia"/>
              </w:rPr>
              <w:t>.0</w:t>
            </w:r>
          </w:p>
        </w:tc>
        <w:tc>
          <w:tcPr>
            <w:tcW w:w="1529" w:type="pct"/>
            <w:vAlign w:val="center"/>
          </w:tcPr>
          <w:p w14:paraId="50662702">
            <w:pPr>
              <w:pStyle w:val="1535"/>
            </w:pPr>
            <w:r>
              <w:rPr>
                <w:rFonts w:hint="eastAsia"/>
              </w:rPr>
              <w:t>2.0</w:t>
            </w:r>
          </w:p>
        </w:tc>
      </w:tr>
      <w:tr w14:paraId="6B0C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vAlign w:val="center"/>
          </w:tcPr>
          <w:p w14:paraId="09197BFF">
            <w:pPr>
              <w:pStyle w:val="1535"/>
            </w:pPr>
            <w:r>
              <w:t>6</w:t>
            </w:r>
          </w:p>
        </w:tc>
        <w:tc>
          <w:tcPr>
            <w:tcW w:w="1184" w:type="pct"/>
            <w:vAlign w:val="center"/>
          </w:tcPr>
          <w:p w14:paraId="31B689FA">
            <w:pPr>
              <w:pStyle w:val="1535"/>
            </w:pPr>
            <w:r>
              <w:t>总磷（以P计）≤</w:t>
            </w:r>
          </w:p>
        </w:tc>
        <w:tc>
          <w:tcPr>
            <w:tcW w:w="1529" w:type="pct"/>
            <w:vAlign w:val="center"/>
          </w:tcPr>
          <w:p w14:paraId="42D81955">
            <w:pPr>
              <w:pStyle w:val="1535"/>
            </w:pPr>
            <w:r>
              <w:t>0.2（湖、库0.05）</w:t>
            </w:r>
          </w:p>
        </w:tc>
        <w:tc>
          <w:tcPr>
            <w:tcW w:w="1529" w:type="pct"/>
            <w:vAlign w:val="center"/>
          </w:tcPr>
          <w:p w14:paraId="77509FBA">
            <w:pPr>
              <w:pStyle w:val="1535"/>
            </w:pPr>
            <w:r>
              <w:t>0.</w:t>
            </w:r>
            <w:r>
              <w:rPr>
                <w:rFonts w:hint="eastAsia"/>
              </w:rPr>
              <w:t>4</w:t>
            </w:r>
            <w:r>
              <w:t>（湖、库0.</w:t>
            </w:r>
            <w:r>
              <w:rPr>
                <w:rFonts w:hint="eastAsia"/>
              </w:rPr>
              <w:t>2</w:t>
            </w:r>
            <w:r>
              <w:t>）</w:t>
            </w:r>
          </w:p>
        </w:tc>
      </w:tr>
      <w:tr w14:paraId="5867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vAlign w:val="center"/>
          </w:tcPr>
          <w:p w14:paraId="5D3809FC">
            <w:pPr>
              <w:pStyle w:val="1535"/>
            </w:pPr>
            <w:r>
              <w:t>7</w:t>
            </w:r>
          </w:p>
        </w:tc>
        <w:tc>
          <w:tcPr>
            <w:tcW w:w="1184" w:type="pct"/>
            <w:vAlign w:val="center"/>
          </w:tcPr>
          <w:p w14:paraId="49E3F591">
            <w:pPr>
              <w:pStyle w:val="1535"/>
            </w:pPr>
            <w:r>
              <w:t>石油类≤</w:t>
            </w:r>
          </w:p>
        </w:tc>
        <w:tc>
          <w:tcPr>
            <w:tcW w:w="1529" w:type="pct"/>
            <w:vAlign w:val="center"/>
          </w:tcPr>
          <w:p w14:paraId="4950A087">
            <w:pPr>
              <w:pStyle w:val="1535"/>
            </w:pPr>
            <w:r>
              <w:t>0.05</w:t>
            </w:r>
          </w:p>
        </w:tc>
        <w:tc>
          <w:tcPr>
            <w:tcW w:w="1529" w:type="pct"/>
            <w:vAlign w:val="center"/>
          </w:tcPr>
          <w:p w14:paraId="352B479D">
            <w:pPr>
              <w:pStyle w:val="1535"/>
            </w:pPr>
            <w:r>
              <w:rPr>
                <w:rFonts w:hint="eastAsia"/>
              </w:rPr>
              <w:t>1.0</w:t>
            </w:r>
          </w:p>
        </w:tc>
      </w:tr>
      <w:tr w14:paraId="3BB0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vAlign w:val="center"/>
          </w:tcPr>
          <w:p w14:paraId="0A2D54FD">
            <w:pPr>
              <w:pStyle w:val="1535"/>
            </w:pPr>
            <w:r>
              <w:t>8</w:t>
            </w:r>
          </w:p>
        </w:tc>
        <w:tc>
          <w:tcPr>
            <w:tcW w:w="1184" w:type="pct"/>
            <w:vAlign w:val="center"/>
          </w:tcPr>
          <w:p w14:paraId="082226B6">
            <w:pPr>
              <w:pStyle w:val="1535"/>
            </w:pPr>
            <w:r>
              <w:t>氟化物</w:t>
            </w:r>
          </w:p>
        </w:tc>
        <w:tc>
          <w:tcPr>
            <w:tcW w:w="1529" w:type="pct"/>
            <w:vAlign w:val="center"/>
          </w:tcPr>
          <w:p w14:paraId="2133BB75">
            <w:pPr>
              <w:pStyle w:val="1535"/>
            </w:pPr>
            <w:r>
              <w:t>1.0</w:t>
            </w:r>
          </w:p>
        </w:tc>
        <w:tc>
          <w:tcPr>
            <w:tcW w:w="1529" w:type="pct"/>
            <w:vAlign w:val="center"/>
          </w:tcPr>
          <w:p w14:paraId="58AB38D7">
            <w:pPr>
              <w:pStyle w:val="1535"/>
            </w:pPr>
            <w:r>
              <w:rPr>
                <w:rFonts w:hint="eastAsia"/>
              </w:rPr>
              <w:t>1.5</w:t>
            </w:r>
          </w:p>
        </w:tc>
      </w:tr>
      <w:tr w14:paraId="2022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8" w:type="pct"/>
            <w:vAlign w:val="center"/>
          </w:tcPr>
          <w:p w14:paraId="7C1C20B8">
            <w:pPr>
              <w:pStyle w:val="1535"/>
            </w:pPr>
            <w:r>
              <w:rPr>
                <w:rFonts w:hint="eastAsia"/>
              </w:rPr>
              <w:t>9</w:t>
            </w:r>
          </w:p>
        </w:tc>
        <w:tc>
          <w:tcPr>
            <w:tcW w:w="1184" w:type="pct"/>
            <w:vAlign w:val="center"/>
          </w:tcPr>
          <w:p w14:paraId="5E202003">
            <w:pPr>
              <w:pStyle w:val="1535"/>
            </w:pPr>
            <w:r>
              <w:t>阴离子表面活性剂≤</w:t>
            </w:r>
          </w:p>
        </w:tc>
        <w:tc>
          <w:tcPr>
            <w:tcW w:w="1529" w:type="pct"/>
            <w:vAlign w:val="center"/>
          </w:tcPr>
          <w:p w14:paraId="117905F5">
            <w:pPr>
              <w:pStyle w:val="1535"/>
            </w:pPr>
            <w:r>
              <w:t>0.2</w:t>
            </w:r>
          </w:p>
        </w:tc>
        <w:tc>
          <w:tcPr>
            <w:tcW w:w="1529" w:type="pct"/>
            <w:vAlign w:val="center"/>
          </w:tcPr>
          <w:p w14:paraId="6AE64CF0">
            <w:pPr>
              <w:pStyle w:val="1535"/>
            </w:pPr>
            <w:r>
              <w:rPr>
                <w:rFonts w:hint="eastAsia"/>
              </w:rPr>
              <w:t>0.3</w:t>
            </w:r>
          </w:p>
        </w:tc>
      </w:tr>
    </w:tbl>
    <w:p w14:paraId="645E700C">
      <w:pPr>
        <w:ind w:firstLine="520"/>
        <w:rPr>
          <w:color w:val="000000" w:themeColor="text1"/>
          <w14:textFill>
            <w14:solidFill>
              <w14:schemeClr w14:val="tx1"/>
            </w14:solidFill>
          </w14:textFill>
        </w:rPr>
      </w:pPr>
      <w:r>
        <w:rPr>
          <w:color w:val="000000" w:themeColor="text1"/>
          <w14:textFill>
            <w14:solidFill>
              <w14:schemeClr w14:val="tx1"/>
            </w14:solidFill>
          </w14:textFill>
        </w:rPr>
        <w:t>（3）声环境</w:t>
      </w:r>
    </w:p>
    <w:p w14:paraId="15FD5C1F">
      <w:pPr>
        <w:ind w:firstLine="52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重庆市生态环境局关于印发《重庆市中心城区声环境功能区划分方案（2023年）》的函（渝环〔2023〕61号）</w:t>
      </w:r>
      <w:r>
        <w:rPr>
          <w:color w:val="000000" w:themeColor="text1"/>
          <w14:textFill>
            <w14:solidFill>
              <w14:schemeClr w14:val="tx1"/>
            </w14:solidFill>
          </w14:textFill>
        </w:rPr>
        <w:t>，项目位于西彭工业园，声环境适用区域类别为3类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执行《声环境质量标准》(GB3096-2008)中3类标准</w:t>
      </w:r>
      <w:r>
        <w:rPr>
          <w:rFonts w:hint="eastAsia"/>
          <w:color w:val="000000" w:themeColor="text1"/>
          <w14:textFill>
            <w14:solidFill>
              <w14:schemeClr w14:val="tx1"/>
            </w14:solidFill>
          </w14:textFill>
        </w:rPr>
        <w:t>；臻宝科技公司南侧厂界紧邻森迪大道</w:t>
      </w:r>
      <w:r>
        <w:rPr>
          <w:color w:val="000000" w:themeColor="text1"/>
          <w14:textFill>
            <w14:solidFill>
              <w14:schemeClr w14:val="tx1"/>
            </w14:solidFill>
          </w14:textFill>
        </w:rPr>
        <w:t>声环境适用区域类别为</w:t>
      </w:r>
      <w:r>
        <w:rPr>
          <w:rFonts w:hint="eastAsia"/>
          <w:color w:val="000000" w:themeColor="text1"/>
          <w14:textFill>
            <w14:solidFill>
              <w14:schemeClr w14:val="tx1"/>
            </w14:solidFill>
          </w14:textFill>
        </w:rPr>
        <w:t>4a类</w:t>
      </w:r>
      <w:r>
        <w:rPr>
          <w:color w:val="000000" w:themeColor="text1"/>
          <w14:textFill>
            <w14:solidFill>
              <w14:schemeClr w14:val="tx1"/>
            </w14:solidFill>
          </w14:textFill>
        </w:rPr>
        <w:t>，执行《声环境质量标准》(GB3096-2008)中</w:t>
      </w:r>
      <w:r>
        <w:rPr>
          <w:rFonts w:hint="eastAsia"/>
          <w:color w:val="000000" w:themeColor="text1"/>
          <w14:textFill>
            <w14:solidFill>
              <w14:schemeClr w14:val="tx1"/>
            </w14:solidFill>
          </w14:textFill>
        </w:rPr>
        <w:t>4a</w:t>
      </w:r>
      <w:r>
        <w:rPr>
          <w:color w:val="000000" w:themeColor="text1"/>
          <w14:textFill>
            <w14:solidFill>
              <w14:schemeClr w14:val="tx1"/>
            </w14:solidFill>
          </w14:textFill>
        </w:rPr>
        <w:t>类标准。</w:t>
      </w:r>
      <w:bookmarkStart w:id="61" w:name="_Hlk160470011"/>
      <w:r>
        <w:rPr>
          <w:color w:val="000000" w:themeColor="text1"/>
          <w14:textFill>
            <w14:solidFill>
              <w14:schemeClr w14:val="tx1"/>
            </w14:solidFill>
          </w14:textFill>
        </w:rPr>
        <w:t>声环境质量标准限值见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_Ref160532168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1.5</w:t>
      </w:r>
      <w:r>
        <w:rPr>
          <w:color w:val="000000" w:themeColor="text1"/>
          <w14:textFill>
            <w14:solidFill>
              <w14:schemeClr w14:val="tx1"/>
            </w14:solidFill>
          </w14:textFill>
        </w:rPr>
        <w:noBreakHyphen/>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bookmarkEnd w:id="61"/>
    </w:p>
    <w:p w14:paraId="33C3C9FC">
      <w:pPr>
        <w:spacing w:before="24"/>
        <w:ind w:firstLine="0" w:firstLineChars="0"/>
        <w:jc w:val="center"/>
        <w:rPr>
          <w:color w:val="000000" w:themeColor="text1"/>
          <w14:textFill>
            <w14:solidFill>
              <w14:schemeClr w14:val="tx1"/>
            </w14:solidFill>
          </w14:textFill>
        </w:rPr>
      </w:pPr>
      <w:bookmarkStart w:id="62" w:name="_Ref160532168"/>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bookmarkEnd w:id="62"/>
      <w:r>
        <w:rPr>
          <w:color w:val="000000" w:themeColor="text1"/>
          <w14:textFill>
            <w14:solidFill>
              <w14:schemeClr w14:val="tx1"/>
            </w14:solidFill>
          </w14:textFill>
        </w:rPr>
        <w:t xml:space="preserve">   声环境质量标准限值单位：dB(A)</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5668"/>
        <w:gridCol w:w="990"/>
        <w:gridCol w:w="1098"/>
      </w:tblGrid>
      <w:tr w14:paraId="7DC6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Align w:val="center"/>
          </w:tcPr>
          <w:p w14:paraId="79288F47">
            <w:pPr>
              <w:pStyle w:val="1535"/>
            </w:pPr>
            <w:r>
              <w:t>类别</w:t>
            </w:r>
          </w:p>
        </w:tc>
        <w:tc>
          <w:tcPr>
            <w:tcW w:w="3200" w:type="pct"/>
            <w:vAlign w:val="center"/>
          </w:tcPr>
          <w:p w14:paraId="240D829E">
            <w:pPr>
              <w:pStyle w:val="1535"/>
            </w:pPr>
            <w:r>
              <w:t>适用区域</w:t>
            </w:r>
          </w:p>
        </w:tc>
        <w:tc>
          <w:tcPr>
            <w:tcW w:w="559" w:type="pct"/>
            <w:vAlign w:val="center"/>
          </w:tcPr>
          <w:p w14:paraId="3558A990">
            <w:pPr>
              <w:pStyle w:val="1535"/>
            </w:pPr>
            <w:r>
              <w:t>昼间</w:t>
            </w:r>
          </w:p>
        </w:tc>
        <w:tc>
          <w:tcPr>
            <w:tcW w:w="620" w:type="pct"/>
            <w:vAlign w:val="center"/>
          </w:tcPr>
          <w:p w14:paraId="256DBBB3">
            <w:pPr>
              <w:pStyle w:val="1535"/>
            </w:pPr>
            <w:r>
              <w:t>夜间</w:t>
            </w:r>
          </w:p>
        </w:tc>
      </w:tr>
      <w:tr w14:paraId="5A00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Align w:val="center"/>
          </w:tcPr>
          <w:p w14:paraId="46F4A9B8">
            <w:pPr>
              <w:pStyle w:val="1535"/>
            </w:pPr>
            <w:r>
              <w:t>3类</w:t>
            </w:r>
          </w:p>
        </w:tc>
        <w:tc>
          <w:tcPr>
            <w:tcW w:w="3200" w:type="pct"/>
            <w:vAlign w:val="center"/>
          </w:tcPr>
          <w:p w14:paraId="331FC3E6">
            <w:pPr>
              <w:pStyle w:val="1535"/>
            </w:pPr>
            <w:r>
              <w:t>工业园区</w:t>
            </w:r>
          </w:p>
        </w:tc>
        <w:tc>
          <w:tcPr>
            <w:tcW w:w="559" w:type="pct"/>
            <w:vAlign w:val="center"/>
          </w:tcPr>
          <w:p w14:paraId="64AB100A">
            <w:pPr>
              <w:pStyle w:val="1535"/>
            </w:pPr>
            <w:r>
              <w:t>65</w:t>
            </w:r>
          </w:p>
        </w:tc>
        <w:tc>
          <w:tcPr>
            <w:tcW w:w="620" w:type="pct"/>
            <w:vAlign w:val="center"/>
          </w:tcPr>
          <w:p w14:paraId="11934666">
            <w:pPr>
              <w:pStyle w:val="1535"/>
            </w:pPr>
            <w:r>
              <w:t>55</w:t>
            </w:r>
          </w:p>
        </w:tc>
      </w:tr>
      <w:tr w14:paraId="020E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Align w:val="center"/>
          </w:tcPr>
          <w:p w14:paraId="5C711BAC">
            <w:pPr>
              <w:pStyle w:val="1535"/>
            </w:pPr>
            <w:r>
              <w:rPr>
                <w:rFonts w:hint="eastAsia"/>
              </w:rPr>
              <w:t>4a类</w:t>
            </w:r>
          </w:p>
        </w:tc>
        <w:tc>
          <w:tcPr>
            <w:tcW w:w="3200" w:type="pct"/>
            <w:vAlign w:val="center"/>
          </w:tcPr>
          <w:p w14:paraId="7A3F813A">
            <w:pPr>
              <w:pStyle w:val="1535"/>
            </w:pPr>
            <w:r>
              <w:rPr>
                <w:rFonts w:hint="eastAsia"/>
              </w:rPr>
              <w:t>城市次干路两侧区域</w:t>
            </w:r>
          </w:p>
        </w:tc>
        <w:tc>
          <w:tcPr>
            <w:tcW w:w="559" w:type="pct"/>
            <w:vAlign w:val="center"/>
          </w:tcPr>
          <w:p w14:paraId="714D95EA">
            <w:pPr>
              <w:pStyle w:val="1535"/>
            </w:pPr>
            <w:r>
              <w:rPr>
                <w:rFonts w:hint="eastAsia"/>
              </w:rPr>
              <w:t>70</w:t>
            </w:r>
          </w:p>
        </w:tc>
        <w:tc>
          <w:tcPr>
            <w:tcW w:w="620" w:type="pct"/>
            <w:vAlign w:val="center"/>
          </w:tcPr>
          <w:p w14:paraId="487D17FC">
            <w:pPr>
              <w:pStyle w:val="1535"/>
            </w:pPr>
            <w:r>
              <w:rPr>
                <w:rFonts w:hint="eastAsia"/>
              </w:rPr>
              <w:t>55</w:t>
            </w:r>
          </w:p>
        </w:tc>
      </w:tr>
    </w:tbl>
    <w:p w14:paraId="6E3AF169">
      <w:pPr>
        <w:ind w:firstLine="520"/>
        <w:rPr>
          <w:color w:val="000000" w:themeColor="text1"/>
          <w14:textFill>
            <w14:solidFill>
              <w14:schemeClr w14:val="tx1"/>
            </w14:solidFill>
          </w14:textFill>
        </w:rPr>
      </w:pPr>
      <w:bookmarkStart w:id="63" w:name="_Hlk14096896"/>
      <w:r>
        <w:rPr>
          <w:color w:val="000000" w:themeColor="text1"/>
          <w14:textFill>
            <w14:solidFill>
              <w14:schemeClr w14:val="tx1"/>
            </w14:solidFill>
          </w14:textFill>
        </w:rPr>
        <w:t>（4）土壤</w:t>
      </w:r>
    </w:p>
    <w:p w14:paraId="664C299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根据西彭工业园区土地利用规划，扩建项目用地性质为工业用地，属于建设用地，</w:t>
      </w:r>
      <w:r>
        <w:rPr>
          <w:color w:val="000000" w:themeColor="text1"/>
          <w14:textFill>
            <w14:solidFill>
              <w14:schemeClr w14:val="tx1"/>
            </w14:solidFill>
          </w14:textFill>
        </w:rPr>
        <w:t>项目土壤标准执行《土壤环境质量</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建设用地土壤污染风险管控标准（试行）》（GB36600-2018）第二类用地土壤污染风险筛选值标准，见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_Ref160532285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1.5</w:t>
      </w:r>
      <w:r>
        <w:rPr>
          <w:color w:val="000000" w:themeColor="text1"/>
          <w14:textFill>
            <w14:solidFill>
              <w14:schemeClr w14:val="tx1"/>
            </w14:solidFill>
          </w14:textFill>
        </w:rPr>
        <w:noBreakHyphen/>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12E3FAD8">
      <w:pPr>
        <w:spacing w:before="24"/>
        <w:ind w:firstLine="0" w:firstLineChars="0"/>
        <w:jc w:val="center"/>
        <w:rPr>
          <w:color w:val="000000" w:themeColor="text1"/>
          <w14:textFill>
            <w14:solidFill>
              <w14:schemeClr w14:val="tx1"/>
            </w14:solidFill>
          </w14:textFill>
        </w:rPr>
      </w:pPr>
      <w:bookmarkStart w:id="64" w:name="_Ref160532285"/>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bookmarkEnd w:id="64"/>
      <w:r>
        <w:rPr>
          <w:color w:val="000000" w:themeColor="text1"/>
          <w14:textFill>
            <w14:solidFill>
              <w14:schemeClr w14:val="tx1"/>
            </w14:solidFill>
          </w14:textFill>
        </w:rPr>
        <w:t xml:space="preserve">   土壤环境质量控制标准</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单位：mg/kg</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439"/>
        <w:gridCol w:w="1966"/>
        <w:gridCol w:w="1966"/>
        <w:gridCol w:w="1647"/>
      </w:tblGrid>
      <w:tr w14:paraId="245F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73" w:type="pct"/>
            <w:vMerge w:val="restart"/>
            <w:vAlign w:val="center"/>
          </w:tcPr>
          <w:p w14:paraId="4F1AEF68">
            <w:pPr>
              <w:pStyle w:val="1535"/>
            </w:pPr>
            <w:r>
              <w:t>序号</w:t>
            </w:r>
          </w:p>
        </w:tc>
        <w:tc>
          <w:tcPr>
            <w:tcW w:w="1377" w:type="pct"/>
            <w:vMerge w:val="restart"/>
            <w:vAlign w:val="center"/>
          </w:tcPr>
          <w:p w14:paraId="575F58CC">
            <w:pPr>
              <w:pStyle w:val="1535"/>
            </w:pPr>
            <w:r>
              <w:t>污染物项目</w:t>
            </w:r>
          </w:p>
        </w:tc>
        <w:tc>
          <w:tcPr>
            <w:tcW w:w="1110" w:type="pct"/>
            <w:vMerge w:val="restart"/>
            <w:vAlign w:val="center"/>
          </w:tcPr>
          <w:p w14:paraId="7FDE7926">
            <w:pPr>
              <w:pStyle w:val="1535"/>
            </w:pPr>
            <w:r>
              <w:t>CAS编号</w:t>
            </w:r>
          </w:p>
        </w:tc>
        <w:tc>
          <w:tcPr>
            <w:tcW w:w="2040" w:type="pct"/>
            <w:gridSpan w:val="2"/>
            <w:vAlign w:val="center"/>
          </w:tcPr>
          <w:p w14:paraId="14DAAE5A">
            <w:pPr>
              <w:pStyle w:val="1535"/>
            </w:pPr>
            <w:r>
              <w:t>筛选值</w:t>
            </w:r>
          </w:p>
        </w:tc>
      </w:tr>
      <w:tr w14:paraId="1882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73" w:type="pct"/>
            <w:vMerge w:val="continue"/>
            <w:vAlign w:val="center"/>
          </w:tcPr>
          <w:p w14:paraId="7E439099">
            <w:pPr>
              <w:pStyle w:val="1535"/>
            </w:pPr>
          </w:p>
        </w:tc>
        <w:tc>
          <w:tcPr>
            <w:tcW w:w="1377" w:type="pct"/>
            <w:vMerge w:val="continue"/>
            <w:vAlign w:val="center"/>
          </w:tcPr>
          <w:p w14:paraId="010F2C68">
            <w:pPr>
              <w:pStyle w:val="1535"/>
            </w:pPr>
          </w:p>
        </w:tc>
        <w:tc>
          <w:tcPr>
            <w:tcW w:w="1110" w:type="pct"/>
            <w:vMerge w:val="continue"/>
            <w:vAlign w:val="center"/>
          </w:tcPr>
          <w:p w14:paraId="3E2737C5">
            <w:pPr>
              <w:pStyle w:val="1535"/>
            </w:pPr>
          </w:p>
        </w:tc>
        <w:tc>
          <w:tcPr>
            <w:tcW w:w="1110" w:type="pct"/>
            <w:vAlign w:val="center"/>
          </w:tcPr>
          <w:p w14:paraId="01935DEF">
            <w:pPr>
              <w:pStyle w:val="1535"/>
            </w:pPr>
            <w:r>
              <w:t>第一类用地</w:t>
            </w:r>
          </w:p>
        </w:tc>
        <w:tc>
          <w:tcPr>
            <w:tcW w:w="930" w:type="pct"/>
            <w:vAlign w:val="center"/>
          </w:tcPr>
          <w:p w14:paraId="0D873ED8">
            <w:pPr>
              <w:pStyle w:val="1535"/>
            </w:pPr>
            <w:r>
              <w:t>第二类用地</w:t>
            </w:r>
          </w:p>
        </w:tc>
      </w:tr>
      <w:tr w14:paraId="468A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637F4DEF">
            <w:pPr>
              <w:pStyle w:val="1535"/>
            </w:pPr>
            <w:r>
              <w:t>1</w:t>
            </w:r>
          </w:p>
        </w:tc>
        <w:tc>
          <w:tcPr>
            <w:tcW w:w="1377" w:type="pct"/>
            <w:vAlign w:val="center"/>
          </w:tcPr>
          <w:p w14:paraId="25DDAB1F">
            <w:pPr>
              <w:pStyle w:val="1535"/>
            </w:pPr>
            <w:r>
              <w:t>铜</w:t>
            </w:r>
          </w:p>
        </w:tc>
        <w:tc>
          <w:tcPr>
            <w:tcW w:w="1110" w:type="pct"/>
            <w:vAlign w:val="center"/>
          </w:tcPr>
          <w:p w14:paraId="43FA8599">
            <w:pPr>
              <w:pStyle w:val="1535"/>
            </w:pPr>
            <w:r>
              <w:t>7440-43-9</w:t>
            </w:r>
          </w:p>
        </w:tc>
        <w:tc>
          <w:tcPr>
            <w:tcW w:w="1110" w:type="pct"/>
            <w:vAlign w:val="center"/>
          </w:tcPr>
          <w:p w14:paraId="7CE42767">
            <w:pPr>
              <w:pStyle w:val="1535"/>
            </w:pPr>
            <w:r>
              <w:t>2000</w:t>
            </w:r>
          </w:p>
        </w:tc>
        <w:tc>
          <w:tcPr>
            <w:tcW w:w="930" w:type="pct"/>
            <w:vAlign w:val="center"/>
          </w:tcPr>
          <w:p w14:paraId="57C89F0A">
            <w:pPr>
              <w:pStyle w:val="1535"/>
            </w:pPr>
            <w:r>
              <w:t>18000</w:t>
            </w:r>
          </w:p>
        </w:tc>
      </w:tr>
      <w:tr w14:paraId="7E62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3E5E7E01">
            <w:pPr>
              <w:pStyle w:val="1535"/>
            </w:pPr>
            <w:r>
              <w:t>2</w:t>
            </w:r>
          </w:p>
        </w:tc>
        <w:tc>
          <w:tcPr>
            <w:tcW w:w="1377" w:type="pct"/>
            <w:vAlign w:val="center"/>
          </w:tcPr>
          <w:p w14:paraId="4A14C873">
            <w:pPr>
              <w:pStyle w:val="1535"/>
            </w:pPr>
            <w:r>
              <w:t>铅</w:t>
            </w:r>
          </w:p>
        </w:tc>
        <w:tc>
          <w:tcPr>
            <w:tcW w:w="1110" w:type="pct"/>
            <w:vAlign w:val="center"/>
          </w:tcPr>
          <w:p w14:paraId="1A5AC6AF">
            <w:pPr>
              <w:pStyle w:val="1535"/>
            </w:pPr>
            <w:r>
              <w:t>7439-92-1</w:t>
            </w:r>
          </w:p>
        </w:tc>
        <w:tc>
          <w:tcPr>
            <w:tcW w:w="1110" w:type="pct"/>
            <w:vAlign w:val="center"/>
          </w:tcPr>
          <w:p w14:paraId="2784F86C">
            <w:pPr>
              <w:pStyle w:val="1535"/>
            </w:pPr>
            <w:r>
              <w:t>400</w:t>
            </w:r>
          </w:p>
        </w:tc>
        <w:tc>
          <w:tcPr>
            <w:tcW w:w="930" w:type="pct"/>
            <w:vAlign w:val="center"/>
          </w:tcPr>
          <w:p w14:paraId="333B20B3">
            <w:pPr>
              <w:pStyle w:val="1535"/>
            </w:pPr>
            <w:r>
              <w:t>800</w:t>
            </w:r>
          </w:p>
        </w:tc>
      </w:tr>
      <w:tr w14:paraId="6A30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1B797A57">
            <w:pPr>
              <w:pStyle w:val="1535"/>
            </w:pPr>
            <w:r>
              <w:t>3</w:t>
            </w:r>
          </w:p>
        </w:tc>
        <w:tc>
          <w:tcPr>
            <w:tcW w:w="1377" w:type="pct"/>
            <w:vAlign w:val="center"/>
          </w:tcPr>
          <w:p w14:paraId="1E5727F6">
            <w:pPr>
              <w:pStyle w:val="1535"/>
            </w:pPr>
            <w:r>
              <w:t>镉</w:t>
            </w:r>
          </w:p>
        </w:tc>
        <w:tc>
          <w:tcPr>
            <w:tcW w:w="1110" w:type="pct"/>
            <w:vAlign w:val="center"/>
          </w:tcPr>
          <w:p w14:paraId="10A4BF5E">
            <w:pPr>
              <w:pStyle w:val="1535"/>
            </w:pPr>
            <w:r>
              <w:t>7440-43-9</w:t>
            </w:r>
          </w:p>
        </w:tc>
        <w:tc>
          <w:tcPr>
            <w:tcW w:w="1110" w:type="pct"/>
            <w:vAlign w:val="center"/>
          </w:tcPr>
          <w:p w14:paraId="1B4E3911">
            <w:pPr>
              <w:pStyle w:val="1535"/>
            </w:pPr>
            <w:r>
              <w:t>20</w:t>
            </w:r>
          </w:p>
        </w:tc>
        <w:tc>
          <w:tcPr>
            <w:tcW w:w="930" w:type="pct"/>
            <w:vAlign w:val="center"/>
          </w:tcPr>
          <w:p w14:paraId="22EFF255">
            <w:pPr>
              <w:pStyle w:val="1535"/>
            </w:pPr>
            <w:r>
              <w:t>65</w:t>
            </w:r>
          </w:p>
        </w:tc>
      </w:tr>
      <w:tr w14:paraId="3FBB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5CED1C62">
            <w:pPr>
              <w:pStyle w:val="1535"/>
            </w:pPr>
            <w:r>
              <w:t>4</w:t>
            </w:r>
          </w:p>
        </w:tc>
        <w:tc>
          <w:tcPr>
            <w:tcW w:w="1377" w:type="pct"/>
            <w:vAlign w:val="center"/>
          </w:tcPr>
          <w:p w14:paraId="0F66C494">
            <w:pPr>
              <w:pStyle w:val="1535"/>
            </w:pPr>
            <w:r>
              <w:t>汞</w:t>
            </w:r>
          </w:p>
        </w:tc>
        <w:tc>
          <w:tcPr>
            <w:tcW w:w="1110" w:type="pct"/>
            <w:vAlign w:val="center"/>
          </w:tcPr>
          <w:p w14:paraId="74902799">
            <w:pPr>
              <w:pStyle w:val="1535"/>
            </w:pPr>
            <w:r>
              <w:t>7439-97-6</w:t>
            </w:r>
          </w:p>
        </w:tc>
        <w:tc>
          <w:tcPr>
            <w:tcW w:w="1110" w:type="pct"/>
            <w:vAlign w:val="center"/>
          </w:tcPr>
          <w:p w14:paraId="594BFD82">
            <w:pPr>
              <w:pStyle w:val="1535"/>
            </w:pPr>
            <w:r>
              <w:t>8</w:t>
            </w:r>
          </w:p>
        </w:tc>
        <w:tc>
          <w:tcPr>
            <w:tcW w:w="930" w:type="pct"/>
            <w:vAlign w:val="center"/>
          </w:tcPr>
          <w:p w14:paraId="534957D7">
            <w:pPr>
              <w:pStyle w:val="1535"/>
            </w:pPr>
            <w:r>
              <w:t>38</w:t>
            </w:r>
          </w:p>
        </w:tc>
      </w:tr>
      <w:tr w14:paraId="67A9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1F761F9D">
            <w:pPr>
              <w:pStyle w:val="1535"/>
            </w:pPr>
            <w:r>
              <w:t>5</w:t>
            </w:r>
          </w:p>
        </w:tc>
        <w:tc>
          <w:tcPr>
            <w:tcW w:w="1377" w:type="pct"/>
            <w:vAlign w:val="center"/>
          </w:tcPr>
          <w:p w14:paraId="11A77FB0">
            <w:pPr>
              <w:pStyle w:val="1535"/>
            </w:pPr>
            <w:r>
              <w:t>铬（六价）</w:t>
            </w:r>
          </w:p>
        </w:tc>
        <w:tc>
          <w:tcPr>
            <w:tcW w:w="1110" w:type="pct"/>
            <w:vAlign w:val="center"/>
          </w:tcPr>
          <w:p w14:paraId="61DA3882">
            <w:pPr>
              <w:pStyle w:val="1535"/>
            </w:pPr>
            <w:r>
              <w:t>18540-29-9</w:t>
            </w:r>
          </w:p>
        </w:tc>
        <w:tc>
          <w:tcPr>
            <w:tcW w:w="1110" w:type="pct"/>
            <w:vAlign w:val="center"/>
          </w:tcPr>
          <w:p w14:paraId="0BB6CE90">
            <w:pPr>
              <w:pStyle w:val="1535"/>
            </w:pPr>
            <w:r>
              <w:t>3.0</w:t>
            </w:r>
          </w:p>
        </w:tc>
        <w:tc>
          <w:tcPr>
            <w:tcW w:w="930" w:type="pct"/>
            <w:vAlign w:val="center"/>
          </w:tcPr>
          <w:p w14:paraId="7F1F1D09">
            <w:pPr>
              <w:pStyle w:val="1535"/>
            </w:pPr>
            <w:r>
              <w:t>5.7</w:t>
            </w:r>
          </w:p>
        </w:tc>
      </w:tr>
      <w:tr w14:paraId="38AA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7B36EF91">
            <w:pPr>
              <w:pStyle w:val="1535"/>
            </w:pPr>
            <w:r>
              <w:t>6</w:t>
            </w:r>
          </w:p>
        </w:tc>
        <w:tc>
          <w:tcPr>
            <w:tcW w:w="1377" w:type="pct"/>
            <w:vAlign w:val="center"/>
          </w:tcPr>
          <w:p w14:paraId="05917E86">
            <w:pPr>
              <w:pStyle w:val="1535"/>
            </w:pPr>
            <w:r>
              <w:t>砷</w:t>
            </w:r>
          </w:p>
        </w:tc>
        <w:tc>
          <w:tcPr>
            <w:tcW w:w="1110" w:type="pct"/>
            <w:vAlign w:val="center"/>
          </w:tcPr>
          <w:p w14:paraId="39AF7D13">
            <w:pPr>
              <w:pStyle w:val="1535"/>
            </w:pPr>
            <w:r>
              <w:t>7440-38-2</w:t>
            </w:r>
          </w:p>
        </w:tc>
        <w:tc>
          <w:tcPr>
            <w:tcW w:w="1110" w:type="pct"/>
            <w:vAlign w:val="center"/>
          </w:tcPr>
          <w:p w14:paraId="1C5E03B1">
            <w:pPr>
              <w:pStyle w:val="1535"/>
            </w:pPr>
            <w:r>
              <w:t>20</w:t>
            </w:r>
          </w:p>
        </w:tc>
        <w:tc>
          <w:tcPr>
            <w:tcW w:w="930" w:type="pct"/>
            <w:vAlign w:val="center"/>
          </w:tcPr>
          <w:p w14:paraId="5DC06335">
            <w:pPr>
              <w:pStyle w:val="1535"/>
            </w:pPr>
            <w:r>
              <w:t>60</w:t>
            </w:r>
          </w:p>
        </w:tc>
      </w:tr>
      <w:tr w14:paraId="357ACBB5">
        <w:tblPrEx>
          <w:tblCellMar>
            <w:top w:w="0" w:type="dxa"/>
            <w:left w:w="108" w:type="dxa"/>
            <w:bottom w:w="0" w:type="dxa"/>
            <w:right w:w="108" w:type="dxa"/>
          </w:tblCellMar>
        </w:tblPrEx>
        <w:trPr>
          <w:trHeight w:val="20" w:hRule="atLeast"/>
        </w:trPr>
        <w:tc>
          <w:tcPr>
            <w:tcW w:w="473" w:type="pct"/>
            <w:vAlign w:val="center"/>
          </w:tcPr>
          <w:p w14:paraId="0C99A53A">
            <w:pPr>
              <w:pStyle w:val="1535"/>
            </w:pPr>
            <w:r>
              <w:t>7</w:t>
            </w:r>
          </w:p>
        </w:tc>
        <w:tc>
          <w:tcPr>
            <w:tcW w:w="1377" w:type="pct"/>
            <w:vAlign w:val="center"/>
          </w:tcPr>
          <w:p w14:paraId="7D64595D">
            <w:pPr>
              <w:pStyle w:val="1535"/>
            </w:pPr>
            <w:r>
              <w:t>镍</w:t>
            </w:r>
          </w:p>
        </w:tc>
        <w:tc>
          <w:tcPr>
            <w:tcW w:w="1110" w:type="pct"/>
            <w:vAlign w:val="center"/>
          </w:tcPr>
          <w:p w14:paraId="0DC546F0">
            <w:pPr>
              <w:pStyle w:val="1535"/>
            </w:pPr>
            <w:r>
              <w:t>7440-02-0</w:t>
            </w:r>
          </w:p>
        </w:tc>
        <w:tc>
          <w:tcPr>
            <w:tcW w:w="1110" w:type="pct"/>
            <w:vAlign w:val="center"/>
          </w:tcPr>
          <w:p w14:paraId="643F2C4B">
            <w:pPr>
              <w:pStyle w:val="1535"/>
            </w:pPr>
            <w:r>
              <w:t>150</w:t>
            </w:r>
          </w:p>
        </w:tc>
        <w:tc>
          <w:tcPr>
            <w:tcW w:w="930" w:type="pct"/>
            <w:vAlign w:val="center"/>
          </w:tcPr>
          <w:p w14:paraId="6693218B">
            <w:pPr>
              <w:pStyle w:val="1535"/>
            </w:pPr>
            <w:r>
              <w:t>900</w:t>
            </w:r>
          </w:p>
        </w:tc>
      </w:tr>
      <w:tr w14:paraId="4EB5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42E59C0C">
            <w:pPr>
              <w:pStyle w:val="1535"/>
            </w:pPr>
            <w:r>
              <w:t>8</w:t>
            </w:r>
          </w:p>
        </w:tc>
        <w:tc>
          <w:tcPr>
            <w:tcW w:w="1377" w:type="pct"/>
            <w:vAlign w:val="center"/>
          </w:tcPr>
          <w:p w14:paraId="7DA04229">
            <w:pPr>
              <w:pStyle w:val="1535"/>
            </w:pPr>
            <w:r>
              <w:t>四氯化碳</w:t>
            </w:r>
          </w:p>
        </w:tc>
        <w:tc>
          <w:tcPr>
            <w:tcW w:w="1110" w:type="pct"/>
            <w:vAlign w:val="center"/>
          </w:tcPr>
          <w:p w14:paraId="08171BE1">
            <w:pPr>
              <w:pStyle w:val="1535"/>
            </w:pPr>
            <w:r>
              <w:t>56-23-5</w:t>
            </w:r>
          </w:p>
        </w:tc>
        <w:tc>
          <w:tcPr>
            <w:tcW w:w="1110" w:type="pct"/>
            <w:vAlign w:val="center"/>
          </w:tcPr>
          <w:p w14:paraId="79953950">
            <w:pPr>
              <w:pStyle w:val="1535"/>
            </w:pPr>
            <w:r>
              <w:t>0.9</w:t>
            </w:r>
          </w:p>
        </w:tc>
        <w:tc>
          <w:tcPr>
            <w:tcW w:w="930" w:type="pct"/>
            <w:vAlign w:val="center"/>
          </w:tcPr>
          <w:p w14:paraId="6CC4A334">
            <w:pPr>
              <w:pStyle w:val="1535"/>
            </w:pPr>
            <w:r>
              <w:t>2.8</w:t>
            </w:r>
          </w:p>
        </w:tc>
      </w:tr>
      <w:tr w14:paraId="4E56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3359540F">
            <w:pPr>
              <w:pStyle w:val="1535"/>
            </w:pPr>
            <w:r>
              <w:t>9</w:t>
            </w:r>
          </w:p>
        </w:tc>
        <w:tc>
          <w:tcPr>
            <w:tcW w:w="1377" w:type="pct"/>
            <w:vAlign w:val="center"/>
          </w:tcPr>
          <w:p w14:paraId="04FA91D4">
            <w:pPr>
              <w:pStyle w:val="1535"/>
            </w:pPr>
            <w:r>
              <w:t>氯仿</w:t>
            </w:r>
          </w:p>
        </w:tc>
        <w:tc>
          <w:tcPr>
            <w:tcW w:w="1110" w:type="pct"/>
            <w:vAlign w:val="center"/>
          </w:tcPr>
          <w:p w14:paraId="1BB92558">
            <w:pPr>
              <w:pStyle w:val="1535"/>
            </w:pPr>
            <w:r>
              <w:t>67-66-3</w:t>
            </w:r>
          </w:p>
        </w:tc>
        <w:tc>
          <w:tcPr>
            <w:tcW w:w="1110" w:type="pct"/>
            <w:vAlign w:val="center"/>
          </w:tcPr>
          <w:p w14:paraId="28DA64B5">
            <w:pPr>
              <w:pStyle w:val="1535"/>
            </w:pPr>
            <w:r>
              <w:t>0.3</w:t>
            </w:r>
          </w:p>
        </w:tc>
        <w:tc>
          <w:tcPr>
            <w:tcW w:w="930" w:type="pct"/>
            <w:vAlign w:val="center"/>
          </w:tcPr>
          <w:p w14:paraId="5D562F05">
            <w:pPr>
              <w:pStyle w:val="1535"/>
            </w:pPr>
            <w:r>
              <w:t>0.9</w:t>
            </w:r>
          </w:p>
        </w:tc>
      </w:tr>
      <w:tr w14:paraId="26FA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720FEDD3">
            <w:pPr>
              <w:pStyle w:val="1535"/>
            </w:pPr>
            <w:r>
              <w:t>10</w:t>
            </w:r>
          </w:p>
        </w:tc>
        <w:tc>
          <w:tcPr>
            <w:tcW w:w="1377" w:type="pct"/>
            <w:vAlign w:val="center"/>
          </w:tcPr>
          <w:p w14:paraId="6823ACD7">
            <w:pPr>
              <w:pStyle w:val="1535"/>
            </w:pPr>
            <w:r>
              <w:t>氯甲烷</w:t>
            </w:r>
          </w:p>
        </w:tc>
        <w:tc>
          <w:tcPr>
            <w:tcW w:w="1110" w:type="pct"/>
            <w:vAlign w:val="center"/>
          </w:tcPr>
          <w:p w14:paraId="3BAA913E">
            <w:pPr>
              <w:pStyle w:val="1535"/>
            </w:pPr>
            <w:r>
              <w:t>74-87-3</w:t>
            </w:r>
          </w:p>
        </w:tc>
        <w:tc>
          <w:tcPr>
            <w:tcW w:w="1110" w:type="pct"/>
            <w:vAlign w:val="center"/>
          </w:tcPr>
          <w:p w14:paraId="1992C8E6">
            <w:pPr>
              <w:pStyle w:val="1535"/>
            </w:pPr>
            <w:r>
              <w:t>12</w:t>
            </w:r>
          </w:p>
        </w:tc>
        <w:tc>
          <w:tcPr>
            <w:tcW w:w="930" w:type="pct"/>
            <w:vAlign w:val="center"/>
          </w:tcPr>
          <w:p w14:paraId="2F31DD12">
            <w:pPr>
              <w:pStyle w:val="1535"/>
            </w:pPr>
            <w:r>
              <w:t>37</w:t>
            </w:r>
          </w:p>
        </w:tc>
      </w:tr>
      <w:tr w14:paraId="176F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00939382">
            <w:pPr>
              <w:pStyle w:val="1535"/>
            </w:pPr>
            <w:r>
              <w:t>11</w:t>
            </w:r>
          </w:p>
        </w:tc>
        <w:tc>
          <w:tcPr>
            <w:tcW w:w="1377" w:type="pct"/>
            <w:vAlign w:val="center"/>
          </w:tcPr>
          <w:p w14:paraId="388E95EE">
            <w:pPr>
              <w:pStyle w:val="1535"/>
            </w:pPr>
            <w:r>
              <w:t>1,1-二氯乙烷</w:t>
            </w:r>
          </w:p>
        </w:tc>
        <w:tc>
          <w:tcPr>
            <w:tcW w:w="1110" w:type="pct"/>
            <w:vAlign w:val="center"/>
          </w:tcPr>
          <w:p w14:paraId="511A8BAD">
            <w:pPr>
              <w:pStyle w:val="1535"/>
            </w:pPr>
            <w:r>
              <w:t>75-34-3</w:t>
            </w:r>
          </w:p>
        </w:tc>
        <w:tc>
          <w:tcPr>
            <w:tcW w:w="1110" w:type="pct"/>
            <w:vAlign w:val="center"/>
          </w:tcPr>
          <w:p w14:paraId="026D4458">
            <w:pPr>
              <w:pStyle w:val="1535"/>
            </w:pPr>
            <w:r>
              <w:t>3</w:t>
            </w:r>
          </w:p>
        </w:tc>
        <w:tc>
          <w:tcPr>
            <w:tcW w:w="930" w:type="pct"/>
            <w:vAlign w:val="center"/>
          </w:tcPr>
          <w:p w14:paraId="34E384F0">
            <w:pPr>
              <w:pStyle w:val="1535"/>
            </w:pPr>
            <w:r>
              <w:t>9</w:t>
            </w:r>
          </w:p>
        </w:tc>
      </w:tr>
      <w:tr w14:paraId="4DDA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35738B64">
            <w:pPr>
              <w:pStyle w:val="1535"/>
            </w:pPr>
            <w:r>
              <w:t>12</w:t>
            </w:r>
          </w:p>
        </w:tc>
        <w:tc>
          <w:tcPr>
            <w:tcW w:w="1377" w:type="pct"/>
            <w:vAlign w:val="center"/>
          </w:tcPr>
          <w:p w14:paraId="2CB7570B">
            <w:pPr>
              <w:pStyle w:val="1535"/>
            </w:pPr>
            <w:r>
              <w:t>1,2-二氯乙烷</w:t>
            </w:r>
          </w:p>
        </w:tc>
        <w:tc>
          <w:tcPr>
            <w:tcW w:w="1110" w:type="pct"/>
            <w:vAlign w:val="center"/>
          </w:tcPr>
          <w:p w14:paraId="10930110">
            <w:pPr>
              <w:pStyle w:val="1535"/>
            </w:pPr>
            <w:r>
              <w:t>107-06-2</w:t>
            </w:r>
          </w:p>
        </w:tc>
        <w:tc>
          <w:tcPr>
            <w:tcW w:w="1110" w:type="pct"/>
            <w:vAlign w:val="center"/>
          </w:tcPr>
          <w:p w14:paraId="729C81E6">
            <w:pPr>
              <w:pStyle w:val="1535"/>
            </w:pPr>
            <w:r>
              <w:t>0.52</w:t>
            </w:r>
          </w:p>
        </w:tc>
        <w:tc>
          <w:tcPr>
            <w:tcW w:w="930" w:type="pct"/>
            <w:vAlign w:val="center"/>
          </w:tcPr>
          <w:p w14:paraId="79305282">
            <w:pPr>
              <w:pStyle w:val="1535"/>
            </w:pPr>
            <w:r>
              <w:t>5</w:t>
            </w:r>
          </w:p>
        </w:tc>
      </w:tr>
      <w:tr w14:paraId="0DFA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45DACA6B">
            <w:pPr>
              <w:pStyle w:val="1535"/>
            </w:pPr>
            <w:r>
              <w:t>13</w:t>
            </w:r>
          </w:p>
        </w:tc>
        <w:tc>
          <w:tcPr>
            <w:tcW w:w="1377" w:type="pct"/>
            <w:vAlign w:val="center"/>
          </w:tcPr>
          <w:p w14:paraId="75945711">
            <w:pPr>
              <w:pStyle w:val="1535"/>
            </w:pPr>
            <w:r>
              <w:t>1,1-二氯乙烯</w:t>
            </w:r>
          </w:p>
        </w:tc>
        <w:tc>
          <w:tcPr>
            <w:tcW w:w="1110" w:type="pct"/>
            <w:vAlign w:val="center"/>
          </w:tcPr>
          <w:p w14:paraId="56DD0C1A">
            <w:pPr>
              <w:pStyle w:val="1535"/>
            </w:pPr>
            <w:r>
              <w:t>75-35-4</w:t>
            </w:r>
          </w:p>
        </w:tc>
        <w:tc>
          <w:tcPr>
            <w:tcW w:w="1110" w:type="pct"/>
            <w:vAlign w:val="center"/>
          </w:tcPr>
          <w:p w14:paraId="7926350E">
            <w:pPr>
              <w:pStyle w:val="1535"/>
            </w:pPr>
            <w:r>
              <w:t>12</w:t>
            </w:r>
          </w:p>
        </w:tc>
        <w:tc>
          <w:tcPr>
            <w:tcW w:w="930" w:type="pct"/>
            <w:vAlign w:val="center"/>
          </w:tcPr>
          <w:p w14:paraId="49CE64B4">
            <w:pPr>
              <w:pStyle w:val="1535"/>
            </w:pPr>
            <w:r>
              <w:t>37</w:t>
            </w:r>
          </w:p>
        </w:tc>
      </w:tr>
      <w:tr w14:paraId="4C66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50F95185">
            <w:pPr>
              <w:pStyle w:val="1535"/>
            </w:pPr>
            <w:r>
              <w:t>14</w:t>
            </w:r>
          </w:p>
        </w:tc>
        <w:tc>
          <w:tcPr>
            <w:tcW w:w="1377" w:type="pct"/>
            <w:vAlign w:val="center"/>
          </w:tcPr>
          <w:p w14:paraId="07B92F04">
            <w:pPr>
              <w:pStyle w:val="1535"/>
            </w:pPr>
            <w:r>
              <w:t>顺-1,2-二氯乙烯</w:t>
            </w:r>
          </w:p>
        </w:tc>
        <w:tc>
          <w:tcPr>
            <w:tcW w:w="1110" w:type="pct"/>
            <w:vAlign w:val="center"/>
          </w:tcPr>
          <w:p w14:paraId="664D5BCE">
            <w:pPr>
              <w:pStyle w:val="1535"/>
            </w:pPr>
            <w:r>
              <w:t>156-59-2</w:t>
            </w:r>
          </w:p>
        </w:tc>
        <w:tc>
          <w:tcPr>
            <w:tcW w:w="1110" w:type="pct"/>
            <w:vAlign w:val="center"/>
          </w:tcPr>
          <w:p w14:paraId="40C7E63F">
            <w:pPr>
              <w:pStyle w:val="1535"/>
            </w:pPr>
            <w:r>
              <w:t>66</w:t>
            </w:r>
          </w:p>
        </w:tc>
        <w:tc>
          <w:tcPr>
            <w:tcW w:w="930" w:type="pct"/>
            <w:vAlign w:val="center"/>
          </w:tcPr>
          <w:p w14:paraId="4FD8D4C1">
            <w:pPr>
              <w:pStyle w:val="1535"/>
            </w:pPr>
            <w:r>
              <w:t>9</w:t>
            </w:r>
          </w:p>
        </w:tc>
      </w:tr>
      <w:tr w14:paraId="4AE9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1F4A1CB6">
            <w:pPr>
              <w:pStyle w:val="1535"/>
            </w:pPr>
            <w:r>
              <w:t>15</w:t>
            </w:r>
          </w:p>
        </w:tc>
        <w:tc>
          <w:tcPr>
            <w:tcW w:w="1377" w:type="pct"/>
            <w:vAlign w:val="center"/>
          </w:tcPr>
          <w:p w14:paraId="793C2C7C">
            <w:pPr>
              <w:pStyle w:val="1535"/>
            </w:pPr>
            <w:r>
              <w:t>反-1,2-二氯乙烯</w:t>
            </w:r>
          </w:p>
        </w:tc>
        <w:tc>
          <w:tcPr>
            <w:tcW w:w="1110" w:type="pct"/>
            <w:vAlign w:val="center"/>
          </w:tcPr>
          <w:p w14:paraId="14837DFF">
            <w:pPr>
              <w:pStyle w:val="1535"/>
            </w:pPr>
            <w:r>
              <w:t>156-60-5</w:t>
            </w:r>
          </w:p>
        </w:tc>
        <w:tc>
          <w:tcPr>
            <w:tcW w:w="1110" w:type="pct"/>
            <w:vAlign w:val="center"/>
          </w:tcPr>
          <w:p w14:paraId="13855750">
            <w:pPr>
              <w:pStyle w:val="1535"/>
            </w:pPr>
            <w:r>
              <w:t>10</w:t>
            </w:r>
          </w:p>
        </w:tc>
        <w:tc>
          <w:tcPr>
            <w:tcW w:w="930" w:type="pct"/>
            <w:vAlign w:val="center"/>
          </w:tcPr>
          <w:p w14:paraId="7D7349F6">
            <w:pPr>
              <w:pStyle w:val="1535"/>
            </w:pPr>
            <w:r>
              <w:t>5</w:t>
            </w:r>
          </w:p>
        </w:tc>
      </w:tr>
      <w:tr w14:paraId="37D7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764F0E98">
            <w:pPr>
              <w:pStyle w:val="1535"/>
            </w:pPr>
            <w:r>
              <w:t>16</w:t>
            </w:r>
          </w:p>
        </w:tc>
        <w:tc>
          <w:tcPr>
            <w:tcW w:w="1377" w:type="pct"/>
            <w:vAlign w:val="center"/>
          </w:tcPr>
          <w:p w14:paraId="51EFD0E8">
            <w:pPr>
              <w:pStyle w:val="1535"/>
            </w:pPr>
            <w:r>
              <w:t>二氯甲烷</w:t>
            </w:r>
          </w:p>
        </w:tc>
        <w:tc>
          <w:tcPr>
            <w:tcW w:w="1110" w:type="pct"/>
            <w:vAlign w:val="center"/>
          </w:tcPr>
          <w:p w14:paraId="782E3F80">
            <w:pPr>
              <w:pStyle w:val="1535"/>
            </w:pPr>
            <w:r>
              <w:t>75-09-2</w:t>
            </w:r>
          </w:p>
        </w:tc>
        <w:tc>
          <w:tcPr>
            <w:tcW w:w="1110" w:type="pct"/>
            <w:vAlign w:val="center"/>
          </w:tcPr>
          <w:p w14:paraId="21470EEF">
            <w:pPr>
              <w:pStyle w:val="1535"/>
            </w:pPr>
            <w:r>
              <w:t>94</w:t>
            </w:r>
          </w:p>
        </w:tc>
        <w:tc>
          <w:tcPr>
            <w:tcW w:w="930" w:type="pct"/>
            <w:vAlign w:val="center"/>
          </w:tcPr>
          <w:p w14:paraId="3E149CFF">
            <w:pPr>
              <w:pStyle w:val="1535"/>
            </w:pPr>
            <w:r>
              <w:t>616</w:t>
            </w:r>
          </w:p>
        </w:tc>
      </w:tr>
      <w:tr w14:paraId="56F2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6C467064">
            <w:pPr>
              <w:pStyle w:val="1535"/>
            </w:pPr>
            <w:r>
              <w:t>17</w:t>
            </w:r>
          </w:p>
        </w:tc>
        <w:tc>
          <w:tcPr>
            <w:tcW w:w="1377" w:type="pct"/>
            <w:vAlign w:val="center"/>
          </w:tcPr>
          <w:p w14:paraId="6552AE67">
            <w:pPr>
              <w:pStyle w:val="1535"/>
            </w:pPr>
            <w:r>
              <w:t>1,2-二氯丙烷</w:t>
            </w:r>
          </w:p>
        </w:tc>
        <w:tc>
          <w:tcPr>
            <w:tcW w:w="1110" w:type="pct"/>
            <w:vAlign w:val="center"/>
          </w:tcPr>
          <w:p w14:paraId="2FF98BD9">
            <w:pPr>
              <w:pStyle w:val="1535"/>
            </w:pPr>
            <w:r>
              <w:t>78-87-5</w:t>
            </w:r>
          </w:p>
        </w:tc>
        <w:tc>
          <w:tcPr>
            <w:tcW w:w="1110" w:type="pct"/>
            <w:vAlign w:val="center"/>
          </w:tcPr>
          <w:p w14:paraId="1376C2ED">
            <w:pPr>
              <w:pStyle w:val="1535"/>
            </w:pPr>
            <w:r>
              <w:t>1</w:t>
            </w:r>
          </w:p>
        </w:tc>
        <w:tc>
          <w:tcPr>
            <w:tcW w:w="930" w:type="pct"/>
            <w:vAlign w:val="center"/>
          </w:tcPr>
          <w:p w14:paraId="4E20AF53">
            <w:pPr>
              <w:pStyle w:val="1535"/>
            </w:pPr>
            <w:r>
              <w:t>5</w:t>
            </w:r>
          </w:p>
        </w:tc>
      </w:tr>
      <w:tr w14:paraId="6214D7C5">
        <w:tblPrEx>
          <w:tblCellMar>
            <w:top w:w="0" w:type="dxa"/>
            <w:left w:w="108" w:type="dxa"/>
            <w:bottom w:w="0" w:type="dxa"/>
            <w:right w:w="108" w:type="dxa"/>
          </w:tblCellMar>
        </w:tblPrEx>
        <w:trPr>
          <w:trHeight w:val="20" w:hRule="atLeast"/>
        </w:trPr>
        <w:tc>
          <w:tcPr>
            <w:tcW w:w="473" w:type="pct"/>
            <w:vAlign w:val="center"/>
          </w:tcPr>
          <w:p w14:paraId="40061792">
            <w:pPr>
              <w:pStyle w:val="1535"/>
            </w:pPr>
            <w:r>
              <w:t>18</w:t>
            </w:r>
          </w:p>
        </w:tc>
        <w:tc>
          <w:tcPr>
            <w:tcW w:w="1377" w:type="pct"/>
            <w:vAlign w:val="center"/>
          </w:tcPr>
          <w:p w14:paraId="44C32563">
            <w:pPr>
              <w:pStyle w:val="1535"/>
            </w:pPr>
            <w:r>
              <w:t>1,1,1,2-四氯乙烷</w:t>
            </w:r>
          </w:p>
        </w:tc>
        <w:tc>
          <w:tcPr>
            <w:tcW w:w="1110" w:type="pct"/>
            <w:vAlign w:val="center"/>
          </w:tcPr>
          <w:p w14:paraId="0D7E2FA5">
            <w:pPr>
              <w:pStyle w:val="1535"/>
            </w:pPr>
            <w:r>
              <w:t>630-20-6</w:t>
            </w:r>
          </w:p>
        </w:tc>
        <w:tc>
          <w:tcPr>
            <w:tcW w:w="1110" w:type="pct"/>
            <w:vAlign w:val="center"/>
          </w:tcPr>
          <w:p w14:paraId="3CF676E7">
            <w:pPr>
              <w:pStyle w:val="1535"/>
            </w:pPr>
            <w:r>
              <w:t>2.6</w:t>
            </w:r>
          </w:p>
        </w:tc>
        <w:tc>
          <w:tcPr>
            <w:tcW w:w="930" w:type="pct"/>
            <w:vAlign w:val="center"/>
          </w:tcPr>
          <w:p w14:paraId="563C4AF7">
            <w:pPr>
              <w:pStyle w:val="1535"/>
            </w:pPr>
            <w:r>
              <w:t>10</w:t>
            </w:r>
          </w:p>
        </w:tc>
      </w:tr>
      <w:tr w14:paraId="4588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54A68BF0">
            <w:pPr>
              <w:pStyle w:val="1535"/>
            </w:pPr>
            <w:r>
              <w:t>19</w:t>
            </w:r>
          </w:p>
        </w:tc>
        <w:tc>
          <w:tcPr>
            <w:tcW w:w="1377" w:type="pct"/>
            <w:vAlign w:val="center"/>
          </w:tcPr>
          <w:p w14:paraId="14535B32">
            <w:pPr>
              <w:pStyle w:val="1535"/>
            </w:pPr>
            <w:r>
              <w:t>1,1,2,2-四氯乙烷</w:t>
            </w:r>
          </w:p>
        </w:tc>
        <w:tc>
          <w:tcPr>
            <w:tcW w:w="1110" w:type="pct"/>
            <w:vAlign w:val="center"/>
          </w:tcPr>
          <w:p w14:paraId="5CDE3AF2">
            <w:pPr>
              <w:pStyle w:val="1535"/>
            </w:pPr>
            <w:r>
              <w:t>79-34-5</w:t>
            </w:r>
          </w:p>
        </w:tc>
        <w:tc>
          <w:tcPr>
            <w:tcW w:w="1110" w:type="pct"/>
            <w:vAlign w:val="center"/>
          </w:tcPr>
          <w:p w14:paraId="54882F14">
            <w:pPr>
              <w:pStyle w:val="1535"/>
            </w:pPr>
            <w:r>
              <w:t>1.6</w:t>
            </w:r>
          </w:p>
        </w:tc>
        <w:tc>
          <w:tcPr>
            <w:tcW w:w="930" w:type="pct"/>
            <w:vAlign w:val="center"/>
          </w:tcPr>
          <w:p w14:paraId="0782F1F4">
            <w:pPr>
              <w:pStyle w:val="1535"/>
            </w:pPr>
            <w:r>
              <w:t>6.8</w:t>
            </w:r>
          </w:p>
        </w:tc>
      </w:tr>
      <w:tr w14:paraId="1DD0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2C89208C">
            <w:pPr>
              <w:pStyle w:val="1535"/>
            </w:pPr>
            <w:r>
              <w:t>20</w:t>
            </w:r>
          </w:p>
        </w:tc>
        <w:tc>
          <w:tcPr>
            <w:tcW w:w="1377" w:type="pct"/>
            <w:vAlign w:val="center"/>
          </w:tcPr>
          <w:p w14:paraId="23B25FF2">
            <w:pPr>
              <w:pStyle w:val="1535"/>
            </w:pPr>
            <w:r>
              <w:t>四氯乙烯</w:t>
            </w:r>
          </w:p>
        </w:tc>
        <w:tc>
          <w:tcPr>
            <w:tcW w:w="1110" w:type="pct"/>
            <w:vAlign w:val="center"/>
          </w:tcPr>
          <w:p w14:paraId="0D178C87">
            <w:pPr>
              <w:pStyle w:val="1535"/>
            </w:pPr>
            <w:r>
              <w:t>127-18-4</w:t>
            </w:r>
          </w:p>
        </w:tc>
        <w:tc>
          <w:tcPr>
            <w:tcW w:w="1110" w:type="pct"/>
            <w:vAlign w:val="center"/>
          </w:tcPr>
          <w:p w14:paraId="5B76C0B4">
            <w:pPr>
              <w:pStyle w:val="1535"/>
            </w:pPr>
            <w:r>
              <w:t>11</w:t>
            </w:r>
          </w:p>
        </w:tc>
        <w:tc>
          <w:tcPr>
            <w:tcW w:w="930" w:type="pct"/>
            <w:vAlign w:val="center"/>
          </w:tcPr>
          <w:p w14:paraId="75CB92ED">
            <w:pPr>
              <w:pStyle w:val="1535"/>
            </w:pPr>
            <w:r>
              <w:t>53</w:t>
            </w:r>
          </w:p>
        </w:tc>
      </w:tr>
      <w:tr w14:paraId="4B205F5E">
        <w:tblPrEx>
          <w:tblCellMar>
            <w:top w:w="0" w:type="dxa"/>
            <w:left w:w="108" w:type="dxa"/>
            <w:bottom w:w="0" w:type="dxa"/>
            <w:right w:w="108" w:type="dxa"/>
          </w:tblCellMar>
        </w:tblPrEx>
        <w:trPr>
          <w:trHeight w:val="20" w:hRule="atLeast"/>
        </w:trPr>
        <w:tc>
          <w:tcPr>
            <w:tcW w:w="473" w:type="pct"/>
            <w:vAlign w:val="center"/>
          </w:tcPr>
          <w:p w14:paraId="65490DC9">
            <w:pPr>
              <w:pStyle w:val="1535"/>
            </w:pPr>
            <w:r>
              <w:t>21</w:t>
            </w:r>
          </w:p>
        </w:tc>
        <w:tc>
          <w:tcPr>
            <w:tcW w:w="1377" w:type="pct"/>
            <w:vAlign w:val="center"/>
          </w:tcPr>
          <w:p w14:paraId="3EA2B2AF">
            <w:pPr>
              <w:pStyle w:val="1535"/>
            </w:pPr>
            <w:r>
              <w:t>1,1,1-三氯乙烷</w:t>
            </w:r>
          </w:p>
        </w:tc>
        <w:tc>
          <w:tcPr>
            <w:tcW w:w="1110" w:type="pct"/>
            <w:vAlign w:val="center"/>
          </w:tcPr>
          <w:p w14:paraId="02ADB52D">
            <w:pPr>
              <w:pStyle w:val="1535"/>
            </w:pPr>
            <w:r>
              <w:t>71-55-6</w:t>
            </w:r>
          </w:p>
        </w:tc>
        <w:tc>
          <w:tcPr>
            <w:tcW w:w="1110" w:type="pct"/>
            <w:vAlign w:val="center"/>
          </w:tcPr>
          <w:p w14:paraId="5D0C2B67">
            <w:pPr>
              <w:pStyle w:val="1535"/>
            </w:pPr>
            <w:r>
              <w:t>701</w:t>
            </w:r>
          </w:p>
        </w:tc>
        <w:tc>
          <w:tcPr>
            <w:tcW w:w="930" w:type="pct"/>
            <w:vAlign w:val="center"/>
          </w:tcPr>
          <w:p w14:paraId="36EA0721">
            <w:pPr>
              <w:pStyle w:val="1535"/>
            </w:pPr>
            <w:r>
              <w:t>840</w:t>
            </w:r>
          </w:p>
        </w:tc>
      </w:tr>
      <w:tr w14:paraId="23E9548F">
        <w:tblPrEx>
          <w:tblCellMar>
            <w:top w:w="0" w:type="dxa"/>
            <w:left w:w="108" w:type="dxa"/>
            <w:bottom w:w="0" w:type="dxa"/>
            <w:right w:w="108" w:type="dxa"/>
          </w:tblCellMar>
        </w:tblPrEx>
        <w:trPr>
          <w:trHeight w:val="20" w:hRule="atLeast"/>
        </w:trPr>
        <w:tc>
          <w:tcPr>
            <w:tcW w:w="473" w:type="pct"/>
            <w:vAlign w:val="center"/>
          </w:tcPr>
          <w:p w14:paraId="33F785F2">
            <w:pPr>
              <w:pStyle w:val="1535"/>
            </w:pPr>
            <w:r>
              <w:t>22</w:t>
            </w:r>
          </w:p>
        </w:tc>
        <w:tc>
          <w:tcPr>
            <w:tcW w:w="1377" w:type="pct"/>
            <w:vAlign w:val="center"/>
          </w:tcPr>
          <w:p w14:paraId="39DA64DD">
            <w:pPr>
              <w:pStyle w:val="1535"/>
            </w:pPr>
            <w:r>
              <w:t>1,1,2-三氯乙烷</w:t>
            </w:r>
          </w:p>
        </w:tc>
        <w:tc>
          <w:tcPr>
            <w:tcW w:w="1110" w:type="pct"/>
            <w:vAlign w:val="center"/>
          </w:tcPr>
          <w:p w14:paraId="0A5C44DC">
            <w:pPr>
              <w:pStyle w:val="1535"/>
            </w:pPr>
            <w:r>
              <w:t>79-00-5</w:t>
            </w:r>
          </w:p>
        </w:tc>
        <w:tc>
          <w:tcPr>
            <w:tcW w:w="1110" w:type="pct"/>
            <w:vAlign w:val="center"/>
          </w:tcPr>
          <w:p w14:paraId="10CA65D8">
            <w:pPr>
              <w:pStyle w:val="1535"/>
            </w:pPr>
            <w:r>
              <w:t>0.6</w:t>
            </w:r>
          </w:p>
        </w:tc>
        <w:tc>
          <w:tcPr>
            <w:tcW w:w="930" w:type="pct"/>
            <w:vAlign w:val="center"/>
          </w:tcPr>
          <w:p w14:paraId="3FB1D29B">
            <w:pPr>
              <w:pStyle w:val="1535"/>
            </w:pPr>
            <w:r>
              <w:t>2.8</w:t>
            </w:r>
          </w:p>
        </w:tc>
      </w:tr>
      <w:tr w14:paraId="717A0655">
        <w:tblPrEx>
          <w:tblCellMar>
            <w:top w:w="0" w:type="dxa"/>
            <w:left w:w="108" w:type="dxa"/>
            <w:bottom w:w="0" w:type="dxa"/>
            <w:right w:w="108" w:type="dxa"/>
          </w:tblCellMar>
        </w:tblPrEx>
        <w:trPr>
          <w:trHeight w:val="20" w:hRule="atLeast"/>
        </w:trPr>
        <w:tc>
          <w:tcPr>
            <w:tcW w:w="473" w:type="pct"/>
            <w:vAlign w:val="center"/>
          </w:tcPr>
          <w:p w14:paraId="495DBA08">
            <w:pPr>
              <w:pStyle w:val="1535"/>
            </w:pPr>
            <w:r>
              <w:t>23</w:t>
            </w:r>
          </w:p>
        </w:tc>
        <w:tc>
          <w:tcPr>
            <w:tcW w:w="1377" w:type="pct"/>
            <w:vAlign w:val="center"/>
          </w:tcPr>
          <w:p w14:paraId="2BB694B5">
            <w:pPr>
              <w:pStyle w:val="1535"/>
            </w:pPr>
            <w:r>
              <w:t>三氯乙烯</w:t>
            </w:r>
          </w:p>
        </w:tc>
        <w:tc>
          <w:tcPr>
            <w:tcW w:w="1110" w:type="pct"/>
            <w:vAlign w:val="center"/>
          </w:tcPr>
          <w:p w14:paraId="1673A864">
            <w:pPr>
              <w:pStyle w:val="1535"/>
            </w:pPr>
            <w:r>
              <w:t>79-01-6</w:t>
            </w:r>
          </w:p>
        </w:tc>
        <w:tc>
          <w:tcPr>
            <w:tcW w:w="1110" w:type="pct"/>
            <w:vAlign w:val="center"/>
          </w:tcPr>
          <w:p w14:paraId="6E0FC67D">
            <w:pPr>
              <w:pStyle w:val="1535"/>
            </w:pPr>
            <w:r>
              <w:t>0.7</w:t>
            </w:r>
          </w:p>
        </w:tc>
        <w:tc>
          <w:tcPr>
            <w:tcW w:w="930" w:type="pct"/>
            <w:vAlign w:val="center"/>
          </w:tcPr>
          <w:p w14:paraId="6E3E9228">
            <w:pPr>
              <w:pStyle w:val="1535"/>
            </w:pPr>
            <w:r>
              <w:t>2.8</w:t>
            </w:r>
          </w:p>
        </w:tc>
      </w:tr>
      <w:tr w14:paraId="1F87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7151EA2E">
            <w:pPr>
              <w:pStyle w:val="1535"/>
            </w:pPr>
            <w:r>
              <w:t>24</w:t>
            </w:r>
          </w:p>
        </w:tc>
        <w:tc>
          <w:tcPr>
            <w:tcW w:w="1377" w:type="pct"/>
            <w:vAlign w:val="center"/>
          </w:tcPr>
          <w:p w14:paraId="6E91D7ED">
            <w:pPr>
              <w:pStyle w:val="1535"/>
            </w:pPr>
            <w:r>
              <w:t>1,2,3-三氯丙烷</w:t>
            </w:r>
          </w:p>
        </w:tc>
        <w:tc>
          <w:tcPr>
            <w:tcW w:w="1110" w:type="pct"/>
            <w:vAlign w:val="center"/>
          </w:tcPr>
          <w:p w14:paraId="6C158A9E">
            <w:pPr>
              <w:pStyle w:val="1535"/>
            </w:pPr>
            <w:r>
              <w:t>96-18-4</w:t>
            </w:r>
          </w:p>
        </w:tc>
        <w:tc>
          <w:tcPr>
            <w:tcW w:w="1110" w:type="pct"/>
            <w:vAlign w:val="center"/>
          </w:tcPr>
          <w:p w14:paraId="1173C26B">
            <w:pPr>
              <w:pStyle w:val="1535"/>
            </w:pPr>
            <w:r>
              <w:t>0.05</w:t>
            </w:r>
          </w:p>
        </w:tc>
        <w:tc>
          <w:tcPr>
            <w:tcW w:w="930" w:type="pct"/>
            <w:vAlign w:val="center"/>
          </w:tcPr>
          <w:p w14:paraId="20F62F75">
            <w:pPr>
              <w:pStyle w:val="1535"/>
            </w:pPr>
            <w:r>
              <w:t>0.5</w:t>
            </w:r>
          </w:p>
        </w:tc>
      </w:tr>
      <w:tr w14:paraId="7CC5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255DDFD0">
            <w:pPr>
              <w:pStyle w:val="1535"/>
            </w:pPr>
            <w:r>
              <w:t>25</w:t>
            </w:r>
          </w:p>
        </w:tc>
        <w:tc>
          <w:tcPr>
            <w:tcW w:w="1377" w:type="pct"/>
            <w:vAlign w:val="center"/>
          </w:tcPr>
          <w:p w14:paraId="1D6000B0">
            <w:pPr>
              <w:pStyle w:val="1535"/>
            </w:pPr>
            <w:r>
              <w:t>氯乙烯</w:t>
            </w:r>
          </w:p>
        </w:tc>
        <w:tc>
          <w:tcPr>
            <w:tcW w:w="1110" w:type="pct"/>
            <w:vAlign w:val="center"/>
          </w:tcPr>
          <w:p w14:paraId="0707166A">
            <w:pPr>
              <w:pStyle w:val="1535"/>
            </w:pPr>
            <w:r>
              <w:t>75-01-4</w:t>
            </w:r>
          </w:p>
        </w:tc>
        <w:tc>
          <w:tcPr>
            <w:tcW w:w="1110" w:type="pct"/>
            <w:vAlign w:val="center"/>
          </w:tcPr>
          <w:p w14:paraId="35F39602">
            <w:pPr>
              <w:pStyle w:val="1535"/>
            </w:pPr>
            <w:r>
              <w:t>0.12</w:t>
            </w:r>
          </w:p>
        </w:tc>
        <w:tc>
          <w:tcPr>
            <w:tcW w:w="930" w:type="pct"/>
            <w:vAlign w:val="center"/>
          </w:tcPr>
          <w:p w14:paraId="5CCE98BA">
            <w:pPr>
              <w:pStyle w:val="1535"/>
            </w:pPr>
            <w:r>
              <w:t>0.43</w:t>
            </w:r>
          </w:p>
        </w:tc>
      </w:tr>
      <w:tr w14:paraId="4CAD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514C74FF">
            <w:pPr>
              <w:pStyle w:val="1535"/>
            </w:pPr>
            <w:r>
              <w:t>26</w:t>
            </w:r>
          </w:p>
        </w:tc>
        <w:tc>
          <w:tcPr>
            <w:tcW w:w="1377" w:type="pct"/>
            <w:vAlign w:val="center"/>
          </w:tcPr>
          <w:p w14:paraId="7D313A77">
            <w:pPr>
              <w:pStyle w:val="1535"/>
            </w:pPr>
            <w:r>
              <w:t>苯</w:t>
            </w:r>
          </w:p>
        </w:tc>
        <w:tc>
          <w:tcPr>
            <w:tcW w:w="1110" w:type="pct"/>
            <w:vAlign w:val="center"/>
          </w:tcPr>
          <w:p w14:paraId="649CF3A5">
            <w:pPr>
              <w:pStyle w:val="1535"/>
            </w:pPr>
            <w:r>
              <w:t>71-43-2</w:t>
            </w:r>
          </w:p>
        </w:tc>
        <w:tc>
          <w:tcPr>
            <w:tcW w:w="1110" w:type="pct"/>
            <w:vAlign w:val="center"/>
          </w:tcPr>
          <w:p w14:paraId="743BEA10">
            <w:pPr>
              <w:pStyle w:val="1535"/>
            </w:pPr>
            <w:r>
              <w:t>1</w:t>
            </w:r>
          </w:p>
        </w:tc>
        <w:tc>
          <w:tcPr>
            <w:tcW w:w="930" w:type="pct"/>
            <w:vAlign w:val="center"/>
          </w:tcPr>
          <w:p w14:paraId="398F61F2">
            <w:pPr>
              <w:pStyle w:val="1535"/>
            </w:pPr>
            <w:r>
              <w:t>4</w:t>
            </w:r>
          </w:p>
        </w:tc>
      </w:tr>
      <w:tr w14:paraId="3000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31F26A9D">
            <w:pPr>
              <w:pStyle w:val="1535"/>
            </w:pPr>
            <w:r>
              <w:t>27</w:t>
            </w:r>
          </w:p>
        </w:tc>
        <w:tc>
          <w:tcPr>
            <w:tcW w:w="1377" w:type="pct"/>
            <w:vAlign w:val="center"/>
          </w:tcPr>
          <w:p w14:paraId="3BF0D709">
            <w:pPr>
              <w:pStyle w:val="1535"/>
            </w:pPr>
            <w:r>
              <w:t>氯苯</w:t>
            </w:r>
          </w:p>
        </w:tc>
        <w:tc>
          <w:tcPr>
            <w:tcW w:w="1110" w:type="pct"/>
            <w:vAlign w:val="center"/>
          </w:tcPr>
          <w:p w14:paraId="2176517C">
            <w:pPr>
              <w:pStyle w:val="1535"/>
            </w:pPr>
            <w:r>
              <w:t>108-90-7</w:t>
            </w:r>
          </w:p>
        </w:tc>
        <w:tc>
          <w:tcPr>
            <w:tcW w:w="1110" w:type="pct"/>
            <w:vAlign w:val="center"/>
          </w:tcPr>
          <w:p w14:paraId="5320B406">
            <w:pPr>
              <w:pStyle w:val="1535"/>
            </w:pPr>
            <w:r>
              <w:t>68</w:t>
            </w:r>
          </w:p>
        </w:tc>
        <w:tc>
          <w:tcPr>
            <w:tcW w:w="930" w:type="pct"/>
            <w:vAlign w:val="center"/>
          </w:tcPr>
          <w:p w14:paraId="28A729F1">
            <w:pPr>
              <w:pStyle w:val="1535"/>
            </w:pPr>
            <w:r>
              <w:t>270</w:t>
            </w:r>
          </w:p>
        </w:tc>
      </w:tr>
      <w:tr w14:paraId="3D1A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271D332A">
            <w:pPr>
              <w:pStyle w:val="1535"/>
            </w:pPr>
            <w:r>
              <w:t>28</w:t>
            </w:r>
          </w:p>
        </w:tc>
        <w:tc>
          <w:tcPr>
            <w:tcW w:w="1377" w:type="pct"/>
            <w:vAlign w:val="center"/>
          </w:tcPr>
          <w:p w14:paraId="264097B8">
            <w:pPr>
              <w:pStyle w:val="1535"/>
            </w:pPr>
            <w:r>
              <w:t>1,2-二氯苯</w:t>
            </w:r>
          </w:p>
        </w:tc>
        <w:tc>
          <w:tcPr>
            <w:tcW w:w="1110" w:type="pct"/>
            <w:vAlign w:val="center"/>
          </w:tcPr>
          <w:p w14:paraId="17092FEF">
            <w:pPr>
              <w:pStyle w:val="1535"/>
            </w:pPr>
            <w:r>
              <w:t>95-50-1</w:t>
            </w:r>
          </w:p>
        </w:tc>
        <w:tc>
          <w:tcPr>
            <w:tcW w:w="1110" w:type="pct"/>
            <w:vAlign w:val="center"/>
          </w:tcPr>
          <w:p w14:paraId="56809F3E">
            <w:pPr>
              <w:pStyle w:val="1535"/>
            </w:pPr>
            <w:r>
              <w:t>560</w:t>
            </w:r>
          </w:p>
        </w:tc>
        <w:tc>
          <w:tcPr>
            <w:tcW w:w="930" w:type="pct"/>
            <w:vAlign w:val="center"/>
          </w:tcPr>
          <w:p w14:paraId="1F69E8F0">
            <w:pPr>
              <w:pStyle w:val="1535"/>
            </w:pPr>
            <w:r>
              <w:t>560</w:t>
            </w:r>
          </w:p>
        </w:tc>
      </w:tr>
      <w:tr w14:paraId="5B41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2AF48D99">
            <w:pPr>
              <w:pStyle w:val="1535"/>
            </w:pPr>
            <w:r>
              <w:t>29</w:t>
            </w:r>
          </w:p>
        </w:tc>
        <w:tc>
          <w:tcPr>
            <w:tcW w:w="1377" w:type="pct"/>
            <w:vAlign w:val="center"/>
          </w:tcPr>
          <w:p w14:paraId="02E8FCAE">
            <w:pPr>
              <w:pStyle w:val="1535"/>
            </w:pPr>
            <w:r>
              <w:t>1,4-二氯苯</w:t>
            </w:r>
          </w:p>
        </w:tc>
        <w:tc>
          <w:tcPr>
            <w:tcW w:w="1110" w:type="pct"/>
            <w:vAlign w:val="center"/>
          </w:tcPr>
          <w:p w14:paraId="3F32475F">
            <w:pPr>
              <w:pStyle w:val="1535"/>
            </w:pPr>
            <w:r>
              <w:t>106-46-7</w:t>
            </w:r>
          </w:p>
        </w:tc>
        <w:tc>
          <w:tcPr>
            <w:tcW w:w="1110" w:type="pct"/>
            <w:vAlign w:val="center"/>
          </w:tcPr>
          <w:p w14:paraId="06E8EF25">
            <w:pPr>
              <w:pStyle w:val="1535"/>
            </w:pPr>
            <w:r>
              <w:t>5.6</w:t>
            </w:r>
          </w:p>
        </w:tc>
        <w:tc>
          <w:tcPr>
            <w:tcW w:w="930" w:type="pct"/>
            <w:vAlign w:val="center"/>
          </w:tcPr>
          <w:p w14:paraId="312B0A93">
            <w:pPr>
              <w:pStyle w:val="1535"/>
            </w:pPr>
            <w:r>
              <w:t>20</w:t>
            </w:r>
          </w:p>
        </w:tc>
      </w:tr>
      <w:tr w14:paraId="7E5F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7B409419">
            <w:pPr>
              <w:pStyle w:val="1535"/>
            </w:pPr>
            <w:r>
              <w:t>30</w:t>
            </w:r>
          </w:p>
        </w:tc>
        <w:tc>
          <w:tcPr>
            <w:tcW w:w="1377" w:type="pct"/>
            <w:vAlign w:val="center"/>
          </w:tcPr>
          <w:p w14:paraId="777E7951">
            <w:pPr>
              <w:pStyle w:val="1535"/>
            </w:pPr>
            <w:r>
              <w:t>乙苯</w:t>
            </w:r>
          </w:p>
        </w:tc>
        <w:tc>
          <w:tcPr>
            <w:tcW w:w="1110" w:type="pct"/>
            <w:vAlign w:val="center"/>
          </w:tcPr>
          <w:p w14:paraId="4A010A8B">
            <w:pPr>
              <w:pStyle w:val="1535"/>
            </w:pPr>
            <w:r>
              <w:t>100-41-4</w:t>
            </w:r>
          </w:p>
        </w:tc>
        <w:tc>
          <w:tcPr>
            <w:tcW w:w="1110" w:type="pct"/>
            <w:vAlign w:val="center"/>
          </w:tcPr>
          <w:p w14:paraId="24FE428D">
            <w:pPr>
              <w:pStyle w:val="1535"/>
            </w:pPr>
            <w:r>
              <w:t>7.2</w:t>
            </w:r>
          </w:p>
        </w:tc>
        <w:tc>
          <w:tcPr>
            <w:tcW w:w="930" w:type="pct"/>
            <w:vAlign w:val="center"/>
          </w:tcPr>
          <w:p w14:paraId="494BDCB6">
            <w:pPr>
              <w:pStyle w:val="1535"/>
            </w:pPr>
            <w:r>
              <w:t>28</w:t>
            </w:r>
          </w:p>
        </w:tc>
      </w:tr>
      <w:tr w14:paraId="1AE4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1DF057F9">
            <w:pPr>
              <w:pStyle w:val="1535"/>
            </w:pPr>
            <w:r>
              <w:t>31</w:t>
            </w:r>
          </w:p>
        </w:tc>
        <w:tc>
          <w:tcPr>
            <w:tcW w:w="1377" w:type="pct"/>
            <w:vAlign w:val="center"/>
          </w:tcPr>
          <w:p w14:paraId="286BB304">
            <w:pPr>
              <w:pStyle w:val="1535"/>
            </w:pPr>
            <w:r>
              <w:t>苯乙烯</w:t>
            </w:r>
          </w:p>
        </w:tc>
        <w:tc>
          <w:tcPr>
            <w:tcW w:w="1110" w:type="pct"/>
            <w:vAlign w:val="center"/>
          </w:tcPr>
          <w:p w14:paraId="46BF65D6">
            <w:pPr>
              <w:pStyle w:val="1535"/>
            </w:pPr>
            <w:r>
              <w:t>100-42-5</w:t>
            </w:r>
          </w:p>
        </w:tc>
        <w:tc>
          <w:tcPr>
            <w:tcW w:w="1110" w:type="pct"/>
            <w:vAlign w:val="center"/>
          </w:tcPr>
          <w:p w14:paraId="37B2A43A">
            <w:pPr>
              <w:pStyle w:val="1535"/>
            </w:pPr>
            <w:r>
              <w:t>1290</w:t>
            </w:r>
          </w:p>
        </w:tc>
        <w:tc>
          <w:tcPr>
            <w:tcW w:w="930" w:type="pct"/>
            <w:vAlign w:val="center"/>
          </w:tcPr>
          <w:p w14:paraId="5B53049C">
            <w:pPr>
              <w:pStyle w:val="1535"/>
            </w:pPr>
            <w:r>
              <w:t>1290</w:t>
            </w:r>
          </w:p>
        </w:tc>
      </w:tr>
      <w:tr w14:paraId="594D8582">
        <w:tblPrEx>
          <w:tblCellMar>
            <w:top w:w="0" w:type="dxa"/>
            <w:left w:w="108" w:type="dxa"/>
            <w:bottom w:w="0" w:type="dxa"/>
            <w:right w:w="108" w:type="dxa"/>
          </w:tblCellMar>
        </w:tblPrEx>
        <w:trPr>
          <w:trHeight w:val="20" w:hRule="atLeast"/>
        </w:trPr>
        <w:tc>
          <w:tcPr>
            <w:tcW w:w="473" w:type="pct"/>
            <w:vAlign w:val="center"/>
          </w:tcPr>
          <w:p w14:paraId="5235A731">
            <w:pPr>
              <w:pStyle w:val="1535"/>
            </w:pPr>
            <w:r>
              <w:t>32</w:t>
            </w:r>
          </w:p>
        </w:tc>
        <w:tc>
          <w:tcPr>
            <w:tcW w:w="1377" w:type="pct"/>
            <w:vAlign w:val="center"/>
          </w:tcPr>
          <w:p w14:paraId="6F5BE6FA">
            <w:pPr>
              <w:pStyle w:val="1535"/>
            </w:pPr>
            <w:r>
              <w:t>甲苯</w:t>
            </w:r>
          </w:p>
        </w:tc>
        <w:tc>
          <w:tcPr>
            <w:tcW w:w="1110" w:type="pct"/>
            <w:vAlign w:val="center"/>
          </w:tcPr>
          <w:p w14:paraId="33B8FF67">
            <w:pPr>
              <w:pStyle w:val="1535"/>
            </w:pPr>
            <w:r>
              <w:t>108-88-3</w:t>
            </w:r>
          </w:p>
        </w:tc>
        <w:tc>
          <w:tcPr>
            <w:tcW w:w="1110" w:type="pct"/>
            <w:vAlign w:val="center"/>
          </w:tcPr>
          <w:p w14:paraId="5B2AF28D">
            <w:pPr>
              <w:pStyle w:val="1535"/>
            </w:pPr>
            <w:r>
              <w:t>1200</w:t>
            </w:r>
          </w:p>
        </w:tc>
        <w:tc>
          <w:tcPr>
            <w:tcW w:w="930" w:type="pct"/>
            <w:vAlign w:val="center"/>
          </w:tcPr>
          <w:p w14:paraId="19A7E6CA">
            <w:pPr>
              <w:pStyle w:val="1535"/>
            </w:pPr>
            <w:r>
              <w:t>1200</w:t>
            </w:r>
          </w:p>
        </w:tc>
      </w:tr>
      <w:tr w14:paraId="7CCF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0E07B9ED">
            <w:pPr>
              <w:pStyle w:val="1535"/>
            </w:pPr>
            <w:r>
              <w:t>33</w:t>
            </w:r>
          </w:p>
        </w:tc>
        <w:tc>
          <w:tcPr>
            <w:tcW w:w="1377" w:type="pct"/>
            <w:vAlign w:val="center"/>
          </w:tcPr>
          <w:p w14:paraId="59746993">
            <w:pPr>
              <w:pStyle w:val="1535"/>
            </w:pPr>
            <w:r>
              <w:t>间二甲苯+对二甲苯</w:t>
            </w:r>
          </w:p>
        </w:tc>
        <w:tc>
          <w:tcPr>
            <w:tcW w:w="1110" w:type="pct"/>
            <w:vAlign w:val="center"/>
          </w:tcPr>
          <w:p w14:paraId="62031A3F">
            <w:pPr>
              <w:pStyle w:val="1535"/>
            </w:pPr>
            <w:r>
              <w:t>108-38-3,</w:t>
            </w:r>
          </w:p>
          <w:p w14:paraId="2C12C7AB">
            <w:pPr>
              <w:pStyle w:val="1535"/>
            </w:pPr>
            <w:r>
              <w:t>106-42-3</w:t>
            </w:r>
          </w:p>
        </w:tc>
        <w:tc>
          <w:tcPr>
            <w:tcW w:w="1110" w:type="pct"/>
            <w:vAlign w:val="center"/>
          </w:tcPr>
          <w:p w14:paraId="6782AA5C">
            <w:pPr>
              <w:pStyle w:val="1535"/>
            </w:pPr>
            <w:r>
              <w:t>163</w:t>
            </w:r>
          </w:p>
        </w:tc>
        <w:tc>
          <w:tcPr>
            <w:tcW w:w="930" w:type="pct"/>
            <w:vAlign w:val="center"/>
          </w:tcPr>
          <w:p w14:paraId="1ACE70F4">
            <w:pPr>
              <w:pStyle w:val="1535"/>
            </w:pPr>
            <w:r>
              <w:t>570</w:t>
            </w:r>
          </w:p>
        </w:tc>
      </w:tr>
      <w:tr w14:paraId="5ECC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518A0C6C">
            <w:pPr>
              <w:pStyle w:val="1535"/>
            </w:pPr>
            <w:r>
              <w:t>34</w:t>
            </w:r>
          </w:p>
        </w:tc>
        <w:tc>
          <w:tcPr>
            <w:tcW w:w="1377" w:type="pct"/>
            <w:vAlign w:val="center"/>
          </w:tcPr>
          <w:p w14:paraId="380B6D9E">
            <w:pPr>
              <w:pStyle w:val="1535"/>
            </w:pPr>
            <w:r>
              <w:t>邻二甲苯</w:t>
            </w:r>
          </w:p>
        </w:tc>
        <w:tc>
          <w:tcPr>
            <w:tcW w:w="1110" w:type="pct"/>
            <w:vAlign w:val="center"/>
          </w:tcPr>
          <w:p w14:paraId="29790CD5">
            <w:pPr>
              <w:pStyle w:val="1535"/>
            </w:pPr>
            <w:r>
              <w:t>95-47-6</w:t>
            </w:r>
          </w:p>
        </w:tc>
        <w:tc>
          <w:tcPr>
            <w:tcW w:w="1110" w:type="pct"/>
            <w:vAlign w:val="center"/>
          </w:tcPr>
          <w:p w14:paraId="23EE1754">
            <w:pPr>
              <w:pStyle w:val="1535"/>
            </w:pPr>
            <w:r>
              <w:t>222</w:t>
            </w:r>
          </w:p>
        </w:tc>
        <w:tc>
          <w:tcPr>
            <w:tcW w:w="930" w:type="pct"/>
            <w:vAlign w:val="center"/>
          </w:tcPr>
          <w:p w14:paraId="0001C417">
            <w:pPr>
              <w:pStyle w:val="1535"/>
            </w:pPr>
            <w:r>
              <w:t>640</w:t>
            </w:r>
          </w:p>
        </w:tc>
      </w:tr>
      <w:tr w14:paraId="01A7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619646EE">
            <w:pPr>
              <w:pStyle w:val="1535"/>
            </w:pPr>
            <w:r>
              <w:t>35</w:t>
            </w:r>
          </w:p>
        </w:tc>
        <w:tc>
          <w:tcPr>
            <w:tcW w:w="1377" w:type="pct"/>
            <w:vAlign w:val="center"/>
          </w:tcPr>
          <w:p w14:paraId="5D2BF692">
            <w:pPr>
              <w:pStyle w:val="1535"/>
            </w:pPr>
            <w:r>
              <w:t>硝基苯</w:t>
            </w:r>
          </w:p>
        </w:tc>
        <w:tc>
          <w:tcPr>
            <w:tcW w:w="1110" w:type="pct"/>
            <w:vAlign w:val="center"/>
          </w:tcPr>
          <w:p w14:paraId="7A9F1E45">
            <w:pPr>
              <w:pStyle w:val="1535"/>
            </w:pPr>
            <w:r>
              <w:t>98-95-3</w:t>
            </w:r>
          </w:p>
        </w:tc>
        <w:tc>
          <w:tcPr>
            <w:tcW w:w="1110" w:type="pct"/>
            <w:vAlign w:val="center"/>
          </w:tcPr>
          <w:p w14:paraId="45593819">
            <w:pPr>
              <w:pStyle w:val="1535"/>
            </w:pPr>
            <w:r>
              <w:t>34</w:t>
            </w:r>
          </w:p>
        </w:tc>
        <w:tc>
          <w:tcPr>
            <w:tcW w:w="930" w:type="pct"/>
            <w:vAlign w:val="center"/>
          </w:tcPr>
          <w:p w14:paraId="0AC9FAD1">
            <w:pPr>
              <w:pStyle w:val="1535"/>
            </w:pPr>
            <w:r>
              <w:t>76</w:t>
            </w:r>
          </w:p>
        </w:tc>
      </w:tr>
      <w:tr w14:paraId="3E2F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1DA38BBE">
            <w:pPr>
              <w:pStyle w:val="1535"/>
            </w:pPr>
            <w:r>
              <w:t>36</w:t>
            </w:r>
          </w:p>
        </w:tc>
        <w:tc>
          <w:tcPr>
            <w:tcW w:w="1377" w:type="pct"/>
            <w:vAlign w:val="center"/>
          </w:tcPr>
          <w:p w14:paraId="2634AAFA">
            <w:pPr>
              <w:pStyle w:val="1535"/>
            </w:pPr>
            <w:r>
              <w:t>苯胺</w:t>
            </w:r>
          </w:p>
        </w:tc>
        <w:tc>
          <w:tcPr>
            <w:tcW w:w="1110" w:type="pct"/>
            <w:vAlign w:val="center"/>
          </w:tcPr>
          <w:p w14:paraId="4D900B94">
            <w:pPr>
              <w:pStyle w:val="1535"/>
            </w:pPr>
            <w:r>
              <w:t>62-53-3</w:t>
            </w:r>
          </w:p>
        </w:tc>
        <w:tc>
          <w:tcPr>
            <w:tcW w:w="1110" w:type="pct"/>
            <w:vAlign w:val="center"/>
          </w:tcPr>
          <w:p w14:paraId="2A190B4A">
            <w:pPr>
              <w:pStyle w:val="1535"/>
            </w:pPr>
            <w:r>
              <w:t>92</w:t>
            </w:r>
          </w:p>
        </w:tc>
        <w:tc>
          <w:tcPr>
            <w:tcW w:w="930" w:type="pct"/>
            <w:vAlign w:val="center"/>
          </w:tcPr>
          <w:p w14:paraId="1DD2E1DD">
            <w:pPr>
              <w:pStyle w:val="1535"/>
            </w:pPr>
            <w:r>
              <w:t>260</w:t>
            </w:r>
          </w:p>
        </w:tc>
      </w:tr>
      <w:tr w14:paraId="2363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4292D45B">
            <w:pPr>
              <w:pStyle w:val="1535"/>
            </w:pPr>
            <w:r>
              <w:t>37</w:t>
            </w:r>
          </w:p>
        </w:tc>
        <w:tc>
          <w:tcPr>
            <w:tcW w:w="1377" w:type="pct"/>
            <w:vAlign w:val="center"/>
          </w:tcPr>
          <w:p w14:paraId="15E97CB4">
            <w:pPr>
              <w:pStyle w:val="1535"/>
            </w:pPr>
            <w:r>
              <w:t>2-氯酚</w:t>
            </w:r>
          </w:p>
        </w:tc>
        <w:tc>
          <w:tcPr>
            <w:tcW w:w="1110" w:type="pct"/>
            <w:vAlign w:val="center"/>
          </w:tcPr>
          <w:p w14:paraId="3961D078">
            <w:pPr>
              <w:pStyle w:val="1535"/>
            </w:pPr>
            <w:r>
              <w:t>95-57-8</w:t>
            </w:r>
          </w:p>
        </w:tc>
        <w:tc>
          <w:tcPr>
            <w:tcW w:w="1110" w:type="pct"/>
            <w:vAlign w:val="center"/>
          </w:tcPr>
          <w:p w14:paraId="78876594">
            <w:pPr>
              <w:pStyle w:val="1535"/>
            </w:pPr>
            <w:r>
              <w:t>250</w:t>
            </w:r>
          </w:p>
        </w:tc>
        <w:tc>
          <w:tcPr>
            <w:tcW w:w="930" w:type="pct"/>
            <w:vAlign w:val="center"/>
          </w:tcPr>
          <w:p w14:paraId="7D50E4BC">
            <w:pPr>
              <w:pStyle w:val="1535"/>
            </w:pPr>
            <w:r>
              <w:t>2256</w:t>
            </w:r>
          </w:p>
        </w:tc>
      </w:tr>
      <w:tr w14:paraId="267E513D">
        <w:tblPrEx>
          <w:tblCellMar>
            <w:top w:w="0" w:type="dxa"/>
            <w:left w:w="108" w:type="dxa"/>
            <w:bottom w:w="0" w:type="dxa"/>
            <w:right w:w="108" w:type="dxa"/>
          </w:tblCellMar>
        </w:tblPrEx>
        <w:trPr>
          <w:trHeight w:val="20" w:hRule="atLeast"/>
        </w:trPr>
        <w:tc>
          <w:tcPr>
            <w:tcW w:w="473" w:type="pct"/>
            <w:vAlign w:val="center"/>
          </w:tcPr>
          <w:p w14:paraId="4D268F40">
            <w:pPr>
              <w:pStyle w:val="1535"/>
            </w:pPr>
            <w:r>
              <w:t>38</w:t>
            </w:r>
          </w:p>
        </w:tc>
        <w:tc>
          <w:tcPr>
            <w:tcW w:w="1377" w:type="pct"/>
            <w:vAlign w:val="center"/>
          </w:tcPr>
          <w:p w14:paraId="5B5255ED">
            <w:pPr>
              <w:pStyle w:val="1535"/>
            </w:pPr>
            <w:r>
              <w:t>苯并[a]蒽</w:t>
            </w:r>
          </w:p>
        </w:tc>
        <w:tc>
          <w:tcPr>
            <w:tcW w:w="1110" w:type="pct"/>
            <w:vAlign w:val="center"/>
          </w:tcPr>
          <w:p w14:paraId="00B75079">
            <w:pPr>
              <w:pStyle w:val="1535"/>
            </w:pPr>
            <w:r>
              <w:t>56-55-3</w:t>
            </w:r>
          </w:p>
        </w:tc>
        <w:tc>
          <w:tcPr>
            <w:tcW w:w="1110" w:type="pct"/>
            <w:vAlign w:val="center"/>
          </w:tcPr>
          <w:p w14:paraId="1396F09A">
            <w:pPr>
              <w:pStyle w:val="1535"/>
            </w:pPr>
            <w:r>
              <w:t>5.5</w:t>
            </w:r>
          </w:p>
        </w:tc>
        <w:tc>
          <w:tcPr>
            <w:tcW w:w="930" w:type="pct"/>
            <w:vAlign w:val="center"/>
          </w:tcPr>
          <w:p w14:paraId="2098F1BB">
            <w:pPr>
              <w:pStyle w:val="1535"/>
            </w:pPr>
            <w:r>
              <w:t>15</w:t>
            </w:r>
          </w:p>
        </w:tc>
      </w:tr>
      <w:tr w14:paraId="7F7A86B7">
        <w:tblPrEx>
          <w:tblCellMar>
            <w:top w:w="0" w:type="dxa"/>
            <w:left w:w="108" w:type="dxa"/>
            <w:bottom w:w="0" w:type="dxa"/>
            <w:right w:w="108" w:type="dxa"/>
          </w:tblCellMar>
        </w:tblPrEx>
        <w:trPr>
          <w:trHeight w:val="20" w:hRule="atLeast"/>
        </w:trPr>
        <w:tc>
          <w:tcPr>
            <w:tcW w:w="473" w:type="pct"/>
            <w:vAlign w:val="center"/>
          </w:tcPr>
          <w:p w14:paraId="56FF5921">
            <w:pPr>
              <w:pStyle w:val="1535"/>
            </w:pPr>
            <w:r>
              <w:t>39</w:t>
            </w:r>
          </w:p>
        </w:tc>
        <w:tc>
          <w:tcPr>
            <w:tcW w:w="1377" w:type="pct"/>
            <w:vAlign w:val="center"/>
          </w:tcPr>
          <w:p w14:paraId="1D0B1F85">
            <w:pPr>
              <w:pStyle w:val="1535"/>
            </w:pPr>
            <w:r>
              <w:t>苯并[a]芘</w:t>
            </w:r>
          </w:p>
        </w:tc>
        <w:tc>
          <w:tcPr>
            <w:tcW w:w="1110" w:type="pct"/>
            <w:vAlign w:val="center"/>
          </w:tcPr>
          <w:p w14:paraId="4EC4E8EA">
            <w:pPr>
              <w:pStyle w:val="1535"/>
            </w:pPr>
            <w:r>
              <w:t>50-32-8</w:t>
            </w:r>
          </w:p>
        </w:tc>
        <w:tc>
          <w:tcPr>
            <w:tcW w:w="1110" w:type="pct"/>
            <w:vAlign w:val="center"/>
          </w:tcPr>
          <w:p w14:paraId="73282A4D">
            <w:pPr>
              <w:pStyle w:val="1535"/>
            </w:pPr>
            <w:r>
              <w:t>0.55</w:t>
            </w:r>
          </w:p>
        </w:tc>
        <w:tc>
          <w:tcPr>
            <w:tcW w:w="930" w:type="pct"/>
            <w:vAlign w:val="center"/>
          </w:tcPr>
          <w:p w14:paraId="66EBCF3F">
            <w:pPr>
              <w:pStyle w:val="1535"/>
            </w:pPr>
            <w:r>
              <w:t>1.5</w:t>
            </w:r>
          </w:p>
        </w:tc>
      </w:tr>
      <w:tr w14:paraId="4A1B049D">
        <w:tblPrEx>
          <w:tblCellMar>
            <w:top w:w="0" w:type="dxa"/>
            <w:left w:w="108" w:type="dxa"/>
            <w:bottom w:w="0" w:type="dxa"/>
            <w:right w:w="108" w:type="dxa"/>
          </w:tblCellMar>
        </w:tblPrEx>
        <w:trPr>
          <w:trHeight w:val="20" w:hRule="atLeast"/>
        </w:trPr>
        <w:tc>
          <w:tcPr>
            <w:tcW w:w="473" w:type="pct"/>
            <w:vAlign w:val="center"/>
          </w:tcPr>
          <w:p w14:paraId="1A8F0ABA">
            <w:pPr>
              <w:pStyle w:val="1535"/>
            </w:pPr>
            <w:r>
              <w:t>40</w:t>
            </w:r>
          </w:p>
        </w:tc>
        <w:tc>
          <w:tcPr>
            <w:tcW w:w="1377" w:type="pct"/>
            <w:vAlign w:val="center"/>
          </w:tcPr>
          <w:p w14:paraId="7C9B38F0">
            <w:pPr>
              <w:pStyle w:val="1535"/>
            </w:pPr>
            <w:r>
              <w:t>苯并[b]荧蒽</w:t>
            </w:r>
          </w:p>
        </w:tc>
        <w:tc>
          <w:tcPr>
            <w:tcW w:w="1110" w:type="pct"/>
            <w:vAlign w:val="center"/>
          </w:tcPr>
          <w:p w14:paraId="69E4584E">
            <w:pPr>
              <w:pStyle w:val="1535"/>
            </w:pPr>
            <w:r>
              <w:t>205-99-2</w:t>
            </w:r>
          </w:p>
        </w:tc>
        <w:tc>
          <w:tcPr>
            <w:tcW w:w="1110" w:type="pct"/>
            <w:vAlign w:val="center"/>
          </w:tcPr>
          <w:p w14:paraId="781C91C2">
            <w:pPr>
              <w:pStyle w:val="1535"/>
            </w:pPr>
            <w:r>
              <w:t>5.5</w:t>
            </w:r>
          </w:p>
        </w:tc>
        <w:tc>
          <w:tcPr>
            <w:tcW w:w="930" w:type="pct"/>
            <w:vAlign w:val="center"/>
          </w:tcPr>
          <w:p w14:paraId="7B10AF1E">
            <w:pPr>
              <w:pStyle w:val="1535"/>
            </w:pPr>
            <w:r>
              <w:t>15</w:t>
            </w:r>
          </w:p>
        </w:tc>
      </w:tr>
      <w:tr w14:paraId="32C4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098CD879">
            <w:pPr>
              <w:pStyle w:val="1535"/>
            </w:pPr>
            <w:r>
              <w:t>41</w:t>
            </w:r>
          </w:p>
        </w:tc>
        <w:tc>
          <w:tcPr>
            <w:tcW w:w="1377" w:type="pct"/>
            <w:vAlign w:val="center"/>
          </w:tcPr>
          <w:p w14:paraId="7B5960D6">
            <w:pPr>
              <w:pStyle w:val="1535"/>
            </w:pPr>
            <w:r>
              <w:t>苯并[k]荧蒽</w:t>
            </w:r>
          </w:p>
        </w:tc>
        <w:tc>
          <w:tcPr>
            <w:tcW w:w="1110" w:type="pct"/>
            <w:vAlign w:val="center"/>
          </w:tcPr>
          <w:p w14:paraId="2EE4EB81">
            <w:pPr>
              <w:pStyle w:val="1535"/>
            </w:pPr>
            <w:r>
              <w:t>207-08-9</w:t>
            </w:r>
          </w:p>
        </w:tc>
        <w:tc>
          <w:tcPr>
            <w:tcW w:w="1110" w:type="pct"/>
            <w:vAlign w:val="center"/>
          </w:tcPr>
          <w:p w14:paraId="1F2B6DC9">
            <w:pPr>
              <w:pStyle w:val="1535"/>
            </w:pPr>
            <w:r>
              <w:t>55</w:t>
            </w:r>
          </w:p>
        </w:tc>
        <w:tc>
          <w:tcPr>
            <w:tcW w:w="930" w:type="pct"/>
            <w:vAlign w:val="center"/>
          </w:tcPr>
          <w:p w14:paraId="601F7B27">
            <w:pPr>
              <w:pStyle w:val="1535"/>
            </w:pPr>
            <w:r>
              <w:t>151</w:t>
            </w:r>
          </w:p>
        </w:tc>
      </w:tr>
      <w:tr w14:paraId="506ED50C">
        <w:tblPrEx>
          <w:tblCellMar>
            <w:top w:w="0" w:type="dxa"/>
            <w:left w:w="108" w:type="dxa"/>
            <w:bottom w:w="0" w:type="dxa"/>
            <w:right w:w="108" w:type="dxa"/>
          </w:tblCellMar>
        </w:tblPrEx>
        <w:trPr>
          <w:trHeight w:val="20" w:hRule="atLeast"/>
        </w:trPr>
        <w:tc>
          <w:tcPr>
            <w:tcW w:w="473" w:type="pct"/>
            <w:vAlign w:val="center"/>
          </w:tcPr>
          <w:p w14:paraId="371A29BD">
            <w:pPr>
              <w:pStyle w:val="1535"/>
            </w:pPr>
            <w:r>
              <w:t>42</w:t>
            </w:r>
          </w:p>
        </w:tc>
        <w:tc>
          <w:tcPr>
            <w:tcW w:w="1377" w:type="pct"/>
            <w:vAlign w:val="center"/>
          </w:tcPr>
          <w:p w14:paraId="01C00777">
            <w:pPr>
              <w:pStyle w:val="1535"/>
            </w:pPr>
            <w:r>
              <w:t>䓛</w:t>
            </w:r>
          </w:p>
        </w:tc>
        <w:tc>
          <w:tcPr>
            <w:tcW w:w="1110" w:type="pct"/>
            <w:vAlign w:val="center"/>
          </w:tcPr>
          <w:p w14:paraId="3EEAFE80">
            <w:pPr>
              <w:pStyle w:val="1535"/>
            </w:pPr>
            <w:r>
              <w:t>218-01-9</w:t>
            </w:r>
          </w:p>
        </w:tc>
        <w:tc>
          <w:tcPr>
            <w:tcW w:w="1110" w:type="pct"/>
            <w:vAlign w:val="center"/>
          </w:tcPr>
          <w:p w14:paraId="58325D07">
            <w:pPr>
              <w:pStyle w:val="1535"/>
            </w:pPr>
            <w:r>
              <w:t>490</w:t>
            </w:r>
          </w:p>
        </w:tc>
        <w:tc>
          <w:tcPr>
            <w:tcW w:w="930" w:type="pct"/>
            <w:vAlign w:val="center"/>
          </w:tcPr>
          <w:p w14:paraId="1F27AEEF">
            <w:pPr>
              <w:pStyle w:val="1535"/>
            </w:pPr>
            <w:r>
              <w:t>1293</w:t>
            </w:r>
          </w:p>
        </w:tc>
      </w:tr>
      <w:tr w14:paraId="47F2C0E8">
        <w:tblPrEx>
          <w:tblCellMar>
            <w:top w:w="0" w:type="dxa"/>
            <w:left w:w="108" w:type="dxa"/>
            <w:bottom w:w="0" w:type="dxa"/>
            <w:right w:w="108" w:type="dxa"/>
          </w:tblCellMar>
        </w:tblPrEx>
        <w:trPr>
          <w:trHeight w:val="20" w:hRule="atLeast"/>
        </w:trPr>
        <w:tc>
          <w:tcPr>
            <w:tcW w:w="473" w:type="pct"/>
            <w:vAlign w:val="center"/>
          </w:tcPr>
          <w:p w14:paraId="46F01F7A">
            <w:pPr>
              <w:pStyle w:val="1535"/>
            </w:pPr>
            <w:r>
              <w:t>43</w:t>
            </w:r>
          </w:p>
        </w:tc>
        <w:tc>
          <w:tcPr>
            <w:tcW w:w="1377" w:type="pct"/>
            <w:vAlign w:val="center"/>
          </w:tcPr>
          <w:p w14:paraId="04F4574D">
            <w:pPr>
              <w:pStyle w:val="1535"/>
            </w:pPr>
            <w:r>
              <w:t>二苯并[a,h]蒽</w:t>
            </w:r>
          </w:p>
        </w:tc>
        <w:tc>
          <w:tcPr>
            <w:tcW w:w="1110" w:type="pct"/>
            <w:vAlign w:val="center"/>
          </w:tcPr>
          <w:p w14:paraId="2CC5DF7E">
            <w:pPr>
              <w:pStyle w:val="1535"/>
            </w:pPr>
            <w:r>
              <w:t>53-70-3</w:t>
            </w:r>
          </w:p>
        </w:tc>
        <w:tc>
          <w:tcPr>
            <w:tcW w:w="1110" w:type="pct"/>
            <w:vAlign w:val="center"/>
          </w:tcPr>
          <w:p w14:paraId="3E1BB94B">
            <w:pPr>
              <w:pStyle w:val="1535"/>
            </w:pPr>
            <w:r>
              <w:t>0.55</w:t>
            </w:r>
          </w:p>
        </w:tc>
        <w:tc>
          <w:tcPr>
            <w:tcW w:w="930" w:type="pct"/>
            <w:vAlign w:val="center"/>
          </w:tcPr>
          <w:p w14:paraId="48A047E4">
            <w:pPr>
              <w:pStyle w:val="1535"/>
            </w:pPr>
            <w:r>
              <w:t>1.5</w:t>
            </w:r>
          </w:p>
        </w:tc>
      </w:tr>
      <w:tr w14:paraId="6F95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46DF5E45">
            <w:pPr>
              <w:pStyle w:val="1535"/>
            </w:pPr>
            <w:r>
              <w:t>44</w:t>
            </w:r>
          </w:p>
        </w:tc>
        <w:tc>
          <w:tcPr>
            <w:tcW w:w="1377" w:type="pct"/>
            <w:vAlign w:val="center"/>
          </w:tcPr>
          <w:p w14:paraId="02305CAE">
            <w:pPr>
              <w:pStyle w:val="1535"/>
            </w:pPr>
            <w:r>
              <w:t>茚并[1,2,3-cd]芘</w:t>
            </w:r>
          </w:p>
        </w:tc>
        <w:tc>
          <w:tcPr>
            <w:tcW w:w="1110" w:type="pct"/>
            <w:vAlign w:val="center"/>
          </w:tcPr>
          <w:p w14:paraId="146029FF">
            <w:pPr>
              <w:pStyle w:val="1535"/>
            </w:pPr>
            <w:r>
              <w:t>193-39-5</w:t>
            </w:r>
          </w:p>
        </w:tc>
        <w:tc>
          <w:tcPr>
            <w:tcW w:w="1110" w:type="pct"/>
            <w:vAlign w:val="center"/>
          </w:tcPr>
          <w:p w14:paraId="4837EA9D">
            <w:pPr>
              <w:pStyle w:val="1535"/>
            </w:pPr>
            <w:r>
              <w:t>5.5</w:t>
            </w:r>
          </w:p>
        </w:tc>
        <w:tc>
          <w:tcPr>
            <w:tcW w:w="930" w:type="pct"/>
            <w:vAlign w:val="center"/>
          </w:tcPr>
          <w:p w14:paraId="243064C0">
            <w:pPr>
              <w:pStyle w:val="1535"/>
            </w:pPr>
            <w:r>
              <w:t>15</w:t>
            </w:r>
          </w:p>
        </w:tc>
      </w:tr>
      <w:tr w14:paraId="7234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62D1E603">
            <w:pPr>
              <w:pStyle w:val="1535"/>
            </w:pPr>
            <w:r>
              <w:t>45</w:t>
            </w:r>
          </w:p>
        </w:tc>
        <w:tc>
          <w:tcPr>
            <w:tcW w:w="1377" w:type="pct"/>
            <w:vAlign w:val="center"/>
          </w:tcPr>
          <w:p w14:paraId="2971FF32">
            <w:pPr>
              <w:pStyle w:val="1535"/>
            </w:pPr>
            <w:r>
              <w:t>萘</w:t>
            </w:r>
          </w:p>
        </w:tc>
        <w:tc>
          <w:tcPr>
            <w:tcW w:w="1110" w:type="pct"/>
            <w:vAlign w:val="center"/>
          </w:tcPr>
          <w:p w14:paraId="1557EF8B">
            <w:pPr>
              <w:pStyle w:val="1535"/>
            </w:pPr>
            <w:r>
              <w:t>91-20-3</w:t>
            </w:r>
          </w:p>
        </w:tc>
        <w:tc>
          <w:tcPr>
            <w:tcW w:w="1110" w:type="pct"/>
            <w:vAlign w:val="center"/>
          </w:tcPr>
          <w:p w14:paraId="698D5AD2">
            <w:pPr>
              <w:pStyle w:val="1535"/>
            </w:pPr>
            <w:r>
              <w:t>25</w:t>
            </w:r>
          </w:p>
        </w:tc>
        <w:tc>
          <w:tcPr>
            <w:tcW w:w="930" w:type="pct"/>
            <w:vAlign w:val="center"/>
          </w:tcPr>
          <w:p w14:paraId="6EE21463">
            <w:pPr>
              <w:pStyle w:val="1535"/>
            </w:pPr>
            <w:r>
              <w:t>70</w:t>
            </w:r>
          </w:p>
        </w:tc>
      </w:tr>
      <w:tr w14:paraId="7DDD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3" w:type="pct"/>
            <w:vAlign w:val="center"/>
          </w:tcPr>
          <w:p w14:paraId="75A4EA21">
            <w:pPr>
              <w:pStyle w:val="1535"/>
            </w:pPr>
            <w:r>
              <w:t>46</w:t>
            </w:r>
          </w:p>
        </w:tc>
        <w:tc>
          <w:tcPr>
            <w:tcW w:w="1377" w:type="pct"/>
            <w:vAlign w:val="center"/>
          </w:tcPr>
          <w:p w14:paraId="52B6F431">
            <w:pPr>
              <w:pStyle w:val="1535"/>
            </w:pPr>
            <w:r>
              <w:t>石油烃</w:t>
            </w:r>
          </w:p>
        </w:tc>
        <w:tc>
          <w:tcPr>
            <w:tcW w:w="1110" w:type="pct"/>
            <w:vAlign w:val="center"/>
          </w:tcPr>
          <w:p w14:paraId="4FC2CD8C">
            <w:pPr>
              <w:pStyle w:val="1535"/>
            </w:pPr>
            <w:r>
              <w:t>-</w:t>
            </w:r>
          </w:p>
        </w:tc>
        <w:tc>
          <w:tcPr>
            <w:tcW w:w="1110" w:type="pct"/>
            <w:vAlign w:val="center"/>
          </w:tcPr>
          <w:p w14:paraId="7F545437">
            <w:pPr>
              <w:pStyle w:val="1535"/>
            </w:pPr>
            <w:r>
              <w:t>826</w:t>
            </w:r>
          </w:p>
        </w:tc>
        <w:tc>
          <w:tcPr>
            <w:tcW w:w="930" w:type="pct"/>
            <w:vAlign w:val="center"/>
          </w:tcPr>
          <w:p w14:paraId="612FB272">
            <w:pPr>
              <w:pStyle w:val="1535"/>
            </w:pPr>
            <w:r>
              <w:t>4500</w:t>
            </w:r>
          </w:p>
        </w:tc>
      </w:tr>
      <w:bookmarkEnd w:id="63"/>
    </w:tbl>
    <w:p w14:paraId="3D01B99C">
      <w:pPr>
        <w:ind w:firstLine="52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）地下水环境</w:t>
      </w:r>
    </w:p>
    <w:p w14:paraId="063A5DD5">
      <w:pPr>
        <w:ind w:firstLine="520"/>
        <w:rPr>
          <w:color w:val="000000" w:themeColor="text1"/>
          <w14:textFill>
            <w14:solidFill>
              <w14:schemeClr w14:val="tx1"/>
            </w14:solidFill>
          </w14:textFill>
        </w:rPr>
      </w:pPr>
      <w:r>
        <w:rPr>
          <w:color w:val="000000" w:themeColor="text1"/>
          <w14:textFill>
            <w14:solidFill>
              <w14:schemeClr w14:val="tx1"/>
            </w14:solidFill>
          </w14:textFill>
        </w:rPr>
        <w:t>地下水环境质量执行《地下水质量标准》（GB/T 14848-2017）III类标准。</w:t>
      </w:r>
    </w:p>
    <w:p w14:paraId="082E64C9">
      <w:pPr>
        <w:spacing w:before="24"/>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地下水</w:t>
      </w:r>
      <w:r>
        <w:rPr>
          <w:color w:val="000000" w:themeColor="text1"/>
          <w14:textFill>
            <w14:solidFill>
              <w14:schemeClr w14:val="tx1"/>
            </w14:solidFill>
          </w14:textFill>
        </w:rPr>
        <w:t>质量</w:t>
      </w:r>
      <w:r>
        <w:rPr>
          <w:rFonts w:hint="eastAsia"/>
          <w:color w:val="000000" w:themeColor="text1"/>
          <w14:textFill>
            <w14:solidFill>
              <w14:schemeClr w14:val="tx1"/>
            </w14:solidFill>
          </w14:textFill>
        </w:rPr>
        <w:t xml:space="preserve">标准 </w:t>
      </w:r>
      <w:r>
        <w:rPr>
          <w:color w:val="000000" w:themeColor="text1"/>
          <w14:textFill>
            <w14:solidFill>
              <w14:schemeClr w14:val="tx1"/>
            </w14:solidFill>
          </w14:textFill>
        </w:rPr>
        <w:t xml:space="preserve">  </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2698"/>
        <w:gridCol w:w="1957"/>
        <w:gridCol w:w="3399"/>
      </w:tblGrid>
      <w:tr w14:paraId="5B1D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76DD3388">
            <w:pPr>
              <w:pStyle w:val="1535"/>
            </w:pPr>
            <w:bookmarkStart w:id="65" w:name="_Hlk22911183"/>
            <w:r>
              <w:t>序号</w:t>
            </w:r>
            <w:bookmarkEnd w:id="65"/>
          </w:p>
        </w:tc>
        <w:tc>
          <w:tcPr>
            <w:tcW w:w="2628" w:type="pct"/>
            <w:gridSpan w:val="2"/>
            <w:vAlign w:val="center"/>
          </w:tcPr>
          <w:p w14:paraId="1F0ED14F">
            <w:pPr>
              <w:pStyle w:val="1535"/>
            </w:pPr>
            <w:r>
              <w:t>项目</w:t>
            </w:r>
          </w:p>
        </w:tc>
        <w:tc>
          <w:tcPr>
            <w:tcW w:w="1919" w:type="pct"/>
            <w:vAlign w:val="center"/>
          </w:tcPr>
          <w:p w14:paraId="16808291">
            <w:pPr>
              <w:pStyle w:val="1535"/>
            </w:pPr>
            <w:r>
              <w:t>《地下水质量标准》（GB/T 14848-2017）III类标准</w:t>
            </w:r>
          </w:p>
        </w:tc>
      </w:tr>
      <w:tr w14:paraId="19E9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1E103797">
            <w:pPr>
              <w:pStyle w:val="1535"/>
            </w:pPr>
            <w:r>
              <w:t>1</w:t>
            </w:r>
          </w:p>
        </w:tc>
        <w:tc>
          <w:tcPr>
            <w:tcW w:w="1523" w:type="pct"/>
            <w:vAlign w:val="center"/>
          </w:tcPr>
          <w:p w14:paraId="6F31564C">
            <w:pPr>
              <w:pStyle w:val="1535"/>
            </w:pPr>
            <w:r>
              <w:t>pH</w:t>
            </w:r>
          </w:p>
        </w:tc>
        <w:tc>
          <w:tcPr>
            <w:tcW w:w="1105" w:type="pct"/>
            <w:vAlign w:val="center"/>
          </w:tcPr>
          <w:p w14:paraId="52C89586">
            <w:pPr>
              <w:pStyle w:val="1535"/>
            </w:pPr>
            <w:r>
              <w:t>无量纲</w:t>
            </w:r>
          </w:p>
        </w:tc>
        <w:tc>
          <w:tcPr>
            <w:tcW w:w="1919" w:type="pct"/>
            <w:vAlign w:val="center"/>
          </w:tcPr>
          <w:p w14:paraId="741D0F84">
            <w:pPr>
              <w:pStyle w:val="1535"/>
            </w:pPr>
            <w:r>
              <w:t>6.5~8.5</w:t>
            </w:r>
          </w:p>
        </w:tc>
      </w:tr>
      <w:tr w14:paraId="38A0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2255ED74">
            <w:pPr>
              <w:pStyle w:val="1535"/>
            </w:pPr>
            <w:r>
              <w:t>2</w:t>
            </w:r>
          </w:p>
        </w:tc>
        <w:tc>
          <w:tcPr>
            <w:tcW w:w="1523" w:type="pct"/>
            <w:vAlign w:val="center"/>
          </w:tcPr>
          <w:p w14:paraId="558330F0">
            <w:pPr>
              <w:pStyle w:val="1535"/>
            </w:pPr>
            <w:r>
              <w:t>氨氮</w:t>
            </w:r>
          </w:p>
        </w:tc>
        <w:tc>
          <w:tcPr>
            <w:tcW w:w="1105" w:type="pct"/>
            <w:vAlign w:val="center"/>
          </w:tcPr>
          <w:p w14:paraId="24F95110">
            <w:pPr>
              <w:pStyle w:val="1535"/>
            </w:pPr>
            <w:r>
              <w:t>mg/L</w:t>
            </w:r>
          </w:p>
        </w:tc>
        <w:tc>
          <w:tcPr>
            <w:tcW w:w="1919" w:type="pct"/>
            <w:vAlign w:val="center"/>
          </w:tcPr>
          <w:p w14:paraId="0BA79F8B">
            <w:pPr>
              <w:pStyle w:val="1535"/>
            </w:pPr>
            <w:r>
              <w:t>≤0.50</w:t>
            </w:r>
          </w:p>
        </w:tc>
      </w:tr>
      <w:tr w14:paraId="1D57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78690420">
            <w:pPr>
              <w:pStyle w:val="1535"/>
            </w:pPr>
            <w:r>
              <w:t>3</w:t>
            </w:r>
          </w:p>
        </w:tc>
        <w:tc>
          <w:tcPr>
            <w:tcW w:w="1523" w:type="pct"/>
            <w:vAlign w:val="center"/>
          </w:tcPr>
          <w:p w14:paraId="6FD03F60">
            <w:pPr>
              <w:pStyle w:val="1535"/>
            </w:pPr>
            <w:r>
              <w:t>硫酸盐</w:t>
            </w:r>
          </w:p>
        </w:tc>
        <w:tc>
          <w:tcPr>
            <w:tcW w:w="1105" w:type="pct"/>
            <w:vAlign w:val="center"/>
          </w:tcPr>
          <w:p w14:paraId="231C3A8A">
            <w:pPr>
              <w:pStyle w:val="1535"/>
            </w:pPr>
            <w:r>
              <w:t>mg/L</w:t>
            </w:r>
          </w:p>
        </w:tc>
        <w:tc>
          <w:tcPr>
            <w:tcW w:w="1919" w:type="pct"/>
            <w:vAlign w:val="center"/>
          </w:tcPr>
          <w:p w14:paraId="0CFE92EF">
            <w:pPr>
              <w:pStyle w:val="1535"/>
            </w:pPr>
            <w:r>
              <w:t>≤250</w:t>
            </w:r>
          </w:p>
        </w:tc>
      </w:tr>
      <w:tr w14:paraId="0688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415464A8">
            <w:pPr>
              <w:pStyle w:val="1535"/>
            </w:pPr>
            <w:r>
              <w:t>4</w:t>
            </w:r>
          </w:p>
        </w:tc>
        <w:tc>
          <w:tcPr>
            <w:tcW w:w="1523" w:type="pct"/>
            <w:vAlign w:val="center"/>
          </w:tcPr>
          <w:p w14:paraId="5DA65267">
            <w:pPr>
              <w:pStyle w:val="1535"/>
            </w:pPr>
            <w:r>
              <w:t>氯化物</w:t>
            </w:r>
          </w:p>
        </w:tc>
        <w:tc>
          <w:tcPr>
            <w:tcW w:w="1105" w:type="pct"/>
            <w:vAlign w:val="center"/>
          </w:tcPr>
          <w:p w14:paraId="50B41D4C">
            <w:pPr>
              <w:pStyle w:val="1535"/>
            </w:pPr>
            <w:r>
              <w:t>mg/L</w:t>
            </w:r>
          </w:p>
        </w:tc>
        <w:tc>
          <w:tcPr>
            <w:tcW w:w="1919" w:type="pct"/>
            <w:vAlign w:val="center"/>
          </w:tcPr>
          <w:p w14:paraId="28D4CB52">
            <w:pPr>
              <w:pStyle w:val="1535"/>
            </w:pPr>
            <w:r>
              <w:t>≤250</w:t>
            </w:r>
          </w:p>
        </w:tc>
      </w:tr>
      <w:tr w14:paraId="07DB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53" w:type="pct"/>
            <w:vAlign w:val="center"/>
          </w:tcPr>
          <w:p w14:paraId="4A15270F">
            <w:pPr>
              <w:pStyle w:val="1535"/>
            </w:pPr>
            <w:r>
              <w:t>5</w:t>
            </w:r>
          </w:p>
        </w:tc>
        <w:tc>
          <w:tcPr>
            <w:tcW w:w="1523" w:type="pct"/>
            <w:vAlign w:val="center"/>
          </w:tcPr>
          <w:p w14:paraId="28885107">
            <w:pPr>
              <w:pStyle w:val="1535"/>
            </w:pPr>
            <w:r>
              <w:t>硝酸盐</w:t>
            </w:r>
          </w:p>
        </w:tc>
        <w:tc>
          <w:tcPr>
            <w:tcW w:w="1105" w:type="pct"/>
            <w:vAlign w:val="center"/>
          </w:tcPr>
          <w:p w14:paraId="10994693">
            <w:pPr>
              <w:pStyle w:val="1535"/>
            </w:pPr>
            <w:r>
              <w:t>mg/L</w:t>
            </w:r>
          </w:p>
        </w:tc>
        <w:tc>
          <w:tcPr>
            <w:tcW w:w="1919" w:type="pct"/>
            <w:vAlign w:val="center"/>
          </w:tcPr>
          <w:p w14:paraId="63351E63">
            <w:pPr>
              <w:pStyle w:val="1535"/>
            </w:pPr>
            <w:r>
              <w:t>≤20.0</w:t>
            </w:r>
          </w:p>
        </w:tc>
      </w:tr>
      <w:tr w14:paraId="46C6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101CD9D8">
            <w:pPr>
              <w:pStyle w:val="1535"/>
            </w:pPr>
            <w:r>
              <w:t>6</w:t>
            </w:r>
          </w:p>
        </w:tc>
        <w:tc>
          <w:tcPr>
            <w:tcW w:w="1523" w:type="pct"/>
            <w:vAlign w:val="center"/>
          </w:tcPr>
          <w:p w14:paraId="3DDDF39C">
            <w:pPr>
              <w:pStyle w:val="1535"/>
            </w:pPr>
            <w:r>
              <w:t>亚硝酸盐</w:t>
            </w:r>
          </w:p>
        </w:tc>
        <w:tc>
          <w:tcPr>
            <w:tcW w:w="1105" w:type="pct"/>
            <w:vAlign w:val="center"/>
          </w:tcPr>
          <w:p w14:paraId="06D76DBC">
            <w:pPr>
              <w:pStyle w:val="1535"/>
            </w:pPr>
            <w:r>
              <w:t>mg/L</w:t>
            </w:r>
          </w:p>
        </w:tc>
        <w:tc>
          <w:tcPr>
            <w:tcW w:w="1919" w:type="pct"/>
            <w:vAlign w:val="center"/>
          </w:tcPr>
          <w:p w14:paraId="11997268">
            <w:pPr>
              <w:pStyle w:val="1535"/>
            </w:pPr>
            <w:r>
              <w:t>≤1.0</w:t>
            </w:r>
          </w:p>
        </w:tc>
      </w:tr>
      <w:tr w14:paraId="3EEA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51D765A1">
            <w:pPr>
              <w:pStyle w:val="1535"/>
            </w:pPr>
            <w:r>
              <w:t>7</w:t>
            </w:r>
          </w:p>
        </w:tc>
        <w:tc>
          <w:tcPr>
            <w:tcW w:w="1523" w:type="pct"/>
            <w:vAlign w:val="center"/>
          </w:tcPr>
          <w:p w14:paraId="4F62A63B">
            <w:pPr>
              <w:pStyle w:val="1535"/>
            </w:pPr>
            <w:r>
              <w:t>耗氧量（COD</w:t>
            </w:r>
            <w:r>
              <w:rPr>
                <w:vertAlign w:val="subscript"/>
              </w:rPr>
              <w:t>Mn</w:t>
            </w:r>
            <w:r>
              <w:t>法）</w:t>
            </w:r>
          </w:p>
        </w:tc>
        <w:tc>
          <w:tcPr>
            <w:tcW w:w="1105" w:type="pct"/>
            <w:vAlign w:val="center"/>
          </w:tcPr>
          <w:p w14:paraId="16900FFC">
            <w:pPr>
              <w:pStyle w:val="1535"/>
            </w:pPr>
            <w:r>
              <w:t>mg/L</w:t>
            </w:r>
          </w:p>
        </w:tc>
        <w:tc>
          <w:tcPr>
            <w:tcW w:w="1919" w:type="pct"/>
            <w:vAlign w:val="center"/>
          </w:tcPr>
          <w:p w14:paraId="2FC1F543">
            <w:pPr>
              <w:pStyle w:val="1535"/>
            </w:pPr>
            <w:r>
              <w:t>≤3.0</w:t>
            </w:r>
          </w:p>
        </w:tc>
      </w:tr>
      <w:tr w14:paraId="5F2E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5497C52F">
            <w:pPr>
              <w:pStyle w:val="1535"/>
            </w:pPr>
            <w:r>
              <w:t>8</w:t>
            </w:r>
          </w:p>
        </w:tc>
        <w:tc>
          <w:tcPr>
            <w:tcW w:w="1523" w:type="pct"/>
            <w:vAlign w:val="center"/>
          </w:tcPr>
          <w:p w14:paraId="5D747C21">
            <w:pPr>
              <w:pStyle w:val="1535"/>
            </w:pPr>
            <w:r>
              <w:t>氟化物</w:t>
            </w:r>
          </w:p>
        </w:tc>
        <w:tc>
          <w:tcPr>
            <w:tcW w:w="1105" w:type="pct"/>
            <w:vAlign w:val="center"/>
          </w:tcPr>
          <w:p w14:paraId="58CAF8F2">
            <w:pPr>
              <w:pStyle w:val="1535"/>
            </w:pPr>
            <w:r>
              <w:t>mg/L</w:t>
            </w:r>
          </w:p>
        </w:tc>
        <w:tc>
          <w:tcPr>
            <w:tcW w:w="1919" w:type="pct"/>
            <w:vAlign w:val="center"/>
          </w:tcPr>
          <w:p w14:paraId="7DBD3886">
            <w:pPr>
              <w:pStyle w:val="1535"/>
            </w:pPr>
            <w:r>
              <w:t>≤1.0</w:t>
            </w:r>
          </w:p>
        </w:tc>
      </w:tr>
      <w:tr w14:paraId="38E2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103F8C71">
            <w:pPr>
              <w:pStyle w:val="1535"/>
            </w:pPr>
            <w:r>
              <w:t>9</w:t>
            </w:r>
          </w:p>
        </w:tc>
        <w:tc>
          <w:tcPr>
            <w:tcW w:w="1523" w:type="pct"/>
            <w:vAlign w:val="center"/>
          </w:tcPr>
          <w:p w14:paraId="70FB87BD">
            <w:pPr>
              <w:pStyle w:val="1535"/>
            </w:pPr>
            <w:r>
              <w:t>总硬度</w:t>
            </w:r>
          </w:p>
        </w:tc>
        <w:tc>
          <w:tcPr>
            <w:tcW w:w="1105" w:type="pct"/>
            <w:vAlign w:val="center"/>
          </w:tcPr>
          <w:p w14:paraId="7C9362CE">
            <w:pPr>
              <w:pStyle w:val="1535"/>
            </w:pPr>
            <w:r>
              <w:t>mg/L</w:t>
            </w:r>
          </w:p>
        </w:tc>
        <w:tc>
          <w:tcPr>
            <w:tcW w:w="1919" w:type="pct"/>
            <w:vAlign w:val="center"/>
          </w:tcPr>
          <w:p w14:paraId="3D42707F">
            <w:pPr>
              <w:pStyle w:val="1535"/>
            </w:pPr>
            <w:r>
              <w:t>≤450</w:t>
            </w:r>
          </w:p>
        </w:tc>
      </w:tr>
      <w:tr w14:paraId="7D03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677FB00F">
            <w:pPr>
              <w:pStyle w:val="1535"/>
            </w:pPr>
            <w:r>
              <w:t>10</w:t>
            </w:r>
          </w:p>
        </w:tc>
        <w:tc>
          <w:tcPr>
            <w:tcW w:w="1523" w:type="pct"/>
            <w:vAlign w:val="center"/>
          </w:tcPr>
          <w:p w14:paraId="28921B93">
            <w:pPr>
              <w:pStyle w:val="1535"/>
            </w:pPr>
            <w:r>
              <w:t>溶解性总固体</w:t>
            </w:r>
          </w:p>
        </w:tc>
        <w:tc>
          <w:tcPr>
            <w:tcW w:w="1105" w:type="pct"/>
            <w:vAlign w:val="center"/>
          </w:tcPr>
          <w:p w14:paraId="08388E01">
            <w:pPr>
              <w:pStyle w:val="1535"/>
            </w:pPr>
            <w:r>
              <w:t>mg/L</w:t>
            </w:r>
          </w:p>
        </w:tc>
        <w:tc>
          <w:tcPr>
            <w:tcW w:w="1919" w:type="pct"/>
            <w:vAlign w:val="center"/>
          </w:tcPr>
          <w:p w14:paraId="7CAC674B">
            <w:pPr>
              <w:pStyle w:val="1535"/>
            </w:pPr>
            <w:r>
              <w:t>≤1000</w:t>
            </w:r>
          </w:p>
        </w:tc>
      </w:tr>
      <w:tr w14:paraId="164A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10D7F026">
            <w:pPr>
              <w:pStyle w:val="1535"/>
            </w:pPr>
            <w:r>
              <w:t>11</w:t>
            </w:r>
          </w:p>
        </w:tc>
        <w:tc>
          <w:tcPr>
            <w:tcW w:w="1523" w:type="pct"/>
            <w:vAlign w:val="center"/>
          </w:tcPr>
          <w:p w14:paraId="4724ABC2">
            <w:pPr>
              <w:pStyle w:val="1535"/>
            </w:pPr>
            <w:r>
              <w:t>挥发性酚类</w:t>
            </w:r>
          </w:p>
        </w:tc>
        <w:tc>
          <w:tcPr>
            <w:tcW w:w="1105" w:type="pct"/>
            <w:vAlign w:val="center"/>
          </w:tcPr>
          <w:p w14:paraId="64DE1607">
            <w:pPr>
              <w:pStyle w:val="1535"/>
            </w:pPr>
            <w:r>
              <w:t>mg/L</w:t>
            </w:r>
          </w:p>
        </w:tc>
        <w:tc>
          <w:tcPr>
            <w:tcW w:w="1919" w:type="pct"/>
            <w:vAlign w:val="center"/>
          </w:tcPr>
          <w:p w14:paraId="3700019B">
            <w:pPr>
              <w:pStyle w:val="1535"/>
            </w:pPr>
            <w:r>
              <w:t>≤0.002</w:t>
            </w:r>
          </w:p>
        </w:tc>
      </w:tr>
      <w:tr w14:paraId="34E6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3EBE892E">
            <w:pPr>
              <w:pStyle w:val="1535"/>
            </w:pPr>
            <w:r>
              <w:t>12</w:t>
            </w:r>
          </w:p>
        </w:tc>
        <w:tc>
          <w:tcPr>
            <w:tcW w:w="1523" w:type="pct"/>
            <w:vAlign w:val="center"/>
          </w:tcPr>
          <w:p w14:paraId="2EA17098">
            <w:pPr>
              <w:pStyle w:val="1535"/>
            </w:pPr>
            <w:r>
              <w:t>氰化物</w:t>
            </w:r>
          </w:p>
        </w:tc>
        <w:tc>
          <w:tcPr>
            <w:tcW w:w="1105" w:type="pct"/>
            <w:vAlign w:val="center"/>
          </w:tcPr>
          <w:p w14:paraId="02694A9E">
            <w:pPr>
              <w:pStyle w:val="1535"/>
            </w:pPr>
            <w:r>
              <w:t>mg/L</w:t>
            </w:r>
          </w:p>
        </w:tc>
        <w:tc>
          <w:tcPr>
            <w:tcW w:w="1919" w:type="pct"/>
            <w:vAlign w:val="center"/>
          </w:tcPr>
          <w:p w14:paraId="1C60493F">
            <w:pPr>
              <w:pStyle w:val="1535"/>
            </w:pPr>
            <w:r>
              <w:t>≤0.05</w:t>
            </w:r>
          </w:p>
        </w:tc>
      </w:tr>
      <w:tr w14:paraId="36B5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1149AE76">
            <w:pPr>
              <w:pStyle w:val="1535"/>
            </w:pPr>
            <w:r>
              <w:t>13</w:t>
            </w:r>
          </w:p>
        </w:tc>
        <w:tc>
          <w:tcPr>
            <w:tcW w:w="1523" w:type="pct"/>
            <w:vAlign w:val="center"/>
          </w:tcPr>
          <w:p w14:paraId="52B6A382">
            <w:pPr>
              <w:pStyle w:val="1535"/>
            </w:pPr>
            <w:r>
              <w:t>汞</w:t>
            </w:r>
          </w:p>
        </w:tc>
        <w:tc>
          <w:tcPr>
            <w:tcW w:w="1105" w:type="pct"/>
            <w:vAlign w:val="center"/>
          </w:tcPr>
          <w:p w14:paraId="43AB865F">
            <w:pPr>
              <w:pStyle w:val="1535"/>
            </w:pPr>
            <w:r>
              <w:t>mg/L</w:t>
            </w:r>
          </w:p>
        </w:tc>
        <w:tc>
          <w:tcPr>
            <w:tcW w:w="1919" w:type="pct"/>
            <w:vAlign w:val="center"/>
          </w:tcPr>
          <w:p w14:paraId="264EC3AE">
            <w:pPr>
              <w:pStyle w:val="1535"/>
            </w:pPr>
            <w:r>
              <w:t>≤0.001</w:t>
            </w:r>
          </w:p>
        </w:tc>
      </w:tr>
      <w:tr w14:paraId="3E5A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714F7085">
            <w:pPr>
              <w:pStyle w:val="1535"/>
            </w:pPr>
            <w:r>
              <w:t>14</w:t>
            </w:r>
          </w:p>
        </w:tc>
        <w:tc>
          <w:tcPr>
            <w:tcW w:w="1523" w:type="pct"/>
            <w:vAlign w:val="center"/>
          </w:tcPr>
          <w:p w14:paraId="0F9C8F89">
            <w:pPr>
              <w:pStyle w:val="1535"/>
            </w:pPr>
            <w:r>
              <w:t>铁</w:t>
            </w:r>
          </w:p>
        </w:tc>
        <w:tc>
          <w:tcPr>
            <w:tcW w:w="1105" w:type="pct"/>
            <w:vAlign w:val="center"/>
          </w:tcPr>
          <w:p w14:paraId="043B3FEF">
            <w:pPr>
              <w:pStyle w:val="1535"/>
            </w:pPr>
            <w:r>
              <w:t>mg/L</w:t>
            </w:r>
          </w:p>
        </w:tc>
        <w:tc>
          <w:tcPr>
            <w:tcW w:w="1919" w:type="pct"/>
            <w:vAlign w:val="center"/>
          </w:tcPr>
          <w:p w14:paraId="70105A09">
            <w:pPr>
              <w:pStyle w:val="1535"/>
            </w:pPr>
            <w:r>
              <w:t>≤0.3</w:t>
            </w:r>
          </w:p>
        </w:tc>
      </w:tr>
      <w:tr w14:paraId="65A4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43BD4AC2">
            <w:pPr>
              <w:pStyle w:val="1535"/>
            </w:pPr>
            <w:r>
              <w:t>15</w:t>
            </w:r>
          </w:p>
        </w:tc>
        <w:tc>
          <w:tcPr>
            <w:tcW w:w="1523" w:type="pct"/>
            <w:vAlign w:val="center"/>
          </w:tcPr>
          <w:p w14:paraId="4FE9D416">
            <w:pPr>
              <w:pStyle w:val="1535"/>
            </w:pPr>
            <w:r>
              <w:t>锰</w:t>
            </w:r>
          </w:p>
        </w:tc>
        <w:tc>
          <w:tcPr>
            <w:tcW w:w="1105" w:type="pct"/>
            <w:vAlign w:val="center"/>
          </w:tcPr>
          <w:p w14:paraId="587A2123">
            <w:pPr>
              <w:pStyle w:val="1535"/>
            </w:pPr>
            <w:r>
              <w:t>mg/L</w:t>
            </w:r>
          </w:p>
        </w:tc>
        <w:tc>
          <w:tcPr>
            <w:tcW w:w="1919" w:type="pct"/>
            <w:vAlign w:val="center"/>
          </w:tcPr>
          <w:p w14:paraId="6056310D">
            <w:pPr>
              <w:pStyle w:val="1535"/>
            </w:pPr>
            <w:r>
              <w:t>≤0.10</w:t>
            </w:r>
          </w:p>
        </w:tc>
      </w:tr>
      <w:tr w14:paraId="418A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79391D3C">
            <w:pPr>
              <w:pStyle w:val="1535"/>
            </w:pPr>
            <w:r>
              <w:t>16</w:t>
            </w:r>
          </w:p>
        </w:tc>
        <w:tc>
          <w:tcPr>
            <w:tcW w:w="1523" w:type="pct"/>
            <w:vAlign w:val="center"/>
          </w:tcPr>
          <w:p w14:paraId="1F2391CB">
            <w:pPr>
              <w:pStyle w:val="1535"/>
            </w:pPr>
            <w:r>
              <w:t>砷</w:t>
            </w:r>
          </w:p>
        </w:tc>
        <w:tc>
          <w:tcPr>
            <w:tcW w:w="1105" w:type="pct"/>
            <w:vAlign w:val="center"/>
          </w:tcPr>
          <w:p w14:paraId="329CCA20">
            <w:pPr>
              <w:pStyle w:val="1535"/>
            </w:pPr>
            <w:r>
              <w:t>mg/L</w:t>
            </w:r>
          </w:p>
        </w:tc>
        <w:tc>
          <w:tcPr>
            <w:tcW w:w="1919" w:type="pct"/>
            <w:vAlign w:val="center"/>
          </w:tcPr>
          <w:p w14:paraId="4402FC00">
            <w:pPr>
              <w:pStyle w:val="1535"/>
            </w:pPr>
            <w:r>
              <w:t>≤0.01</w:t>
            </w:r>
          </w:p>
        </w:tc>
      </w:tr>
      <w:tr w14:paraId="59E2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756BFB08">
            <w:pPr>
              <w:pStyle w:val="1535"/>
            </w:pPr>
            <w:r>
              <w:t>17</w:t>
            </w:r>
          </w:p>
        </w:tc>
        <w:tc>
          <w:tcPr>
            <w:tcW w:w="1523" w:type="pct"/>
            <w:vAlign w:val="center"/>
          </w:tcPr>
          <w:p w14:paraId="4A8A69E7">
            <w:pPr>
              <w:pStyle w:val="1535"/>
            </w:pPr>
            <w:r>
              <w:t>铬（六价）</w:t>
            </w:r>
          </w:p>
        </w:tc>
        <w:tc>
          <w:tcPr>
            <w:tcW w:w="1105" w:type="pct"/>
            <w:vAlign w:val="center"/>
          </w:tcPr>
          <w:p w14:paraId="3B0D9078">
            <w:pPr>
              <w:pStyle w:val="1535"/>
            </w:pPr>
            <w:r>
              <w:t>mg/L</w:t>
            </w:r>
          </w:p>
        </w:tc>
        <w:tc>
          <w:tcPr>
            <w:tcW w:w="1919" w:type="pct"/>
            <w:vAlign w:val="center"/>
          </w:tcPr>
          <w:p w14:paraId="126C255C">
            <w:pPr>
              <w:pStyle w:val="1535"/>
            </w:pPr>
            <w:r>
              <w:t>≤0.05</w:t>
            </w:r>
          </w:p>
        </w:tc>
      </w:tr>
      <w:tr w14:paraId="4263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4EEB7A23">
            <w:pPr>
              <w:pStyle w:val="1535"/>
            </w:pPr>
            <w:r>
              <w:t>18</w:t>
            </w:r>
          </w:p>
        </w:tc>
        <w:tc>
          <w:tcPr>
            <w:tcW w:w="1523" w:type="pct"/>
            <w:vAlign w:val="center"/>
          </w:tcPr>
          <w:p w14:paraId="3AB95E91">
            <w:pPr>
              <w:pStyle w:val="1535"/>
            </w:pPr>
            <w:r>
              <w:t>镉</w:t>
            </w:r>
          </w:p>
        </w:tc>
        <w:tc>
          <w:tcPr>
            <w:tcW w:w="1105" w:type="pct"/>
            <w:vAlign w:val="center"/>
          </w:tcPr>
          <w:p w14:paraId="746DAFF2">
            <w:pPr>
              <w:pStyle w:val="1535"/>
            </w:pPr>
            <w:r>
              <w:t>mg/L</w:t>
            </w:r>
          </w:p>
        </w:tc>
        <w:tc>
          <w:tcPr>
            <w:tcW w:w="1919" w:type="pct"/>
            <w:vAlign w:val="center"/>
          </w:tcPr>
          <w:p w14:paraId="2F03DDDC">
            <w:pPr>
              <w:pStyle w:val="1535"/>
            </w:pPr>
            <w:r>
              <w:t>≤0.005</w:t>
            </w:r>
          </w:p>
        </w:tc>
      </w:tr>
      <w:tr w14:paraId="0889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6FCFB375">
            <w:pPr>
              <w:pStyle w:val="1535"/>
            </w:pPr>
            <w:r>
              <w:t>19</w:t>
            </w:r>
          </w:p>
        </w:tc>
        <w:tc>
          <w:tcPr>
            <w:tcW w:w="1523" w:type="pct"/>
            <w:vAlign w:val="center"/>
          </w:tcPr>
          <w:p w14:paraId="0E247B54">
            <w:pPr>
              <w:pStyle w:val="1535"/>
            </w:pPr>
            <w:r>
              <w:t>铅</w:t>
            </w:r>
          </w:p>
        </w:tc>
        <w:tc>
          <w:tcPr>
            <w:tcW w:w="1105" w:type="pct"/>
            <w:vAlign w:val="center"/>
          </w:tcPr>
          <w:p w14:paraId="289C07AE">
            <w:pPr>
              <w:pStyle w:val="1535"/>
            </w:pPr>
            <w:r>
              <w:t>mg/L</w:t>
            </w:r>
          </w:p>
        </w:tc>
        <w:tc>
          <w:tcPr>
            <w:tcW w:w="1919" w:type="pct"/>
            <w:vAlign w:val="center"/>
          </w:tcPr>
          <w:p w14:paraId="04DF609A">
            <w:pPr>
              <w:pStyle w:val="1535"/>
            </w:pPr>
            <w:r>
              <w:t>≤0.01</w:t>
            </w:r>
          </w:p>
        </w:tc>
      </w:tr>
      <w:tr w14:paraId="7592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2386F04E">
            <w:pPr>
              <w:pStyle w:val="1535"/>
            </w:pPr>
            <w:r>
              <w:t>20</w:t>
            </w:r>
          </w:p>
        </w:tc>
        <w:tc>
          <w:tcPr>
            <w:tcW w:w="1523" w:type="pct"/>
            <w:vAlign w:val="center"/>
          </w:tcPr>
          <w:p w14:paraId="0ABDAC64">
            <w:pPr>
              <w:pStyle w:val="1535"/>
            </w:pPr>
            <w:r>
              <w:t>阴离子表面活性剂</w:t>
            </w:r>
          </w:p>
        </w:tc>
        <w:tc>
          <w:tcPr>
            <w:tcW w:w="1105" w:type="pct"/>
            <w:vAlign w:val="center"/>
          </w:tcPr>
          <w:p w14:paraId="298B39D1">
            <w:pPr>
              <w:pStyle w:val="1535"/>
            </w:pPr>
            <w:r>
              <w:t>mg/L</w:t>
            </w:r>
          </w:p>
        </w:tc>
        <w:tc>
          <w:tcPr>
            <w:tcW w:w="1919" w:type="pct"/>
            <w:vAlign w:val="center"/>
          </w:tcPr>
          <w:p w14:paraId="5D35D753">
            <w:pPr>
              <w:pStyle w:val="1535"/>
            </w:pPr>
            <w:r>
              <w:t>≤0.3</w:t>
            </w:r>
          </w:p>
        </w:tc>
      </w:tr>
      <w:tr w14:paraId="719E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0BA69C8B">
            <w:pPr>
              <w:pStyle w:val="1535"/>
            </w:pPr>
            <w:r>
              <w:t>21</w:t>
            </w:r>
          </w:p>
        </w:tc>
        <w:tc>
          <w:tcPr>
            <w:tcW w:w="1523" w:type="pct"/>
            <w:vAlign w:val="center"/>
          </w:tcPr>
          <w:p w14:paraId="11D045F5">
            <w:pPr>
              <w:pStyle w:val="1535"/>
            </w:pPr>
            <w:r>
              <w:t>石油类</w:t>
            </w:r>
          </w:p>
        </w:tc>
        <w:tc>
          <w:tcPr>
            <w:tcW w:w="1105" w:type="pct"/>
            <w:vAlign w:val="center"/>
          </w:tcPr>
          <w:p w14:paraId="7E188A16">
            <w:pPr>
              <w:pStyle w:val="1535"/>
            </w:pPr>
            <w:r>
              <w:t>mg/L</w:t>
            </w:r>
          </w:p>
        </w:tc>
        <w:tc>
          <w:tcPr>
            <w:tcW w:w="1919" w:type="pct"/>
            <w:vAlign w:val="center"/>
          </w:tcPr>
          <w:p w14:paraId="0E767624">
            <w:pPr>
              <w:pStyle w:val="1535"/>
            </w:pPr>
            <w:r>
              <w:t>≤0.05</w:t>
            </w:r>
          </w:p>
        </w:tc>
      </w:tr>
      <w:tr w14:paraId="142A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7AA4B469">
            <w:pPr>
              <w:pStyle w:val="1535"/>
            </w:pPr>
            <w:r>
              <w:t>22</w:t>
            </w:r>
          </w:p>
        </w:tc>
        <w:tc>
          <w:tcPr>
            <w:tcW w:w="1523" w:type="pct"/>
            <w:vAlign w:val="center"/>
          </w:tcPr>
          <w:p w14:paraId="1BAA11F7">
            <w:pPr>
              <w:pStyle w:val="1535"/>
            </w:pPr>
            <w:r>
              <w:t>细菌总数</w:t>
            </w:r>
          </w:p>
        </w:tc>
        <w:tc>
          <w:tcPr>
            <w:tcW w:w="1105" w:type="pct"/>
            <w:vAlign w:val="center"/>
          </w:tcPr>
          <w:p w14:paraId="667FE0E8">
            <w:pPr>
              <w:pStyle w:val="1535"/>
            </w:pPr>
            <w:r>
              <w:t>CFU/mL</w:t>
            </w:r>
          </w:p>
        </w:tc>
        <w:tc>
          <w:tcPr>
            <w:tcW w:w="1919" w:type="pct"/>
            <w:vAlign w:val="center"/>
          </w:tcPr>
          <w:p w14:paraId="52E41C9E">
            <w:pPr>
              <w:pStyle w:val="1535"/>
            </w:pPr>
            <w:r>
              <w:t>≤100</w:t>
            </w:r>
          </w:p>
        </w:tc>
      </w:tr>
      <w:tr w14:paraId="6AA8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43874FB7">
            <w:pPr>
              <w:pStyle w:val="1535"/>
            </w:pPr>
            <w:r>
              <w:t>23</w:t>
            </w:r>
          </w:p>
        </w:tc>
        <w:tc>
          <w:tcPr>
            <w:tcW w:w="1523" w:type="pct"/>
            <w:vAlign w:val="center"/>
          </w:tcPr>
          <w:p w14:paraId="3909ECBB">
            <w:pPr>
              <w:pStyle w:val="1535"/>
            </w:pPr>
            <w:r>
              <w:t>总大肠菌群</w:t>
            </w:r>
          </w:p>
        </w:tc>
        <w:tc>
          <w:tcPr>
            <w:tcW w:w="1105" w:type="pct"/>
            <w:vAlign w:val="center"/>
          </w:tcPr>
          <w:p w14:paraId="4CCBA630">
            <w:pPr>
              <w:pStyle w:val="1535"/>
            </w:pPr>
            <w:r>
              <w:t>MPN/100mL</w:t>
            </w:r>
          </w:p>
        </w:tc>
        <w:tc>
          <w:tcPr>
            <w:tcW w:w="1919" w:type="pct"/>
            <w:vAlign w:val="center"/>
          </w:tcPr>
          <w:p w14:paraId="3BB35AA0">
            <w:pPr>
              <w:pStyle w:val="1535"/>
            </w:pPr>
            <w:r>
              <w:t>≤3.0</w:t>
            </w:r>
          </w:p>
        </w:tc>
      </w:tr>
      <w:tr w14:paraId="5638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5E7B82A6">
            <w:pPr>
              <w:pStyle w:val="1535"/>
            </w:pPr>
            <w:r>
              <w:t>24</w:t>
            </w:r>
          </w:p>
        </w:tc>
        <w:tc>
          <w:tcPr>
            <w:tcW w:w="1523" w:type="pct"/>
            <w:vAlign w:val="center"/>
          </w:tcPr>
          <w:p w14:paraId="435015A3">
            <w:pPr>
              <w:pStyle w:val="1535"/>
            </w:pPr>
            <w:r>
              <w:t>镍</w:t>
            </w:r>
          </w:p>
        </w:tc>
        <w:tc>
          <w:tcPr>
            <w:tcW w:w="1105" w:type="pct"/>
            <w:vAlign w:val="center"/>
          </w:tcPr>
          <w:p w14:paraId="725AE74D">
            <w:pPr>
              <w:pStyle w:val="1535"/>
            </w:pPr>
            <w:r>
              <w:t>mg/L</w:t>
            </w:r>
          </w:p>
        </w:tc>
        <w:tc>
          <w:tcPr>
            <w:tcW w:w="1919" w:type="pct"/>
            <w:vAlign w:val="center"/>
          </w:tcPr>
          <w:p w14:paraId="2468740E">
            <w:pPr>
              <w:pStyle w:val="1535"/>
            </w:pPr>
            <w:r>
              <w:t>≤0.02</w:t>
            </w:r>
          </w:p>
        </w:tc>
      </w:tr>
      <w:tr w14:paraId="1F64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61CD91D8">
            <w:pPr>
              <w:pStyle w:val="1535"/>
            </w:pPr>
            <w:r>
              <w:t>25</w:t>
            </w:r>
          </w:p>
        </w:tc>
        <w:tc>
          <w:tcPr>
            <w:tcW w:w="1523" w:type="pct"/>
            <w:vAlign w:val="center"/>
          </w:tcPr>
          <w:p w14:paraId="2660FA70">
            <w:pPr>
              <w:pStyle w:val="1535"/>
            </w:pPr>
            <w:r>
              <w:t>铜</w:t>
            </w:r>
          </w:p>
        </w:tc>
        <w:tc>
          <w:tcPr>
            <w:tcW w:w="1105" w:type="pct"/>
            <w:vAlign w:val="center"/>
          </w:tcPr>
          <w:p w14:paraId="717474E6">
            <w:pPr>
              <w:pStyle w:val="1535"/>
            </w:pPr>
            <w:r>
              <w:t>mg/L</w:t>
            </w:r>
          </w:p>
        </w:tc>
        <w:tc>
          <w:tcPr>
            <w:tcW w:w="1919" w:type="pct"/>
            <w:vAlign w:val="center"/>
          </w:tcPr>
          <w:p w14:paraId="1BB59012">
            <w:pPr>
              <w:pStyle w:val="1535"/>
            </w:pPr>
            <w:r>
              <w:t>≤1.0</w:t>
            </w:r>
          </w:p>
        </w:tc>
      </w:tr>
      <w:tr w14:paraId="28EE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pct"/>
            <w:vAlign w:val="center"/>
          </w:tcPr>
          <w:p w14:paraId="78426B1E">
            <w:pPr>
              <w:pStyle w:val="1535"/>
            </w:pPr>
            <w:r>
              <w:t>26</w:t>
            </w:r>
          </w:p>
        </w:tc>
        <w:tc>
          <w:tcPr>
            <w:tcW w:w="1523" w:type="pct"/>
            <w:vAlign w:val="center"/>
          </w:tcPr>
          <w:p w14:paraId="271460A6">
            <w:pPr>
              <w:pStyle w:val="1535"/>
            </w:pPr>
            <w:r>
              <w:t>铝</w:t>
            </w:r>
          </w:p>
        </w:tc>
        <w:tc>
          <w:tcPr>
            <w:tcW w:w="1105" w:type="pct"/>
            <w:vAlign w:val="center"/>
          </w:tcPr>
          <w:p w14:paraId="53CC98CB">
            <w:pPr>
              <w:pStyle w:val="1535"/>
            </w:pPr>
            <w:r>
              <w:t>mg/L</w:t>
            </w:r>
          </w:p>
        </w:tc>
        <w:tc>
          <w:tcPr>
            <w:tcW w:w="1919" w:type="pct"/>
            <w:vAlign w:val="center"/>
          </w:tcPr>
          <w:p w14:paraId="6B0E9170">
            <w:pPr>
              <w:pStyle w:val="1535"/>
            </w:pPr>
            <w:r>
              <w:t>≤0.2</w:t>
            </w:r>
          </w:p>
        </w:tc>
      </w:tr>
    </w:tbl>
    <w:p w14:paraId="5EBA82BF">
      <w:pPr>
        <w:pStyle w:val="5"/>
        <w:rPr>
          <w:bCs/>
          <w:color w:val="000000" w:themeColor="text1"/>
          <w14:textFill>
            <w14:solidFill>
              <w14:schemeClr w14:val="tx1"/>
            </w14:solidFill>
          </w14:textFill>
        </w:rPr>
      </w:pPr>
      <w:r>
        <w:rPr>
          <w:color w:val="000000" w:themeColor="text1"/>
          <w14:textFill>
            <w14:solidFill>
              <w14:schemeClr w14:val="tx1"/>
            </w14:solidFill>
          </w14:textFill>
        </w:rPr>
        <w:t>污染物排放标准</w:t>
      </w:r>
    </w:p>
    <w:p w14:paraId="3436C52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废气</w:t>
      </w:r>
    </w:p>
    <w:p w14:paraId="34358AD6">
      <w:pPr>
        <w:ind w:firstLine="520"/>
        <w:rPr>
          <w:color w:val="000000" w:themeColor="text1"/>
          <w14:textFill>
            <w14:solidFill>
              <w14:schemeClr w14:val="tx1"/>
            </w14:solidFill>
          </w14:textFill>
        </w:rPr>
      </w:pPr>
      <w:bookmarkStart w:id="66" w:name="_Hlk160470081"/>
      <w:r>
        <w:rPr>
          <w:color w:val="000000" w:themeColor="text1"/>
          <w14:textFill>
            <w14:solidFill>
              <w14:schemeClr w14:val="tx1"/>
            </w14:solidFill>
          </w14:textFill>
        </w:rPr>
        <w:t>扩建项目位于西彭工业园为主城区，大气污染物排放标准执行如下：</w:t>
      </w:r>
    </w:p>
    <w:p w14:paraId="051BF349">
      <w:pPr>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000000" w:themeColor="text1"/>
          <w14:textFill>
            <w14:solidFill>
              <w14:schemeClr w14:val="tx1"/>
            </w14:solidFill>
          </w14:textFill>
        </w:rPr>
        <w:t>清洗线排放的氟化物执行重庆市《大气污染物综合排放标准》（DB50/418-2016）的废气排放限值，详见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1C50EC32">
      <w:pPr>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石墨产品生产线排放的碳黑尘，</w:t>
      </w:r>
      <w:r>
        <w:rPr>
          <w:color w:val="000000" w:themeColor="text1"/>
          <w14:textFill>
            <w14:solidFill>
              <w14:schemeClr w14:val="tx1"/>
            </w14:solidFill>
          </w14:textFill>
        </w:rPr>
        <w:t>执行重庆市《大气污染物综合排放标准》（DB50/418-2016）的废气排放限值，详见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6782083D">
      <w:pPr>
        <w:ind w:firstLine="5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③碳化硅涂层生产线排放的氯化氢、非甲烷总烃（未反应的MTS以非甲烷总烃计）</w:t>
      </w:r>
      <w:r>
        <w:rPr>
          <w:color w:val="000000" w:themeColor="text1"/>
          <w14:textFill>
            <w14:solidFill>
              <w14:schemeClr w14:val="tx1"/>
            </w14:solidFill>
          </w14:textFill>
        </w:rPr>
        <w:t>执行重庆市《大气污染物综合排放标准》（DB50/418-2016）的废气排放限值</w:t>
      </w:r>
      <w:r>
        <w:rPr>
          <w:rFonts w:hint="eastAsia"/>
          <w:color w:val="000000" w:themeColor="text1"/>
          <w14:textFill>
            <w14:solidFill>
              <w14:schemeClr w14:val="tx1"/>
            </w14:solidFill>
          </w14:textFill>
        </w:rPr>
        <w:t>，由于MTS具有刺鼻性臭味</w:t>
      </w:r>
      <w:r>
        <w:rPr>
          <w:color w:val="000000" w:themeColor="text1"/>
          <w14:textFill>
            <w14:solidFill>
              <w14:schemeClr w14:val="tx1"/>
            </w14:solidFill>
          </w14:textFill>
        </w:rPr>
        <w:t>，臭气浓度排放执行《恶臭污染物排放标准》（GB14554-93）</w:t>
      </w:r>
    </w:p>
    <w:p w14:paraId="0282F058">
      <w:pPr>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无组织排放的废气中，氟化物、氯化氢、颗粒物、非甲烷总烃</w:t>
      </w:r>
      <w:r>
        <w:rPr>
          <w:rFonts w:hint="eastAsia" w:ascii="宋体" w:hAnsi="宋体"/>
          <w:color w:val="000000" w:themeColor="text1"/>
          <w14:textFill>
            <w14:solidFill>
              <w14:schemeClr w14:val="tx1"/>
            </w14:solidFill>
          </w14:textFill>
        </w:rPr>
        <w:t>（未反应的MTS以非甲烷总烃计）</w:t>
      </w:r>
      <w:r>
        <w:rPr>
          <w:color w:val="000000" w:themeColor="text1"/>
          <w14:textFill>
            <w14:solidFill>
              <w14:schemeClr w14:val="tx1"/>
            </w14:solidFill>
          </w14:textFill>
        </w:rPr>
        <w:t>执行重庆市《大气污染物综合排放标准》（DB50/418-2016）表1标准；厂界无组织臭气浓度执行臭气浓度排放执行《恶臭污染物排放标准》（GB14554-93），车间外非甲烷总烃执行《挥发性有机物无组织排放控制标准》（GB37822-2019）的管控要求</w:t>
      </w:r>
      <w:bookmarkEnd w:id="66"/>
      <w:r>
        <w:rPr>
          <w:color w:val="000000" w:themeColor="text1"/>
          <w14:textFill>
            <w14:solidFill>
              <w14:schemeClr w14:val="tx1"/>
            </w14:solidFill>
          </w14:textFill>
        </w:rPr>
        <w:t>。</w:t>
      </w:r>
    </w:p>
    <w:p w14:paraId="744B0DD2">
      <w:pPr>
        <w:spacing w:before="24"/>
        <w:ind w:firstLine="0" w:firstLineChars="0"/>
        <w:jc w:val="center"/>
        <w:rPr>
          <w:color w:val="000000" w:themeColor="text1"/>
          <w14:textFill>
            <w14:solidFill>
              <w14:schemeClr w14:val="tx1"/>
            </w14:solidFill>
          </w14:textFill>
        </w:rPr>
      </w:pPr>
      <w:bookmarkStart w:id="67" w:name="_Ref160532420"/>
      <w:bookmarkStart w:id="68" w:name="_Hlk160470164"/>
      <w:bookmarkStart w:id="69" w:name="_Ref27754017"/>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bookmarkEnd w:id="67"/>
      <w:r>
        <w:rPr>
          <w:color w:val="000000" w:themeColor="text1"/>
          <w14:textFill>
            <w14:solidFill>
              <w14:schemeClr w14:val="tx1"/>
            </w14:solidFill>
          </w14:textFill>
        </w:rPr>
        <w:t xml:space="preserve">    大气污染物排放标准</w:t>
      </w:r>
    </w:p>
    <w:bookmarkEnd w:id="68"/>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354"/>
        <w:gridCol w:w="1194"/>
        <w:gridCol w:w="808"/>
        <w:gridCol w:w="1729"/>
        <w:gridCol w:w="1729"/>
        <w:gridCol w:w="1451"/>
      </w:tblGrid>
      <w:tr w14:paraId="6910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34" w:type="pct"/>
            <w:vAlign w:val="center"/>
          </w:tcPr>
          <w:p w14:paraId="7E5E37C9">
            <w:pPr>
              <w:pStyle w:val="1535"/>
            </w:pPr>
            <w:bookmarkStart w:id="70" w:name="_Hlk160470132"/>
            <w:r>
              <w:t>序号</w:t>
            </w:r>
          </w:p>
        </w:tc>
        <w:tc>
          <w:tcPr>
            <w:tcW w:w="764" w:type="pct"/>
            <w:vAlign w:val="center"/>
          </w:tcPr>
          <w:p w14:paraId="7F8F0C95">
            <w:pPr>
              <w:pStyle w:val="1535"/>
            </w:pPr>
            <w:r>
              <w:t>污染物项目</w:t>
            </w:r>
          </w:p>
        </w:tc>
        <w:tc>
          <w:tcPr>
            <w:tcW w:w="1130" w:type="pct"/>
            <w:gridSpan w:val="2"/>
            <w:vAlign w:val="center"/>
          </w:tcPr>
          <w:p w14:paraId="2DE2A5FE">
            <w:pPr>
              <w:pStyle w:val="1535"/>
            </w:pPr>
            <w:r>
              <w:t>大气污染物最高允许排放浓度（mg/m</w:t>
            </w:r>
            <w:r>
              <w:rPr>
                <w:vertAlign w:val="superscript"/>
              </w:rPr>
              <w:t>3</w:t>
            </w:r>
            <w:r>
              <w:t>）</w:t>
            </w:r>
          </w:p>
        </w:tc>
        <w:tc>
          <w:tcPr>
            <w:tcW w:w="976" w:type="pct"/>
            <w:vAlign w:val="center"/>
          </w:tcPr>
          <w:p w14:paraId="6B06D078">
            <w:pPr>
              <w:pStyle w:val="1535"/>
            </w:pPr>
            <w:r>
              <w:t>最高允许排放速率（kg/h）</w:t>
            </w:r>
          </w:p>
        </w:tc>
        <w:tc>
          <w:tcPr>
            <w:tcW w:w="976" w:type="pct"/>
            <w:vAlign w:val="center"/>
          </w:tcPr>
          <w:p w14:paraId="7F788B91">
            <w:pPr>
              <w:pStyle w:val="1535"/>
            </w:pPr>
            <w:r>
              <w:t>对应排气筒高度</w:t>
            </w:r>
          </w:p>
        </w:tc>
        <w:tc>
          <w:tcPr>
            <w:tcW w:w="819" w:type="pct"/>
            <w:vAlign w:val="center"/>
          </w:tcPr>
          <w:p w14:paraId="4E8F432B">
            <w:pPr>
              <w:pStyle w:val="1535"/>
            </w:pPr>
            <w:r>
              <w:t>无组织排放监控点浓度（mg/m</w:t>
            </w:r>
            <w:r>
              <w:rPr>
                <w:vertAlign w:val="superscript"/>
              </w:rPr>
              <w:t>3</w:t>
            </w:r>
            <w:r>
              <w:t>）</w:t>
            </w:r>
          </w:p>
        </w:tc>
      </w:tr>
      <w:tr w14:paraId="09AD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4" w:type="pct"/>
            <w:vAlign w:val="center"/>
          </w:tcPr>
          <w:p w14:paraId="400145D9">
            <w:pPr>
              <w:pStyle w:val="1535"/>
            </w:pPr>
            <w:r>
              <w:t>1</w:t>
            </w:r>
          </w:p>
        </w:tc>
        <w:tc>
          <w:tcPr>
            <w:tcW w:w="764" w:type="pct"/>
            <w:vAlign w:val="center"/>
          </w:tcPr>
          <w:p w14:paraId="0BE16808">
            <w:pPr>
              <w:pStyle w:val="1535"/>
            </w:pPr>
            <w:r>
              <w:t>颗粒物</w:t>
            </w:r>
          </w:p>
        </w:tc>
        <w:tc>
          <w:tcPr>
            <w:tcW w:w="674" w:type="pct"/>
            <w:vAlign w:val="center"/>
          </w:tcPr>
          <w:p w14:paraId="6160B859">
            <w:pPr>
              <w:pStyle w:val="1535"/>
            </w:pPr>
            <w:r>
              <w:t>主城区</w:t>
            </w:r>
          </w:p>
        </w:tc>
        <w:tc>
          <w:tcPr>
            <w:tcW w:w="456" w:type="pct"/>
            <w:vAlign w:val="center"/>
          </w:tcPr>
          <w:p w14:paraId="568D0612">
            <w:pPr>
              <w:pStyle w:val="1535"/>
            </w:pPr>
            <w:r>
              <w:t>50</w:t>
            </w:r>
          </w:p>
        </w:tc>
        <w:tc>
          <w:tcPr>
            <w:tcW w:w="976" w:type="pct"/>
            <w:vAlign w:val="center"/>
          </w:tcPr>
          <w:p w14:paraId="7B2ED546">
            <w:pPr>
              <w:pStyle w:val="1535"/>
            </w:pPr>
            <w:r>
              <w:t>2.75</w:t>
            </w:r>
          </w:p>
        </w:tc>
        <w:tc>
          <w:tcPr>
            <w:tcW w:w="976" w:type="pct"/>
            <w:vAlign w:val="center"/>
          </w:tcPr>
          <w:p w14:paraId="4EB8DE7B">
            <w:pPr>
              <w:pStyle w:val="1535"/>
            </w:pPr>
            <w:r>
              <w:t>25m</w:t>
            </w:r>
          </w:p>
        </w:tc>
        <w:tc>
          <w:tcPr>
            <w:tcW w:w="819" w:type="pct"/>
            <w:vAlign w:val="center"/>
          </w:tcPr>
          <w:p w14:paraId="253BFEDC">
            <w:pPr>
              <w:pStyle w:val="1535"/>
            </w:pPr>
            <w:r>
              <w:t>1.0</w:t>
            </w:r>
          </w:p>
        </w:tc>
      </w:tr>
      <w:tr w14:paraId="756F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vMerge w:val="restart"/>
            <w:vAlign w:val="center"/>
          </w:tcPr>
          <w:p w14:paraId="4CEBEE40">
            <w:pPr>
              <w:pStyle w:val="1535"/>
            </w:pPr>
            <w:r>
              <w:rPr>
                <w:rFonts w:hint="eastAsia"/>
              </w:rPr>
              <w:t>2</w:t>
            </w:r>
          </w:p>
        </w:tc>
        <w:tc>
          <w:tcPr>
            <w:tcW w:w="764" w:type="pct"/>
            <w:vMerge w:val="restart"/>
            <w:vAlign w:val="center"/>
          </w:tcPr>
          <w:p w14:paraId="121FE06C">
            <w:pPr>
              <w:pStyle w:val="1535"/>
            </w:pPr>
            <w:r>
              <w:rPr>
                <w:rFonts w:hint="eastAsia"/>
              </w:rPr>
              <w:t>碳黑尘</w:t>
            </w:r>
          </w:p>
        </w:tc>
        <w:tc>
          <w:tcPr>
            <w:tcW w:w="674" w:type="pct"/>
            <w:vMerge w:val="restart"/>
            <w:vAlign w:val="center"/>
          </w:tcPr>
          <w:p w14:paraId="6BF15A89">
            <w:pPr>
              <w:pStyle w:val="1535"/>
            </w:pPr>
            <w:r>
              <w:t>主城区</w:t>
            </w:r>
          </w:p>
        </w:tc>
        <w:tc>
          <w:tcPr>
            <w:tcW w:w="456" w:type="pct"/>
            <w:vMerge w:val="restart"/>
            <w:vAlign w:val="center"/>
          </w:tcPr>
          <w:p w14:paraId="252B28AA">
            <w:pPr>
              <w:pStyle w:val="1535"/>
            </w:pPr>
            <w:r>
              <w:rPr>
                <w:rFonts w:hint="eastAsia"/>
              </w:rPr>
              <w:t>10</w:t>
            </w:r>
          </w:p>
        </w:tc>
        <w:tc>
          <w:tcPr>
            <w:tcW w:w="976" w:type="pct"/>
            <w:vAlign w:val="center"/>
          </w:tcPr>
          <w:p w14:paraId="03C3D502">
            <w:pPr>
              <w:pStyle w:val="1535"/>
            </w:pPr>
            <w:r>
              <w:rPr>
                <w:rFonts w:hint="eastAsia"/>
              </w:rPr>
              <w:t>0.3</w:t>
            </w:r>
          </w:p>
        </w:tc>
        <w:tc>
          <w:tcPr>
            <w:tcW w:w="976" w:type="pct"/>
            <w:vAlign w:val="center"/>
          </w:tcPr>
          <w:p w14:paraId="0ACF59A3">
            <w:pPr>
              <w:pStyle w:val="1535"/>
            </w:pPr>
            <w:r>
              <w:rPr>
                <w:rFonts w:hint="eastAsia"/>
              </w:rPr>
              <w:t>15m</w:t>
            </w:r>
          </w:p>
        </w:tc>
        <w:tc>
          <w:tcPr>
            <w:tcW w:w="819" w:type="pct"/>
            <w:vMerge w:val="restart"/>
            <w:vAlign w:val="center"/>
          </w:tcPr>
          <w:p w14:paraId="4FAE86A0">
            <w:pPr>
              <w:pStyle w:val="1535"/>
            </w:pPr>
            <w:r>
              <w:rPr>
                <w:rFonts w:hint="eastAsia"/>
              </w:rPr>
              <w:t>肉眼不可见</w:t>
            </w:r>
          </w:p>
        </w:tc>
      </w:tr>
      <w:tr w14:paraId="0BA9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4" w:type="pct"/>
            <w:vMerge w:val="continue"/>
            <w:vAlign w:val="center"/>
          </w:tcPr>
          <w:p w14:paraId="50EB1D23">
            <w:pPr>
              <w:pStyle w:val="1535"/>
            </w:pPr>
          </w:p>
        </w:tc>
        <w:tc>
          <w:tcPr>
            <w:tcW w:w="764" w:type="pct"/>
            <w:vMerge w:val="continue"/>
            <w:vAlign w:val="center"/>
          </w:tcPr>
          <w:p w14:paraId="66C99DF5">
            <w:pPr>
              <w:pStyle w:val="1535"/>
            </w:pPr>
          </w:p>
        </w:tc>
        <w:tc>
          <w:tcPr>
            <w:tcW w:w="674" w:type="pct"/>
            <w:vMerge w:val="continue"/>
            <w:vAlign w:val="center"/>
          </w:tcPr>
          <w:p w14:paraId="5FBD9C77">
            <w:pPr>
              <w:pStyle w:val="1535"/>
            </w:pPr>
          </w:p>
        </w:tc>
        <w:tc>
          <w:tcPr>
            <w:tcW w:w="456" w:type="pct"/>
            <w:vMerge w:val="continue"/>
            <w:vAlign w:val="center"/>
          </w:tcPr>
          <w:p w14:paraId="0828609E">
            <w:pPr>
              <w:pStyle w:val="1535"/>
            </w:pPr>
          </w:p>
        </w:tc>
        <w:tc>
          <w:tcPr>
            <w:tcW w:w="976" w:type="pct"/>
            <w:vAlign w:val="center"/>
          </w:tcPr>
          <w:p w14:paraId="100F49A5">
            <w:pPr>
              <w:pStyle w:val="1535"/>
            </w:pPr>
            <w:r>
              <w:rPr>
                <w:rFonts w:hint="eastAsia"/>
              </w:rPr>
              <w:t>1.15</w:t>
            </w:r>
          </w:p>
        </w:tc>
        <w:tc>
          <w:tcPr>
            <w:tcW w:w="976" w:type="pct"/>
            <w:vAlign w:val="center"/>
          </w:tcPr>
          <w:p w14:paraId="3588F3EB">
            <w:pPr>
              <w:pStyle w:val="1535"/>
            </w:pPr>
            <w:r>
              <w:rPr>
                <w:rFonts w:hint="eastAsia"/>
              </w:rPr>
              <w:t>25m</w:t>
            </w:r>
          </w:p>
        </w:tc>
        <w:tc>
          <w:tcPr>
            <w:tcW w:w="819" w:type="pct"/>
            <w:vMerge w:val="continue"/>
            <w:vAlign w:val="center"/>
          </w:tcPr>
          <w:p w14:paraId="620241F4">
            <w:pPr>
              <w:pStyle w:val="1535"/>
            </w:pPr>
          </w:p>
        </w:tc>
      </w:tr>
      <w:tr w14:paraId="06E4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4" w:type="pct"/>
            <w:vAlign w:val="center"/>
          </w:tcPr>
          <w:p w14:paraId="7364D3BE">
            <w:pPr>
              <w:pStyle w:val="1535"/>
            </w:pPr>
            <w:r>
              <w:t>3</w:t>
            </w:r>
          </w:p>
        </w:tc>
        <w:tc>
          <w:tcPr>
            <w:tcW w:w="764" w:type="pct"/>
            <w:vAlign w:val="center"/>
          </w:tcPr>
          <w:p w14:paraId="7E1C186E">
            <w:pPr>
              <w:pStyle w:val="1535"/>
            </w:pPr>
            <w:r>
              <w:t>氟化物</w:t>
            </w:r>
          </w:p>
        </w:tc>
        <w:tc>
          <w:tcPr>
            <w:tcW w:w="1130" w:type="pct"/>
            <w:gridSpan w:val="2"/>
            <w:vAlign w:val="center"/>
          </w:tcPr>
          <w:p w14:paraId="16E23045">
            <w:pPr>
              <w:pStyle w:val="1535"/>
            </w:pPr>
            <w:r>
              <w:t>9</w:t>
            </w:r>
          </w:p>
        </w:tc>
        <w:tc>
          <w:tcPr>
            <w:tcW w:w="976" w:type="pct"/>
            <w:vAlign w:val="center"/>
          </w:tcPr>
          <w:p w14:paraId="7E6287BA">
            <w:pPr>
              <w:pStyle w:val="1535"/>
            </w:pPr>
            <w:r>
              <w:rPr>
                <w:rFonts w:hint="eastAsia"/>
              </w:rPr>
              <w:t>0.1</w:t>
            </w:r>
          </w:p>
        </w:tc>
        <w:tc>
          <w:tcPr>
            <w:tcW w:w="976" w:type="pct"/>
            <w:vAlign w:val="center"/>
          </w:tcPr>
          <w:p w14:paraId="24FDE169">
            <w:pPr>
              <w:pStyle w:val="1535"/>
            </w:pPr>
            <w:r>
              <w:rPr>
                <w:rFonts w:hint="eastAsia"/>
              </w:rPr>
              <w:t>1</w:t>
            </w:r>
            <w:r>
              <w:t>5m</w:t>
            </w:r>
          </w:p>
        </w:tc>
        <w:tc>
          <w:tcPr>
            <w:tcW w:w="819" w:type="pct"/>
            <w:vAlign w:val="center"/>
          </w:tcPr>
          <w:p w14:paraId="3ABD2FEB">
            <w:pPr>
              <w:pStyle w:val="1535"/>
            </w:pPr>
            <w:r>
              <w:t>0.0</w:t>
            </w:r>
            <w:r>
              <w:rPr>
                <w:rFonts w:hint="eastAsia"/>
              </w:rPr>
              <w:t>2</w:t>
            </w:r>
          </w:p>
        </w:tc>
      </w:tr>
      <w:tr w14:paraId="70E8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4" w:type="pct"/>
            <w:vAlign w:val="center"/>
          </w:tcPr>
          <w:p w14:paraId="78092BE6">
            <w:pPr>
              <w:pStyle w:val="1535"/>
            </w:pPr>
            <w:r>
              <w:t>4</w:t>
            </w:r>
          </w:p>
        </w:tc>
        <w:tc>
          <w:tcPr>
            <w:tcW w:w="764" w:type="pct"/>
            <w:vAlign w:val="center"/>
          </w:tcPr>
          <w:p w14:paraId="12E61BA1">
            <w:pPr>
              <w:pStyle w:val="1535"/>
            </w:pPr>
            <w:r>
              <w:t>氯化氢</w:t>
            </w:r>
          </w:p>
        </w:tc>
        <w:tc>
          <w:tcPr>
            <w:tcW w:w="1130" w:type="pct"/>
            <w:gridSpan w:val="2"/>
            <w:vAlign w:val="center"/>
          </w:tcPr>
          <w:p w14:paraId="20BEB9BF">
            <w:pPr>
              <w:pStyle w:val="1535"/>
            </w:pPr>
            <w:r>
              <w:t>100</w:t>
            </w:r>
          </w:p>
        </w:tc>
        <w:tc>
          <w:tcPr>
            <w:tcW w:w="976" w:type="pct"/>
            <w:vAlign w:val="center"/>
          </w:tcPr>
          <w:p w14:paraId="4FE88816">
            <w:pPr>
              <w:pStyle w:val="1535"/>
            </w:pPr>
            <w:r>
              <w:rPr>
                <w:rFonts w:hint="eastAsia"/>
              </w:rPr>
              <w:t>0.915</w:t>
            </w:r>
          </w:p>
        </w:tc>
        <w:tc>
          <w:tcPr>
            <w:tcW w:w="976" w:type="pct"/>
            <w:vAlign w:val="center"/>
          </w:tcPr>
          <w:p w14:paraId="26B99A92">
            <w:pPr>
              <w:pStyle w:val="1535"/>
            </w:pPr>
            <w:r>
              <w:rPr>
                <w:rFonts w:hint="eastAsia"/>
              </w:rPr>
              <w:t>2</w:t>
            </w:r>
            <w:r>
              <w:t>5m</w:t>
            </w:r>
          </w:p>
        </w:tc>
        <w:tc>
          <w:tcPr>
            <w:tcW w:w="819" w:type="pct"/>
            <w:vAlign w:val="center"/>
          </w:tcPr>
          <w:p w14:paraId="396BA011">
            <w:pPr>
              <w:pStyle w:val="1535"/>
            </w:pPr>
            <w:r>
              <w:t>0.2</w:t>
            </w:r>
          </w:p>
        </w:tc>
      </w:tr>
      <w:tr w14:paraId="0898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4" w:type="pct"/>
            <w:vAlign w:val="center"/>
          </w:tcPr>
          <w:p w14:paraId="21D7AB3C">
            <w:pPr>
              <w:pStyle w:val="1535"/>
            </w:pPr>
            <w:r>
              <w:t>5</w:t>
            </w:r>
          </w:p>
        </w:tc>
        <w:tc>
          <w:tcPr>
            <w:tcW w:w="764" w:type="pct"/>
            <w:vAlign w:val="center"/>
          </w:tcPr>
          <w:p w14:paraId="69D0D178">
            <w:pPr>
              <w:pStyle w:val="1535"/>
            </w:pPr>
            <w:r>
              <w:t>非甲烷总烃</w:t>
            </w:r>
          </w:p>
        </w:tc>
        <w:tc>
          <w:tcPr>
            <w:tcW w:w="1130" w:type="pct"/>
            <w:gridSpan w:val="2"/>
            <w:vAlign w:val="center"/>
          </w:tcPr>
          <w:p w14:paraId="0B00DD09">
            <w:pPr>
              <w:pStyle w:val="1535"/>
            </w:pPr>
            <w:r>
              <w:t>120</w:t>
            </w:r>
          </w:p>
        </w:tc>
        <w:tc>
          <w:tcPr>
            <w:tcW w:w="976" w:type="pct"/>
            <w:vAlign w:val="center"/>
          </w:tcPr>
          <w:p w14:paraId="3B2C6016">
            <w:pPr>
              <w:pStyle w:val="1535"/>
            </w:pPr>
            <w:r>
              <w:t>35</w:t>
            </w:r>
          </w:p>
        </w:tc>
        <w:tc>
          <w:tcPr>
            <w:tcW w:w="976" w:type="pct"/>
            <w:vAlign w:val="center"/>
          </w:tcPr>
          <w:p w14:paraId="306F0036">
            <w:pPr>
              <w:pStyle w:val="1535"/>
            </w:pPr>
            <w:r>
              <w:t>25m</w:t>
            </w:r>
          </w:p>
        </w:tc>
        <w:tc>
          <w:tcPr>
            <w:tcW w:w="819" w:type="pct"/>
            <w:vAlign w:val="center"/>
          </w:tcPr>
          <w:p w14:paraId="2D67F7C0">
            <w:pPr>
              <w:pStyle w:val="1535"/>
            </w:pPr>
            <w:r>
              <w:t>4.0</w:t>
            </w:r>
          </w:p>
        </w:tc>
      </w:tr>
      <w:tr w14:paraId="09BD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4" w:type="pct"/>
            <w:vAlign w:val="center"/>
          </w:tcPr>
          <w:p w14:paraId="581A418D">
            <w:pPr>
              <w:pStyle w:val="1535"/>
            </w:pPr>
            <w:r>
              <w:rPr>
                <w:rFonts w:hint="eastAsia"/>
              </w:rPr>
              <w:t>7</w:t>
            </w:r>
          </w:p>
        </w:tc>
        <w:tc>
          <w:tcPr>
            <w:tcW w:w="764" w:type="pct"/>
            <w:vAlign w:val="center"/>
          </w:tcPr>
          <w:p w14:paraId="0251ABEC">
            <w:pPr>
              <w:pStyle w:val="1535"/>
            </w:pPr>
            <w:r>
              <w:t>臭气浓度</w:t>
            </w:r>
          </w:p>
        </w:tc>
        <w:tc>
          <w:tcPr>
            <w:tcW w:w="1130" w:type="pct"/>
            <w:gridSpan w:val="2"/>
            <w:vAlign w:val="center"/>
          </w:tcPr>
          <w:p w14:paraId="123D2D37">
            <w:pPr>
              <w:pStyle w:val="1535"/>
            </w:pPr>
            <w:r>
              <w:t>6000（无量纲）</w:t>
            </w:r>
          </w:p>
        </w:tc>
        <w:tc>
          <w:tcPr>
            <w:tcW w:w="976" w:type="pct"/>
            <w:vAlign w:val="center"/>
          </w:tcPr>
          <w:p w14:paraId="4FFC5E77">
            <w:pPr>
              <w:pStyle w:val="1535"/>
            </w:pPr>
            <w:r>
              <w:t>/</w:t>
            </w:r>
          </w:p>
        </w:tc>
        <w:tc>
          <w:tcPr>
            <w:tcW w:w="976" w:type="pct"/>
            <w:vAlign w:val="center"/>
          </w:tcPr>
          <w:p w14:paraId="1FC0D0A7">
            <w:pPr>
              <w:pStyle w:val="1535"/>
            </w:pPr>
            <w:r>
              <w:t>25m</w:t>
            </w:r>
          </w:p>
        </w:tc>
        <w:tc>
          <w:tcPr>
            <w:tcW w:w="819" w:type="pct"/>
            <w:vAlign w:val="center"/>
          </w:tcPr>
          <w:p w14:paraId="43114CD7">
            <w:pPr>
              <w:pStyle w:val="1535"/>
            </w:pPr>
            <w:r>
              <w:t>20</w:t>
            </w:r>
          </w:p>
        </w:tc>
      </w:tr>
      <w:bookmarkEnd w:id="69"/>
      <w:bookmarkEnd w:id="70"/>
    </w:tbl>
    <w:p w14:paraId="4EA6F8FD">
      <w:pPr>
        <w:spacing w:before="24"/>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《挥发性有机物无组织排放控制标准》(GB37822-2019)表A.1</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272"/>
        <w:gridCol w:w="1605"/>
        <w:gridCol w:w="2763"/>
        <w:gridCol w:w="2315"/>
      </w:tblGrid>
      <w:tr w14:paraId="64B3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Align w:val="center"/>
          </w:tcPr>
          <w:p w14:paraId="76AADD9F">
            <w:pPr>
              <w:pStyle w:val="1535"/>
            </w:pPr>
            <w:bookmarkStart w:id="71" w:name="_Hlk160470219"/>
            <w:r>
              <w:t>污染物项目</w:t>
            </w:r>
          </w:p>
        </w:tc>
        <w:tc>
          <w:tcPr>
            <w:tcW w:w="718" w:type="pct"/>
            <w:vAlign w:val="center"/>
          </w:tcPr>
          <w:p w14:paraId="14050331">
            <w:pPr>
              <w:pStyle w:val="1535"/>
            </w:pPr>
            <w:r>
              <w:t>排放限值</w:t>
            </w:r>
            <w:r>
              <w:rPr>
                <w:rFonts w:hint="eastAsia"/>
              </w:rPr>
              <w:t>（mg/m</w:t>
            </w:r>
            <w:r>
              <w:rPr>
                <w:rFonts w:hint="eastAsia"/>
                <w:vertAlign w:val="superscript"/>
              </w:rPr>
              <w:t>3</w:t>
            </w:r>
            <w:r>
              <w:rPr>
                <w:rFonts w:hint="eastAsia"/>
              </w:rPr>
              <w:t>）</w:t>
            </w:r>
          </w:p>
        </w:tc>
        <w:tc>
          <w:tcPr>
            <w:tcW w:w="906" w:type="pct"/>
            <w:vAlign w:val="center"/>
          </w:tcPr>
          <w:p w14:paraId="1F582DF8">
            <w:pPr>
              <w:pStyle w:val="1535"/>
            </w:pPr>
            <w:r>
              <w:t>特别排放限值</w:t>
            </w:r>
            <w:r>
              <w:rPr>
                <w:rFonts w:hint="eastAsia"/>
              </w:rPr>
              <w:t>（mg/m</w:t>
            </w:r>
            <w:r>
              <w:rPr>
                <w:rFonts w:hint="eastAsia"/>
                <w:vertAlign w:val="superscript"/>
              </w:rPr>
              <w:t>3</w:t>
            </w:r>
            <w:r>
              <w:rPr>
                <w:rFonts w:hint="eastAsia"/>
              </w:rPr>
              <w:t>）</w:t>
            </w:r>
          </w:p>
        </w:tc>
        <w:tc>
          <w:tcPr>
            <w:tcW w:w="1560" w:type="pct"/>
            <w:vAlign w:val="center"/>
          </w:tcPr>
          <w:p w14:paraId="14E83B4B">
            <w:pPr>
              <w:pStyle w:val="1535"/>
            </w:pPr>
            <w:r>
              <w:t>限值含义</w:t>
            </w:r>
          </w:p>
        </w:tc>
        <w:tc>
          <w:tcPr>
            <w:tcW w:w="1307" w:type="pct"/>
            <w:vAlign w:val="center"/>
          </w:tcPr>
          <w:p w14:paraId="2C376891">
            <w:pPr>
              <w:pStyle w:val="1535"/>
            </w:pPr>
            <w:r>
              <w:t>无组织排放监控位置</w:t>
            </w:r>
          </w:p>
        </w:tc>
      </w:tr>
      <w:tr w14:paraId="27BE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restart"/>
            <w:vAlign w:val="center"/>
          </w:tcPr>
          <w:p w14:paraId="4B76193A">
            <w:pPr>
              <w:pStyle w:val="1535"/>
            </w:pPr>
            <w:r>
              <w:t>NMHC</w:t>
            </w:r>
          </w:p>
        </w:tc>
        <w:tc>
          <w:tcPr>
            <w:tcW w:w="718" w:type="pct"/>
            <w:vAlign w:val="center"/>
          </w:tcPr>
          <w:p w14:paraId="0CB29A25">
            <w:pPr>
              <w:pStyle w:val="1535"/>
            </w:pPr>
            <w:r>
              <w:rPr>
                <w:rFonts w:hint="eastAsia"/>
              </w:rPr>
              <w:t>10</w:t>
            </w:r>
          </w:p>
        </w:tc>
        <w:tc>
          <w:tcPr>
            <w:tcW w:w="906" w:type="pct"/>
            <w:vAlign w:val="center"/>
          </w:tcPr>
          <w:p w14:paraId="3AD02946">
            <w:pPr>
              <w:pStyle w:val="1535"/>
            </w:pPr>
            <w:r>
              <w:rPr>
                <w:rFonts w:hint="eastAsia"/>
              </w:rPr>
              <w:t>6</w:t>
            </w:r>
          </w:p>
        </w:tc>
        <w:tc>
          <w:tcPr>
            <w:tcW w:w="1560" w:type="pct"/>
            <w:vAlign w:val="center"/>
          </w:tcPr>
          <w:p w14:paraId="5ECC463C">
            <w:pPr>
              <w:pStyle w:val="1535"/>
            </w:pPr>
            <w:r>
              <w:rPr>
                <w:rFonts w:hint="eastAsia"/>
              </w:rPr>
              <w:t>监控点处1h平均浓度值</w:t>
            </w:r>
          </w:p>
        </w:tc>
        <w:tc>
          <w:tcPr>
            <w:tcW w:w="1307" w:type="pct"/>
            <w:vMerge w:val="restart"/>
            <w:vAlign w:val="center"/>
          </w:tcPr>
          <w:p w14:paraId="5DAF4389">
            <w:pPr>
              <w:pStyle w:val="1535"/>
            </w:pPr>
            <w:r>
              <w:t>在厂房外设置监控点</w:t>
            </w:r>
          </w:p>
        </w:tc>
      </w:tr>
      <w:tr w14:paraId="5697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vAlign w:val="center"/>
          </w:tcPr>
          <w:p w14:paraId="5EC4FBEA">
            <w:pPr>
              <w:pStyle w:val="1535"/>
            </w:pPr>
          </w:p>
        </w:tc>
        <w:tc>
          <w:tcPr>
            <w:tcW w:w="718" w:type="pct"/>
            <w:vAlign w:val="center"/>
          </w:tcPr>
          <w:p w14:paraId="46012A1B">
            <w:pPr>
              <w:pStyle w:val="1535"/>
            </w:pPr>
            <w:r>
              <w:t>30</w:t>
            </w:r>
          </w:p>
        </w:tc>
        <w:tc>
          <w:tcPr>
            <w:tcW w:w="906" w:type="pct"/>
            <w:vAlign w:val="center"/>
          </w:tcPr>
          <w:p w14:paraId="35B92F71">
            <w:pPr>
              <w:pStyle w:val="1535"/>
            </w:pPr>
            <w:r>
              <w:t>20</w:t>
            </w:r>
          </w:p>
        </w:tc>
        <w:tc>
          <w:tcPr>
            <w:tcW w:w="1560" w:type="pct"/>
            <w:vAlign w:val="center"/>
          </w:tcPr>
          <w:p w14:paraId="1C5DCF87">
            <w:pPr>
              <w:pStyle w:val="1535"/>
            </w:pPr>
            <w:r>
              <w:t>监控点处任意一次浓度值</w:t>
            </w:r>
          </w:p>
        </w:tc>
        <w:tc>
          <w:tcPr>
            <w:tcW w:w="1307" w:type="pct"/>
            <w:vMerge w:val="continue"/>
            <w:vAlign w:val="center"/>
          </w:tcPr>
          <w:p w14:paraId="55EF40D6">
            <w:pPr>
              <w:pStyle w:val="1535"/>
            </w:pPr>
          </w:p>
        </w:tc>
      </w:tr>
      <w:bookmarkEnd w:id="71"/>
    </w:tbl>
    <w:p w14:paraId="0488F59A">
      <w:pPr>
        <w:spacing w:before="24"/>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恶臭污染物排放标准</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354"/>
        <w:gridCol w:w="2002"/>
        <w:gridCol w:w="1729"/>
        <w:gridCol w:w="1729"/>
        <w:gridCol w:w="1451"/>
      </w:tblGrid>
      <w:tr w14:paraId="5E23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34" w:type="pct"/>
            <w:vAlign w:val="center"/>
          </w:tcPr>
          <w:p w14:paraId="1542BFF5">
            <w:pPr>
              <w:pStyle w:val="1535"/>
            </w:pPr>
            <w:r>
              <w:t>序号</w:t>
            </w:r>
          </w:p>
        </w:tc>
        <w:tc>
          <w:tcPr>
            <w:tcW w:w="764" w:type="pct"/>
            <w:vAlign w:val="center"/>
          </w:tcPr>
          <w:p w14:paraId="3CCAD785">
            <w:pPr>
              <w:pStyle w:val="1535"/>
            </w:pPr>
            <w:r>
              <w:t>污染物项目</w:t>
            </w:r>
          </w:p>
        </w:tc>
        <w:tc>
          <w:tcPr>
            <w:tcW w:w="1130" w:type="pct"/>
            <w:vAlign w:val="center"/>
          </w:tcPr>
          <w:p w14:paraId="4CBAE806">
            <w:pPr>
              <w:pStyle w:val="1535"/>
            </w:pPr>
            <w:r>
              <w:t>大气污染物最高允许排放浓度（mg/m</w:t>
            </w:r>
            <w:r>
              <w:rPr>
                <w:vertAlign w:val="superscript"/>
              </w:rPr>
              <w:t>3</w:t>
            </w:r>
            <w:r>
              <w:t>）</w:t>
            </w:r>
          </w:p>
        </w:tc>
        <w:tc>
          <w:tcPr>
            <w:tcW w:w="976" w:type="pct"/>
            <w:vAlign w:val="center"/>
          </w:tcPr>
          <w:p w14:paraId="39641ECC">
            <w:pPr>
              <w:pStyle w:val="1535"/>
            </w:pPr>
            <w:r>
              <w:t>最高允许排放速率（kg/h）</w:t>
            </w:r>
          </w:p>
        </w:tc>
        <w:tc>
          <w:tcPr>
            <w:tcW w:w="976" w:type="pct"/>
            <w:vAlign w:val="center"/>
          </w:tcPr>
          <w:p w14:paraId="50FE522C">
            <w:pPr>
              <w:pStyle w:val="1535"/>
            </w:pPr>
            <w:r>
              <w:t>对应排气筒高度</w:t>
            </w:r>
          </w:p>
        </w:tc>
        <w:tc>
          <w:tcPr>
            <w:tcW w:w="819" w:type="pct"/>
            <w:vAlign w:val="center"/>
          </w:tcPr>
          <w:p w14:paraId="47A34890">
            <w:pPr>
              <w:pStyle w:val="1535"/>
            </w:pPr>
            <w:r>
              <w:t>无组织排放监控点浓度（mg/m</w:t>
            </w:r>
            <w:r>
              <w:rPr>
                <w:vertAlign w:val="superscript"/>
              </w:rPr>
              <w:t>3</w:t>
            </w:r>
            <w:r>
              <w:t>）</w:t>
            </w:r>
          </w:p>
        </w:tc>
      </w:tr>
      <w:tr w14:paraId="3D39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4" w:type="pct"/>
            <w:vAlign w:val="center"/>
          </w:tcPr>
          <w:p w14:paraId="14589DF5">
            <w:pPr>
              <w:pStyle w:val="1535"/>
            </w:pPr>
            <w:r>
              <w:rPr>
                <w:rFonts w:hint="eastAsia"/>
              </w:rPr>
              <w:t>1</w:t>
            </w:r>
          </w:p>
        </w:tc>
        <w:tc>
          <w:tcPr>
            <w:tcW w:w="764" w:type="pct"/>
            <w:vAlign w:val="center"/>
          </w:tcPr>
          <w:p w14:paraId="26B08132">
            <w:pPr>
              <w:pStyle w:val="1535"/>
            </w:pPr>
            <w:r>
              <w:t>臭气浓度</w:t>
            </w:r>
          </w:p>
        </w:tc>
        <w:tc>
          <w:tcPr>
            <w:tcW w:w="1130" w:type="pct"/>
            <w:vAlign w:val="center"/>
          </w:tcPr>
          <w:p w14:paraId="5C590FB0">
            <w:pPr>
              <w:pStyle w:val="1535"/>
            </w:pPr>
            <w:r>
              <w:t>6000（无量纲）</w:t>
            </w:r>
          </w:p>
        </w:tc>
        <w:tc>
          <w:tcPr>
            <w:tcW w:w="976" w:type="pct"/>
            <w:vAlign w:val="center"/>
          </w:tcPr>
          <w:p w14:paraId="5FBBB970">
            <w:pPr>
              <w:pStyle w:val="1535"/>
            </w:pPr>
            <w:r>
              <w:t>/</w:t>
            </w:r>
          </w:p>
        </w:tc>
        <w:tc>
          <w:tcPr>
            <w:tcW w:w="976" w:type="pct"/>
            <w:vAlign w:val="center"/>
          </w:tcPr>
          <w:p w14:paraId="3FC5EA1C">
            <w:pPr>
              <w:pStyle w:val="1535"/>
            </w:pPr>
            <w:r>
              <w:t>25m</w:t>
            </w:r>
          </w:p>
        </w:tc>
        <w:tc>
          <w:tcPr>
            <w:tcW w:w="819" w:type="pct"/>
            <w:vAlign w:val="center"/>
          </w:tcPr>
          <w:p w14:paraId="26B307A5">
            <w:pPr>
              <w:pStyle w:val="1535"/>
            </w:pPr>
            <w:r>
              <w:t>20</w:t>
            </w:r>
          </w:p>
        </w:tc>
      </w:tr>
    </w:tbl>
    <w:p w14:paraId="4F9E9B86">
      <w:pPr>
        <w:ind w:firstLine="520"/>
        <w:rPr>
          <w:color w:val="000000" w:themeColor="text1"/>
          <w14:textFill>
            <w14:solidFill>
              <w14:schemeClr w14:val="tx1"/>
            </w14:solidFill>
          </w14:textFill>
        </w:rPr>
      </w:pPr>
      <w:r>
        <w:rPr>
          <w:color w:val="000000" w:themeColor="text1"/>
          <w14:textFill>
            <w14:solidFill>
              <w14:schemeClr w14:val="tx1"/>
            </w14:solidFill>
          </w14:textFill>
        </w:rPr>
        <w:t>（2）废水</w:t>
      </w:r>
    </w:p>
    <w:p w14:paraId="12C1386D">
      <w:pPr>
        <w:ind w:firstLine="520"/>
        <w:rPr>
          <w:color w:val="000000" w:themeColor="text1"/>
          <w14:textFill>
            <w14:solidFill>
              <w14:schemeClr w14:val="tx1"/>
            </w14:solidFill>
          </w14:textFill>
        </w:rPr>
      </w:pPr>
      <w:bookmarkStart w:id="72" w:name="_Hlk160470311"/>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污废水依托现有</w:t>
      </w:r>
      <w:r>
        <w:rPr>
          <w:color w:val="000000" w:themeColor="text1"/>
          <w14:textFill>
            <w14:solidFill>
              <w14:schemeClr w14:val="tx1"/>
            </w14:solidFill>
          </w14:textFill>
        </w:rPr>
        <w:t>生产废水处理站处理，生活污水经生化池处理达《电子工业水污染物排放标准》（GB39731-2020）间接排放标准（</w:t>
      </w: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动植物油执行《污水综合排放标准》（GB8978-1996）三级标准）。生产废水经厂区综合污水处理站处理，达《电子工业水污染物排放标准》（GB39731-2020）间接排放限值，综合废水和生活污水在厂区总排口混合一起排入园区管网，近期处理达《污水综合排放标准》（GB8978-1996）一级标准后排放至长江，远期西彭污水处理厂扩建工程完成后，废水处理达《城镇污水处理厂污染物排放标准》（GB18918-2002）一级A标准，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-N、TP处理达《地表水环境质量标准》（GB3838-2002）IV类标准后排放。相关标准见</w:t>
      </w:r>
      <w:bookmarkEnd w:id="72"/>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199E71C9">
      <w:pPr>
        <w:spacing w:before="24"/>
        <w:ind w:firstLine="0" w:firstLineChars="0"/>
        <w:jc w:val="center"/>
        <w:rPr>
          <w:color w:val="000000" w:themeColor="text1"/>
          <w14:textFill>
            <w14:solidFill>
              <w14:schemeClr w14:val="tx1"/>
            </w14:solidFill>
          </w14:textFill>
        </w:rPr>
      </w:pPr>
      <w:bookmarkStart w:id="73" w:name="_Ref160532588"/>
      <w:bookmarkStart w:id="74" w:name="_Hlk160470344"/>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bookmarkEnd w:id="73"/>
      <w:r>
        <w:rPr>
          <w:color w:val="000000" w:themeColor="text1"/>
          <w14:textFill>
            <w14:solidFill>
              <w14:schemeClr w14:val="tx1"/>
            </w14:solidFill>
          </w14:textFill>
        </w:rPr>
        <w:t xml:space="preserve">   废水污染物最高允许排放浓度</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单位：mg/L</w:t>
      </w:r>
      <w:bookmarkEnd w:id="74"/>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6"/>
        <w:gridCol w:w="1892"/>
        <w:gridCol w:w="1454"/>
        <w:gridCol w:w="1670"/>
        <w:gridCol w:w="1954"/>
      </w:tblGrid>
      <w:tr w14:paraId="251C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6E7FEABB">
            <w:pPr>
              <w:pStyle w:val="1535"/>
            </w:pPr>
            <w:bookmarkStart w:id="75" w:name="_Hlk70261012"/>
            <w:bookmarkStart w:id="76" w:name="_Hlk160470366"/>
            <w:r>
              <w:t>排放标准</w:t>
            </w:r>
          </w:p>
        </w:tc>
        <w:tc>
          <w:tcPr>
            <w:tcW w:w="1068" w:type="pct"/>
            <w:vAlign w:val="center"/>
          </w:tcPr>
          <w:p w14:paraId="3C5D0969">
            <w:pPr>
              <w:pStyle w:val="1535"/>
            </w:pPr>
            <w:r>
              <w:t>《电子工业水污染物排放标准》间接排放标准</w:t>
            </w:r>
          </w:p>
        </w:tc>
        <w:tc>
          <w:tcPr>
            <w:tcW w:w="821" w:type="pct"/>
            <w:vAlign w:val="center"/>
          </w:tcPr>
          <w:p w14:paraId="583ED630">
            <w:pPr>
              <w:pStyle w:val="1535"/>
            </w:pPr>
            <w:r>
              <w:t>《污水综合排放标准》三级标准</w:t>
            </w:r>
          </w:p>
        </w:tc>
        <w:tc>
          <w:tcPr>
            <w:tcW w:w="943" w:type="pct"/>
            <w:vAlign w:val="center"/>
          </w:tcPr>
          <w:p w14:paraId="7DABCF7E">
            <w:pPr>
              <w:pStyle w:val="1535"/>
            </w:pPr>
            <w:r>
              <w:t>《污水综合排放标准》一级标准</w:t>
            </w:r>
          </w:p>
        </w:tc>
        <w:tc>
          <w:tcPr>
            <w:tcW w:w="1103" w:type="pct"/>
            <w:vAlign w:val="center"/>
          </w:tcPr>
          <w:p w14:paraId="43440FBB">
            <w:pPr>
              <w:pStyle w:val="1535"/>
            </w:pPr>
            <w:r>
              <w:rPr>
                <w:rFonts w:hint="eastAsia"/>
              </w:rPr>
              <w:t>《城镇污水处理厂污染物排放标准》一级A标准</w:t>
            </w:r>
          </w:p>
          <w:bookmarkEnd w:id="75"/>
        </w:tc>
      </w:tr>
      <w:tr w14:paraId="5CCA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4B0D82B0">
            <w:pPr>
              <w:pStyle w:val="1535"/>
            </w:pPr>
            <w:r>
              <w:t>pH</w:t>
            </w:r>
          </w:p>
        </w:tc>
        <w:tc>
          <w:tcPr>
            <w:tcW w:w="1068" w:type="pct"/>
            <w:vAlign w:val="center"/>
          </w:tcPr>
          <w:p w14:paraId="605B702E">
            <w:pPr>
              <w:pStyle w:val="1535"/>
            </w:pPr>
            <w:r>
              <w:t>6</w:t>
            </w:r>
            <w:r>
              <w:rPr>
                <w:rFonts w:hint="eastAsia"/>
              </w:rPr>
              <w:t>.0</w:t>
            </w:r>
            <w:r>
              <w:t>-9</w:t>
            </w:r>
            <w:r>
              <w:rPr>
                <w:rFonts w:hint="eastAsia"/>
              </w:rPr>
              <w:t>.0</w:t>
            </w:r>
          </w:p>
        </w:tc>
        <w:tc>
          <w:tcPr>
            <w:tcW w:w="821" w:type="pct"/>
            <w:vAlign w:val="center"/>
          </w:tcPr>
          <w:p w14:paraId="2EEB712C">
            <w:pPr>
              <w:pStyle w:val="1535"/>
            </w:pPr>
            <w:r>
              <w:rPr>
                <w:rFonts w:hint="eastAsia"/>
              </w:rPr>
              <w:t>/</w:t>
            </w:r>
          </w:p>
        </w:tc>
        <w:tc>
          <w:tcPr>
            <w:tcW w:w="943" w:type="pct"/>
            <w:vAlign w:val="center"/>
          </w:tcPr>
          <w:p w14:paraId="1961845F">
            <w:pPr>
              <w:pStyle w:val="1535"/>
            </w:pPr>
            <w:r>
              <w:t>6-9</w:t>
            </w:r>
          </w:p>
        </w:tc>
        <w:tc>
          <w:tcPr>
            <w:tcW w:w="1103" w:type="pct"/>
            <w:vAlign w:val="center"/>
          </w:tcPr>
          <w:p w14:paraId="4D1FECC1">
            <w:pPr>
              <w:pStyle w:val="1535"/>
            </w:pPr>
            <w:r>
              <w:rPr>
                <w:rFonts w:hint="eastAsia"/>
              </w:rPr>
              <w:t>6~9</w:t>
            </w:r>
          </w:p>
        </w:tc>
      </w:tr>
      <w:tr w14:paraId="5692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6021BCB9">
            <w:pPr>
              <w:pStyle w:val="1535"/>
            </w:pPr>
            <w:r>
              <w:t>COD</w:t>
            </w:r>
          </w:p>
        </w:tc>
        <w:tc>
          <w:tcPr>
            <w:tcW w:w="1068" w:type="pct"/>
            <w:vAlign w:val="center"/>
          </w:tcPr>
          <w:p w14:paraId="0951FF45">
            <w:pPr>
              <w:pStyle w:val="1535"/>
            </w:pPr>
            <w:r>
              <w:t>500</w:t>
            </w:r>
          </w:p>
        </w:tc>
        <w:tc>
          <w:tcPr>
            <w:tcW w:w="821" w:type="pct"/>
            <w:vAlign w:val="center"/>
          </w:tcPr>
          <w:p w14:paraId="29BAA96C">
            <w:pPr>
              <w:pStyle w:val="1535"/>
            </w:pPr>
            <w:r>
              <w:rPr>
                <w:rFonts w:hint="eastAsia"/>
              </w:rPr>
              <w:t>/</w:t>
            </w:r>
          </w:p>
        </w:tc>
        <w:tc>
          <w:tcPr>
            <w:tcW w:w="943" w:type="pct"/>
            <w:vAlign w:val="center"/>
          </w:tcPr>
          <w:p w14:paraId="79026647">
            <w:pPr>
              <w:pStyle w:val="1535"/>
            </w:pPr>
            <w:r>
              <w:t>100</w:t>
            </w:r>
          </w:p>
        </w:tc>
        <w:tc>
          <w:tcPr>
            <w:tcW w:w="1103" w:type="pct"/>
            <w:vAlign w:val="center"/>
          </w:tcPr>
          <w:p w14:paraId="6C1AAE06">
            <w:pPr>
              <w:pStyle w:val="1535"/>
            </w:pPr>
            <w:r>
              <w:rPr>
                <w:rFonts w:hint="eastAsia"/>
              </w:rPr>
              <w:t>30</w:t>
            </w:r>
            <w:r>
              <w:rPr>
                <w:rFonts w:hint="eastAsia"/>
                <w:vertAlign w:val="superscript"/>
              </w:rPr>
              <w:t>*</w:t>
            </w:r>
          </w:p>
        </w:tc>
      </w:tr>
      <w:tr w14:paraId="7FDF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5FE664B3">
            <w:pPr>
              <w:pStyle w:val="1535"/>
            </w:pPr>
            <w:r>
              <w:rPr>
                <w:rFonts w:hint="eastAsia"/>
              </w:rPr>
              <w:t>BOD</w:t>
            </w:r>
            <w:r>
              <w:rPr>
                <w:rFonts w:hint="eastAsia"/>
                <w:vertAlign w:val="subscript"/>
              </w:rPr>
              <w:t>5</w:t>
            </w:r>
          </w:p>
        </w:tc>
        <w:tc>
          <w:tcPr>
            <w:tcW w:w="1068" w:type="pct"/>
            <w:vAlign w:val="center"/>
          </w:tcPr>
          <w:p w14:paraId="24B2067D">
            <w:pPr>
              <w:pStyle w:val="1535"/>
            </w:pPr>
            <w:r>
              <w:rPr>
                <w:rFonts w:hint="eastAsia"/>
              </w:rPr>
              <w:t>/</w:t>
            </w:r>
          </w:p>
        </w:tc>
        <w:tc>
          <w:tcPr>
            <w:tcW w:w="821" w:type="pct"/>
            <w:vAlign w:val="center"/>
          </w:tcPr>
          <w:p w14:paraId="5CAFAC9F">
            <w:pPr>
              <w:pStyle w:val="1535"/>
            </w:pPr>
            <w:r>
              <w:rPr>
                <w:rFonts w:hint="eastAsia"/>
              </w:rPr>
              <w:t>300</w:t>
            </w:r>
          </w:p>
        </w:tc>
        <w:tc>
          <w:tcPr>
            <w:tcW w:w="943" w:type="pct"/>
            <w:vAlign w:val="center"/>
          </w:tcPr>
          <w:p w14:paraId="5A7E26FA">
            <w:pPr>
              <w:pStyle w:val="1535"/>
            </w:pPr>
            <w:r>
              <w:rPr>
                <w:rFonts w:hint="eastAsia"/>
              </w:rPr>
              <w:t>20</w:t>
            </w:r>
          </w:p>
        </w:tc>
        <w:tc>
          <w:tcPr>
            <w:tcW w:w="1103" w:type="pct"/>
            <w:vAlign w:val="center"/>
          </w:tcPr>
          <w:p w14:paraId="34AA2F25">
            <w:pPr>
              <w:pStyle w:val="1535"/>
            </w:pPr>
            <w:r>
              <w:rPr>
                <w:rFonts w:hint="eastAsia"/>
              </w:rPr>
              <w:t>10</w:t>
            </w:r>
          </w:p>
        </w:tc>
      </w:tr>
      <w:tr w14:paraId="18F4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39A36483">
            <w:pPr>
              <w:pStyle w:val="1535"/>
            </w:pPr>
            <w:r>
              <w:t>SS</w:t>
            </w:r>
          </w:p>
        </w:tc>
        <w:tc>
          <w:tcPr>
            <w:tcW w:w="1068" w:type="pct"/>
            <w:vAlign w:val="center"/>
          </w:tcPr>
          <w:p w14:paraId="4C53C996">
            <w:pPr>
              <w:pStyle w:val="1535"/>
            </w:pPr>
            <w:r>
              <w:t>400</w:t>
            </w:r>
          </w:p>
        </w:tc>
        <w:tc>
          <w:tcPr>
            <w:tcW w:w="821" w:type="pct"/>
            <w:vAlign w:val="center"/>
          </w:tcPr>
          <w:p w14:paraId="45694AB8">
            <w:pPr>
              <w:pStyle w:val="1535"/>
            </w:pPr>
            <w:r>
              <w:t>/</w:t>
            </w:r>
          </w:p>
        </w:tc>
        <w:tc>
          <w:tcPr>
            <w:tcW w:w="943" w:type="pct"/>
            <w:vAlign w:val="center"/>
          </w:tcPr>
          <w:p w14:paraId="73645CC4">
            <w:pPr>
              <w:pStyle w:val="1535"/>
            </w:pPr>
            <w:r>
              <w:t>70</w:t>
            </w:r>
          </w:p>
        </w:tc>
        <w:tc>
          <w:tcPr>
            <w:tcW w:w="1103" w:type="pct"/>
            <w:vAlign w:val="center"/>
          </w:tcPr>
          <w:p w14:paraId="6C47C8EE">
            <w:pPr>
              <w:pStyle w:val="1535"/>
            </w:pPr>
            <w:r>
              <w:rPr>
                <w:rFonts w:hint="eastAsia"/>
              </w:rPr>
              <w:t>10</w:t>
            </w:r>
          </w:p>
        </w:tc>
      </w:tr>
      <w:tr w14:paraId="5973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6EE922F4">
            <w:pPr>
              <w:pStyle w:val="1535"/>
            </w:pPr>
            <w:r>
              <w:t>氨氮</w:t>
            </w:r>
          </w:p>
        </w:tc>
        <w:tc>
          <w:tcPr>
            <w:tcW w:w="1068" w:type="pct"/>
            <w:vAlign w:val="center"/>
          </w:tcPr>
          <w:p w14:paraId="00EED199">
            <w:pPr>
              <w:pStyle w:val="1535"/>
            </w:pPr>
            <w:r>
              <w:t>45</w:t>
            </w:r>
          </w:p>
        </w:tc>
        <w:tc>
          <w:tcPr>
            <w:tcW w:w="821" w:type="pct"/>
            <w:vAlign w:val="center"/>
          </w:tcPr>
          <w:p w14:paraId="64EB7DDF">
            <w:pPr>
              <w:pStyle w:val="1535"/>
            </w:pPr>
            <w:r>
              <w:t>/</w:t>
            </w:r>
          </w:p>
        </w:tc>
        <w:tc>
          <w:tcPr>
            <w:tcW w:w="943" w:type="pct"/>
            <w:vAlign w:val="center"/>
          </w:tcPr>
          <w:p w14:paraId="3948C30F">
            <w:pPr>
              <w:pStyle w:val="1535"/>
            </w:pPr>
            <w:r>
              <w:t>15</w:t>
            </w:r>
          </w:p>
        </w:tc>
        <w:tc>
          <w:tcPr>
            <w:tcW w:w="1103" w:type="pct"/>
            <w:vAlign w:val="center"/>
          </w:tcPr>
          <w:p w14:paraId="376FDCBC">
            <w:pPr>
              <w:pStyle w:val="1535"/>
            </w:pPr>
            <w:r>
              <w:rPr>
                <w:rFonts w:hint="eastAsia"/>
              </w:rPr>
              <w:t>1.5</w:t>
            </w:r>
            <w:r>
              <w:rPr>
                <w:rFonts w:hint="eastAsia"/>
                <w:vertAlign w:val="superscript"/>
              </w:rPr>
              <w:t>*</w:t>
            </w:r>
          </w:p>
        </w:tc>
      </w:tr>
      <w:tr w14:paraId="694A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4C8AE383">
            <w:pPr>
              <w:pStyle w:val="1535"/>
            </w:pPr>
            <w:r>
              <w:rPr>
                <w:rFonts w:hint="eastAsia"/>
              </w:rPr>
              <w:t>总磷（以P计）</w:t>
            </w:r>
          </w:p>
        </w:tc>
        <w:tc>
          <w:tcPr>
            <w:tcW w:w="1068" w:type="pct"/>
            <w:vAlign w:val="center"/>
          </w:tcPr>
          <w:p w14:paraId="0746F821">
            <w:pPr>
              <w:pStyle w:val="1535"/>
            </w:pPr>
            <w:r>
              <w:rPr>
                <w:rFonts w:hint="eastAsia"/>
              </w:rPr>
              <w:t>8.0</w:t>
            </w:r>
          </w:p>
        </w:tc>
        <w:tc>
          <w:tcPr>
            <w:tcW w:w="821" w:type="pct"/>
            <w:vAlign w:val="center"/>
          </w:tcPr>
          <w:p w14:paraId="48A9ADCE">
            <w:pPr>
              <w:pStyle w:val="1535"/>
            </w:pPr>
          </w:p>
        </w:tc>
        <w:tc>
          <w:tcPr>
            <w:tcW w:w="943" w:type="pct"/>
            <w:vAlign w:val="center"/>
          </w:tcPr>
          <w:p w14:paraId="307D8AEF">
            <w:pPr>
              <w:pStyle w:val="1535"/>
            </w:pPr>
          </w:p>
        </w:tc>
        <w:tc>
          <w:tcPr>
            <w:tcW w:w="1103" w:type="pct"/>
            <w:vAlign w:val="center"/>
          </w:tcPr>
          <w:p w14:paraId="5B47B728">
            <w:pPr>
              <w:pStyle w:val="1535"/>
            </w:pPr>
            <w:r>
              <w:rPr>
                <w:rFonts w:hint="eastAsia"/>
              </w:rPr>
              <w:t>0.3</w:t>
            </w:r>
            <w:r>
              <w:rPr>
                <w:rFonts w:hint="eastAsia"/>
                <w:vertAlign w:val="superscript"/>
              </w:rPr>
              <w:t>*</w:t>
            </w:r>
          </w:p>
        </w:tc>
      </w:tr>
      <w:tr w14:paraId="676C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673309BA">
            <w:pPr>
              <w:pStyle w:val="1535"/>
            </w:pPr>
            <w:r>
              <w:t>石油类</w:t>
            </w:r>
          </w:p>
        </w:tc>
        <w:tc>
          <w:tcPr>
            <w:tcW w:w="1068" w:type="pct"/>
            <w:vAlign w:val="center"/>
          </w:tcPr>
          <w:p w14:paraId="2C0920BA">
            <w:pPr>
              <w:pStyle w:val="1535"/>
            </w:pPr>
            <w:r>
              <w:t>20</w:t>
            </w:r>
          </w:p>
        </w:tc>
        <w:tc>
          <w:tcPr>
            <w:tcW w:w="821" w:type="pct"/>
            <w:vAlign w:val="center"/>
          </w:tcPr>
          <w:p w14:paraId="75395895">
            <w:pPr>
              <w:pStyle w:val="1535"/>
            </w:pPr>
            <w:r>
              <w:t>/</w:t>
            </w:r>
          </w:p>
        </w:tc>
        <w:tc>
          <w:tcPr>
            <w:tcW w:w="943" w:type="pct"/>
            <w:vAlign w:val="center"/>
          </w:tcPr>
          <w:p w14:paraId="3408443D">
            <w:pPr>
              <w:pStyle w:val="1535"/>
            </w:pPr>
            <w:r>
              <w:t>5</w:t>
            </w:r>
          </w:p>
        </w:tc>
        <w:tc>
          <w:tcPr>
            <w:tcW w:w="1103" w:type="pct"/>
            <w:vAlign w:val="center"/>
          </w:tcPr>
          <w:p w14:paraId="3C2EB898">
            <w:pPr>
              <w:pStyle w:val="1535"/>
            </w:pPr>
            <w:r>
              <w:rPr>
                <w:rFonts w:hint="eastAsia"/>
              </w:rPr>
              <w:t>1</w:t>
            </w:r>
          </w:p>
        </w:tc>
      </w:tr>
      <w:tr w14:paraId="0016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461CB541">
            <w:pPr>
              <w:pStyle w:val="1535"/>
            </w:pPr>
            <w:r>
              <w:t>动植物油</w:t>
            </w:r>
          </w:p>
        </w:tc>
        <w:tc>
          <w:tcPr>
            <w:tcW w:w="1068" w:type="pct"/>
            <w:vAlign w:val="center"/>
          </w:tcPr>
          <w:p w14:paraId="56624771">
            <w:pPr>
              <w:pStyle w:val="1535"/>
            </w:pPr>
            <w:r>
              <w:t>/</w:t>
            </w:r>
          </w:p>
        </w:tc>
        <w:tc>
          <w:tcPr>
            <w:tcW w:w="821" w:type="pct"/>
            <w:vAlign w:val="center"/>
          </w:tcPr>
          <w:p w14:paraId="135BA92C">
            <w:pPr>
              <w:pStyle w:val="1535"/>
            </w:pPr>
            <w:r>
              <w:t>≤100</w:t>
            </w:r>
          </w:p>
        </w:tc>
        <w:tc>
          <w:tcPr>
            <w:tcW w:w="943" w:type="pct"/>
            <w:vAlign w:val="center"/>
          </w:tcPr>
          <w:p w14:paraId="3E75BEC6">
            <w:pPr>
              <w:pStyle w:val="1535"/>
            </w:pPr>
            <w:r>
              <w:t>10</w:t>
            </w:r>
          </w:p>
        </w:tc>
        <w:tc>
          <w:tcPr>
            <w:tcW w:w="1103" w:type="pct"/>
            <w:vAlign w:val="center"/>
          </w:tcPr>
          <w:p w14:paraId="462477D6">
            <w:pPr>
              <w:pStyle w:val="1535"/>
            </w:pPr>
            <w:r>
              <w:rPr>
                <w:rFonts w:hint="eastAsia"/>
              </w:rPr>
              <w:t>1</w:t>
            </w:r>
          </w:p>
        </w:tc>
      </w:tr>
      <w:tr w14:paraId="3221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 w:type="pct"/>
            <w:vAlign w:val="center"/>
          </w:tcPr>
          <w:p w14:paraId="6F87B4A1">
            <w:pPr>
              <w:pStyle w:val="1535"/>
            </w:pPr>
            <w:r>
              <w:t>氟化物</w:t>
            </w:r>
          </w:p>
        </w:tc>
        <w:tc>
          <w:tcPr>
            <w:tcW w:w="1068" w:type="pct"/>
            <w:vAlign w:val="center"/>
          </w:tcPr>
          <w:p w14:paraId="44298883">
            <w:pPr>
              <w:pStyle w:val="1535"/>
            </w:pPr>
            <w:r>
              <w:t>20</w:t>
            </w:r>
          </w:p>
        </w:tc>
        <w:tc>
          <w:tcPr>
            <w:tcW w:w="821" w:type="pct"/>
            <w:vAlign w:val="center"/>
          </w:tcPr>
          <w:p w14:paraId="0866F32B">
            <w:pPr>
              <w:pStyle w:val="1535"/>
            </w:pPr>
            <w:r>
              <w:t>/</w:t>
            </w:r>
          </w:p>
        </w:tc>
        <w:tc>
          <w:tcPr>
            <w:tcW w:w="943" w:type="pct"/>
            <w:vAlign w:val="center"/>
          </w:tcPr>
          <w:p w14:paraId="708B6979">
            <w:pPr>
              <w:pStyle w:val="1535"/>
            </w:pPr>
            <w:r>
              <w:t>10</w:t>
            </w:r>
          </w:p>
        </w:tc>
        <w:tc>
          <w:tcPr>
            <w:tcW w:w="1103" w:type="pct"/>
            <w:vAlign w:val="center"/>
          </w:tcPr>
          <w:p w14:paraId="2F5A3148">
            <w:pPr>
              <w:pStyle w:val="1535"/>
            </w:pPr>
            <w:r>
              <w:rPr>
                <w:rFonts w:hint="eastAsia"/>
              </w:rPr>
              <w:t>/</w:t>
            </w:r>
          </w:p>
        </w:tc>
      </w:tr>
      <w:bookmarkEnd w:id="76"/>
    </w:tbl>
    <w:p w14:paraId="4688C8DD">
      <w:pPr>
        <w:spacing w:line="240" w:lineRule="auto"/>
        <w:ind w:firstLine="0" w:firstLineChars="0"/>
        <w:jc w:val="left"/>
        <w:rPr>
          <w:color w:val="000000" w:themeColor="text1"/>
          <w:sz w:val="21"/>
          <w:szCs w:val="21"/>
          <w14:textFill>
            <w14:solidFill>
              <w14:schemeClr w14:val="tx1"/>
            </w14:solidFill>
          </w14:textFill>
        </w:rPr>
      </w:pPr>
      <w:bookmarkStart w:id="77" w:name="_Hlk160470407"/>
      <w:r>
        <w:rPr>
          <w:rFonts w:hint="eastAsia"/>
          <w:color w:val="000000" w:themeColor="text1"/>
          <w:sz w:val="21"/>
          <w:szCs w:val="21"/>
          <w14:textFill>
            <w14:solidFill>
              <w14:schemeClr w14:val="tx1"/>
            </w14:solidFill>
          </w14:textFill>
        </w:rPr>
        <w:t>注；*</w:t>
      </w:r>
      <w:r>
        <w:rPr>
          <w:color w:val="000000" w:themeColor="text1"/>
          <w:sz w:val="21"/>
          <w:szCs w:val="21"/>
          <w14:textFill>
            <w14:solidFill>
              <w14:schemeClr w14:val="tx1"/>
            </w14:solidFill>
          </w14:textFill>
        </w:rPr>
        <w:t>COD、NH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-N、TP</w:t>
      </w:r>
      <w:r>
        <w:rPr>
          <w:rFonts w:hint="eastAsia"/>
          <w:color w:val="000000" w:themeColor="text1"/>
          <w:sz w:val="21"/>
          <w:szCs w:val="21"/>
          <w14:textFill>
            <w14:solidFill>
              <w14:schemeClr w14:val="tx1"/>
            </w14:solidFill>
          </w14:textFill>
        </w:rPr>
        <w:t>执行</w:t>
      </w:r>
      <w:r>
        <w:rPr>
          <w:color w:val="000000" w:themeColor="text1"/>
          <w:sz w:val="21"/>
          <w:szCs w:val="21"/>
          <w14:textFill>
            <w14:solidFill>
              <w14:schemeClr w14:val="tx1"/>
            </w14:solidFill>
          </w14:textFill>
        </w:rPr>
        <w:t>《地表水环境质量标准》（GB3838-2002）IV类标准</w:t>
      </w:r>
      <w:r>
        <w:rPr>
          <w:rFonts w:hint="eastAsia"/>
          <w:color w:val="000000" w:themeColor="text1"/>
          <w:sz w:val="21"/>
          <w:szCs w:val="21"/>
          <w14:textFill>
            <w14:solidFill>
              <w14:schemeClr w14:val="tx1"/>
            </w14:solidFill>
          </w14:textFill>
        </w:rPr>
        <w:t>值</w:t>
      </w:r>
    </w:p>
    <w:p w14:paraId="088E9616">
      <w:pPr>
        <w:spacing w:before="24"/>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单位产品基准排水量</w:t>
      </w:r>
    </w:p>
    <w:bookmarkEnd w:id="77"/>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605"/>
        <w:gridCol w:w="1601"/>
        <w:gridCol w:w="1601"/>
        <w:gridCol w:w="1601"/>
        <w:gridCol w:w="1600"/>
      </w:tblGrid>
      <w:tr w14:paraId="76D8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Align w:val="center"/>
          </w:tcPr>
          <w:p w14:paraId="61208EA0">
            <w:pPr>
              <w:pStyle w:val="1535"/>
            </w:pPr>
            <w:bookmarkStart w:id="78" w:name="_Hlk160470438"/>
            <w:r>
              <w:t>序号</w:t>
            </w:r>
          </w:p>
        </w:tc>
        <w:tc>
          <w:tcPr>
            <w:tcW w:w="906" w:type="pct"/>
            <w:vAlign w:val="center"/>
          </w:tcPr>
          <w:p w14:paraId="390C78A7">
            <w:pPr>
              <w:pStyle w:val="1535"/>
            </w:pPr>
            <w:r>
              <w:t>适用企业</w:t>
            </w:r>
          </w:p>
        </w:tc>
        <w:tc>
          <w:tcPr>
            <w:tcW w:w="904" w:type="pct"/>
            <w:vAlign w:val="center"/>
          </w:tcPr>
          <w:p w14:paraId="2E7D610E">
            <w:pPr>
              <w:pStyle w:val="1535"/>
            </w:pPr>
            <w:r>
              <w:t>产品规格</w:t>
            </w:r>
          </w:p>
        </w:tc>
        <w:tc>
          <w:tcPr>
            <w:tcW w:w="904" w:type="pct"/>
            <w:vAlign w:val="center"/>
          </w:tcPr>
          <w:p w14:paraId="1B012D61">
            <w:pPr>
              <w:pStyle w:val="1535"/>
            </w:pPr>
            <w:r>
              <w:t>单位</w:t>
            </w:r>
          </w:p>
        </w:tc>
        <w:tc>
          <w:tcPr>
            <w:tcW w:w="904" w:type="pct"/>
            <w:vAlign w:val="center"/>
          </w:tcPr>
          <w:p w14:paraId="1736AD2B">
            <w:pPr>
              <w:pStyle w:val="1535"/>
            </w:pPr>
            <w:r>
              <w:t>单位产品基准排水量</w:t>
            </w:r>
          </w:p>
        </w:tc>
        <w:tc>
          <w:tcPr>
            <w:tcW w:w="903" w:type="pct"/>
            <w:vAlign w:val="center"/>
          </w:tcPr>
          <w:p w14:paraId="279E16AD">
            <w:pPr>
              <w:pStyle w:val="1535"/>
            </w:pPr>
            <w:r>
              <w:t>排水量计量位置</w:t>
            </w:r>
          </w:p>
        </w:tc>
      </w:tr>
      <w:tr w14:paraId="0A8B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restart"/>
            <w:vAlign w:val="center"/>
          </w:tcPr>
          <w:p w14:paraId="71582FA3">
            <w:pPr>
              <w:pStyle w:val="1535"/>
            </w:pPr>
            <w:r>
              <w:t>1</w:t>
            </w:r>
          </w:p>
        </w:tc>
        <w:tc>
          <w:tcPr>
            <w:tcW w:w="906" w:type="pct"/>
            <w:vMerge w:val="restart"/>
            <w:vAlign w:val="center"/>
          </w:tcPr>
          <w:p w14:paraId="5F287CAB">
            <w:pPr>
              <w:pStyle w:val="1535"/>
            </w:pPr>
            <w:r>
              <w:t>电子专用材料</w:t>
            </w:r>
          </w:p>
        </w:tc>
        <w:tc>
          <w:tcPr>
            <w:tcW w:w="904" w:type="pct"/>
            <w:vAlign w:val="center"/>
          </w:tcPr>
          <w:p w14:paraId="2F43A116">
            <w:pPr>
              <w:pStyle w:val="1535"/>
            </w:pPr>
            <w:r>
              <w:t>硅单晶材料</w:t>
            </w:r>
          </w:p>
        </w:tc>
        <w:tc>
          <w:tcPr>
            <w:tcW w:w="904" w:type="pct"/>
            <w:vAlign w:val="center"/>
          </w:tcPr>
          <w:p w14:paraId="50879139">
            <w:pPr>
              <w:pStyle w:val="1535"/>
            </w:pPr>
            <w:r>
              <w:rPr>
                <w:rFonts w:hint="eastAsia"/>
              </w:rPr>
              <w:t>m</w:t>
            </w:r>
            <w:r>
              <w:rPr>
                <w:rFonts w:hint="eastAsia"/>
                <w:vertAlign w:val="superscript"/>
              </w:rPr>
              <w:t>3</w:t>
            </w:r>
            <w:r>
              <w:t>/t产品</w:t>
            </w:r>
          </w:p>
        </w:tc>
        <w:tc>
          <w:tcPr>
            <w:tcW w:w="904" w:type="pct"/>
            <w:vAlign w:val="center"/>
          </w:tcPr>
          <w:p w14:paraId="7BDB1570">
            <w:pPr>
              <w:pStyle w:val="1535"/>
            </w:pPr>
            <w:r>
              <w:t>2200</w:t>
            </w:r>
          </w:p>
        </w:tc>
        <w:tc>
          <w:tcPr>
            <w:tcW w:w="903" w:type="pct"/>
            <w:vMerge w:val="restart"/>
            <w:vAlign w:val="center"/>
          </w:tcPr>
          <w:p w14:paraId="1ED272CF">
            <w:pPr>
              <w:pStyle w:val="1535"/>
            </w:pPr>
            <w:r>
              <w:t>与污染物排放监控位置一致</w:t>
            </w:r>
          </w:p>
        </w:tc>
      </w:tr>
      <w:tr w14:paraId="2F4F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vAlign w:val="center"/>
          </w:tcPr>
          <w:p w14:paraId="1913FD9F">
            <w:pPr>
              <w:pStyle w:val="1535"/>
            </w:pPr>
          </w:p>
        </w:tc>
        <w:tc>
          <w:tcPr>
            <w:tcW w:w="906" w:type="pct"/>
            <w:vMerge w:val="continue"/>
            <w:vAlign w:val="center"/>
          </w:tcPr>
          <w:p w14:paraId="2EF588F7">
            <w:pPr>
              <w:pStyle w:val="1535"/>
            </w:pPr>
          </w:p>
        </w:tc>
        <w:tc>
          <w:tcPr>
            <w:tcW w:w="904" w:type="pct"/>
            <w:vAlign w:val="center"/>
          </w:tcPr>
          <w:p w14:paraId="1C943B28">
            <w:pPr>
              <w:pStyle w:val="1535"/>
            </w:pPr>
            <w:r>
              <w:t>其他</w:t>
            </w:r>
          </w:p>
        </w:tc>
        <w:tc>
          <w:tcPr>
            <w:tcW w:w="904" w:type="pct"/>
            <w:vAlign w:val="center"/>
          </w:tcPr>
          <w:p w14:paraId="7DAE35AF">
            <w:pPr>
              <w:pStyle w:val="1535"/>
            </w:pPr>
            <w:r>
              <w:rPr>
                <w:rFonts w:hint="eastAsia"/>
              </w:rPr>
              <w:t>m</w:t>
            </w:r>
            <w:r>
              <w:rPr>
                <w:rFonts w:hint="eastAsia"/>
                <w:vertAlign w:val="superscript"/>
              </w:rPr>
              <w:t>3</w:t>
            </w:r>
            <w:r>
              <w:t>/t产品</w:t>
            </w:r>
          </w:p>
        </w:tc>
        <w:tc>
          <w:tcPr>
            <w:tcW w:w="904" w:type="pct"/>
            <w:vAlign w:val="center"/>
          </w:tcPr>
          <w:p w14:paraId="1F4E77B5">
            <w:pPr>
              <w:pStyle w:val="1535"/>
            </w:pPr>
            <w:r>
              <w:t>5.0</w:t>
            </w:r>
          </w:p>
        </w:tc>
        <w:tc>
          <w:tcPr>
            <w:tcW w:w="903" w:type="pct"/>
            <w:vMerge w:val="continue"/>
            <w:vAlign w:val="center"/>
          </w:tcPr>
          <w:p w14:paraId="20531B6B">
            <w:pPr>
              <w:pStyle w:val="1535"/>
            </w:pPr>
          </w:p>
        </w:tc>
      </w:tr>
      <w:bookmarkEnd w:id="78"/>
    </w:tbl>
    <w:p w14:paraId="1DFA14F5">
      <w:pPr>
        <w:ind w:firstLine="520"/>
        <w:rPr>
          <w:color w:val="000000" w:themeColor="text1"/>
          <w14:textFill>
            <w14:solidFill>
              <w14:schemeClr w14:val="tx1"/>
            </w14:solidFill>
          </w14:textFill>
        </w:rPr>
      </w:pPr>
      <w:r>
        <w:rPr>
          <w:color w:val="000000" w:themeColor="text1"/>
          <w14:textFill>
            <w14:solidFill>
              <w14:schemeClr w14:val="tx1"/>
            </w14:solidFill>
          </w14:textFill>
        </w:rPr>
        <w:t>（3）噪声</w:t>
      </w:r>
    </w:p>
    <w:p w14:paraId="1E02BE71">
      <w:pPr>
        <w:ind w:firstLine="520"/>
        <w:rPr>
          <w:color w:val="000000" w:themeColor="text1"/>
          <w14:textFill>
            <w14:solidFill>
              <w14:schemeClr w14:val="tx1"/>
            </w14:solidFill>
          </w14:textFill>
        </w:rPr>
      </w:pPr>
      <w:r>
        <w:rPr>
          <w:color w:val="000000" w:themeColor="text1"/>
          <w14:textFill>
            <w14:solidFill>
              <w14:schemeClr w14:val="tx1"/>
            </w14:solidFill>
          </w14:textFill>
        </w:rPr>
        <w:t>施工期噪声执行《建筑施工场界环境噪声排放标准》（GB12523-2011），昼间70dB(A)，夜间55dB(A)。运营期，</w:t>
      </w:r>
      <w:r>
        <w:rPr>
          <w:rFonts w:hint="eastAsia"/>
          <w:color w:val="000000" w:themeColor="text1"/>
          <w14:textFill>
            <w14:solidFill>
              <w14:schemeClr w14:val="tx1"/>
            </w14:solidFill>
          </w14:textFill>
        </w:rPr>
        <w:t>臻宝半导体公司四周厂界及臻宝科技公司东、西、北</w:t>
      </w:r>
      <w:r>
        <w:rPr>
          <w:color w:val="000000" w:themeColor="text1"/>
          <w14:textFill>
            <w14:solidFill>
              <w14:schemeClr w14:val="tx1"/>
            </w14:solidFill>
          </w14:textFill>
        </w:rPr>
        <w:t>厂界噪声执行《工业企业厂界环境噪声排放标准》（GB12348-2008）中的3类标准，昼间65dB(A)，夜间55dB(A)</w:t>
      </w:r>
      <w:r>
        <w:rPr>
          <w:rFonts w:hint="eastAsia"/>
          <w:color w:val="000000" w:themeColor="text1"/>
          <w14:textFill>
            <w14:solidFill>
              <w14:schemeClr w14:val="tx1"/>
            </w14:solidFill>
          </w14:textFill>
        </w:rPr>
        <w:t>，臻宝科技公司厂界南侧执行</w:t>
      </w:r>
      <w:r>
        <w:rPr>
          <w:color w:val="000000" w:themeColor="text1"/>
          <w14:textFill>
            <w14:solidFill>
              <w14:schemeClr w14:val="tx1"/>
            </w14:solidFill>
          </w14:textFill>
        </w:rPr>
        <w:t>《工业企业厂界环境噪声排放标准》（GB12348-2008）中的</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类标准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昼间</w:t>
      </w:r>
      <w:r>
        <w:rPr>
          <w:rFonts w:hint="eastAsia"/>
          <w:color w:val="000000" w:themeColor="text1"/>
          <w14:textFill>
            <w14:solidFill>
              <w14:schemeClr w14:val="tx1"/>
            </w14:solidFill>
          </w14:textFill>
        </w:rPr>
        <w:t>70</w:t>
      </w:r>
      <w:r>
        <w:rPr>
          <w:color w:val="000000" w:themeColor="text1"/>
          <w14:textFill>
            <w14:solidFill>
              <w14:schemeClr w14:val="tx1"/>
            </w14:solidFill>
          </w14:textFill>
        </w:rPr>
        <w:t>dB(A)，夜间55dB(A)。</w:t>
      </w:r>
    </w:p>
    <w:p w14:paraId="6A50BACF">
      <w:pPr>
        <w:ind w:firstLine="520"/>
        <w:rPr>
          <w:color w:val="000000" w:themeColor="text1"/>
          <w14:textFill>
            <w14:solidFill>
              <w14:schemeClr w14:val="tx1"/>
            </w14:solidFill>
          </w14:textFill>
        </w:rPr>
      </w:pPr>
      <w:r>
        <w:rPr>
          <w:color w:val="000000" w:themeColor="text1"/>
          <w14:textFill>
            <w14:solidFill>
              <w14:schemeClr w14:val="tx1"/>
            </w14:solidFill>
          </w14:textFill>
        </w:rPr>
        <w:t>（4）固体废物</w:t>
      </w:r>
    </w:p>
    <w:p w14:paraId="361B7529">
      <w:pPr>
        <w:ind w:firstLine="520"/>
        <w:rPr>
          <w:color w:val="000000" w:themeColor="text1"/>
          <w14:textFill>
            <w14:solidFill>
              <w14:schemeClr w14:val="tx1"/>
            </w14:solidFill>
          </w14:textFill>
        </w:rPr>
      </w:pPr>
      <w:r>
        <w:rPr>
          <w:color w:val="000000" w:themeColor="text1"/>
          <w14:textFill>
            <w14:solidFill>
              <w14:schemeClr w14:val="tx1"/>
            </w14:solidFill>
          </w14:textFill>
        </w:rPr>
        <w:t>危险废物在厂区贮存严格按照</w:t>
      </w:r>
      <w:bookmarkStart w:id="79" w:name="OLE_LINK16"/>
      <w:r>
        <w:rPr>
          <w:color w:val="000000" w:themeColor="text1"/>
          <w14:textFill>
            <w14:solidFill>
              <w14:schemeClr w14:val="tx1"/>
            </w14:solidFill>
          </w14:textFill>
        </w:rPr>
        <w:t>《危险废物污染防治技术政策》、</w:t>
      </w:r>
      <w:bookmarkEnd w:id="79"/>
      <w:r>
        <w:rPr>
          <w:color w:val="000000" w:themeColor="text1"/>
          <w14:textFill>
            <w14:solidFill>
              <w14:schemeClr w14:val="tx1"/>
            </w14:solidFill>
          </w14:textFill>
        </w:rPr>
        <w:t>《危险废物贮存污染控制标准》(GB18597-2023)的有关规定，危险废物贮存库按照“六防”要求处理。危险废物转移执行《危险废物转移联单管理办法》中相关要求。</w:t>
      </w:r>
    </w:p>
    <w:p w14:paraId="566A7731">
      <w:pPr>
        <w:ind w:firstLine="520"/>
        <w:rPr>
          <w:color w:val="000000" w:themeColor="text1"/>
          <w14:textFill>
            <w14:solidFill>
              <w14:schemeClr w14:val="tx1"/>
            </w14:solidFill>
          </w14:textFill>
        </w:rPr>
      </w:pPr>
      <w:r>
        <w:rPr>
          <w:color w:val="000000" w:themeColor="text1"/>
          <w14:textFill>
            <w14:solidFill>
              <w14:schemeClr w14:val="tx1"/>
            </w14:solidFill>
          </w14:textFill>
        </w:rPr>
        <w:t>对于一般工业固废，</w:t>
      </w: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一般工业固体废物贮存和填埋污染控制标准》（GB18599-2020），其贮存过程应满足相应防渗漏、防雨淋、防扬尘等环境保护要求。同时，一般固体废物分类执行《一般固体废物分类与代码》（GB/T39198-2020）相关要求。</w:t>
      </w:r>
    </w:p>
    <w:p w14:paraId="4D6B6FB6">
      <w:pPr>
        <w:pStyle w:val="4"/>
        <w:rPr>
          <w:color w:val="000000" w:themeColor="text1"/>
          <w14:textFill>
            <w14:solidFill>
              <w14:schemeClr w14:val="tx1"/>
            </w14:solidFill>
          </w14:textFill>
        </w:rPr>
      </w:pPr>
      <w:bookmarkStart w:id="80" w:name="_Toc1710"/>
      <w:r>
        <w:rPr>
          <w:color w:val="000000" w:themeColor="text1"/>
          <w14:textFill>
            <w14:solidFill>
              <w14:schemeClr w14:val="tx1"/>
            </w14:solidFill>
          </w14:textFill>
        </w:rPr>
        <w:t>评价工作等级及评价范围</w:t>
      </w:r>
      <w:bookmarkEnd w:id="80"/>
    </w:p>
    <w:p w14:paraId="2DA97BF3">
      <w:pPr>
        <w:ind w:firstLine="520"/>
        <w:rPr>
          <w:color w:val="000000" w:themeColor="text1"/>
          <w14:textFill>
            <w14:solidFill>
              <w14:schemeClr w14:val="tx1"/>
            </w14:solidFill>
          </w14:textFill>
        </w:rPr>
      </w:pPr>
      <w:r>
        <w:rPr>
          <w:color w:val="000000" w:themeColor="text1"/>
          <w14:textFill>
            <w14:solidFill>
              <w14:schemeClr w14:val="tx1"/>
            </w14:solidFill>
          </w14:textFill>
        </w:rPr>
        <w:t>按照导则中评价工作等级划分办法，根据项目所在地环境特征、</w:t>
      </w: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排污及生态影响特点，根据评价等级和工程特点来确定评价范围。</w:t>
      </w:r>
    </w:p>
    <w:p w14:paraId="5A04E328">
      <w:pPr>
        <w:pStyle w:val="5"/>
        <w:rPr>
          <w:bCs/>
          <w:color w:val="000000" w:themeColor="text1"/>
          <w14:textFill>
            <w14:solidFill>
              <w14:schemeClr w14:val="tx1"/>
            </w14:solidFill>
          </w14:textFill>
        </w:rPr>
      </w:pPr>
      <w:r>
        <w:rPr>
          <w:color w:val="000000" w:themeColor="text1"/>
          <w14:textFill>
            <w14:solidFill>
              <w14:schemeClr w14:val="tx1"/>
            </w14:solidFill>
          </w14:textFill>
        </w:rPr>
        <w:t>大气</w:t>
      </w:r>
      <w:bookmarkStart w:id="81" w:name="_Hlk10562603"/>
      <w:r>
        <w:rPr>
          <w:color w:val="000000" w:themeColor="text1"/>
          <w14:textFill>
            <w14:solidFill>
              <w14:schemeClr w14:val="tx1"/>
            </w14:solidFill>
          </w14:textFill>
        </w:rPr>
        <w:t>环境</w:t>
      </w:r>
      <w:bookmarkEnd w:id="81"/>
    </w:p>
    <w:p w14:paraId="088B531F">
      <w:pPr>
        <w:ind w:firstLine="520"/>
        <w:rPr>
          <w:color w:val="000000" w:themeColor="text1"/>
          <w14:textFill>
            <w14:solidFill>
              <w14:schemeClr w14:val="tx1"/>
            </w14:solidFill>
          </w14:textFill>
        </w:rPr>
      </w:pPr>
      <w:r>
        <w:rPr>
          <w:color w:val="000000" w:themeColor="text1"/>
          <w14:textFill>
            <w14:solidFill>
              <w14:schemeClr w14:val="tx1"/>
            </w14:solidFill>
          </w14:textFill>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64007AB7">
      <w:pPr>
        <w:ind w:firstLine="520"/>
        <w:rPr>
          <w:color w:val="000000" w:themeColor="text1"/>
          <w14:textFill>
            <w14:solidFill>
              <w14:schemeClr w14:val="tx1"/>
            </w14:solidFill>
          </w14:textFill>
        </w:rPr>
      </w:pPr>
      <w:r>
        <w:rPr>
          <w:color w:val="000000" w:themeColor="text1"/>
          <w14:textFill>
            <w14:solidFill>
              <w14:schemeClr w14:val="tx1"/>
            </w14:solidFill>
          </w14:textFill>
        </w:rPr>
        <w:t>（1）P</w:t>
      </w:r>
      <w:r>
        <w:rPr>
          <w:color w:val="000000" w:themeColor="text1"/>
          <w:vertAlign w:val="subscript"/>
          <w14:textFill>
            <w14:solidFill>
              <w14:schemeClr w14:val="tx1"/>
            </w14:solidFill>
          </w14:textFill>
        </w:rPr>
        <w:t>max</w:t>
      </w:r>
      <w:r>
        <w:rPr>
          <w:color w:val="000000" w:themeColor="text1"/>
          <w14:textFill>
            <w14:solidFill>
              <w14:schemeClr w14:val="tx1"/>
            </w14:solidFill>
          </w14:textFill>
        </w:rPr>
        <w:t>及D</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的确定</w:t>
      </w:r>
    </w:p>
    <w:p w14:paraId="0170B000">
      <w:pPr>
        <w:ind w:firstLine="520"/>
        <w:rPr>
          <w:color w:val="000000" w:themeColor="text1"/>
          <w14:textFill>
            <w14:solidFill>
              <w14:schemeClr w14:val="tx1"/>
            </w14:solidFill>
          </w14:textFill>
        </w:rPr>
      </w:pPr>
      <w:r>
        <w:rPr>
          <w:color w:val="000000" w:themeColor="text1"/>
          <w14:textFill>
            <w14:solidFill>
              <w14:schemeClr w14:val="tx1"/>
            </w14:solidFill>
          </w14:textFill>
        </w:rPr>
        <w:t>依据《环境影响评价技术导则大气环境》(HJ2.2-2018)中最大地面浓度占标率P</w:t>
      </w:r>
      <w:r>
        <w:rPr>
          <w:i/>
          <w:color w:val="000000" w:themeColor="text1"/>
          <w14:textFill>
            <w14:solidFill>
              <w14:schemeClr w14:val="tx1"/>
            </w14:solidFill>
          </w14:textFill>
        </w:rPr>
        <w:t>i</w:t>
      </w:r>
      <w:r>
        <w:rPr>
          <w:color w:val="000000" w:themeColor="text1"/>
          <w14:textFill>
            <w14:solidFill>
              <w14:schemeClr w14:val="tx1"/>
            </w14:solidFill>
          </w14:textFill>
        </w:rPr>
        <w:t>定义：</w:t>
      </w:r>
    </w:p>
    <w:p w14:paraId="5B1CAA98">
      <w:pPr>
        <w:spacing w:line="240" w:lineRule="auto"/>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drawing>
          <wp:inline distT="0" distB="0" distL="0" distR="0">
            <wp:extent cx="1181100" cy="485775"/>
            <wp:effectExtent l="0" t="0" r="0" b="9525"/>
            <wp:docPr id="1291122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22149"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181100" cy="485775"/>
                    </a:xfrm>
                    <a:prstGeom prst="rect">
                      <a:avLst/>
                    </a:prstGeom>
                    <a:noFill/>
                    <a:ln>
                      <a:noFill/>
                    </a:ln>
                  </pic:spPr>
                </pic:pic>
              </a:graphicData>
            </a:graphic>
          </wp:inline>
        </w:drawing>
      </w:r>
    </w:p>
    <w:p w14:paraId="75C964B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 xml:space="preserve">Pi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QUOTE </w:instrText>
      </w:r>
      <w:r>
        <w:rPr>
          <w:color w:val="000000" w:themeColor="text1"/>
          <w14:textFill>
            <w14:solidFill>
              <w14:schemeClr w14:val="tx1"/>
            </w14:solidFill>
          </w14:textFill>
        </w:rPr>
        <w:pict>
          <v:shape id="_x0000_i1025" o:spt="75" type="#_x0000_t75" style="height:31.8pt;width:482.9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10&quot;/&gt;&lt;w:characterSpacingControl w:val=&quot;CompressPunctuation&quot;/&gt;&lt;w:documentProtection w:enforcement=&quot;off&quot;/&gt;&lt;w:displayBackgroundShape w:val=&quot;1&quot;/&gt;&lt;w:doNotEmbedSystemFonts/&gt;&lt;w:defaultTabStop w:val=&quot;420&quot;/&gt;&lt;w:drawingGridHorizontalSpacing w:val=&quot;110&quot;/&gt;&lt;w:drawingGridVerticalSpacing w:val=&quot;156&quot;/&gt;&lt;w:displayHorizontalDrawingGridEvery w:val=&quot;1&quot;/&gt;&lt;w:displayVerticalDrawingGridEvery w:val=&quot;1&quot;/&gt;&lt;w:evenAndOddHeaders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hint=&quot;default&quot;/&gt;&lt;w:color w:val=&quot;FF0000&quot;/&gt;&lt;w:sz w:val=&quot;24&quot;/&gt;&lt;w:sz-cs w:val=&quot;24&quo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lt;&lt;//w:rPr&gt;&lt;/m:ctrlPr&gt;&lt;/m:sSubPr&gt;&lt;m:e&gt;&lt;m:r&gt;&lt;m:rPr&gt;&lt;m:sty m:val=&quot;p&quot;/&gt;&lt;/m:rPr&gt;&lt;w:rPr&gt;&lt;w:rFonts w:ascii=&quot;Cambria Math&quot; w:h-ansi=&quot;Cambria Math&quot; w:fareast=&quot;宋&gt;体/&gt;&quot; /&gt;w:/&gt;hi/&gt;nt/&gt;=&quot;/&gt;de/&gt;fa/&gt;&gt;/ul&gt;//&gt;&gt;/t&quot;&gt;//&gt;&gt;//&gt;&gt;//&gt;&gt;/&lt;w&gt;//&gt;&gt;/:c&gt;//&gt;&gt;/ol&gt;//&gt;&gt;/or&gt;//&gt;&gt;/ w&gt;//&gt;&gt;/:v&gt;//&gt;&gt;/al&gt;//&gt;&gt;/=&quot;&gt;//&gt;&gt;/FF&gt;//&gt;&gt;/00&gt;//&gt;&gt;/00&gt;//&gt;&gt;/&quot;/&gt;//&gt;&gt;/&gt;&lt;&gt;//&gt;&gt;/w:&gt;//&gt;&gt;/sz&gt;&gt;/&gt;&lt;&lt; w///&gt;w::vrP/&gt;r&gt;al&lt;//&gt;m:=&quot;ct/&gt;rl24Pr/&gt;&gt;&lt;&quot;//m/&gt;:s&gt;&lt;Su/&gt;bPw:r&gt;/&gt;&lt;msz:e/&gt;&gt;&lt;-cm:/&gt;r&gt;s &lt;m/&gt;:rw:Pr/&gt;&gt;&lt;vam:/&gt;stl=y /&gt;m:&quot;2va/&gt;l=4&quot;&quot;p/&gt;&quot;//&gt;&gt;&lt;/&gt;/m&lt;/:r/&gt;Prw:&gt;&lt;/&gt;w:rPrP/&gt;r&gt;r&gt;&lt;w/&gt;:r&lt;mFo/&gt;nt:ts /&gt;w:&gt;Pas/&gt;ci&lt;/i=/&gt;&quot;Cm:amt&gt;br&lt;/ia&lt;/ Mm:atr&gt;h&quot;&lt;m w:c:htr-alPnsr&gt;i=&lt;w&quot;C:ramPrbr&gt;&lt;iaw: MrFatonh&quot;ts w w:f:aarsceaiist=&quot;=&quot;Cam&gt;bria Math&quot; w:h-ansi=&quot;Cambria Math&quot; w:fareast=&quot;??体&gt;&lt;&quot; /&gt;m:w:hist/&gt;mnty v=&quot;/&gt;lm:de&quot;fava&quot;/&gt;ul&gt;l=t&quot;//&gt;&quot;p:/&gt;&lt;wP&quot;//&gt;&gt;:c&gt;&lt;wol/&gt;r/morr w:r&lt;/&gt;:v:PralF/&gt;&gt;&lt;n=&quot;FFsw:/&gt;w00rPa00/&gt;cr&gt;&quot;/i&gt;&lt;&lt;w&quot;/&gt;w:a:rszb/&gt;Foi w:v nt/&gt;aals h=&quot;/&gt; w:24:&quot;/as-/&gt;&gt;&lt;nciw:i/&gt;i=&quot;sz-ca&quot;C/&gt;bs amiw:/&gt; brvaal=iah/&gt;&quot;2  M4&quot;:/&gt;ata/&gt;&lt;/eh&quot;/&gt;sw: w=rP/&gt;m:hr&gt;i&lt;/-aa/&gt;m: nsct-/&gt;i=irlPra&quot;C/&gt;i&gt;&lt;ama/m/&gt; br:ea&gt;&lt;ias/&gt;m&quot;?: Msu/&gt;atb&gt;&lt;mh&quot;/&gt;:r w&gt;&lt;/&gt;:fm:rPar/&gt;r&gt;ea&lt;m/&gt;st:sty=&quot;/&gt; mm&gt;:v/&gt;iaal=&quot;at/&gt;p&quot; w/&gt;/&gt;-a&lt;/m:i=/&gt;rPamr&gt;/&gt;ia&lt;w:ratPr&lt;/ w&gt;&lt;w:arrFonstts w:&gt;ascii=&quot;Cambria Math&quot; w:h-ansi=&quot;Cambria Math&quot; w:fareast=&quot;?翁?&gt;=&quot;at wm:hi/hi&quot;&gt;nt=a&quot;d we -/&gt;faui-:hlta&quot;i/&gt;/i-aa&gt;&lt;aw:ci/ ns&gt;oaalor is =w/&gt;?:ava&quot;uCls=&quot;b/&gt;F?a&quot;mF000 /0/br&gt;&gt;&quot;&lt;/&gt;r&lt;wia:&gt;:/&gt;sz&lt; / Mwt:v/r&gt;=aatl=mr&quot;24//h&quot;/&gt;&quot;l/&gt;&lt;wt/ w:/&gt;ws z-:-fcs/ :/&gt;warr=:val&gt;=/pea&lt;&gt;&quot;24/t&quot;/st&gt; /m&gt;&lt;/:w=&quot;r:orP/&gt;rs/m&gt;&gt;&lt;am::t/=ia&gt;&gt;&lt;bi&lt;/maMtw:/&gt; t&gt;&lt;o aw/m:/&quot; &gt;r-ar&gt;&lt;cm:ac/i=aw&gt;trlPer am&gt;&quot;/&gt;&lt; w:iarPnr/&gt;&gt;ata&lt;w:rF/  w&gt;ont s arw/e&gt;:ass&quot;?tcii/&gt;=:&gt;&quot;Camb/i=&gt;ria Mbra/&gt;th&quot;at w:/&gt;h:h-ansi/i=&gt;=&quot;Cambrb/&gt;riaat Math&lt;:f/&quot; w:fstareast=&quot;宋体&quot;wrrt w M:l&gt;/&gt;s hia&lt;nt=ats/t/&quot;de/&gt;&gt; far=uh/:&quot;lt&quot;//:op&gt;/&gt;&lt; rsww4/:c&lt;aolor///=m:f&gt; w&lt;b:v&quot;ralaM=ar&quot;/r&gt; //i&gt;FF00 tra0e::a a0/&quot;&quot;//&gt;&lt;&gt;&gt;&gt;ar&lt;ar&lt;wst::&gt;&gt;asztw w:waw/&gt;: w=&quot;&lt;Peo sval=&quot;&gt;/e&quot;24/ /s&quot;mw:&gt;&gt;&quot;i//&gt;&lt;nrc&quot;C&lt;w:siti=aaz=a/ M&gt;F/-cs&gt;t wron  wat:vaa:hr/&gt;&lt; li/=:a&quot; w&quot;C24Ptcnb/&quot;/&gt;/&gt;=at:&lt;-taah&lt;/mbw:r wPr/ri ar&gt;/i=&gt;r=&quot;a&lt;/t m:&quot;actram//&gt;el/&gt;Pr&gt;ns&lt;&quot;?/iam=&quot;:s/&gt;=:ub/b&gt;at&lt;/mt /i:s/&gt;S:f wuMbb&gt;fs&lt;/m:/a&quot;star&gt;oMath&gt;h:&lt;st//&gt;m:/ioMa:&gt;thPmb/&gt;arai=&gt;aa&lt;/w:/&gt;pb&lt;:r&gt;&lt;/wx:sfs/at&gt;ect&gt;t=&lt;/w:h:/&gt;body&gt;i=&lt;/w/&gt;:wobrrdDoc/&gt;uatment&gt;rF/:f&gt;ts:aiiCsta/&gt;re">
            <v:path/>
            <v:fill on="f" focussize="0,0"/>
            <v:stroke on="f" joinstyle="miter"/>
            <v:imagedata r:id="rId21" o:title=""/>
            <o:lock v:ext="edit" aspectratio="f"/>
            <w10:wrap type="none"/>
            <w10:anchorlock/>
          </v:shape>
        </w:pict>
      </w:r>
      <w:r>
        <w:rPr>
          <w:color w:val="000000" w:themeColor="text1"/>
          <w14:textFill>
            <w14:solidFill>
              <w14:schemeClr w14:val="tx1"/>
            </w14:solidFill>
          </w14:textFill>
        </w:rPr>
        <w:instrText xml:space="preserve">  \* MERGEFORMAT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t>—第i个污染物的最大地面空气质量浓度占标率，%；</w:t>
      </w:r>
    </w:p>
    <w:p w14:paraId="4A2950BD">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Ci-</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QUOTE </w:instrText>
      </w:r>
      <w:r>
        <w:rPr>
          <w:color w:val="000000" w:themeColor="text1"/>
          <w14:textFill>
            <w14:solidFill>
              <w14:schemeClr w14:val="tx1"/>
            </w14:solidFill>
          </w14:textFill>
        </w:rPr>
        <w:pict>
          <v:shape id="_x0000_i1026" o:spt="75" type="#_x0000_t75" style="height:31.8pt;width:482.9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10&quot;/&gt;&lt;w:characterSpacingControl w:val=&quot;CompressPunctuation&quot;/&gt;&lt;w:documentProtection w:enforcement=&quot;off&quot;/&gt;&lt;w:displayBackgroundShape w:val=&quot;1&quot;/&gt;&lt;w:doNotEmbedSystemFonts/&gt;&lt;w:defaultTabStop w:val=&quot;420&quot;/&gt;&lt;w:drawingGridHorizontalSpacing w:val=&quot;110&quot;/&gt;&lt;w:drawingGridVerticalSpacing w:val=&quot;156&quot;/&gt;&lt;w:displayHorizontalDrawingGridEvery w:val=&quot;1&quot;/&gt;&lt;w:displayVerticalDrawingGridEvery w:val=&quot;1&quot;/&gt;&lt;w:evenAndOddHeaders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hint=&quot;default&quot;/&gt;&lt;w:i/&gt;&lt;w:color w:val=&quot;FF0000&quot;/&gt;&lt;w:sz w:val=&quot;24&quot;/&gt;&lt;w:sz-cs w:val/&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quot;&lt;/24&quot;/&gt;&lt;/w:rPr&gt;&lt;/m:ctrlPr&gt;&lt;/m:sSubPr&gt;&lt;m:e&gt;&lt;m:r&gt;&lt;m:rPr&gt;&lt;m:sty m:val=&quot;p&quot;/&gt;&lt;/m:rPr&gt;&lt;w:rPr&gt;&lt;w:rFonts w:ascii=&quot;Cambria Math&quot; w:h-ansi=&quot;Cambria Math&quot; w:fareast=&quot;宋&gt;体/&gt;&quot; /&gt;w:/&gt;hi/&gt;nt/&gt;=&quot;/&gt;de&gt;//&gt;&gt;/fa&gt;//&gt;&gt;/ul&gt;//&gt;&gt;/t&quot;&gt;//&gt;&gt;//&gt;&gt;//&gt;&gt;/&lt;w&gt;//&gt;&gt;/:c&gt;//&gt;&gt;/ol&gt;//&gt;&gt;/or&gt;//&gt;&gt;/ w&gt;//&gt;&gt;/:v&gt;//&gt;&gt;/al&gt;//&gt;&gt;/=&quot;&gt;//&gt;&gt;/FF&gt;//&gt;&gt;/00&gt;//&gt;&gt;/00&gt;//&gt;&gt;/&quot;/&gt;//&gt;&gt;/&gt;&lt;&gt;//&gt;&gt;=w:&quot;&lt;/&gt;/2sz4&quot;/&gt;/&gt; w&lt;//&gt;w::vrP/&gt;r&gt;al&lt;//&gt;m:=&quot;ct/&gt;rl24Pr/&gt;&gt;&lt;&quot;//m/&gt;:s&gt;&lt;Su/&gt;bPw:r&gt;/&gt;&lt;msz:e/&gt;&gt;&lt;-cm:/&gt;r&gt;s &lt;m/&gt;:rw:Pr/&gt;&gt;&lt;vam:/&gt;stl=y /&gt;m:&quot;2va/&gt;l=4&quot;&quot;p/&gt;&quot;//&gt;&gt;&lt;/&gt;/m&lt;/:r/&gt;Prw:&gt;&lt;/&gt;w:rPrP/&gt;r&gt;r&gt;&lt;w/&gt;:r&lt;mFo/&gt;nt:ts &gt;Cw:&lt;/as&lt;/cim:i=t&gt;&quot;C&lt;/amm:brr&gt;ia&lt;m M:cattrh&quot;lP wr&gt;:h&lt;w-a:rnsPri=&gt;&lt;&quot;Cw:amrFbroniats M wat:ah&quot;sc wii:f=&quot;arCaeambstri=&quot;a M&gt;ath&quot; w:h-ansi=&quot;Cambria Math&quot; w:fareast=&quot;宋?r?&gt;&quot;Pr w:/&gt;m&lt;&gt;hisnm:ty/&gt;=smt&quot;dev/y &gt;lfaum&quot;:l/&gt;&quot;tva&quot;&gt;/&gt;/l/=&gt;&lt;w::&quot;piP/&gt;/&quot;&gt;/&gt;&lt;ww/&gt;&lt;&gt;r:co/rml/&gt;&lt;o:rr: w/PFr&gt;:vna&gt;&lt;ls/&gt;=ww:&quot;FFa/rP&gt;c000ri&gt;0/&gt;&quot;&quot;&lt;w/a&gt;&lt;/:br&gt;w:isFoz /&gt; natw:vh/s &gt; al=w::&quot;/&gt;-2as4n&quot;//cii&gt;&gt;&lt;&quot;wi=:a/&gt;s&quot;bCz-ci/am&gt; s wbar:/&gt;hviaa l=/ :M&gt;&quot;2a4at&quot;e/&gt;/hs&quot;&gt;&lt;/=/ w&gt;Mw:r:hhP/&gt;:r-a&gt;n&lt;//n&quot;s&gt;m:bci=t /&gt;r&quot;hClPr:/am&gt;e&gt;&lt;/b=rm/&gt;r:iae&gt;&lt;/ M&gt;m:satu/&gt;bh&quot;&gt;&lt;m/ w&gt;:r&gt;:f&lt;/&gt;mar:rP/ea&gt;r&gt;&lt;stm/&gt;:=&quot;sty/M&gt;&gt; m:h&quot;v/&gt;a:hl=&quot;/ns&gt;p&quot;/&quot;C&gt;&lt;/&lt;br/m:r MPr&gt;&lt;h&quot;w:rP:fr&gt;&lt;wea:rFo=&quot;nts w:ascii=&quot;Cambria Math&quot; w:h-ansi=&quot;Cambria Math&quot; w:fareast=&quot;?翁?&gt;s&quot; M w=:hi/aMt&gt;hnt=h&quot;:dh&quot;e:n/&gt;fau&quot;n wltb&quot;&quot;/&gt;/ :hb&gt;&lt;hw:c /:-a&gt;ohelor n=:sw/&gt;r:evai&gt;=l==&quot;&gt;/&gt;Fr&quot;tCF000h&lt;0/am/&gt;&quot;:/&gt;r&lt;wbr&gt;/:/&gt;sz: miawa:v/r&gt;sa Ml=:&gt;&quot;24/yatP&gt;&quot; /&gt;&lt;w&gt;vh&quot;:/&gt;hs&gt;z- nwcsy //&gt;w:f/m:valm=/&gt;arP&gt;&quot;24&quot;&quot;&quot;/ea&gt;:/&quot;&gt;&lt;/wwst/:FrP/&gt;rt:=&quot;&gt;&lt;am:&gt;t/=M&gt;&gt;&gt;rbi&lt;/mhM&quot;&lt;:/&gt; t&gt;&lt;F:ah/m:/&quot;s&gt;rnsr&gt;&lt;cm:ac/&quot;Caw&gt;trlPer br&gt;&quot;/&gt;&lt; w: MrPnr/&gt;&gt;h&quot;a&lt;w:rF/ :f&gt;ont s eaw/e&gt;:as=&quot;?&quot;cii/&gt;=w:&quot;Camb/i=&gt;ria Mbra/&gt;th&quot;at w:/&gt;h:h-ansi=i=&quot;&lt;/Cambrbria Matath&quot; w:f:fareastst=&quot;宋P?/r?&gt;&quot; w/&gt;:hiaimnt&gt;/&gt;=P&quot;d Mye&quot;faul/&gt;:mtat&quot;/w&gt;&lt;&gt;w:iF/h&quot;&gt;&quot;/t&gt;&lt;w:coa&quot; wl/&gt;=or/ w:b:fva:lM/&gt;=&quot;Fa &gt;rrF000ac0/r&gt;&quot;e&quot;&quot;a/&gt;&lt;&lt;rwr:sz/bstaF&gt; &lt;w:vwalrs==&quot;e&quot;&gt;/&gt;2c4&quot;:&quot;/&gt;M&gt;&lt;f:aw:/&gt;ssrz- he&quot;cas w&quot;: //&gt;v/:halnnC=&quot;24&quot;a=/nas&gt;/Ma&gt;&lt;/w t:cr&quot;CPw/&gt;w r&gt;h&lt;/mbbr=e:cti/C&gt;rl?Par Mr&gt;&lt;/tamw/&gt;:wh&gt;&quot;subri&gt;&lt;s/mt/:f&gt;b/:sSub&gt;&lt;reaa//&gt;ma:oM:a=&quot;fth&gt;/&gt;i&lt;s/mw::oMbat/&gt;hi=Paara&gt;&lt;//b:r&gt;w:p&gt;&lt;/swatx/&gt;:srect:h&gt;&lt;//&gt;w:bi=ody&gt;&lt;/&gt;/brw:wordD/at&gt;ocument:f&gt;/&gt; wsc=st&quot;mb">
            <v:path/>
            <v:fill on="f" focussize="0,0"/>
            <v:stroke on="f" joinstyle="miter"/>
            <v:imagedata r:id="rId21" o:title=""/>
            <o:lock v:ext="edit" aspectratio="f"/>
            <w10:wrap type="none"/>
            <w10:anchorlock/>
          </v:shape>
        </w:pict>
      </w:r>
      <w:r>
        <w:rPr>
          <w:color w:val="000000" w:themeColor="text1"/>
          <w14:textFill>
            <w14:solidFill>
              <w14:schemeClr w14:val="tx1"/>
            </w14:solidFill>
          </w14:textFill>
        </w:rPr>
        <w:instrText xml:space="preserve">  \* MERGEFORMAT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t>—采用估算模型计算出的第i个污染物的最大1h地面空气质量浓度，μg/</w:t>
      </w:r>
      <w:r>
        <w:rPr>
          <w:rFonts w:hint="eastAsia"/>
          <w:color w:val="000000" w:themeColor="text1"/>
          <w14:textFill>
            <w14:solidFill>
              <w14:schemeClr w14:val="tx1"/>
            </w14:solidFill>
          </w14:textFill>
        </w:rPr>
        <w:t xml:space="preserve"> 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2E0B4C89">
      <w:pPr>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QUOTE </w:instrText>
      </w:r>
      <w:r>
        <w:rPr>
          <w:color w:val="000000" w:themeColor="text1"/>
          <w14:textFill>
            <w14:solidFill>
              <w14:schemeClr w14:val="tx1"/>
            </w14:solidFill>
          </w14:textFill>
        </w:rPr>
        <w:pict>
          <v:shape id="_x0000_i1027" o:spt="75" type="#_x0000_t75" style="height:31.8pt;width:482.9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10&quot;/&gt;&lt;w:characterSpacingControl w:val=&quot;CompressPunctuation&quot;/&gt;&lt;w:documentProtection w:enforcement=&quot;off&quot;/&gt;&lt;w:displayBackgroundShape w:val=&quot;1&quot;/&gt;&lt;w:doNotEmbedSystemFonts/&gt;&lt;w:defaultTabStop w:val=&quot;420&quot;/&gt;&lt;w:drawingGridHorizontalSpacing w:val=&quot;110&quot;/&gt;&lt;w:drawingGridVerticalSpacing w:val=&quot;156&quot;/&gt;&lt;w:displayHorizontalDrawingGridEvery w:val=&quot;1&quot;/&gt;&lt;w:displayVerticalDrawingGridEvery w:val=&quot;1&quot;/&gt;&lt;w:evenAndOddHeaders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hint=&quot;default&quot;/&gt;&lt;w:i/&gt;&lt;w:color w:val=&quot;FF0000&quot;/&gt;&lt;w:sz w:val=&quot;24&quot;/&gt;&lt;w:sz-cs w:val/&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quot;&lt;/24&quot;/&gt;&lt;/w:rPr&gt;&lt;/m:ctrlPr&gt;&lt;/m:sSubPr&gt;&lt;m:e&gt;&lt;m:r&gt;&lt;m:rPr&gt;&lt;m:sty m:val=&quot;p&quot;/&gt;&lt;/m:rPr&gt;&lt;w:rPr&gt;&lt;w:rFonts w:ascii=&quot;Cambria Math&quot; w:h-ansi=&quot;Cambria Math&quot; w:fareast=&quot;宋&gt;体/&gt;&quot; /&gt;w:/&gt;hi/&gt;nt/&gt;=&quot;/&gt;de&gt;//&gt;&gt;/fa&gt;//&gt;&gt;/ul&gt;//&gt;&gt;/t&quot;&gt;//&gt;&gt;//&gt;&gt;//&gt;&gt;/&lt;w&gt;//&gt;&gt;/:c&gt;//&gt;&gt;/ol&gt;//&gt;&gt;/or&gt;//&gt;&gt;/ w&gt;//&gt;&gt;/:v&gt;//&gt;&gt;/al&gt;//&gt;&gt;/=&quot;&gt;//&gt;&gt;/FF&gt;//&gt;&gt;/00&gt;//&gt;&gt;/00&gt;//&gt;&gt;/&quot;/&gt;//&gt;&gt;/&gt;&lt;&gt;//&gt;&gt;=w:&quot;&lt;/&gt;/2sz4&quot;/&gt;/&gt; w&lt;//&gt;w::vrP/&gt;r&gt;al&lt;//&gt;m:=&quot;ct/&gt;rl24Pr/&gt;&gt;&lt;&quot;//m/&gt;:s&gt;&lt;Su/&gt;bPw:r&gt;/&gt;&lt;msz:e/&gt;&gt;&lt;-cm:/&gt;r&gt;s &lt;m/&gt;:rw:Pr/&gt;&gt;&lt;vam:/&gt;stl=y /&gt;m:&quot;2va/&gt;l=4&quot;&quot;p/&gt;&quot;//&gt;&gt;&lt;/&gt;/m&lt;/:r/&gt;Prw:&gt;&lt;/&gt;w:rPrP/&gt;r&gt;r&gt;&lt;w/&gt;:r&lt;mFo/&gt;nt:ts &gt;Cw:&lt;/as&lt;/cim:i=t&gt;&quot;C&lt;/amm:brr&gt;ia&lt;m M:cattrh&quot;lP wr&gt;:h&lt;w-a:rnsPri=&gt;&lt;&quot;Cw:amrFbroniats M wat:ah&quot;sc wii:f=&quot;arCaeambstri=&quot;a M&gt;ath&quot; w:h-ansi=&quot;Cambria Math&quot; w:fareast=&quot;宋?r?&gt;&quot;Pr w:/&gt;m&lt;&gt;hisnm:ty/&gt;=smt&quot;dev/y &gt;lfaum&quot;:l/&gt;&quot;tva&quot;&gt;/&gt;/l/=&gt;&lt;w::&quot;piP/&gt;/&quot;&gt;/&gt;&lt;ww/&gt;&lt;&gt;r:co/rml/&gt;&lt;o:rr: w/PFr&gt;:vna&gt;&lt;ls/&gt;=ww:&quot;FFa/rP&gt;c000ri&gt;0/&gt;&quot;&quot;&lt;w/a&gt;&lt;/:br&gt;w:isFoz /&gt; natw:vh/s &gt; al=w::&quot;/&gt;-2as4n&quot;//cii&gt;&gt;&lt;&quot;wi=:a/&gt;s&quot;bCz-ci/am&gt; s wbar:/&gt;hviaa l=/ :M&gt;&quot;2a4at&quot;e/&gt;/hs&quot;&gt;&lt;/=/ w&gt;Mw:r:hhP/&gt;:r-a&gt;n&lt;//n&quot;s&gt;m:bci=t /&gt;r&quot;hClPr:/am&gt;e&gt;&lt;/b=rm/&gt;r:iae&gt;&lt;/ M&gt;m:satu/&gt;bh&quot;&gt;&lt;m/ w&gt;:r&gt;:f&lt;/&gt;mar:rP/ea&gt;r&gt;&lt;stm/&gt;:=&quot;sty/M&gt;&gt; m:h&quot;v/&gt;a:hl=&quot;/ns&gt;p&quot;/&quot;C&gt;&lt;/&lt;br/m:r MPr&gt;&lt;h&quot;w:rP:fr&gt;&lt;wea:rFo=&quot;nts w:ascii=&quot;Cambria Math&quot; w:h-ansi=&quot;Cambria Math&quot; w:fareast=&quot;?翁?&gt;s&quot; M w=:hi/aMt&gt;hnt=h&quot;:dh&quot;e:n/&gt;fau&quot;n wltb&quot;&quot;/&gt;/ :hb&gt;&lt;hw:c /:-a&gt;ohelor n=:sw/&gt;r:evai&gt;=l==&quot;&gt;/&gt;Fr&quot;tCF000h&lt;0/am/&gt;&quot;:/&gt;r&lt;wbr&gt;/:/&gt;sz: miawa:v/r&gt;sa Ml=:&gt;&quot;24/yatP&gt;&quot; /&gt;&lt;w&gt;vh&quot;:/&gt;hs&gt;z- nwcsy //&gt;w:f/m:valm=/&gt;arP&gt;&quot;24&quot;&quot;&quot;/ea&gt;:/&quot;&gt;&lt;/wwst/:FrP/&gt;rt:=&quot;&gt;&lt;am:&gt;t/=M&gt;&gt;&gt;rb0i&lt;/hM&quot;&lt;m/&gt; :t&gt;F:ah&lt;/m/&quot;s&gt;:nsrr&gt;c&lt;ma:/&quot;Caw&gt;ctrleP brr&quot;/&gt;&gt; &lt;w M:rnP/&gt;rh&quot;a&gt;&lt;w:r/ :f&gt;Fon tsea /e&gt;w:a=&quot;?&quot;sci/&gt;iw:=&quot;Cam/i=&gt;bria brM/&gt;athat&quot; w/&gt;::hh-ansii==&lt;/&quot;Cabrmbria atMath&quot; :fw:farestast=&quot;?蝦/?&gt;? w&gt;/:hian/m&gt;&gt;t=&quot;dPeMfyau&quot;/&gt;lt&quot;m:t/&gt;&lt;w:w/&gt;&gt;i&quot;/F&gt;&lt;w&quot;:cto/w&gt;l&quot;aor w:v=f/a/&gt;lb=&quot;F:FrM000/&gt;&gt; 0:&quot;/a&gt;&lt;acwr:s/&gt;&quot;&quot;zt &lt;wt:rval=b/Fa&quot;&gt;&quot;&gt;24&quot;w/s:&gt;&lt;&gt;we/r&gt;:csz&quot;w-c&quot;s afww/&gt;:vtaPh l=e&quot;2a4/&gt;&quot; &quot;s//&gt;/&lt;/wno:&quot;r/C&gt;Pa=ra&gt;&lt;/m ::rc /a&gt;strlP r wM&gt;&lt;h//&gt;mmei:s&quot;urb&quot;&gt;&lt;?//Mb&gt;mf:sStawub&gt;&lt; /&gt;a&gt;/iam:onMast&quot;hb//&gt;&gt;&lt;/m::baoMa/&gt;tMhP:=araf&gt;&lt;/&gt;i/rsw:p&gt;&lt;/b?w/t&gt;x:seact&gt;h&lt;/&gt;/:w:bo=dy&gt;s/&gt;&lt;/wr:word/&gt;Dtocument/f&gt;&gt; wsc=&quot;tm/s">
            <v:path/>
            <v:fill on="f" focussize="0,0"/>
            <v:stroke on="f" joinstyle="miter"/>
            <v:imagedata r:id="rId21" o:title=""/>
            <o:lock v:ext="edit" aspectratio="f"/>
            <w10:wrap type="none"/>
            <w10:anchorlock/>
          </v:shape>
        </w:pict>
      </w:r>
      <w:r>
        <w:rPr>
          <w:color w:val="000000" w:themeColor="text1"/>
          <w14:textFill>
            <w14:solidFill>
              <w14:schemeClr w14:val="tx1"/>
            </w14:solidFill>
          </w14:textFill>
        </w:rPr>
        <w:instrText xml:space="preserve">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pict>
          <v:shape id="_x0000_i1028" o:spt="75" type="#_x0000_t75" style="height:11.7pt;width:37.5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10&quot;/&gt;&lt;w:characterSpacingControl w:val=&quot;CompressPunctuation&quot;/&gt;&lt;w:documentProtection w:enforcement=&quot;off&quot;/&gt;&lt;w:displayBackgroundShape w:val=&quot;1&quot;/&gt;&lt;w:doNotEmbedSystemFonts/&gt;&lt;w:defaultTabStop w:val=&quot;420&quot;/&gt;&lt;w:drawingGridHorizontalSpacing w:val=&quot;110&quot;/&gt;&lt;w:drawingGridVerticalSpacing w:val=&quot;156&quot;/&gt;&lt;w:displayHorizontalDrawingGridEvery w:val=&quot;1&quot;/&gt;&lt;w:displayVerticalDrawingGridEvery w:val=&quot;1&quot;/&gt;&lt;w:evenAndOddHeaders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hint=&quot;default&quot;/&gt;&lt;w:i/&gt;&lt;w:color w:val=&quot;FF0000&quot;/&gt;&lt;w:sz w:val=&quot;24&quot;/&gt;&lt;w:sz-cs w:val/&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gt;=&quot;&lt;/24&quot;/&gt;&lt;/w:rPr&gt;&lt;/m:ctrlPr&gt;&lt;/m:sSubPr&gt;&lt;m:e&gt;&lt;m:r&gt;&lt;m:rPr&gt;&lt;m:sty m:val=&quot;p&quot;/&gt;&lt;/m:rPr&gt;&lt;w:rPr&gt;&lt;w:rFonts w:ascii=&quot;Cambria Math&quot; w:h-ansi=&quot;Cambria Math&quot; w:fareast=&quot;宋&gt;体/&gt;&quot; /&gt;w:/&gt;hi/&gt;nt/&gt;=&quot;/&gt;de&gt;//&gt;&gt;/fa&gt;//&gt;&gt;/ul&gt;//&gt;&gt;/t&quot;&gt;//&gt;&gt;//&gt;&gt;//&gt;&gt;/&lt;w&gt;//&gt;&gt;/:c&gt;//&gt;&gt;/ol&gt;//&gt;&gt;/or&gt;//&gt;&gt;/ w&gt;//&gt;&gt;/:v&gt;//&gt;&gt;/al&gt;//&gt;&gt;/=&quot;&gt;//&gt;&gt;/FF&gt;//&gt;&gt;/00&gt;//&gt;&gt;/00&gt;//&gt;&gt;/&quot;/&gt;//&gt;&gt;/&gt;&lt;&gt;//&gt;&gt;=w:&quot;&lt;/&gt;/2sz4&quot;/&gt;/&gt; w&lt;//&gt;w::vrP/&gt;r&gt;al&lt;//&gt;m:=&quot;ct/&gt;rl24Pr/&gt;&gt;&lt;&quot;//m/&gt;:s&gt;&lt;Su/&gt;bPw:r&gt;/&gt;&lt;msz:e/&gt;&gt;&lt;-cm:/&gt;r&gt;s &lt;m/&gt;:rw:Pr/&gt;&gt;&lt;vam:/&gt;stl=y /&gt;m:&quot;2va/&gt;l=4&quot;&quot;p/&gt;&quot;//&gt;&gt;&lt;/&gt;/m&lt;/:r/&gt;Prw:&gt;&lt;/&gt;w:rPrP/&gt;r&gt;r&gt;&lt;w/&gt;:r&lt;mFo/&gt;nt:ts &gt;Cw:&lt;/as&lt;/cim:i=t&gt;&quot;C&lt;/amm:brr&gt;ia&lt;m M:cattrh&quot;lP wr&gt;:h&lt;w-a:rnsPri=&gt;&lt;&quot;Cw:amrFbroniats M wat:ah&quot;sc wii:f=&quot;arCaeambstri=&quot;a M&gt;ath&quot; w:h-ansi=&quot;Cambria Math&quot; w:fareast=&quot;宋?r?&gt;&quot;Pr w:/&gt;m&lt;&gt;hisnm:ty/&gt;=smt&quot;dev/y &gt;lfaum&quot;:l/&gt;&quot;tva&quot;&gt;/&gt;/l/=&gt;&lt;w::&quot;piP/&gt;/&quot;&gt;/&gt;&lt;ww/&gt;&lt;&gt;r:co/rml/&gt;&lt;o:rr: w/PFr&gt;:vna&gt;&lt;ls/&gt;=ww:&quot;FFa/rP&gt;c000ri&gt;0/&gt;&quot;&quot;&lt;w/a&gt;&lt;/:br&gt;w:isFoz /&gt; natw:vh/s &gt; al=w::&quot;/&gt;-2as4n&quot;//cii&gt;&gt;&lt;&quot;wi=:a/&gt;s&quot;bCz-ci/am&gt; s wbar:/&gt;hviaa l=/ :M&gt;&quot;2a4at&quot;e/&gt;/hs&quot;&gt;&lt;/=/ w&gt;Mw:r:hhP/&gt;:r-a&gt;n&lt;//n&quot;s&gt;m:bci=t /&gt;r&quot;hClPr:/am&gt;e&gt;&lt;/b=rm/&gt;r:iae&gt;&lt;/ M&gt;m:satu/&gt;bh&quot;&gt;&lt;m/ w&gt;:r&gt;:f&lt;/&gt;mar:rP/ea&gt;r&gt;&lt;stm/&gt;:=&quot;sty/M&gt;&gt; m:h&quot;v/&gt;a:hl=&quot;/ns&gt;p&quot;/&quot;C&gt;&lt;/&lt;br/m:r MPr&gt;&lt;h&quot;w:rP:fr&gt;&lt;wea:rFo=&quot;nts w:ascii=&quot;Cambria Math&quot; w:h-ansi=&quot;Cambria Math&quot; w:fareast=&quot;?翁?&gt;s&quot; M w=:hi/aMt&gt;hnt=h&quot;:dh&quot;e:n/&gt;fau&quot;n wltb&quot;&quot;/&gt;/ :hb&gt;&lt;hw:c /:-a&gt;ohelor n=:sw/&gt;r:evai&gt;=l==&quot;&gt;/&gt;Fr&quot;tCF000h&lt;0/am/&gt;&quot;:/&gt;r&lt;wbr&gt;/:/&gt;sz: miawa:v/r&gt;sa Ml=:&gt;&quot;24/yatP&gt;&quot; /&gt;&lt;w&gt;vh&quot;:/&gt;hs&gt;z- nwcsy //&gt;w:f/m:valm=/&gt;arP&gt;&quot;24&quot;&quot;&quot;/ea&gt;:/&quot;&gt;&lt;/wwst/:FrP/&gt;rt:=&quot;&gt;&lt;am:&gt;t/=M&gt;&gt;&gt;rb0i&lt;/hM&quot;&lt;m/&gt; :t&gt;F:ah&lt;/m/&quot;s&gt;:nsrr&gt;c&lt;ma:/&quot;Caw&gt;ctrleP brr&quot;/&gt;&gt; &lt;w M:rnP/&gt;rh&quot;a&gt;&lt;w:r/ :f&gt;Fon tsea /e&gt;w:a=&quot;?&quot;sci/&gt;iw:=&quot;Cam/i=&gt;bria brM/&gt;athat&quot; w/&gt;::hh-ansii==&lt;/&quot;Cabrmbria atMath&quot; :fw:farestast=&quot;?蝦/?&gt;? w&gt;/:hian/m&gt;&gt;t=&quot;dPeMfyau&quot;/&gt;lt&quot;m:t/&gt;&lt;w:w/&gt;&gt;i&quot;/F&gt;&lt;w&quot;:cto/w&gt;l&quot;aor w:v=f/a/&gt;lb=&quot;F:FrM000/&gt;&gt; 0:&quot;/a&gt;&lt;acwr:s/&gt;&quot;&quot;zt &lt;wt:rval=b/Fa&quot;&gt;&quot;&gt;24&quot;w/s:&gt;&lt;&gt;we/r&gt;:csz&quot;w-c&quot;s afww/&gt;:vtaPh l=e&quot;2a4/&gt;&quot; &quot;s//&gt;/&lt;/wno:&quot;r/C&gt;Pa=ra&gt;&lt;/m ::rc /a&gt;strlP r wM&gt;&lt;h//&gt;mmei:s&quot;urb&quot;&gt;&lt;?//Mb&gt;mf:sStawub&gt;&lt; /&gt;a&gt;/iam:onMast&quot;hb//&gt;&gt;&lt;/m::baoMa/&gt;tMhP:=araf&gt;&lt;/&gt;i/rsw:p&gt;&lt;/b?w/t&gt;x:seact&gt;h&lt;/&gt;/:w:bo=dy&gt;s/&gt;&lt;/wr:word/&gt;Dtocument/f&gt;&gt; wsc=&quot;tm/s">
            <v:path/>
            <v:fill on="f" focussize="0,0"/>
            <v:stroke on="f" joinstyle="miter"/>
            <v:imagedata r:id="rId21" o:title=""/>
            <o:lock v:ext="edit" aspectratio="f"/>
            <w10:wrap type="none"/>
            <w10:anchorlock/>
          </v:shape>
        </w:pic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0i</w:t>
      </w:r>
      <w:r>
        <w:rPr>
          <w:color w:val="000000" w:themeColor="text1"/>
          <w14:textFill>
            <w14:solidFill>
              <w14:schemeClr w14:val="tx1"/>
            </w14:solidFill>
          </w14:textFill>
        </w:rPr>
        <w:t>—第i个污染物的环境空气质量浓度标准，μg/m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0283F080">
      <w:pPr>
        <w:ind w:firstLine="520"/>
        <w:rPr>
          <w:color w:val="000000" w:themeColor="text1"/>
          <w14:textFill>
            <w14:solidFill>
              <w14:schemeClr w14:val="tx1"/>
            </w14:solidFill>
          </w14:textFill>
        </w:rPr>
      </w:pPr>
      <w:r>
        <w:rPr>
          <w:color w:val="000000" w:themeColor="text1"/>
          <w14:textFill>
            <w14:solidFill>
              <w14:schemeClr w14:val="tx1"/>
            </w14:solidFill>
          </w14:textFill>
        </w:rPr>
        <w:t>（2）评价等级判别表</w:t>
      </w:r>
    </w:p>
    <w:p w14:paraId="1AAE11FA">
      <w:pPr>
        <w:ind w:firstLine="520"/>
        <w:rPr>
          <w:color w:val="000000" w:themeColor="text1"/>
          <w14:textFill>
            <w14:solidFill>
              <w14:schemeClr w14:val="tx1"/>
            </w14:solidFill>
          </w14:textFill>
        </w:rPr>
      </w:pPr>
      <w:r>
        <w:rPr>
          <w:color w:val="000000" w:themeColor="text1"/>
          <w14:textFill>
            <w14:solidFill>
              <w14:schemeClr w14:val="tx1"/>
            </w14:solidFill>
          </w14:textFill>
        </w:rPr>
        <w:t>评价等级按下表的分级判据进行划分。</w:t>
      </w:r>
    </w:p>
    <w:p w14:paraId="22F4757F">
      <w:pPr>
        <w:spacing w:before="24"/>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评价等级判别表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7"/>
        <w:gridCol w:w="4979"/>
      </w:tblGrid>
      <w:tr w14:paraId="5C5D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89" w:type="pct"/>
            <w:vAlign w:val="center"/>
          </w:tcPr>
          <w:p w14:paraId="174C532B">
            <w:pPr>
              <w:pStyle w:val="1535"/>
            </w:pPr>
            <w:r>
              <w:t>评价工作等级</w:t>
            </w:r>
          </w:p>
        </w:tc>
        <w:tc>
          <w:tcPr>
            <w:tcW w:w="2811" w:type="pct"/>
            <w:vAlign w:val="center"/>
          </w:tcPr>
          <w:p w14:paraId="661F5DC7">
            <w:pPr>
              <w:pStyle w:val="1535"/>
            </w:pPr>
            <w:r>
              <w:t>评价工作分级判据</w:t>
            </w:r>
          </w:p>
        </w:tc>
      </w:tr>
      <w:tr w14:paraId="1B66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89" w:type="pct"/>
            <w:vAlign w:val="center"/>
          </w:tcPr>
          <w:p w14:paraId="0C265FB4">
            <w:pPr>
              <w:pStyle w:val="1535"/>
            </w:pPr>
            <w:r>
              <w:t>一级评价</w:t>
            </w:r>
          </w:p>
        </w:tc>
        <w:tc>
          <w:tcPr>
            <w:tcW w:w="2811" w:type="pct"/>
            <w:vAlign w:val="center"/>
          </w:tcPr>
          <w:p w14:paraId="37322FF1">
            <w:pPr>
              <w:pStyle w:val="1535"/>
            </w:pPr>
            <w:r>
              <w:t>Pmax</w:t>
            </w:r>
            <w:r>
              <w:rPr>
                <w:rFonts w:hint="eastAsia" w:ascii="宋体" w:hAnsi="宋体" w:cs="宋体"/>
              </w:rPr>
              <w:t>≧</w:t>
            </w:r>
            <w:r>
              <w:t>10%</w:t>
            </w:r>
          </w:p>
        </w:tc>
      </w:tr>
      <w:tr w14:paraId="22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89" w:type="pct"/>
            <w:vAlign w:val="center"/>
          </w:tcPr>
          <w:p w14:paraId="347B7212">
            <w:pPr>
              <w:pStyle w:val="1535"/>
            </w:pPr>
            <w:r>
              <w:t>二级评价</w:t>
            </w:r>
          </w:p>
        </w:tc>
        <w:tc>
          <w:tcPr>
            <w:tcW w:w="2811" w:type="pct"/>
            <w:vAlign w:val="center"/>
          </w:tcPr>
          <w:p w14:paraId="7ED3EB23">
            <w:pPr>
              <w:pStyle w:val="1535"/>
            </w:pPr>
            <w:r>
              <w:t>1%</w:t>
            </w:r>
            <w:r>
              <w:rPr>
                <w:rFonts w:hint="eastAsia" w:ascii="宋体" w:hAnsi="宋体" w:cs="宋体"/>
              </w:rPr>
              <w:t>≦</w:t>
            </w:r>
            <w:r>
              <w:t>Pmax&lt;10%</w:t>
            </w:r>
          </w:p>
        </w:tc>
      </w:tr>
      <w:tr w14:paraId="25E3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89" w:type="pct"/>
            <w:vAlign w:val="center"/>
          </w:tcPr>
          <w:p w14:paraId="01439070">
            <w:pPr>
              <w:pStyle w:val="1535"/>
            </w:pPr>
            <w:r>
              <w:t>三级评价</w:t>
            </w:r>
          </w:p>
        </w:tc>
        <w:tc>
          <w:tcPr>
            <w:tcW w:w="2811" w:type="pct"/>
            <w:vAlign w:val="center"/>
          </w:tcPr>
          <w:p w14:paraId="1808D515">
            <w:pPr>
              <w:pStyle w:val="1535"/>
            </w:pPr>
            <w:r>
              <w:t>Pmax&lt;1%</w:t>
            </w:r>
          </w:p>
        </w:tc>
      </w:tr>
    </w:tbl>
    <w:p w14:paraId="1B892058">
      <w:pPr>
        <w:ind w:firstLine="520"/>
        <w:rPr>
          <w:color w:val="000000" w:themeColor="text1"/>
          <w14:textFill>
            <w14:solidFill>
              <w14:schemeClr w14:val="tx1"/>
            </w14:solidFill>
          </w14:textFill>
        </w:rPr>
      </w:pPr>
      <w:r>
        <w:rPr>
          <w:color w:val="000000" w:themeColor="text1"/>
          <w14:textFill>
            <w14:solidFill>
              <w14:schemeClr w14:val="tx1"/>
            </w14:solidFill>
          </w14:textFill>
        </w:rPr>
        <w:t>（3）评级工作等级及评价范围确定</w:t>
      </w:r>
    </w:p>
    <w:p w14:paraId="76AA8CB2">
      <w:pPr>
        <w:spacing w:before="24"/>
        <w:ind w:firstLine="0" w:firstLineChars="0"/>
        <w:jc w:val="center"/>
        <w:rPr>
          <w:color w:val="000000" w:themeColor="text1"/>
          <w14:textFill>
            <w14:solidFill>
              <w14:schemeClr w14:val="tx1"/>
            </w14:solidFill>
          </w14:textFill>
        </w:rPr>
      </w:pPr>
      <w:bookmarkStart w:id="82" w:name="_Hlk160464827"/>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各污染因子最大落地浓度预测统计结果</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1287"/>
        <w:gridCol w:w="876"/>
        <w:gridCol w:w="990"/>
        <w:gridCol w:w="871"/>
        <w:gridCol w:w="935"/>
        <w:gridCol w:w="1428"/>
      </w:tblGrid>
      <w:tr w14:paraId="5D67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restart"/>
            <w:vAlign w:val="center"/>
          </w:tcPr>
          <w:p w14:paraId="07E47E1E">
            <w:pPr>
              <w:pStyle w:val="1535"/>
            </w:pPr>
            <w:r>
              <w:t>污染源名称</w:t>
            </w:r>
          </w:p>
        </w:tc>
        <w:tc>
          <w:tcPr>
            <w:tcW w:w="733" w:type="pct"/>
            <w:vMerge w:val="restart"/>
            <w:vAlign w:val="center"/>
          </w:tcPr>
          <w:p w14:paraId="63C700EA">
            <w:pPr>
              <w:pStyle w:val="1535"/>
            </w:pPr>
            <w:r>
              <w:t>最大落地浓度离源距离</w:t>
            </w:r>
          </w:p>
        </w:tc>
        <w:tc>
          <w:tcPr>
            <w:tcW w:w="2867" w:type="pct"/>
            <w:gridSpan w:val="5"/>
            <w:vAlign w:val="center"/>
          </w:tcPr>
          <w:p w14:paraId="647AFDCD">
            <w:pPr>
              <w:pStyle w:val="1535"/>
            </w:pPr>
            <w:r>
              <w:t>最大占标率%/D10%（m）</w:t>
            </w:r>
          </w:p>
        </w:tc>
      </w:tr>
      <w:tr w14:paraId="116F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vMerge w:val="continue"/>
            <w:vAlign w:val="center"/>
          </w:tcPr>
          <w:p w14:paraId="6A36CC97">
            <w:pPr>
              <w:pStyle w:val="1535"/>
            </w:pPr>
          </w:p>
        </w:tc>
        <w:tc>
          <w:tcPr>
            <w:tcW w:w="733" w:type="pct"/>
            <w:vMerge w:val="continue"/>
            <w:vAlign w:val="center"/>
          </w:tcPr>
          <w:p w14:paraId="53539D23">
            <w:pPr>
              <w:pStyle w:val="1535"/>
            </w:pPr>
          </w:p>
        </w:tc>
        <w:tc>
          <w:tcPr>
            <w:tcW w:w="458" w:type="pct"/>
            <w:noWrap/>
            <w:vAlign w:val="center"/>
          </w:tcPr>
          <w:p w14:paraId="49C03137">
            <w:pPr>
              <w:pStyle w:val="1535"/>
            </w:pPr>
            <w:r>
              <w:rPr>
                <w:snapToGrid/>
              </w:rPr>
              <w:t>氟化物</w:t>
            </w:r>
          </w:p>
        </w:tc>
        <w:tc>
          <w:tcPr>
            <w:tcW w:w="565" w:type="pct"/>
            <w:noWrap/>
            <w:vAlign w:val="center"/>
          </w:tcPr>
          <w:p w14:paraId="6D2CDB3A">
            <w:pPr>
              <w:pStyle w:val="1535"/>
            </w:pPr>
            <w:r>
              <w:rPr>
                <w:snapToGrid/>
              </w:rPr>
              <w:t>氯化氢</w:t>
            </w:r>
          </w:p>
        </w:tc>
        <w:tc>
          <w:tcPr>
            <w:tcW w:w="498" w:type="pct"/>
            <w:noWrap/>
            <w:vAlign w:val="center"/>
          </w:tcPr>
          <w:p w14:paraId="6CE32E83">
            <w:pPr>
              <w:pStyle w:val="1535"/>
            </w:pPr>
            <w:r>
              <w:rPr>
                <w:snapToGrid/>
              </w:rPr>
              <w:t>PM</w:t>
            </w:r>
            <w:r>
              <w:rPr>
                <w:snapToGrid/>
                <w:vertAlign w:val="subscript"/>
              </w:rPr>
              <w:t>10</w:t>
            </w:r>
          </w:p>
        </w:tc>
        <w:tc>
          <w:tcPr>
            <w:tcW w:w="534" w:type="pct"/>
            <w:noWrap/>
            <w:vAlign w:val="center"/>
          </w:tcPr>
          <w:p w14:paraId="627C4DE6">
            <w:pPr>
              <w:pStyle w:val="1535"/>
            </w:pPr>
            <w:r>
              <w:rPr>
                <w:snapToGrid/>
              </w:rPr>
              <w:t>PM</w:t>
            </w:r>
            <w:r>
              <w:rPr>
                <w:snapToGrid/>
                <w:vertAlign w:val="subscript"/>
              </w:rPr>
              <w:t>2.5</w:t>
            </w:r>
          </w:p>
        </w:tc>
        <w:tc>
          <w:tcPr>
            <w:tcW w:w="813" w:type="pct"/>
            <w:noWrap/>
            <w:vAlign w:val="center"/>
          </w:tcPr>
          <w:p w14:paraId="55C56990">
            <w:pPr>
              <w:pStyle w:val="1535"/>
            </w:pPr>
            <w:r>
              <w:rPr>
                <w:snapToGrid/>
              </w:rPr>
              <w:t>非甲烷总烃</w:t>
            </w:r>
          </w:p>
        </w:tc>
      </w:tr>
      <w:tr w14:paraId="66C5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noWrap/>
            <w:vAlign w:val="center"/>
          </w:tcPr>
          <w:p w14:paraId="026F99B2">
            <w:pPr>
              <w:pStyle w:val="1535"/>
            </w:pPr>
            <w:r>
              <w:rPr>
                <w:snapToGrid/>
              </w:rPr>
              <w:t>排气筒DA00</w:t>
            </w:r>
            <w:r>
              <w:rPr>
                <w:rFonts w:hint="eastAsia"/>
                <w:snapToGrid/>
              </w:rPr>
              <w:t>4</w:t>
            </w:r>
          </w:p>
        </w:tc>
        <w:tc>
          <w:tcPr>
            <w:tcW w:w="733" w:type="pct"/>
            <w:noWrap/>
            <w:vAlign w:val="center"/>
          </w:tcPr>
          <w:p w14:paraId="0E67EBED">
            <w:pPr>
              <w:pStyle w:val="1535"/>
            </w:pPr>
            <w:r>
              <w:rPr>
                <w:rFonts w:hint="eastAsia"/>
              </w:rPr>
              <w:t>152</w:t>
            </w:r>
          </w:p>
        </w:tc>
        <w:tc>
          <w:tcPr>
            <w:tcW w:w="458" w:type="pct"/>
            <w:noWrap/>
            <w:vAlign w:val="center"/>
          </w:tcPr>
          <w:p w14:paraId="43D2A7A9">
            <w:pPr>
              <w:pStyle w:val="1535"/>
            </w:pPr>
            <w:r>
              <w:rPr>
                <w:rFonts w:hint="eastAsia"/>
              </w:rPr>
              <w:t>/</w:t>
            </w:r>
          </w:p>
        </w:tc>
        <w:tc>
          <w:tcPr>
            <w:tcW w:w="565" w:type="pct"/>
            <w:noWrap/>
            <w:vAlign w:val="center"/>
          </w:tcPr>
          <w:p w14:paraId="0376D098">
            <w:pPr>
              <w:pStyle w:val="1535"/>
            </w:pPr>
            <w:r>
              <w:rPr>
                <w:rFonts w:hint="eastAsia"/>
              </w:rPr>
              <w:t>2.90</w:t>
            </w:r>
            <w:r>
              <w:t>/0</w:t>
            </w:r>
          </w:p>
        </w:tc>
        <w:tc>
          <w:tcPr>
            <w:tcW w:w="498" w:type="pct"/>
            <w:noWrap/>
            <w:vAlign w:val="center"/>
          </w:tcPr>
          <w:p w14:paraId="002D14AA">
            <w:pPr>
              <w:pStyle w:val="1535"/>
            </w:pPr>
            <w:r>
              <w:t>0.0</w:t>
            </w:r>
            <w:r>
              <w:rPr>
                <w:rFonts w:hint="eastAsia"/>
              </w:rPr>
              <w:t>5</w:t>
            </w:r>
            <w:r>
              <w:t>/0</w:t>
            </w:r>
          </w:p>
        </w:tc>
        <w:tc>
          <w:tcPr>
            <w:tcW w:w="534" w:type="pct"/>
            <w:noWrap/>
            <w:vAlign w:val="center"/>
          </w:tcPr>
          <w:p w14:paraId="5C7E6F22">
            <w:pPr>
              <w:pStyle w:val="1535"/>
            </w:pPr>
            <w:r>
              <w:rPr>
                <w:rFonts w:hint="eastAsia"/>
              </w:rPr>
              <w:t>/</w:t>
            </w:r>
          </w:p>
        </w:tc>
        <w:tc>
          <w:tcPr>
            <w:tcW w:w="813" w:type="pct"/>
            <w:noWrap/>
            <w:vAlign w:val="center"/>
          </w:tcPr>
          <w:p w14:paraId="797A6017">
            <w:pPr>
              <w:pStyle w:val="1535"/>
            </w:pPr>
            <w:r>
              <w:t>0.</w:t>
            </w:r>
            <w:r>
              <w:rPr>
                <w:rFonts w:hint="eastAsia"/>
              </w:rPr>
              <w:t>11</w:t>
            </w:r>
            <w:r>
              <w:t>/0</w:t>
            </w:r>
          </w:p>
        </w:tc>
      </w:tr>
      <w:tr w14:paraId="38B9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noWrap/>
            <w:vAlign w:val="center"/>
          </w:tcPr>
          <w:p w14:paraId="375F7357">
            <w:pPr>
              <w:pStyle w:val="1535"/>
            </w:pPr>
            <w:r>
              <w:rPr>
                <w:snapToGrid/>
              </w:rPr>
              <w:t>排气筒DA00</w:t>
            </w:r>
            <w:r>
              <w:rPr>
                <w:rFonts w:hint="eastAsia"/>
                <w:snapToGrid/>
              </w:rPr>
              <w:t>5</w:t>
            </w:r>
          </w:p>
        </w:tc>
        <w:tc>
          <w:tcPr>
            <w:tcW w:w="733" w:type="pct"/>
            <w:noWrap/>
            <w:vAlign w:val="center"/>
          </w:tcPr>
          <w:p w14:paraId="63D8A13A">
            <w:pPr>
              <w:pStyle w:val="1535"/>
            </w:pPr>
            <w:r>
              <w:rPr>
                <w:rFonts w:hint="eastAsia"/>
              </w:rPr>
              <w:t>74</w:t>
            </w:r>
          </w:p>
        </w:tc>
        <w:tc>
          <w:tcPr>
            <w:tcW w:w="458" w:type="pct"/>
            <w:noWrap/>
            <w:vAlign w:val="center"/>
          </w:tcPr>
          <w:p w14:paraId="08AE18FF">
            <w:pPr>
              <w:pStyle w:val="1535"/>
            </w:pPr>
            <w:r>
              <w:t>0.0</w:t>
            </w:r>
            <w:r>
              <w:rPr>
                <w:rFonts w:hint="eastAsia"/>
              </w:rPr>
              <w:t>0</w:t>
            </w:r>
            <w:r>
              <w:t>/0</w:t>
            </w:r>
          </w:p>
        </w:tc>
        <w:tc>
          <w:tcPr>
            <w:tcW w:w="565" w:type="pct"/>
            <w:noWrap/>
            <w:vAlign w:val="center"/>
          </w:tcPr>
          <w:p w14:paraId="1A01A9D5">
            <w:pPr>
              <w:pStyle w:val="1535"/>
            </w:pPr>
            <w:r>
              <w:rPr>
                <w:rFonts w:hint="eastAsia"/>
              </w:rPr>
              <w:t>0.21</w:t>
            </w:r>
            <w:r>
              <w:t>/0</w:t>
            </w:r>
          </w:p>
        </w:tc>
        <w:tc>
          <w:tcPr>
            <w:tcW w:w="498" w:type="pct"/>
            <w:noWrap/>
            <w:vAlign w:val="center"/>
          </w:tcPr>
          <w:p w14:paraId="4CDD16E3">
            <w:pPr>
              <w:pStyle w:val="1535"/>
            </w:pPr>
            <w:r>
              <w:rPr>
                <w:rFonts w:hint="eastAsia"/>
              </w:rPr>
              <w:t>/</w:t>
            </w:r>
          </w:p>
        </w:tc>
        <w:tc>
          <w:tcPr>
            <w:tcW w:w="534" w:type="pct"/>
            <w:noWrap/>
            <w:vAlign w:val="center"/>
          </w:tcPr>
          <w:p w14:paraId="58C3D961">
            <w:pPr>
              <w:pStyle w:val="1535"/>
            </w:pPr>
            <w:r>
              <w:rPr>
                <w:rFonts w:hint="eastAsia"/>
              </w:rPr>
              <w:t>/</w:t>
            </w:r>
          </w:p>
        </w:tc>
        <w:tc>
          <w:tcPr>
            <w:tcW w:w="813" w:type="pct"/>
            <w:noWrap/>
            <w:vAlign w:val="center"/>
          </w:tcPr>
          <w:p w14:paraId="6C77530D">
            <w:pPr>
              <w:pStyle w:val="1535"/>
            </w:pPr>
            <w:r>
              <w:rPr>
                <w:rFonts w:hint="eastAsia"/>
              </w:rPr>
              <w:t>/</w:t>
            </w:r>
          </w:p>
        </w:tc>
      </w:tr>
      <w:tr w14:paraId="5CB3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noWrap/>
            <w:vAlign w:val="center"/>
          </w:tcPr>
          <w:p w14:paraId="51C7415D">
            <w:pPr>
              <w:pStyle w:val="1535"/>
            </w:pPr>
            <w:r>
              <w:rPr>
                <w:snapToGrid/>
              </w:rPr>
              <w:t>排气筒DA0</w:t>
            </w:r>
            <w:r>
              <w:rPr>
                <w:rFonts w:hint="eastAsia"/>
                <w:snapToGrid/>
              </w:rPr>
              <w:t>16</w:t>
            </w:r>
          </w:p>
        </w:tc>
        <w:tc>
          <w:tcPr>
            <w:tcW w:w="733" w:type="pct"/>
            <w:noWrap/>
            <w:vAlign w:val="center"/>
          </w:tcPr>
          <w:p w14:paraId="64237CBA">
            <w:pPr>
              <w:pStyle w:val="1535"/>
            </w:pPr>
            <w:r>
              <w:rPr>
                <w:rFonts w:hint="eastAsia"/>
              </w:rPr>
              <w:t>74</w:t>
            </w:r>
          </w:p>
        </w:tc>
        <w:tc>
          <w:tcPr>
            <w:tcW w:w="458" w:type="pct"/>
            <w:noWrap/>
            <w:vAlign w:val="center"/>
          </w:tcPr>
          <w:p w14:paraId="4074D3A5">
            <w:pPr>
              <w:pStyle w:val="1535"/>
            </w:pPr>
            <w:r>
              <w:t>0.0</w:t>
            </w:r>
            <w:r>
              <w:rPr>
                <w:rFonts w:hint="eastAsia"/>
              </w:rPr>
              <w:t>0</w:t>
            </w:r>
            <w:r>
              <w:t>/0</w:t>
            </w:r>
          </w:p>
        </w:tc>
        <w:tc>
          <w:tcPr>
            <w:tcW w:w="565" w:type="pct"/>
            <w:noWrap/>
            <w:vAlign w:val="center"/>
          </w:tcPr>
          <w:p w14:paraId="5CE8463E">
            <w:pPr>
              <w:pStyle w:val="1535"/>
            </w:pPr>
            <w:r>
              <w:rPr>
                <w:rFonts w:hint="eastAsia"/>
              </w:rPr>
              <w:t>/</w:t>
            </w:r>
          </w:p>
        </w:tc>
        <w:tc>
          <w:tcPr>
            <w:tcW w:w="498" w:type="pct"/>
            <w:noWrap/>
            <w:vAlign w:val="center"/>
          </w:tcPr>
          <w:p w14:paraId="55DBA88A">
            <w:pPr>
              <w:pStyle w:val="1535"/>
            </w:pPr>
            <w:r>
              <w:rPr>
                <w:rFonts w:hint="eastAsia"/>
              </w:rPr>
              <w:t>/</w:t>
            </w:r>
          </w:p>
        </w:tc>
        <w:tc>
          <w:tcPr>
            <w:tcW w:w="534" w:type="pct"/>
            <w:noWrap/>
            <w:vAlign w:val="center"/>
          </w:tcPr>
          <w:p w14:paraId="66DDA52D">
            <w:pPr>
              <w:pStyle w:val="1535"/>
            </w:pPr>
            <w:r>
              <w:rPr>
                <w:rFonts w:hint="eastAsia"/>
              </w:rPr>
              <w:t>0.02</w:t>
            </w:r>
            <w:r>
              <w:t>/0</w:t>
            </w:r>
          </w:p>
        </w:tc>
        <w:tc>
          <w:tcPr>
            <w:tcW w:w="813" w:type="pct"/>
            <w:noWrap/>
            <w:vAlign w:val="center"/>
          </w:tcPr>
          <w:p w14:paraId="60169087">
            <w:pPr>
              <w:pStyle w:val="1535"/>
            </w:pPr>
            <w:r>
              <w:rPr>
                <w:rFonts w:hint="eastAsia"/>
              </w:rPr>
              <w:t>/</w:t>
            </w:r>
          </w:p>
        </w:tc>
      </w:tr>
      <w:tr w14:paraId="452D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noWrap/>
            <w:vAlign w:val="center"/>
          </w:tcPr>
          <w:p w14:paraId="6C933CD8">
            <w:pPr>
              <w:pStyle w:val="1535"/>
            </w:pPr>
            <w:r>
              <w:rPr>
                <w:snapToGrid/>
              </w:rPr>
              <w:t>1#厂房</w:t>
            </w:r>
            <w:r>
              <w:rPr>
                <w:rFonts w:hint="eastAsia"/>
                <w:snapToGrid/>
              </w:rPr>
              <w:t>面源</w:t>
            </w:r>
          </w:p>
        </w:tc>
        <w:tc>
          <w:tcPr>
            <w:tcW w:w="733" w:type="pct"/>
            <w:noWrap/>
            <w:vAlign w:val="center"/>
          </w:tcPr>
          <w:p w14:paraId="67921D68">
            <w:pPr>
              <w:pStyle w:val="1535"/>
            </w:pPr>
            <w:r>
              <w:rPr>
                <w:rFonts w:hint="eastAsia"/>
              </w:rPr>
              <w:t>52</w:t>
            </w:r>
          </w:p>
        </w:tc>
        <w:tc>
          <w:tcPr>
            <w:tcW w:w="458" w:type="pct"/>
            <w:noWrap/>
            <w:vAlign w:val="center"/>
          </w:tcPr>
          <w:p w14:paraId="6B7F1132">
            <w:pPr>
              <w:pStyle w:val="1535"/>
            </w:pPr>
            <w:r>
              <w:rPr>
                <w:rFonts w:hint="eastAsia"/>
              </w:rPr>
              <w:t>/</w:t>
            </w:r>
          </w:p>
        </w:tc>
        <w:tc>
          <w:tcPr>
            <w:tcW w:w="565" w:type="pct"/>
            <w:noWrap/>
            <w:vAlign w:val="center"/>
          </w:tcPr>
          <w:p w14:paraId="04C39305">
            <w:pPr>
              <w:pStyle w:val="1535"/>
            </w:pPr>
            <w:r>
              <w:t>0.0</w:t>
            </w:r>
            <w:r>
              <w:rPr>
                <w:rFonts w:hint="eastAsia"/>
              </w:rPr>
              <w:t>0</w:t>
            </w:r>
            <w:r>
              <w:t>/0</w:t>
            </w:r>
          </w:p>
        </w:tc>
        <w:tc>
          <w:tcPr>
            <w:tcW w:w="498" w:type="pct"/>
            <w:noWrap/>
            <w:vAlign w:val="center"/>
          </w:tcPr>
          <w:p w14:paraId="5DEBD100">
            <w:pPr>
              <w:pStyle w:val="1535"/>
            </w:pPr>
            <w:r>
              <w:rPr>
                <w:rFonts w:hint="eastAsia"/>
              </w:rPr>
              <w:t>/</w:t>
            </w:r>
          </w:p>
        </w:tc>
        <w:tc>
          <w:tcPr>
            <w:tcW w:w="534" w:type="pct"/>
            <w:noWrap/>
            <w:vAlign w:val="center"/>
          </w:tcPr>
          <w:p w14:paraId="3ABDD0F4">
            <w:pPr>
              <w:pStyle w:val="1535"/>
            </w:pPr>
            <w:r>
              <w:t>0.0</w:t>
            </w:r>
            <w:r>
              <w:rPr>
                <w:rFonts w:hint="eastAsia"/>
              </w:rPr>
              <w:t>0</w:t>
            </w:r>
            <w:r>
              <w:t>/0</w:t>
            </w:r>
          </w:p>
        </w:tc>
        <w:tc>
          <w:tcPr>
            <w:tcW w:w="813" w:type="pct"/>
            <w:noWrap/>
            <w:vAlign w:val="center"/>
          </w:tcPr>
          <w:p w14:paraId="1F060652">
            <w:pPr>
              <w:pStyle w:val="1535"/>
            </w:pPr>
            <w:r>
              <w:rPr>
                <w:rFonts w:hint="eastAsia"/>
              </w:rPr>
              <w:t>/</w:t>
            </w:r>
          </w:p>
        </w:tc>
      </w:tr>
      <w:tr w14:paraId="15C0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0" w:type="pct"/>
            <w:noWrap/>
            <w:vAlign w:val="center"/>
          </w:tcPr>
          <w:p w14:paraId="73AD612C">
            <w:pPr>
              <w:pStyle w:val="1535"/>
            </w:pPr>
            <w:r>
              <w:t>最大占标率</w:t>
            </w:r>
          </w:p>
        </w:tc>
        <w:tc>
          <w:tcPr>
            <w:tcW w:w="733" w:type="pct"/>
            <w:noWrap/>
            <w:vAlign w:val="center"/>
          </w:tcPr>
          <w:p w14:paraId="5D75B80A">
            <w:pPr>
              <w:pStyle w:val="1535"/>
            </w:pPr>
            <w:r>
              <w:t>/</w:t>
            </w:r>
          </w:p>
        </w:tc>
        <w:tc>
          <w:tcPr>
            <w:tcW w:w="458" w:type="pct"/>
            <w:noWrap/>
            <w:vAlign w:val="center"/>
          </w:tcPr>
          <w:p w14:paraId="08223692">
            <w:pPr>
              <w:pStyle w:val="1535"/>
            </w:pPr>
            <w:r>
              <w:t>0.0</w:t>
            </w:r>
            <w:r>
              <w:rPr>
                <w:rFonts w:hint="eastAsia"/>
              </w:rPr>
              <w:t>0</w:t>
            </w:r>
            <w:r>
              <w:t>/0</w:t>
            </w:r>
          </w:p>
        </w:tc>
        <w:tc>
          <w:tcPr>
            <w:tcW w:w="565" w:type="pct"/>
            <w:noWrap/>
            <w:vAlign w:val="center"/>
          </w:tcPr>
          <w:p w14:paraId="239437D6">
            <w:pPr>
              <w:pStyle w:val="1535"/>
            </w:pPr>
            <w:r>
              <w:rPr>
                <w:rFonts w:hint="eastAsia"/>
              </w:rPr>
              <w:t>2.90</w:t>
            </w:r>
            <w:r>
              <w:t>/0</w:t>
            </w:r>
          </w:p>
        </w:tc>
        <w:tc>
          <w:tcPr>
            <w:tcW w:w="498" w:type="pct"/>
            <w:noWrap/>
            <w:vAlign w:val="center"/>
          </w:tcPr>
          <w:p w14:paraId="082EDA72">
            <w:pPr>
              <w:pStyle w:val="1535"/>
            </w:pPr>
            <w:r>
              <w:t>0.0</w:t>
            </w:r>
            <w:r>
              <w:rPr>
                <w:rFonts w:hint="eastAsia"/>
              </w:rPr>
              <w:t>5</w:t>
            </w:r>
            <w:r>
              <w:t>/0</w:t>
            </w:r>
          </w:p>
        </w:tc>
        <w:tc>
          <w:tcPr>
            <w:tcW w:w="534" w:type="pct"/>
            <w:noWrap/>
            <w:vAlign w:val="center"/>
          </w:tcPr>
          <w:p w14:paraId="087F08C1">
            <w:pPr>
              <w:pStyle w:val="1535"/>
            </w:pPr>
            <w:r>
              <w:rPr>
                <w:rFonts w:hint="eastAsia"/>
              </w:rPr>
              <w:t>0.02</w:t>
            </w:r>
            <w:r>
              <w:t>/0</w:t>
            </w:r>
          </w:p>
        </w:tc>
        <w:tc>
          <w:tcPr>
            <w:tcW w:w="813" w:type="pct"/>
            <w:noWrap/>
            <w:vAlign w:val="center"/>
          </w:tcPr>
          <w:p w14:paraId="0C7F9694">
            <w:pPr>
              <w:pStyle w:val="1535"/>
            </w:pPr>
            <w:r>
              <w:t>0.</w:t>
            </w:r>
            <w:r>
              <w:rPr>
                <w:rFonts w:hint="eastAsia"/>
              </w:rPr>
              <w:t>11</w:t>
            </w:r>
            <w:r>
              <w:t>/0</w:t>
            </w:r>
          </w:p>
        </w:tc>
      </w:tr>
      <w:bookmarkEnd w:id="82"/>
    </w:tbl>
    <w:p w14:paraId="10BC3791">
      <w:pPr>
        <w:ind w:firstLine="520"/>
        <w:rPr>
          <w:color w:val="000000" w:themeColor="text1"/>
          <w14:textFill>
            <w14:solidFill>
              <w14:schemeClr w14:val="tx1"/>
            </w14:solidFill>
          </w14:textFill>
        </w:rPr>
      </w:pPr>
      <w:bookmarkStart w:id="83" w:name="_Hlk160468388"/>
      <w:r>
        <w:rPr>
          <w:color w:val="000000" w:themeColor="text1"/>
          <w14:textFill>
            <w14:solidFill>
              <w14:schemeClr w14:val="tx1"/>
            </w14:solidFill>
          </w14:textFill>
        </w:rPr>
        <w:t>根据项目污染源的正常排放的污染物的Pmax和D10%预测结果（详见表5.1-8），项目Pmax最大值为</w:t>
      </w:r>
      <w:r>
        <w:rPr>
          <w:rFonts w:hint="eastAsia"/>
          <w:color w:val="000000" w:themeColor="text1"/>
          <w14:textFill>
            <w14:solidFill>
              <w14:schemeClr w14:val="tx1"/>
            </w14:solidFill>
          </w14:textFill>
        </w:rPr>
        <w:t>2.90</w:t>
      </w:r>
      <w:r>
        <w:rPr>
          <w:color w:val="000000" w:themeColor="text1"/>
          <w14:textFill>
            <w14:solidFill>
              <w14:schemeClr w14:val="tx1"/>
            </w14:solidFill>
          </w14:textFill>
        </w:rPr>
        <w:t>%。根据《环境影响评价技术导则大气环境》(HJ2.2-2018)分级判据，确定扩建项目大气环境影响评价工作等级为</w:t>
      </w:r>
      <w:r>
        <w:rPr>
          <w:b/>
          <w:color w:val="000000" w:themeColor="text1"/>
          <w14:textFill>
            <w14:solidFill>
              <w14:schemeClr w14:val="tx1"/>
            </w14:solidFill>
          </w14:textFill>
        </w:rPr>
        <w:t>二级</w:t>
      </w:r>
      <w:r>
        <w:rPr>
          <w:color w:val="000000" w:themeColor="text1"/>
          <w14:textFill>
            <w14:solidFill>
              <w14:schemeClr w14:val="tx1"/>
            </w14:solidFill>
          </w14:textFill>
        </w:rPr>
        <w:t>，具体判定情况见章节6.1。</w:t>
      </w:r>
    </w:p>
    <w:p w14:paraId="1FAC821B">
      <w:pPr>
        <w:ind w:firstLine="520"/>
        <w:rPr>
          <w:color w:val="000000" w:themeColor="text1"/>
          <w14:textFill>
            <w14:solidFill>
              <w14:schemeClr w14:val="tx1"/>
            </w14:solidFill>
          </w14:textFill>
        </w:rPr>
      </w:pPr>
      <w:r>
        <w:rPr>
          <w:color w:val="000000" w:themeColor="text1"/>
          <w14:textFill>
            <w14:solidFill>
              <w14:schemeClr w14:val="tx1"/>
            </w14:solidFill>
          </w14:textFill>
        </w:rPr>
        <w:t>评价范围：以厂址为中心，取边长为5km的矩形区域。</w:t>
      </w:r>
    </w:p>
    <w:bookmarkEnd w:id="83"/>
    <w:p w14:paraId="380803C6">
      <w:pPr>
        <w:pStyle w:val="5"/>
        <w:rPr>
          <w:bCs/>
          <w:color w:val="000000" w:themeColor="text1"/>
          <w14:textFill>
            <w14:solidFill>
              <w14:schemeClr w14:val="tx1"/>
            </w14:solidFill>
          </w14:textFill>
        </w:rPr>
      </w:pPr>
      <w:r>
        <w:rPr>
          <w:color w:val="000000" w:themeColor="text1"/>
          <w14:textFill>
            <w14:solidFill>
              <w14:schemeClr w14:val="tx1"/>
            </w14:solidFill>
          </w14:textFill>
        </w:rPr>
        <w:t>地表水环境</w:t>
      </w:r>
    </w:p>
    <w:p w14:paraId="2685A516">
      <w:pPr>
        <w:ind w:firstLine="520"/>
        <w:rPr>
          <w:color w:val="000000" w:themeColor="text1"/>
          <w14:textFill>
            <w14:solidFill>
              <w14:schemeClr w14:val="tx1"/>
            </w14:solidFill>
          </w14:textFill>
        </w:rPr>
      </w:pPr>
      <w:bookmarkStart w:id="84" w:name="_Hlk160468567"/>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废水经</w:t>
      </w:r>
      <w:r>
        <w:rPr>
          <w:rFonts w:hint="eastAsia"/>
          <w:color w:val="000000" w:themeColor="text1"/>
          <w14:textFill>
            <w14:solidFill>
              <w14:schemeClr w14:val="tx1"/>
            </w14:solidFill>
          </w14:textFill>
        </w:rPr>
        <w:t>厂区</w:t>
      </w:r>
      <w:r>
        <w:rPr>
          <w:color w:val="000000" w:themeColor="text1"/>
          <w14:textFill>
            <w14:solidFill>
              <w14:schemeClr w14:val="tx1"/>
            </w14:solidFill>
          </w14:textFill>
        </w:rPr>
        <w:t>废水处理系统处理后均纳入已建成的西彭园区污水管网，经约10km市政污水管网排入西彭工业园区污水处理厂处理达标后经由桥头河排入长江，属间接排放。根据《环境影响评价技术导则地表水环境》（HJ2.3-2018），本次地表水环境影响评价工作等级为</w:t>
      </w:r>
      <w:r>
        <w:rPr>
          <w:b/>
          <w:color w:val="000000" w:themeColor="text1"/>
          <w14:textFill>
            <w14:solidFill>
              <w14:schemeClr w14:val="tx1"/>
            </w14:solidFill>
          </w14:textFill>
        </w:rPr>
        <w:t>三级B</w:t>
      </w:r>
      <w:r>
        <w:rPr>
          <w:color w:val="000000" w:themeColor="text1"/>
          <w14:textFill>
            <w14:solidFill>
              <w14:schemeClr w14:val="tx1"/>
            </w14:solidFill>
          </w14:textFill>
        </w:rPr>
        <w:t>，本环评作依托污水处理设施处理可行性和依托西彭工业园区污水处理厂可行性分析</w:t>
      </w:r>
      <w:bookmarkEnd w:id="84"/>
      <w:r>
        <w:rPr>
          <w:color w:val="000000" w:themeColor="text1"/>
          <w14:textFill>
            <w14:solidFill>
              <w14:schemeClr w14:val="tx1"/>
            </w14:solidFill>
          </w14:textFill>
        </w:rPr>
        <w:t>。</w:t>
      </w:r>
    </w:p>
    <w:p w14:paraId="701B14E1">
      <w:pPr>
        <w:ind w:firstLine="520"/>
        <w:rPr>
          <w:color w:val="000000" w:themeColor="text1"/>
          <w14:textFill>
            <w14:solidFill>
              <w14:schemeClr w14:val="tx1"/>
            </w14:solidFill>
          </w14:textFill>
        </w:rPr>
      </w:pPr>
      <w:r>
        <w:rPr>
          <w:color w:val="000000" w:themeColor="text1"/>
          <w14:textFill>
            <w14:solidFill>
              <w14:schemeClr w14:val="tx1"/>
            </w14:solidFill>
          </w14:textFill>
        </w:rPr>
        <w:t>评价范围：不设置地表水评价范围，仅引用数据评价长江水质现状。</w:t>
      </w:r>
    </w:p>
    <w:p w14:paraId="59FCFE69">
      <w:pPr>
        <w:pStyle w:val="5"/>
        <w:rPr>
          <w:bCs/>
          <w:color w:val="000000" w:themeColor="text1"/>
          <w14:textFill>
            <w14:solidFill>
              <w14:schemeClr w14:val="tx1"/>
            </w14:solidFill>
          </w14:textFill>
        </w:rPr>
      </w:pPr>
      <w:r>
        <w:rPr>
          <w:color w:val="000000" w:themeColor="text1"/>
          <w14:textFill>
            <w14:solidFill>
              <w14:schemeClr w14:val="tx1"/>
            </w14:solidFill>
          </w14:textFill>
        </w:rPr>
        <w:t>地下水环境</w:t>
      </w:r>
    </w:p>
    <w:p w14:paraId="59B8F9F4">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（1）评价工作等级</w:t>
      </w:r>
    </w:p>
    <w:p w14:paraId="2859F07D">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根据《环境影响评价技术导则  地下水环境》（HJ 610-2016），地下水环境评价工作等级分级见下表。</w:t>
      </w:r>
    </w:p>
    <w:p w14:paraId="1D6BC600">
      <w:pPr>
        <w:spacing w:before="24"/>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地下水评价工作等级判定表</w:t>
      </w:r>
    </w:p>
    <w:tbl>
      <w:tblPr>
        <w:tblStyle w:val="8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2214"/>
        <w:gridCol w:w="2214"/>
        <w:gridCol w:w="2216"/>
      </w:tblGrid>
      <w:tr w14:paraId="64AC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tcBorders>
              <w:tl2br w:val="single" w:color="auto" w:sz="4" w:space="0"/>
            </w:tcBorders>
            <w:vAlign w:val="center"/>
          </w:tcPr>
          <w:p w14:paraId="4A97B8A1">
            <w:pPr>
              <w:pStyle w:val="1535"/>
            </w:pPr>
            <w:r>
              <w:t>项目类别</w:t>
            </w:r>
          </w:p>
          <w:p w14:paraId="3992CF08">
            <w:pPr>
              <w:pStyle w:val="1535"/>
            </w:pPr>
            <w:r>
              <w:t>环境敏感程度</w:t>
            </w:r>
          </w:p>
        </w:tc>
        <w:tc>
          <w:tcPr>
            <w:tcW w:w="1250" w:type="pct"/>
            <w:vAlign w:val="center"/>
          </w:tcPr>
          <w:p w14:paraId="501D37E1">
            <w:pPr>
              <w:pStyle w:val="1535"/>
            </w:pPr>
            <w:r>
              <w:t>Ⅰ类项目</w:t>
            </w:r>
          </w:p>
        </w:tc>
        <w:tc>
          <w:tcPr>
            <w:tcW w:w="1250" w:type="pct"/>
            <w:vAlign w:val="center"/>
          </w:tcPr>
          <w:p w14:paraId="0BF581A4">
            <w:pPr>
              <w:pStyle w:val="1535"/>
            </w:pPr>
            <w:r>
              <w:t>Ⅱ类项目</w:t>
            </w:r>
          </w:p>
        </w:tc>
        <w:tc>
          <w:tcPr>
            <w:tcW w:w="1251" w:type="pct"/>
            <w:vAlign w:val="center"/>
          </w:tcPr>
          <w:p w14:paraId="647B2E51">
            <w:pPr>
              <w:pStyle w:val="1535"/>
            </w:pPr>
            <w:r>
              <w:t>Ⅲ类项目</w:t>
            </w:r>
          </w:p>
        </w:tc>
      </w:tr>
      <w:tr w14:paraId="4A85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vAlign w:val="center"/>
          </w:tcPr>
          <w:p w14:paraId="5442DCE3">
            <w:pPr>
              <w:pStyle w:val="1535"/>
            </w:pPr>
            <w:r>
              <w:t>敏感</w:t>
            </w:r>
          </w:p>
        </w:tc>
        <w:tc>
          <w:tcPr>
            <w:tcW w:w="1250" w:type="pct"/>
            <w:vAlign w:val="center"/>
          </w:tcPr>
          <w:p w14:paraId="2420CBA8">
            <w:pPr>
              <w:pStyle w:val="1535"/>
            </w:pPr>
            <w:r>
              <w:t>一</w:t>
            </w:r>
          </w:p>
        </w:tc>
        <w:tc>
          <w:tcPr>
            <w:tcW w:w="1250" w:type="pct"/>
            <w:vAlign w:val="center"/>
          </w:tcPr>
          <w:p w14:paraId="1931A1AF">
            <w:pPr>
              <w:pStyle w:val="1535"/>
            </w:pPr>
            <w:r>
              <w:t>一</w:t>
            </w:r>
          </w:p>
        </w:tc>
        <w:tc>
          <w:tcPr>
            <w:tcW w:w="1251" w:type="pct"/>
            <w:vAlign w:val="center"/>
          </w:tcPr>
          <w:p w14:paraId="20146C26">
            <w:pPr>
              <w:pStyle w:val="1535"/>
            </w:pPr>
            <w:r>
              <w:t>二</w:t>
            </w:r>
          </w:p>
        </w:tc>
      </w:tr>
      <w:tr w14:paraId="4F01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vAlign w:val="center"/>
          </w:tcPr>
          <w:p w14:paraId="088DFF06">
            <w:pPr>
              <w:pStyle w:val="1535"/>
            </w:pPr>
            <w:r>
              <w:t>较敏感</w:t>
            </w:r>
          </w:p>
        </w:tc>
        <w:tc>
          <w:tcPr>
            <w:tcW w:w="1250" w:type="pct"/>
            <w:vAlign w:val="center"/>
          </w:tcPr>
          <w:p w14:paraId="4A7D3B88">
            <w:pPr>
              <w:pStyle w:val="1535"/>
            </w:pPr>
            <w:r>
              <w:t>一</w:t>
            </w:r>
          </w:p>
        </w:tc>
        <w:tc>
          <w:tcPr>
            <w:tcW w:w="1250" w:type="pct"/>
            <w:vAlign w:val="center"/>
          </w:tcPr>
          <w:p w14:paraId="4161ACA5">
            <w:pPr>
              <w:pStyle w:val="1535"/>
            </w:pPr>
            <w:r>
              <w:t>二</w:t>
            </w:r>
          </w:p>
        </w:tc>
        <w:tc>
          <w:tcPr>
            <w:tcW w:w="1251" w:type="pct"/>
            <w:vAlign w:val="center"/>
          </w:tcPr>
          <w:p w14:paraId="5B29006B">
            <w:pPr>
              <w:pStyle w:val="1535"/>
            </w:pPr>
            <w:r>
              <w:t>三</w:t>
            </w:r>
          </w:p>
        </w:tc>
      </w:tr>
      <w:tr w14:paraId="72F7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vAlign w:val="center"/>
          </w:tcPr>
          <w:p w14:paraId="198DCD52">
            <w:pPr>
              <w:pStyle w:val="1535"/>
            </w:pPr>
            <w:r>
              <w:t>不敏感</w:t>
            </w:r>
          </w:p>
        </w:tc>
        <w:tc>
          <w:tcPr>
            <w:tcW w:w="1250" w:type="pct"/>
            <w:vAlign w:val="center"/>
          </w:tcPr>
          <w:p w14:paraId="700A90F0">
            <w:pPr>
              <w:pStyle w:val="1535"/>
            </w:pPr>
            <w:r>
              <w:t>二</w:t>
            </w:r>
          </w:p>
        </w:tc>
        <w:tc>
          <w:tcPr>
            <w:tcW w:w="1250" w:type="pct"/>
            <w:vAlign w:val="center"/>
          </w:tcPr>
          <w:p w14:paraId="60673255">
            <w:pPr>
              <w:pStyle w:val="1535"/>
            </w:pPr>
            <w:r>
              <w:t>三</w:t>
            </w:r>
          </w:p>
        </w:tc>
        <w:tc>
          <w:tcPr>
            <w:tcW w:w="1251" w:type="pct"/>
            <w:vAlign w:val="center"/>
          </w:tcPr>
          <w:p w14:paraId="7202DD7D">
            <w:pPr>
              <w:pStyle w:val="1535"/>
            </w:pPr>
            <w:r>
              <w:t>三</w:t>
            </w:r>
          </w:p>
        </w:tc>
      </w:tr>
    </w:tbl>
    <w:p w14:paraId="2D2C8B8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地下水环境》（HJ 610-2016）附录A，扩建项目两处地块均位于同一水文地质单位，本次整体进行地下水评价。根据项目产品类别，其中碳化硅涂层产品属于“K 机械、电子-82半导体材料” 地下水环境影响评价项目类别为</w:t>
      </w:r>
      <w:r>
        <w:rPr>
          <w:rFonts w:hint="eastAsia" w:ascii="宋体" w:hAnsi="宋体"/>
          <w:color w:val="000000" w:themeColor="text1"/>
          <w14:textFill>
            <w14:solidFill>
              <w14:schemeClr w14:val="tx1"/>
            </w14:solidFill>
          </w14:textFill>
        </w:rPr>
        <w:t>Ⅳ</w:t>
      </w:r>
      <w:r>
        <w:rPr>
          <w:rFonts w:hint="eastAsia"/>
          <w:color w:val="000000" w:themeColor="text1"/>
          <w14:textFill>
            <w14:solidFill>
              <w14:schemeClr w14:val="tx1"/>
            </w14:solidFill>
          </w14:textFill>
        </w:rPr>
        <w:t>类；石墨产品属于“J 非金属矿采选及制品制造-69、石墨及其他非金属矿物制品”地下水环境影响评价项目类别为III类。综上本次从严考虑地下水环境影响评价项目类别为</w:t>
      </w:r>
      <w:r>
        <w:rPr>
          <w:rFonts w:hint="eastAsia" w:ascii="宋体" w:hAnsi="宋体"/>
          <w:color w:val="000000" w:themeColor="text1"/>
          <w14:textFill>
            <w14:solidFill>
              <w14:schemeClr w14:val="tx1"/>
            </w14:solidFill>
          </w14:textFill>
        </w:rPr>
        <w:t>Ⅲ类。</w:t>
      </w:r>
    </w:p>
    <w:p w14:paraId="20F0CCE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位于西彭工业园，评价范围内无集中式饮用水水源准保护区及准保护区以外的补给径流区；无未划定准保护区的集中水式饮用水水源及其保护区以外的补给径流区；无除集中式饮用水水源以外的国家或地方政府设定的与地下水环境相关的其它保护区；也无分散式饮用水水源地，特殊地下水资源保护区以外的分布区等其他未列入上述敏感分级的环境敏感区。项目地下水评价范围内自来水管网已覆盖，水源来自长江，居民不使用地下水作为饮用水水源。因此，项目的地下水环境敏感程度为不敏感。</w:t>
      </w:r>
    </w:p>
    <w:p w14:paraId="50F06E4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综上，根据《环境影响评价技术导则  地下水环境》（HJ 610-2016），确定本项目地下水环境评价工作等级为三级。</w:t>
      </w:r>
    </w:p>
    <w:p w14:paraId="32C2E5B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（2）评价范围</w:t>
      </w:r>
    </w:p>
    <w:p w14:paraId="79F39477">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地下水环境》（HJ 610-2016）查表法，地下水三级评价评价范围不大于6km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，本次评价根据项目所在水文地质单元情况及周边无重要的地下水环境保护目标分布，确定扩建项目地下水评价范围为5.7km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10938428">
      <w:pPr>
        <w:pStyle w:val="5"/>
        <w:rPr>
          <w:bCs/>
          <w:color w:val="000000" w:themeColor="text1"/>
          <w14:textFill>
            <w14:solidFill>
              <w14:schemeClr w14:val="tx1"/>
            </w14:solidFill>
          </w14:textFill>
        </w:rPr>
      </w:pPr>
      <w:bookmarkStart w:id="85" w:name="_Toc11942516"/>
      <w:r>
        <w:rPr>
          <w:color w:val="000000" w:themeColor="text1"/>
          <w14:textFill>
            <w14:solidFill>
              <w14:schemeClr w14:val="tx1"/>
            </w14:solidFill>
          </w14:textFill>
        </w:rPr>
        <w:t>声环境</w:t>
      </w:r>
      <w:bookmarkEnd w:id="85"/>
    </w:p>
    <w:p w14:paraId="0641ADCE">
      <w:pPr>
        <w:ind w:firstLine="520"/>
        <w:rPr>
          <w:color w:val="000000" w:themeColor="text1"/>
          <w14:textFill>
            <w14:solidFill>
              <w14:schemeClr w14:val="tx1"/>
            </w14:solidFill>
          </w14:textFill>
        </w:rPr>
      </w:pPr>
      <w:bookmarkStart w:id="86" w:name="_Toc11942517"/>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重庆市生态环境局关于印发《重庆市中心城区声环境功能区划分方案（2023年）》的函（渝环〔2023〕61号）</w:t>
      </w:r>
      <w:r>
        <w:rPr>
          <w:color w:val="000000" w:themeColor="text1"/>
          <w14:textFill>
            <w14:solidFill>
              <w14:schemeClr w14:val="tx1"/>
            </w14:solidFill>
          </w14:textFill>
        </w:rPr>
        <w:t>规定，扩建项目所在的区域属于3类声环境功能区</w:t>
      </w:r>
      <w:r>
        <w:rPr>
          <w:rFonts w:hint="eastAsia"/>
          <w:color w:val="000000" w:themeColor="text1"/>
          <w14:textFill>
            <w14:solidFill>
              <w14:schemeClr w14:val="tx1"/>
            </w14:solidFill>
          </w14:textFill>
        </w:rPr>
        <w:t>，且项目建设前后评价范围内声环境保护目标噪声级增量在 3 dB(A)以下（不含 3 dB(A)），根据</w:t>
      </w:r>
      <w:r>
        <w:rPr>
          <w:color w:val="000000" w:themeColor="text1"/>
          <w14:textFill>
            <w14:solidFill>
              <w14:schemeClr w14:val="tx1"/>
            </w14:solidFill>
          </w14:textFill>
        </w:rPr>
        <w:t>《环境影响评价技术导则声环境》（HJ2.4-20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）的要求确定扩建项目噪声评价等级为三级。</w:t>
      </w:r>
    </w:p>
    <w:p w14:paraId="20B55EF3">
      <w:pPr>
        <w:ind w:firstLine="520"/>
        <w:rPr>
          <w:color w:val="000000" w:themeColor="text1"/>
          <w14:textFill>
            <w14:solidFill>
              <w14:schemeClr w14:val="tx1"/>
            </w14:solidFill>
          </w14:textFill>
        </w:rPr>
      </w:pPr>
      <w:r>
        <w:rPr>
          <w:color w:val="000000" w:themeColor="text1"/>
          <w14:textFill>
            <w14:solidFill>
              <w14:schemeClr w14:val="tx1"/>
            </w14:solidFill>
          </w14:textFill>
        </w:rPr>
        <w:t>评价范围：厂界外200m为评价范围。</w:t>
      </w:r>
    </w:p>
    <w:p w14:paraId="69086312">
      <w:pPr>
        <w:pStyle w:val="5"/>
        <w:rPr>
          <w:color w:val="000000" w:themeColor="text1"/>
          <w14:textFill>
            <w14:solidFill>
              <w14:schemeClr w14:val="tx1"/>
            </w14:solidFill>
          </w14:textFill>
        </w:rPr>
      </w:pPr>
      <w:r>
        <w:rPr>
          <w:color w:val="000000" w:themeColor="text1"/>
          <w14:textFill>
            <w14:solidFill>
              <w14:schemeClr w14:val="tx1"/>
            </w14:solidFill>
          </w14:textFill>
        </w:rPr>
        <w:t>生态环境</w:t>
      </w:r>
      <w:bookmarkEnd w:id="86"/>
    </w:p>
    <w:p w14:paraId="01CD9EBB">
      <w:pPr>
        <w:ind w:firstLine="520"/>
        <w:rPr>
          <w:color w:val="000000" w:themeColor="text1"/>
          <w14:textFill>
            <w14:solidFill>
              <w14:schemeClr w14:val="tx1"/>
            </w14:solidFill>
          </w14:textFill>
        </w:rPr>
      </w:pPr>
      <w:bookmarkStart w:id="87" w:name="_Toc290277400"/>
      <w:bookmarkStart w:id="88" w:name="_Toc290277051"/>
      <w:bookmarkStart w:id="89" w:name="_Toc144475298"/>
      <w:bookmarkStart w:id="90" w:name="_Toc290276702"/>
      <w:bookmarkStart w:id="91" w:name="_Toc40050781"/>
      <w:r>
        <w:rPr>
          <w:color w:val="000000" w:themeColor="text1"/>
          <w14:textFill>
            <w14:solidFill>
              <w14:schemeClr w14:val="tx1"/>
            </w14:solidFill>
          </w14:textFill>
        </w:rPr>
        <w:t>根据《环境影响评价技术导则</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生态影响》（HJ19-2022），</w:t>
      </w:r>
      <w:r>
        <w:rPr>
          <w:rFonts w:hint="eastAsia"/>
          <w:color w:val="000000" w:themeColor="text1"/>
          <w14:textFill>
            <w14:solidFill>
              <w14:schemeClr w14:val="tx1"/>
            </w14:solidFill>
          </w14:textFill>
        </w:rPr>
        <w:t>扩建项目位于工业园区内，属于位于原厂界范围内的污染影响类扩建项目；项目位于已批准规划环评的产业园区且符合规划环评要求，不涉及生态敏感区的污染影响类建设项目，可不确定评价等级，直接进行生态影响简单分析</w:t>
      </w:r>
      <w:r>
        <w:rPr>
          <w:color w:val="000000" w:themeColor="text1"/>
          <w14:textFill>
            <w14:solidFill>
              <w14:schemeClr w14:val="tx1"/>
            </w14:solidFill>
          </w14:textFill>
        </w:rPr>
        <w:t>。</w:t>
      </w:r>
    </w:p>
    <w:p w14:paraId="484F22B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评价范围：项目不设生态环境评价范围</w:t>
      </w:r>
      <w:r>
        <w:rPr>
          <w:b/>
          <w:color w:val="000000" w:themeColor="text1"/>
          <w14:textFill>
            <w14:solidFill>
              <w14:schemeClr w14:val="tx1"/>
            </w14:solidFill>
          </w14:textFill>
        </w:rPr>
        <w:t>。</w:t>
      </w:r>
    </w:p>
    <w:p w14:paraId="1EF34B21">
      <w:pPr>
        <w:pStyle w:val="5"/>
        <w:rPr>
          <w:bCs/>
          <w:color w:val="000000" w:themeColor="text1"/>
          <w14:textFill>
            <w14:solidFill>
              <w14:schemeClr w14:val="tx1"/>
            </w14:solidFill>
          </w14:textFill>
        </w:rPr>
      </w:pPr>
      <w:bookmarkStart w:id="92" w:name="_Toc11942518"/>
      <w:r>
        <w:rPr>
          <w:color w:val="000000" w:themeColor="text1"/>
          <w14:textFill>
            <w14:solidFill>
              <w14:schemeClr w14:val="tx1"/>
            </w14:solidFill>
          </w14:textFill>
        </w:rPr>
        <w:t>环境风险</w:t>
      </w:r>
      <w:bookmarkEnd w:id="87"/>
      <w:bookmarkEnd w:id="88"/>
      <w:bookmarkEnd w:id="89"/>
      <w:bookmarkEnd w:id="90"/>
      <w:bookmarkEnd w:id="91"/>
      <w:bookmarkEnd w:id="92"/>
    </w:p>
    <w:p w14:paraId="76960581">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评价技术导则》（HJ169-2018），建设项目环境风险潜势划分为I、II、III、IV、IV+级，根据建设项目涉及的物质和工艺系统的危险性以及所在地的环境敏感程度，结合事故下的环境影响途径，按照</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_Ref160540972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1.6</w:t>
      </w:r>
      <w:r>
        <w:rPr>
          <w:color w:val="000000" w:themeColor="text1"/>
          <w14:textFill>
            <w14:solidFill>
              <w14:schemeClr w14:val="tx1"/>
            </w14:solidFill>
          </w14:textFill>
        </w:rPr>
        <w:noBreakHyphen/>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确定环境风险潜势。</w:t>
      </w:r>
    </w:p>
    <w:p w14:paraId="745E21DE">
      <w:pPr>
        <w:spacing w:before="24"/>
        <w:ind w:firstLine="0" w:firstLineChars="0"/>
        <w:jc w:val="center"/>
        <w:rPr>
          <w:color w:val="000000" w:themeColor="text1"/>
          <w14:textFill>
            <w14:solidFill>
              <w14:schemeClr w14:val="tx1"/>
            </w14:solidFill>
          </w14:textFill>
        </w:rPr>
      </w:pPr>
      <w:bookmarkStart w:id="93" w:name="_Ref160540972"/>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bookmarkEnd w:id="93"/>
      <w:r>
        <w:rPr>
          <w:color w:val="000000" w:themeColor="text1"/>
          <w14:textFill>
            <w14:solidFill>
              <w14:schemeClr w14:val="tx1"/>
            </w14:solidFill>
          </w14:textFill>
        </w:rPr>
        <w:t xml:space="preserve">  建设项目环境风险潜势划分</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1660"/>
        <w:gridCol w:w="1660"/>
        <w:gridCol w:w="1638"/>
        <w:gridCol w:w="1690"/>
      </w:tblGrid>
      <w:tr w14:paraId="0B5C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7" w:type="pct"/>
            <w:vMerge w:val="restart"/>
            <w:vAlign w:val="center"/>
          </w:tcPr>
          <w:p w14:paraId="5A46332A">
            <w:pPr>
              <w:pStyle w:val="1535"/>
            </w:pPr>
            <w:r>
              <w:t>环境敏感程度(E)</w:t>
            </w:r>
          </w:p>
        </w:tc>
        <w:tc>
          <w:tcPr>
            <w:tcW w:w="3752" w:type="pct"/>
            <w:gridSpan w:val="4"/>
            <w:vAlign w:val="center"/>
          </w:tcPr>
          <w:p w14:paraId="5225B34A">
            <w:pPr>
              <w:pStyle w:val="1535"/>
            </w:pPr>
            <w:r>
              <w:t>危险物质及工艺系统危险性(P)</w:t>
            </w:r>
          </w:p>
        </w:tc>
      </w:tr>
      <w:tr w14:paraId="6A83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7" w:type="pct"/>
            <w:vMerge w:val="continue"/>
            <w:vAlign w:val="center"/>
          </w:tcPr>
          <w:p w14:paraId="6385D701">
            <w:pPr>
              <w:pStyle w:val="1535"/>
            </w:pPr>
          </w:p>
        </w:tc>
        <w:tc>
          <w:tcPr>
            <w:tcW w:w="937" w:type="pct"/>
            <w:vAlign w:val="center"/>
          </w:tcPr>
          <w:p w14:paraId="2096338E">
            <w:pPr>
              <w:pStyle w:val="1535"/>
            </w:pPr>
            <w:r>
              <w:t>极高危害(P1)</w:t>
            </w:r>
          </w:p>
        </w:tc>
        <w:tc>
          <w:tcPr>
            <w:tcW w:w="937" w:type="pct"/>
            <w:vAlign w:val="center"/>
          </w:tcPr>
          <w:p w14:paraId="3D44A188">
            <w:pPr>
              <w:pStyle w:val="1535"/>
            </w:pPr>
            <w:r>
              <w:t>高度危害(P2)</w:t>
            </w:r>
          </w:p>
        </w:tc>
        <w:tc>
          <w:tcPr>
            <w:tcW w:w="925" w:type="pct"/>
            <w:vAlign w:val="center"/>
          </w:tcPr>
          <w:p w14:paraId="0CF5BB2C">
            <w:pPr>
              <w:pStyle w:val="1535"/>
            </w:pPr>
            <w:r>
              <w:t>中度危害(P3)</w:t>
            </w:r>
          </w:p>
        </w:tc>
        <w:tc>
          <w:tcPr>
            <w:tcW w:w="951" w:type="pct"/>
            <w:vAlign w:val="center"/>
          </w:tcPr>
          <w:p w14:paraId="4A1A3584">
            <w:pPr>
              <w:pStyle w:val="1535"/>
            </w:pPr>
            <w:r>
              <w:t>轻度危害(P4)</w:t>
            </w:r>
          </w:p>
        </w:tc>
      </w:tr>
      <w:tr w14:paraId="4D16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7" w:type="pct"/>
            <w:vAlign w:val="center"/>
          </w:tcPr>
          <w:p w14:paraId="5F7844BD">
            <w:pPr>
              <w:pStyle w:val="1535"/>
            </w:pPr>
            <w:r>
              <w:t>环境高度敏感(E1)</w:t>
            </w:r>
          </w:p>
        </w:tc>
        <w:tc>
          <w:tcPr>
            <w:tcW w:w="937" w:type="pct"/>
            <w:vAlign w:val="center"/>
          </w:tcPr>
          <w:p w14:paraId="23F1E286">
            <w:pPr>
              <w:pStyle w:val="1535"/>
            </w:pPr>
            <w:r>
              <w:t>IV+</w:t>
            </w:r>
          </w:p>
        </w:tc>
        <w:tc>
          <w:tcPr>
            <w:tcW w:w="937" w:type="pct"/>
            <w:vAlign w:val="center"/>
          </w:tcPr>
          <w:p w14:paraId="118BFCAF">
            <w:pPr>
              <w:pStyle w:val="1535"/>
            </w:pPr>
            <w:r>
              <w:t>IV</w:t>
            </w:r>
          </w:p>
        </w:tc>
        <w:tc>
          <w:tcPr>
            <w:tcW w:w="925" w:type="pct"/>
            <w:vAlign w:val="center"/>
          </w:tcPr>
          <w:p w14:paraId="42697C6C">
            <w:pPr>
              <w:pStyle w:val="1535"/>
            </w:pPr>
            <w:r>
              <w:t>III</w:t>
            </w:r>
          </w:p>
        </w:tc>
        <w:tc>
          <w:tcPr>
            <w:tcW w:w="951" w:type="pct"/>
            <w:vAlign w:val="center"/>
          </w:tcPr>
          <w:p w14:paraId="63D71393">
            <w:pPr>
              <w:pStyle w:val="1535"/>
            </w:pPr>
            <w:r>
              <w:t>III</w:t>
            </w:r>
          </w:p>
        </w:tc>
      </w:tr>
      <w:tr w14:paraId="215C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7" w:type="pct"/>
            <w:vAlign w:val="center"/>
          </w:tcPr>
          <w:p w14:paraId="7EEFD9FA">
            <w:pPr>
              <w:pStyle w:val="1535"/>
            </w:pPr>
            <w:r>
              <w:t>环境中度敏感(E2)</w:t>
            </w:r>
          </w:p>
        </w:tc>
        <w:tc>
          <w:tcPr>
            <w:tcW w:w="937" w:type="pct"/>
            <w:vAlign w:val="center"/>
          </w:tcPr>
          <w:p w14:paraId="528A38EA">
            <w:pPr>
              <w:pStyle w:val="1535"/>
            </w:pPr>
            <w:r>
              <w:t>IV</w:t>
            </w:r>
          </w:p>
        </w:tc>
        <w:tc>
          <w:tcPr>
            <w:tcW w:w="937" w:type="pct"/>
            <w:vAlign w:val="center"/>
          </w:tcPr>
          <w:p w14:paraId="1BB654D5">
            <w:pPr>
              <w:pStyle w:val="1535"/>
            </w:pPr>
            <w:r>
              <w:t>III</w:t>
            </w:r>
          </w:p>
        </w:tc>
        <w:tc>
          <w:tcPr>
            <w:tcW w:w="925" w:type="pct"/>
            <w:vAlign w:val="center"/>
          </w:tcPr>
          <w:p w14:paraId="3CE13177">
            <w:pPr>
              <w:pStyle w:val="1535"/>
            </w:pPr>
            <w:r>
              <w:t>III</w:t>
            </w:r>
          </w:p>
        </w:tc>
        <w:tc>
          <w:tcPr>
            <w:tcW w:w="951" w:type="pct"/>
            <w:vAlign w:val="center"/>
          </w:tcPr>
          <w:p w14:paraId="26338404">
            <w:pPr>
              <w:pStyle w:val="1535"/>
            </w:pPr>
            <w:r>
              <w:t>II</w:t>
            </w:r>
          </w:p>
        </w:tc>
      </w:tr>
      <w:tr w14:paraId="6589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7" w:type="pct"/>
            <w:vAlign w:val="center"/>
          </w:tcPr>
          <w:p w14:paraId="6B70196A">
            <w:pPr>
              <w:pStyle w:val="1535"/>
            </w:pPr>
            <w:r>
              <w:t>环境低度敏感(E3)</w:t>
            </w:r>
          </w:p>
        </w:tc>
        <w:tc>
          <w:tcPr>
            <w:tcW w:w="937" w:type="pct"/>
            <w:vAlign w:val="center"/>
          </w:tcPr>
          <w:p w14:paraId="468BED72">
            <w:pPr>
              <w:pStyle w:val="1535"/>
            </w:pPr>
            <w:r>
              <w:t>III</w:t>
            </w:r>
          </w:p>
        </w:tc>
        <w:tc>
          <w:tcPr>
            <w:tcW w:w="937" w:type="pct"/>
            <w:vAlign w:val="center"/>
          </w:tcPr>
          <w:p w14:paraId="012104A9">
            <w:pPr>
              <w:pStyle w:val="1535"/>
            </w:pPr>
            <w:r>
              <w:t>III</w:t>
            </w:r>
          </w:p>
        </w:tc>
        <w:tc>
          <w:tcPr>
            <w:tcW w:w="925" w:type="pct"/>
            <w:vAlign w:val="center"/>
          </w:tcPr>
          <w:p w14:paraId="6ABC7D7E">
            <w:pPr>
              <w:pStyle w:val="1535"/>
            </w:pPr>
            <w:r>
              <w:t>II</w:t>
            </w:r>
          </w:p>
        </w:tc>
        <w:tc>
          <w:tcPr>
            <w:tcW w:w="951" w:type="pct"/>
            <w:vAlign w:val="center"/>
          </w:tcPr>
          <w:p w14:paraId="5C272A28">
            <w:pPr>
              <w:pStyle w:val="1535"/>
            </w:pPr>
            <w:r>
              <w:t>I</w:t>
            </w:r>
          </w:p>
        </w:tc>
      </w:tr>
      <w:tr w14:paraId="1D17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vAlign w:val="center"/>
          </w:tcPr>
          <w:p w14:paraId="5ACD9D44">
            <w:pPr>
              <w:pStyle w:val="1535"/>
            </w:pPr>
            <w:r>
              <w:t>注：IV+为极高环境风险</w:t>
            </w:r>
          </w:p>
        </w:tc>
      </w:tr>
    </w:tbl>
    <w:p w14:paraId="193E8E35">
      <w:pPr>
        <w:ind w:firstLine="520"/>
        <w:rPr>
          <w:color w:val="000000" w:themeColor="text1"/>
          <w:lang w:val="zh-CN"/>
          <w14:textFill>
            <w14:solidFill>
              <w14:schemeClr w14:val="tx1"/>
            </w14:solidFill>
          </w14:textFill>
        </w:rPr>
      </w:pPr>
      <w:r>
        <w:rPr>
          <w:color w:val="000000" w:themeColor="text1"/>
          <w14:textFill>
            <w14:solidFill>
              <w14:schemeClr w14:val="tx1"/>
            </w14:solidFill>
          </w14:textFill>
        </w:rPr>
        <w:t>根据章节7.3风险判定内容，</w:t>
      </w:r>
      <w:r>
        <w:rPr>
          <w:rFonts w:hint="eastAsia"/>
          <w:color w:val="000000" w:themeColor="text1"/>
          <w:lang w:val="zh-CN"/>
          <w14:textFill>
            <w14:solidFill>
              <w14:schemeClr w14:val="tx1"/>
            </w14:solidFill>
          </w14:textFill>
        </w:rPr>
        <w:t>扩建项目</w:t>
      </w:r>
      <w:bookmarkStart w:id="94" w:name="_Hlk160469213"/>
      <w:r>
        <w:rPr>
          <w:b/>
          <w:color w:val="000000" w:themeColor="text1"/>
          <w:lang w:val="zh-CN"/>
          <w14:textFill>
            <w14:solidFill>
              <w14:schemeClr w14:val="tx1"/>
            </w14:solidFill>
          </w14:textFill>
        </w:rPr>
        <w:t>大气环境敏感程度为E2，风险潜势为</w:t>
      </w:r>
      <w:r>
        <w:rPr>
          <w:b/>
          <w:color w:val="000000" w:themeColor="text1"/>
          <w14:textFill>
            <w14:solidFill>
              <w14:schemeClr w14:val="tx1"/>
            </w14:solidFill>
          </w14:textFill>
        </w:rPr>
        <w:t>II</w:t>
      </w:r>
      <w:r>
        <w:rPr>
          <w:b/>
          <w:color w:val="000000" w:themeColor="text1"/>
          <w:lang w:val="zh-CN"/>
          <w14:textFill>
            <w14:solidFill>
              <w14:schemeClr w14:val="tx1"/>
            </w14:solidFill>
          </w14:textFill>
        </w:rPr>
        <w:t>；地表水环境敏感程度为E</w:t>
      </w:r>
      <w:r>
        <w:rPr>
          <w:b/>
          <w:color w:val="000000" w:themeColor="text1"/>
          <w14:textFill>
            <w14:solidFill>
              <w14:schemeClr w14:val="tx1"/>
            </w14:solidFill>
          </w14:textFill>
        </w:rPr>
        <w:t>3</w:t>
      </w:r>
      <w:r>
        <w:rPr>
          <w:b/>
          <w:color w:val="000000" w:themeColor="text1"/>
          <w:lang w:val="zh-CN"/>
          <w14:textFill>
            <w14:solidFill>
              <w14:schemeClr w14:val="tx1"/>
            </w14:solidFill>
          </w14:textFill>
        </w:rPr>
        <w:t>，风险潜势为I；地下水环境敏感程度为E3，风险潜势为I</w:t>
      </w:r>
      <w:r>
        <w:rPr>
          <w:color w:val="000000" w:themeColor="text1"/>
          <w:lang w:val="zh-CN"/>
          <w14:textFill>
            <w14:solidFill>
              <w14:schemeClr w14:val="tx1"/>
            </w14:solidFill>
          </w14:textFill>
        </w:rPr>
        <w:t>。综上，项目环境风险潜势综合等级取各要素等级的相对高值，</w:t>
      </w:r>
      <w:r>
        <w:rPr>
          <w:b/>
          <w:color w:val="000000" w:themeColor="text1"/>
          <w:lang w:val="zh-CN"/>
          <w14:textFill>
            <w14:solidFill>
              <w14:schemeClr w14:val="tx1"/>
            </w14:solidFill>
          </w14:textFill>
        </w:rPr>
        <w:t>综合潜势判定为</w:t>
      </w:r>
      <w:r>
        <w:rPr>
          <w:b/>
          <w:color w:val="000000" w:themeColor="text1"/>
          <w14:textFill>
            <w14:solidFill>
              <w14:schemeClr w14:val="tx1"/>
            </w14:solidFill>
          </w14:textFill>
        </w:rPr>
        <w:t>II</w:t>
      </w:r>
      <w:r>
        <w:rPr>
          <w:color w:val="000000" w:themeColor="text1"/>
          <w:lang w:val="zh-CN"/>
          <w14:textFill>
            <w14:solidFill>
              <w14:schemeClr w14:val="tx1"/>
            </w14:solidFill>
          </w14:textFill>
        </w:rPr>
        <w:t>。</w:t>
      </w:r>
      <w:bookmarkEnd w:id="94"/>
    </w:p>
    <w:p w14:paraId="0FE234E3">
      <w:pPr>
        <w:spacing w:before="24"/>
        <w:ind w:firstLine="0" w:firstLineChars="0"/>
        <w:jc w:val="center"/>
        <w:rPr>
          <w:color w:val="000000" w:themeColor="text1"/>
          <w14:textFill>
            <w14:solidFill>
              <w14:schemeClr w14:val="tx1"/>
            </w14:solidFill>
          </w14:textFill>
        </w:rPr>
      </w:pPr>
      <w:bookmarkStart w:id="95" w:name="_Ref160540967"/>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bookmarkEnd w:id="95"/>
      <w:r>
        <w:rPr>
          <w:color w:val="000000" w:themeColor="text1"/>
          <w14:textFill>
            <w14:solidFill>
              <w14:schemeClr w14:val="tx1"/>
            </w14:solidFill>
          </w14:textFill>
        </w:rPr>
        <w:t xml:space="preserve">   评价工作等级划分表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1771"/>
        <w:gridCol w:w="1771"/>
        <w:gridCol w:w="1771"/>
        <w:gridCol w:w="1772"/>
      </w:tblGrid>
      <w:tr w14:paraId="12C3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0" w:type="pct"/>
            <w:vAlign w:val="center"/>
          </w:tcPr>
          <w:p w14:paraId="7413B3B1">
            <w:pPr>
              <w:pStyle w:val="1535"/>
            </w:pPr>
            <w:r>
              <w:t>环境风险潜势</w:t>
            </w:r>
          </w:p>
        </w:tc>
        <w:tc>
          <w:tcPr>
            <w:tcW w:w="1000" w:type="pct"/>
            <w:vAlign w:val="center"/>
          </w:tcPr>
          <w:p w14:paraId="32E1753A">
            <w:pPr>
              <w:pStyle w:val="1535"/>
            </w:pPr>
            <w:r>
              <w:t>Ⅳ、Ⅳ+</w:t>
            </w:r>
          </w:p>
        </w:tc>
        <w:tc>
          <w:tcPr>
            <w:tcW w:w="1000" w:type="pct"/>
            <w:vAlign w:val="center"/>
          </w:tcPr>
          <w:p w14:paraId="0E5B0984">
            <w:pPr>
              <w:pStyle w:val="1535"/>
            </w:pPr>
            <w:r>
              <w:t>Ⅲ</w:t>
            </w:r>
          </w:p>
        </w:tc>
        <w:tc>
          <w:tcPr>
            <w:tcW w:w="1000" w:type="pct"/>
            <w:vAlign w:val="center"/>
          </w:tcPr>
          <w:p w14:paraId="5588BF74">
            <w:pPr>
              <w:pStyle w:val="1535"/>
            </w:pPr>
            <w:r>
              <w:t>Ⅱ</w:t>
            </w:r>
          </w:p>
        </w:tc>
        <w:tc>
          <w:tcPr>
            <w:tcW w:w="1000" w:type="pct"/>
            <w:vAlign w:val="center"/>
          </w:tcPr>
          <w:p w14:paraId="7A25AF50">
            <w:pPr>
              <w:pStyle w:val="1535"/>
            </w:pPr>
            <w:r>
              <w:t>Ⅰ</w:t>
            </w:r>
          </w:p>
        </w:tc>
      </w:tr>
      <w:tr w14:paraId="1D87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0" w:type="pct"/>
            <w:vAlign w:val="center"/>
          </w:tcPr>
          <w:p w14:paraId="6FF8DB1C">
            <w:pPr>
              <w:pStyle w:val="1535"/>
            </w:pPr>
            <w:r>
              <w:t>评价工作等级</w:t>
            </w:r>
          </w:p>
        </w:tc>
        <w:tc>
          <w:tcPr>
            <w:tcW w:w="1000" w:type="pct"/>
            <w:vAlign w:val="center"/>
          </w:tcPr>
          <w:p w14:paraId="38FABAB5">
            <w:pPr>
              <w:pStyle w:val="1535"/>
            </w:pPr>
            <w:r>
              <w:t>一</w:t>
            </w:r>
          </w:p>
        </w:tc>
        <w:tc>
          <w:tcPr>
            <w:tcW w:w="1000" w:type="pct"/>
            <w:vAlign w:val="center"/>
          </w:tcPr>
          <w:p w14:paraId="05D97D36">
            <w:pPr>
              <w:pStyle w:val="1535"/>
            </w:pPr>
            <w:r>
              <w:t>二</w:t>
            </w:r>
          </w:p>
        </w:tc>
        <w:tc>
          <w:tcPr>
            <w:tcW w:w="1000" w:type="pct"/>
            <w:vAlign w:val="center"/>
          </w:tcPr>
          <w:p w14:paraId="03A530BA">
            <w:pPr>
              <w:pStyle w:val="1535"/>
            </w:pPr>
            <w:r>
              <w:t>三</w:t>
            </w:r>
          </w:p>
        </w:tc>
        <w:tc>
          <w:tcPr>
            <w:tcW w:w="1000" w:type="pct"/>
            <w:vAlign w:val="center"/>
          </w:tcPr>
          <w:p w14:paraId="734AF435">
            <w:pPr>
              <w:pStyle w:val="1535"/>
            </w:pPr>
            <w:r>
              <w:t>简单分析*</w:t>
            </w:r>
          </w:p>
        </w:tc>
      </w:tr>
      <w:tr w14:paraId="36E3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5"/>
            <w:vAlign w:val="center"/>
          </w:tcPr>
          <w:p w14:paraId="7477E6F1">
            <w:pPr>
              <w:pStyle w:val="1535"/>
            </w:pPr>
            <w:r>
              <w:t>*是相对于详细评价工作内容而言，在描述危险物质、环境影响途径、环境危害后果、风险防范措施等方面给出定性的说明。</w:t>
            </w:r>
          </w:p>
        </w:tc>
      </w:tr>
    </w:tbl>
    <w:p w14:paraId="55E50C95">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由上表可知</w:t>
      </w:r>
      <w:bookmarkStart w:id="96" w:name="_Hlk79680006"/>
      <w:r>
        <w:rPr>
          <w:color w:val="000000" w:themeColor="text1"/>
          <w:lang w:val="zh-CN"/>
          <w14:textFill>
            <w14:solidFill>
              <w14:schemeClr w14:val="tx1"/>
            </w14:solidFill>
          </w14:textFill>
        </w:rPr>
        <w:t>：</w:t>
      </w:r>
    </w:p>
    <w:p w14:paraId="4F209761">
      <w:pPr>
        <w:ind w:firstLine="522"/>
        <w:rPr>
          <w:color w:val="000000" w:themeColor="text1"/>
          <w:lang w:val="zh-CN"/>
          <w14:textFill>
            <w14:solidFill>
              <w14:schemeClr w14:val="tx1"/>
            </w14:solidFill>
          </w14:textFill>
        </w:rPr>
      </w:pPr>
      <w:bookmarkStart w:id="97" w:name="_Hlk160469238"/>
      <w:r>
        <w:rPr>
          <w:b/>
          <w:color w:val="000000" w:themeColor="text1"/>
          <w:lang w:val="zh-CN"/>
          <w14:textFill>
            <w14:solidFill>
              <w14:schemeClr w14:val="tx1"/>
            </w14:solidFill>
          </w14:textFill>
        </w:rPr>
        <w:t>大气环境</w:t>
      </w:r>
      <w:r>
        <w:rPr>
          <w:color w:val="000000" w:themeColor="text1"/>
          <w:lang w:val="zh-CN"/>
          <w14:textFill>
            <w14:solidFill>
              <w14:schemeClr w14:val="tx1"/>
            </w14:solidFill>
          </w14:textFill>
        </w:rPr>
        <w:t>风险潜势判定为</w:t>
      </w:r>
      <w:r>
        <w:rPr>
          <w:color w:val="000000" w:themeColor="text1"/>
          <w14:textFill>
            <w14:solidFill>
              <w14:schemeClr w14:val="tx1"/>
            </w14:solidFill>
          </w14:textFill>
        </w:rPr>
        <w:t>Ⅱ</w:t>
      </w:r>
      <w:r>
        <w:rPr>
          <w:color w:val="000000" w:themeColor="text1"/>
          <w:lang w:val="zh-CN"/>
          <w14:textFill>
            <w14:solidFill>
              <w14:schemeClr w14:val="tx1"/>
            </w14:solidFill>
          </w14:textFill>
        </w:rPr>
        <w:t>，进行</w:t>
      </w:r>
      <w:r>
        <w:rPr>
          <w:b/>
          <w:color w:val="000000" w:themeColor="text1"/>
          <w:lang w:val="zh-CN"/>
          <w14:textFill>
            <w14:solidFill>
              <w14:schemeClr w14:val="tx1"/>
            </w14:solidFill>
          </w14:textFill>
        </w:rPr>
        <w:t>三级评价</w:t>
      </w:r>
      <w:r>
        <w:rPr>
          <w:color w:val="000000" w:themeColor="text1"/>
          <w:lang w:val="zh-CN"/>
          <w14:textFill>
            <w14:solidFill>
              <w14:schemeClr w14:val="tx1"/>
            </w14:solidFill>
          </w14:textFill>
        </w:rPr>
        <w:t>。评价范围：大气环境风险评价范围为距离项目边界3km范围；</w:t>
      </w:r>
    </w:p>
    <w:p w14:paraId="305C499E">
      <w:pPr>
        <w:ind w:firstLine="522"/>
        <w:rPr>
          <w:color w:val="000000" w:themeColor="text1"/>
          <w:lang w:val="zh-CN"/>
          <w14:textFill>
            <w14:solidFill>
              <w14:schemeClr w14:val="tx1"/>
            </w14:solidFill>
          </w14:textFill>
        </w:rPr>
      </w:pPr>
      <w:r>
        <w:rPr>
          <w:b/>
          <w:color w:val="000000" w:themeColor="text1"/>
          <w:lang w:val="zh-CN"/>
          <w14:textFill>
            <w14:solidFill>
              <w14:schemeClr w14:val="tx1"/>
            </w14:solidFill>
          </w14:textFill>
        </w:rPr>
        <w:t>地表水</w:t>
      </w:r>
      <w:r>
        <w:rPr>
          <w:color w:val="000000" w:themeColor="text1"/>
          <w:lang w:val="zh-CN"/>
          <w14:textFill>
            <w14:solidFill>
              <w14:schemeClr w14:val="tx1"/>
            </w14:solidFill>
          </w14:textFill>
        </w:rPr>
        <w:t>环境风险潜势判定为I，开展</w:t>
      </w:r>
      <w:r>
        <w:rPr>
          <w:b/>
          <w:color w:val="000000" w:themeColor="text1"/>
          <w:lang w:val="zh-CN"/>
          <w14:textFill>
            <w14:solidFill>
              <w14:schemeClr w14:val="tx1"/>
            </w14:solidFill>
          </w14:textFill>
        </w:rPr>
        <w:t>简单分析</w:t>
      </w:r>
      <w:r>
        <w:rPr>
          <w:color w:val="000000" w:themeColor="text1"/>
          <w:lang w:val="zh-CN"/>
          <w14:textFill>
            <w14:solidFill>
              <w14:schemeClr w14:val="tx1"/>
            </w14:solidFill>
          </w14:textFill>
        </w:rPr>
        <w:t>。</w:t>
      </w:r>
    </w:p>
    <w:p w14:paraId="5F810305">
      <w:pPr>
        <w:ind w:firstLine="522"/>
        <w:rPr>
          <w:color w:val="000000" w:themeColor="text1"/>
          <w:lang w:val="zh-CN"/>
          <w14:textFill>
            <w14:solidFill>
              <w14:schemeClr w14:val="tx1"/>
            </w14:solidFill>
          </w14:textFill>
        </w:rPr>
      </w:pPr>
      <w:r>
        <w:rPr>
          <w:b/>
          <w:color w:val="000000" w:themeColor="text1"/>
          <w:lang w:val="zh-CN"/>
          <w14:textFill>
            <w14:solidFill>
              <w14:schemeClr w14:val="tx1"/>
            </w14:solidFill>
          </w14:textFill>
        </w:rPr>
        <w:t>地下水</w:t>
      </w:r>
      <w:r>
        <w:rPr>
          <w:color w:val="000000" w:themeColor="text1"/>
          <w:lang w:val="zh-CN"/>
          <w14:textFill>
            <w14:solidFill>
              <w14:schemeClr w14:val="tx1"/>
            </w14:solidFill>
          </w14:textFill>
        </w:rPr>
        <w:t>环境风险潜势判定为I，开展</w:t>
      </w:r>
      <w:r>
        <w:rPr>
          <w:b/>
          <w:color w:val="000000" w:themeColor="text1"/>
          <w:lang w:val="zh-CN"/>
          <w14:textFill>
            <w14:solidFill>
              <w14:schemeClr w14:val="tx1"/>
            </w14:solidFill>
          </w14:textFill>
        </w:rPr>
        <w:t>简单分析</w:t>
      </w:r>
      <w:bookmarkEnd w:id="96"/>
      <w:r>
        <w:rPr>
          <w:color w:val="000000" w:themeColor="text1"/>
          <w:lang w:val="zh-CN"/>
          <w14:textFill>
            <w14:solidFill>
              <w14:schemeClr w14:val="tx1"/>
            </w14:solidFill>
          </w14:textFill>
        </w:rPr>
        <w:t>。</w:t>
      </w:r>
    </w:p>
    <w:bookmarkEnd w:id="97"/>
    <w:p w14:paraId="735DC1BC">
      <w:pPr>
        <w:pStyle w:val="5"/>
        <w:rPr>
          <w:bCs/>
          <w:color w:val="000000" w:themeColor="text1"/>
          <w14:textFill>
            <w14:solidFill>
              <w14:schemeClr w14:val="tx1"/>
            </w14:solidFill>
          </w14:textFill>
        </w:rPr>
      </w:pPr>
      <w:r>
        <w:rPr>
          <w:color w:val="000000" w:themeColor="text1"/>
          <w14:textFill>
            <w14:solidFill>
              <w14:schemeClr w14:val="tx1"/>
            </w14:solidFill>
          </w14:textFill>
        </w:rPr>
        <w:t>土壤环境</w:t>
      </w:r>
    </w:p>
    <w:p w14:paraId="6EDE5137">
      <w:pPr>
        <w:ind w:firstLine="52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土壤环境</w:t>
      </w:r>
      <w:r>
        <w:rPr>
          <w:rFonts w:hint="eastAsia"/>
          <w:color w:val="000000" w:themeColor="text1"/>
          <w14:textFill>
            <w14:solidFill>
              <w14:schemeClr w14:val="tx1"/>
            </w14:solidFill>
          </w14:textFill>
        </w:rPr>
        <w:t>（试行）</w:t>
      </w:r>
      <w:r>
        <w:rPr>
          <w:color w:val="000000" w:themeColor="text1"/>
          <w14:textFill>
            <w14:solidFill>
              <w14:schemeClr w14:val="tx1"/>
            </w14:solidFill>
          </w14:textFill>
        </w:rPr>
        <w:t>》（HJ964-2018），扩建项目为污染影响型，</w:t>
      </w:r>
      <w:r>
        <w:rPr>
          <w:rFonts w:hint="eastAsia"/>
          <w:color w:val="000000" w:themeColor="text1"/>
          <w14:textFill>
            <w14:solidFill>
              <w14:schemeClr w14:val="tx1"/>
            </w14:solidFill>
          </w14:textFill>
        </w:rPr>
        <w:t>位于臻宝半导体公司部分</w:t>
      </w:r>
      <w:r>
        <w:rPr>
          <w:color w:val="000000" w:themeColor="text1"/>
          <w14:textFill>
            <w14:solidFill>
              <w14:schemeClr w14:val="tx1"/>
            </w14:solidFill>
          </w14:textFill>
        </w:rPr>
        <w:t>属附录A土壤环境影响评价项目类别表中的</w:t>
      </w:r>
      <w:bookmarkStart w:id="98" w:name="_Hlk160468757"/>
      <w:r>
        <w:rPr>
          <w:color w:val="000000" w:themeColor="text1"/>
          <w14:textFill>
            <w14:solidFill>
              <w14:schemeClr w14:val="tx1"/>
            </w14:solidFill>
          </w14:textFill>
        </w:rPr>
        <w:t>“制造业-石油化工-半导体材料”，属Ⅱ类项目，占地规模≤5hm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，为小型，周边为工业园区，环境敏感程度不敏感。根据导则判定，土壤环境影响评价等级为</w:t>
      </w:r>
      <w:r>
        <w:rPr>
          <w:b/>
          <w:color w:val="000000" w:themeColor="text1"/>
          <w14:textFill>
            <w14:solidFill>
              <w14:schemeClr w14:val="tx1"/>
            </w14:solidFill>
          </w14:textFill>
        </w:rPr>
        <w:t>三级</w:t>
      </w:r>
      <w:r>
        <w:rPr>
          <w:rFonts w:hint="eastAsia"/>
          <w:color w:val="000000" w:themeColor="text1"/>
          <w14:textFill>
            <w14:solidFill>
              <w14:schemeClr w14:val="tx1"/>
            </w14:solidFill>
          </w14:textFill>
        </w:rPr>
        <w:t>；租赁臻宝科技公司部分</w:t>
      </w:r>
      <w:r>
        <w:rPr>
          <w:color w:val="000000" w:themeColor="text1"/>
          <w14:textFill>
            <w14:solidFill>
              <w14:schemeClr w14:val="tx1"/>
            </w14:solidFill>
          </w14:textFill>
        </w:rPr>
        <w:t>属附录A土壤环境影响评价项目类别表中的“制造业-</w:t>
      </w:r>
      <w:r>
        <w:rPr>
          <w:rFonts w:hint="eastAsia"/>
          <w:color w:val="000000" w:themeColor="text1"/>
          <w14:textFill>
            <w14:solidFill>
              <w14:schemeClr w14:val="tx1"/>
            </w14:solidFill>
          </w14:textFill>
        </w:rPr>
        <w:t>设备制造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其他和</w:t>
      </w:r>
      <w:r>
        <w:rPr>
          <w:color w:val="000000" w:themeColor="text1"/>
          <w14:textFill>
            <w14:solidFill>
              <w14:schemeClr w14:val="tx1"/>
            </w14:solidFill>
          </w14:textFill>
        </w:rPr>
        <w:t>制造业-</w:t>
      </w:r>
      <w:r>
        <w:rPr>
          <w:rFonts w:hint="eastAsia"/>
          <w:color w:val="000000" w:themeColor="text1"/>
          <w14:textFill>
            <w14:solidFill>
              <w14:schemeClr w14:val="tx1"/>
            </w14:solidFill>
          </w14:textFill>
        </w:rPr>
        <w:t>非金属矿物制品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”，属</w:t>
      </w:r>
      <w:r>
        <w:rPr>
          <w:rFonts w:hint="eastAsia" w:ascii="宋体" w:hAnsi="宋体"/>
          <w:color w:val="000000" w:themeColor="text1"/>
          <w14:textFill>
            <w14:solidFill>
              <w14:schemeClr w14:val="tx1"/>
            </w14:solidFill>
          </w14:textFill>
        </w:rPr>
        <w:t>Ⅲ</w:t>
      </w:r>
      <w:r>
        <w:rPr>
          <w:color w:val="000000" w:themeColor="text1"/>
          <w14:textFill>
            <w14:solidFill>
              <w14:schemeClr w14:val="tx1"/>
            </w14:solidFill>
          </w14:textFill>
        </w:rPr>
        <w:t>类项目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占地规模≤5hm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，为小型，周边为工业园区，环境敏感程度不敏感。根据导则判定，</w:t>
      </w:r>
      <w:bookmarkEnd w:id="98"/>
      <w:r>
        <w:rPr>
          <w:rFonts w:hint="eastAsia"/>
          <w:color w:val="000000" w:themeColor="text1"/>
          <w14:textFill>
            <w14:solidFill>
              <w14:schemeClr w14:val="tx1"/>
            </w14:solidFill>
          </w14:textFill>
        </w:rPr>
        <w:t>可不开展土壤环境影响评价工作</w:t>
      </w:r>
      <w:r>
        <w:rPr>
          <w:color w:val="000000" w:themeColor="text1"/>
          <w14:textFill>
            <w14:solidFill>
              <w14:schemeClr w14:val="tx1"/>
            </w14:solidFill>
          </w14:textFill>
        </w:rPr>
        <w:t>。</w:t>
      </w:r>
    </w:p>
    <w:p w14:paraId="61DE9800">
      <w:pPr>
        <w:ind w:firstLine="520"/>
        <w:rPr>
          <w:color w:val="000000" w:themeColor="text1"/>
          <w14:textFill>
            <w14:solidFill>
              <w14:schemeClr w14:val="tx1"/>
            </w14:solidFill>
          </w14:textFill>
        </w:rPr>
      </w:pPr>
      <w:r>
        <w:rPr>
          <w:color w:val="000000" w:themeColor="text1"/>
          <w14:textFill>
            <w14:solidFill>
              <w14:schemeClr w14:val="tx1"/>
            </w14:solidFill>
          </w14:textFill>
        </w:rPr>
        <w:t>评价范围：</w:t>
      </w:r>
      <w:bookmarkStart w:id="99" w:name="_Hlk160468796"/>
      <w:r>
        <w:rPr>
          <w:color w:val="000000" w:themeColor="text1"/>
          <w14:textFill>
            <w14:solidFill>
              <w14:schemeClr w14:val="tx1"/>
            </w14:solidFill>
          </w14:textFill>
        </w:rPr>
        <w:t>调查范围为厂界外扩200m，调查范围约0.04km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bookmarkEnd w:id="99"/>
    </w:p>
    <w:p w14:paraId="337A1CEE">
      <w:pPr>
        <w:pStyle w:val="4"/>
        <w:rPr>
          <w:color w:val="000000" w:themeColor="text1"/>
          <w14:textFill>
            <w14:solidFill>
              <w14:schemeClr w14:val="tx1"/>
            </w14:solidFill>
          </w14:textFill>
        </w:rPr>
      </w:pPr>
      <w:bookmarkStart w:id="100" w:name="_Toc471769983"/>
      <w:bookmarkStart w:id="101" w:name="_Toc112145367"/>
      <w:bookmarkStart w:id="102" w:name="_Toc9946871"/>
      <w:bookmarkStart w:id="103" w:name="_Toc296348402"/>
      <w:bookmarkStart w:id="104" w:name="_Toc391830671"/>
      <w:bookmarkStart w:id="105" w:name="_Toc20417"/>
      <w:bookmarkStart w:id="106" w:name="_Toc40050782"/>
      <w:bookmarkStart w:id="107" w:name="_Toc290277401"/>
      <w:bookmarkStart w:id="108" w:name="_Toc290564342"/>
      <w:bookmarkStart w:id="109" w:name="_Toc194981892"/>
      <w:bookmarkStart w:id="110" w:name="_Toc290277052"/>
      <w:bookmarkStart w:id="111" w:name="_Toc25514"/>
      <w:bookmarkStart w:id="112" w:name="_Toc290276703"/>
      <w:bookmarkStart w:id="113" w:name="_Toc111628709"/>
      <w:bookmarkStart w:id="114" w:name="_Toc11942519"/>
      <w:r>
        <w:rPr>
          <w:color w:val="000000" w:themeColor="text1"/>
          <w14:textFill>
            <w14:solidFill>
              <w14:schemeClr w14:val="tx1"/>
            </w14:solidFill>
          </w14:textFill>
        </w:rPr>
        <w:t>环境保护目标</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EB4A3A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扩建项目位于</w:t>
      </w:r>
      <w:r>
        <w:rPr>
          <w:color w:val="000000" w:themeColor="text1"/>
          <w14:textFill>
            <w14:solidFill>
              <w14:schemeClr w14:val="tx1"/>
            </w14:solidFill>
          </w14:textFill>
        </w:rPr>
        <w:t>重庆市九龙坡区西彭镇森迪大道8号1幢、森迪大道56号。南侧为重庆泰利德化学工业有限公司、重庆胜维德赫华翔汽车零部件有限公司，东侧为丘陵未开发利用高地，规划为西彭工业园区公园绿地，西侧暂未开发，规划为工业用地，北侧目前为未开发利用地，位于西彭工业园区规划范围外，暂无规划。</w:t>
      </w: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评价范围内不涉及风景名胜区、世界文化和自然遗产地、基本农田保护区、基本草原、森林公园、地质公园、重要湿地、天然林、水土流失重点防治区、饮用水源保护区等敏感区，项目环境保护目标见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和附图</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14:paraId="22F68181">
      <w:pPr>
        <w:spacing w:before="24"/>
        <w:ind w:firstLine="0" w:firstLineChars="0"/>
        <w:jc w:val="center"/>
        <w:rPr>
          <w:color w:val="000000" w:themeColor="text1"/>
          <w14:textFill>
            <w14:solidFill>
              <w14:schemeClr w14:val="tx1"/>
            </w14:solidFill>
          </w14:textFill>
        </w:rPr>
      </w:pPr>
      <w:bookmarkStart w:id="115" w:name="_Ref160540659"/>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115"/>
      <w:r>
        <w:rPr>
          <w:color w:val="000000" w:themeColor="text1"/>
          <w14:textFill>
            <w14:solidFill>
              <w14:schemeClr w14:val="tx1"/>
            </w14:solidFill>
          </w14:textFill>
        </w:rPr>
        <w:t xml:space="preserve">   扩建项目周边主要环境保护目标及敏感点</w:t>
      </w:r>
    </w:p>
    <w:tbl>
      <w:tblPr>
        <w:tblStyle w:val="88"/>
        <w:tblW w:w="50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241"/>
        <w:gridCol w:w="786"/>
        <w:gridCol w:w="842"/>
        <w:gridCol w:w="598"/>
        <w:gridCol w:w="849"/>
        <w:gridCol w:w="1968"/>
        <w:gridCol w:w="673"/>
        <w:gridCol w:w="1451"/>
      </w:tblGrid>
      <w:tr w14:paraId="3847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Merge w:val="restart"/>
            <w:vAlign w:val="center"/>
          </w:tcPr>
          <w:p w14:paraId="65D2EAE2">
            <w:pPr>
              <w:pStyle w:val="1535"/>
            </w:pPr>
            <w:r>
              <w:t>编号</w:t>
            </w:r>
          </w:p>
        </w:tc>
        <w:tc>
          <w:tcPr>
            <w:tcW w:w="691" w:type="pct"/>
            <w:vMerge w:val="restart"/>
            <w:vAlign w:val="center"/>
          </w:tcPr>
          <w:p w14:paraId="6789C2B5">
            <w:pPr>
              <w:pStyle w:val="1535"/>
            </w:pPr>
            <w:r>
              <w:t>保护目标</w:t>
            </w:r>
          </w:p>
        </w:tc>
        <w:tc>
          <w:tcPr>
            <w:tcW w:w="907" w:type="pct"/>
            <w:gridSpan w:val="2"/>
            <w:vAlign w:val="center"/>
          </w:tcPr>
          <w:p w14:paraId="2AFF7518">
            <w:pPr>
              <w:pStyle w:val="1535"/>
            </w:pPr>
            <w:r>
              <w:t>坐标/m</w:t>
            </w:r>
          </w:p>
        </w:tc>
        <w:tc>
          <w:tcPr>
            <w:tcW w:w="333" w:type="pct"/>
            <w:vMerge w:val="restart"/>
            <w:vAlign w:val="center"/>
          </w:tcPr>
          <w:p w14:paraId="253BDD4E">
            <w:pPr>
              <w:pStyle w:val="1535"/>
            </w:pPr>
            <w:r>
              <w:t>方位</w:t>
            </w:r>
          </w:p>
        </w:tc>
        <w:tc>
          <w:tcPr>
            <w:tcW w:w="473" w:type="pct"/>
            <w:vMerge w:val="restart"/>
            <w:vAlign w:val="center"/>
          </w:tcPr>
          <w:p w14:paraId="04A5CD09">
            <w:pPr>
              <w:pStyle w:val="1535"/>
            </w:pPr>
            <w:r>
              <w:t>厂界距离（m）</w:t>
            </w:r>
          </w:p>
        </w:tc>
        <w:tc>
          <w:tcPr>
            <w:tcW w:w="1096" w:type="pct"/>
            <w:vMerge w:val="restart"/>
            <w:vAlign w:val="center"/>
          </w:tcPr>
          <w:p w14:paraId="67B7819F">
            <w:pPr>
              <w:pStyle w:val="1535"/>
            </w:pPr>
            <w:r>
              <w:t>规模</w:t>
            </w:r>
          </w:p>
        </w:tc>
        <w:tc>
          <w:tcPr>
            <w:tcW w:w="375" w:type="pct"/>
            <w:vMerge w:val="restart"/>
            <w:vAlign w:val="center"/>
          </w:tcPr>
          <w:p w14:paraId="05F4A92D">
            <w:pPr>
              <w:pStyle w:val="1535"/>
            </w:pPr>
            <w:r>
              <w:t>环境功能区</w:t>
            </w:r>
          </w:p>
        </w:tc>
        <w:tc>
          <w:tcPr>
            <w:tcW w:w="808" w:type="pct"/>
            <w:vMerge w:val="restart"/>
            <w:vAlign w:val="center"/>
          </w:tcPr>
          <w:p w14:paraId="160AD2DB">
            <w:pPr>
              <w:pStyle w:val="1535"/>
            </w:pPr>
            <w:r>
              <w:t>环境要素</w:t>
            </w:r>
          </w:p>
        </w:tc>
      </w:tr>
      <w:tr w14:paraId="6C67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36CA1356">
            <w:pPr>
              <w:pStyle w:val="1535"/>
            </w:pPr>
          </w:p>
        </w:tc>
        <w:tc>
          <w:tcPr>
            <w:tcW w:w="0" w:type="auto"/>
            <w:vMerge w:val="continue"/>
            <w:vAlign w:val="center"/>
          </w:tcPr>
          <w:p w14:paraId="0154AAFB">
            <w:pPr>
              <w:pStyle w:val="1535"/>
            </w:pPr>
          </w:p>
        </w:tc>
        <w:tc>
          <w:tcPr>
            <w:tcW w:w="438" w:type="pct"/>
            <w:vAlign w:val="center"/>
          </w:tcPr>
          <w:p w14:paraId="282FFF68">
            <w:pPr>
              <w:pStyle w:val="1535"/>
            </w:pPr>
            <w:r>
              <w:t>X</w:t>
            </w:r>
          </w:p>
        </w:tc>
        <w:tc>
          <w:tcPr>
            <w:tcW w:w="468" w:type="pct"/>
            <w:vAlign w:val="center"/>
          </w:tcPr>
          <w:p w14:paraId="5465F04E">
            <w:pPr>
              <w:pStyle w:val="1535"/>
            </w:pPr>
            <w:r>
              <w:t>Y</w:t>
            </w:r>
          </w:p>
        </w:tc>
        <w:tc>
          <w:tcPr>
            <w:tcW w:w="0" w:type="auto"/>
            <w:vMerge w:val="continue"/>
            <w:vAlign w:val="center"/>
          </w:tcPr>
          <w:p w14:paraId="65C0B62A">
            <w:pPr>
              <w:pStyle w:val="1535"/>
            </w:pPr>
          </w:p>
        </w:tc>
        <w:tc>
          <w:tcPr>
            <w:tcW w:w="473" w:type="pct"/>
            <w:vMerge w:val="continue"/>
            <w:vAlign w:val="center"/>
          </w:tcPr>
          <w:p w14:paraId="2D1958E7">
            <w:pPr>
              <w:pStyle w:val="1535"/>
            </w:pPr>
          </w:p>
        </w:tc>
        <w:tc>
          <w:tcPr>
            <w:tcW w:w="1096" w:type="pct"/>
            <w:vMerge w:val="continue"/>
            <w:vAlign w:val="center"/>
          </w:tcPr>
          <w:p w14:paraId="4074621F">
            <w:pPr>
              <w:pStyle w:val="1535"/>
            </w:pPr>
          </w:p>
        </w:tc>
        <w:tc>
          <w:tcPr>
            <w:tcW w:w="375" w:type="pct"/>
            <w:vMerge w:val="continue"/>
            <w:vAlign w:val="center"/>
          </w:tcPr>
          <w:p w14:paraId="4BE50EAF">
            <w:pPr>
              <w:pStyle w:val="1535"/>
            </w:pPr>
          </w:p>
        </w:tc>
        <w:tc>
          <w:tcPr>
            <w:tcW w:w="808" w:type="pct"/>
            <w:vMerge w:val="continue"/>
            <w:vAlign w:val="center"/>
          </w:tcPr>
          <w:p w14:paraId="2D713E18">
            <w:pPr>
              <w:pStyle w:val="1535"/>
            </w:pPr>
          </w:p>
        </w:tc>
      </w:tr>
      <w:tr w14:paraId="6E5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6B417CEC">
            <w:pPr>
              <w:pStyle w:val="1535"/>
            </w:pPr>
            <w:r>
              <w:rPr>
                <w:rFonts w:hint="eastAsia"/>
              </w:rPr>
              <w:t>1</w:t>
            </w:r>
          </w:p>
        </w:tc>
        <w:tc>
          <w:tcPr>
            <w:tcW w:w="691" w:type="pct"/>
            <w:vAlign w:val="center"/>
          </w:tcPr>
          <w:p w14:paraId="4A6252B5">
            <w:pPr>
              <w:pStyle w:val="1535"/>
            </w:pPr>
            <w:r>
              <w:rPr>
                <w:rFonts w:hint="eastAsia"/>
              </w:rPr>
              <w:t>1#散居农户</w:t>
            </w:r>
          </w:p>
        </w:tc>
        <w:tc>
          <w:tcPr>
            <w:tcW w:w="438" w:type="pct"/>
            <w:vAlign w:val="center"/>
          </w:tcPr>
          <w:p w14:paraId="390BD607">
            <w:pPr>
              <w:pStyle w:val="1535"/>
            </w:pPr>
            <w:r>
              <w:rPr>
                <w:rFonts w:hint="eastAsia"/>
              </w:rPr>
              <w:t>115</w:t>
            </w:r>
          </w:p>
        </w:tc>
        <w:tc>
          <w:tcPr>
            <w:tcW w:w="468" w:type="pct"/>
            <w:vAlign w:val="center"/>
          </w:tcPr>
          <w:p w14:paraId="161E9014">
            <w:pPr>
              <w:pStyle w:val="1535"/>
            </w:pPr>
            <w:r>
              <w:rPr>
                <w:rFonts w:hint="eastAsia"/>
              </w:rPr>
              <w:t>70</w:t>
            </w:r>
          </w:p>
        </w:tc>
        <w:tc>
          <w:tcPr>
            <w:tcW w:w="333" w:type="pct"/>
            <w:vAlign w:val="center"/>
          </w:tcPr>
          <w:p w14:paraId="2D8A1852">
            <w:pPr>
              <w:pStyle w:val="1535"/>
            </w:pPr>
            <w:r>
              <w:rPr>
                <w:rFonts w:hint="eastAsia"/>
              </w:rPr>
              <w:t>NE</w:t>
            </w:r>
          </w:p>
        </w:tc>
        <w:tc>
          <w:tcPr>
            <w:tcW w:w="473" w:type="pct"/>
            <w:vAlign w:val="center"/>
          </w:tcPr>
          <w:p w14:paraId="25D3DF74">
            <w:pPr>
              <w:pStyle w:val="1535"/>
            </w:pPr>
            <w:r>
              <w:rPr>
                <w:rFonts w:hint="eastAsia"/>
              </w:rPr>
              <w:t>120</w:t>
            </w:r>
          </w:p>
        </w:tc>
        <w:tc>
          <w:tcPr>
            <w:tcW w:w="1096" w:type="pct"/>
            <w:vAlign w:val="center"/>
          </w:tcPr>
          <w:p w14:paraId="4C301A90">
            <w:pPr>
              <w:pStyle w:val="1535"/>
            </w:pPr>
            <w:r>
              <w:rPr>
                <w:rFonts w:hint="eastAsia"/>
              </w:rPr>
              <w:t>散居农户</w:t>
            </w:r>
            <w:r>
              <w:t>，5户，约16人</w:t>
            </w:r>
          </w:p>
        </w:tc>
        <w:tc>
          <w:tcPr>
            <w:tcW w:w="375" w:type="pct"/>
            <w:vMerge w:val="restart"/>
            <w:vAlign w:val="center"/>
          </w:tcPr>
          <w:p w14:paraId="6C77F3B5">
            <w:pPr>
              <w:pStyle w:val="1535"/>
            </w:pPr>
            <w:r>
              <w:t>二类区</w:t>
            </w:r>
          </w:p>
        </w:tc>
        <w:tc>
          <w:tcPr>
            <w:tcW w:w="808" w:type="pct"/>
            <w:vMerge w:val="restart"/>
            <w:vAlign w:val="center"/>
          </w:tcPr>
          <w:p w14:paraId="50CD4816">
            <w:pPr>
              <w:pStyle w:val="1535"/>
            </w:pPr>
            <w:r>
              <w:rPr>
                <w:rFonts w:hint="eastAsia"/>
              </w:rPr>
              <w:t>声环境、</w:t>
            </w:r>
            <w:r>
              <w:t>大气环境、环境风险</w:t>
            </w:r>
          </w:p>
        </w:tc>
      </w:tr>
      <w:tr w14:paraId="2D10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0C98B928">
            <w:pPr>
              <w:pStyle w:val="1535"/>
            </w:pPr>
            <w:r>
              <w:rPr>
                <w:rFonts w:hint="eastAsia"/>
              </w:rPr>
              <w:t>2</w:t>
            </w:r>
          </w:p>
        </w:tc>
        <w:tc>
          <w:tcPr>
            <w:tcW w:w="691" w:type="pct"/>
            <w:vAlign w:val="center"/>
          </w:tcPr>
          <w:p w14:paraId="5A03FCE3">
            <w:pPr>
              <w:pStyle w:val="1535"/>
            </w:pPr>
            <w:r>
              <w:rPr>
                <w:rFonts w:hint="eastAsia"/>
              </w:rPr>
              <w:t>2#散居农户</w:t>
            </w:r>
          </w:p>
        </w:tc>
        <w:tc>
          <w:tcPr>
            <w:tcW w:w="438" w:type="pct"/>
            <w:vAlign w:val="center"/>
          </w:tcPr>
          <w:p w14:paraId="660963A2">
            <w:pPr>
              <w:pStyle w:val="1535"/>
            </w:pPr>
            <w:r>
              <w:rPr>
                <w:rFonts w:hint="eastAsia"/>
              </w:rPr>
              <w:t>220</w:t>
            </w:r>
          </w:p>
        </w:tc>
        <w:tc>
          <w:tcPr>
            <w:tcW w:w="468" w:type="pct"/>
            <w:vAlign w:val="center"/>
          </w:tcPr>
          <w:p w14:paraId="11402F85">
            <w:pPr>
              <w:pStyle w:val="1535"/>
            </w:pPr>
            <w:r>
              <w:rPr>
                <w:rFonts w:hint="eastAsia"/>
              </w:rPr>
              <w:t>20</w:t>
            </w:r>
          </w:p>
        </w:tc>
        <w:tc>
          <w:tcPr>
            <w:tcW w:w="333" w:type="pct"/>
            <w:vAlign w:val="center"/>
          </w:tcPr>
          <w:p w14:paraId="666BC9D8">
            <w:pPr>
              <w:pStyle w:val="1535"/>
            </w:pPr>
            <w:r>
              <w:rPr>
                <w:rFonts w:hint="eastAsia"/>
              </w:rPr>
              <w:t>NE</w:t>
            </w:r>
          </w:p>
        </w:tc>
        <w:tc>
          <w:tcPr>
            <w:tcW w:w="473" w:type="pct"/>
            <w:vAlign w:val="center"/>
          </w:tcPr>
          <w:p w14:paraId="502B5D14">
            <w:pPr>
              <w:pStyle w:val="1535"/>
            </w:pPr>
            <w:r>
              <w:rPr>
                <w:rFonts w:hint="eastAsia"/>
              </w:rPr>
              <w:t>225</w:t>
            </w:r>
          </w:p>
        </w:tc>
        <w:tc>
          <w:tcPr>
            <w:tcW w:w="1096" w:type="pct"/>
            <w:vAlign w:val="center"/>
          </w:tcPr>
          <w:p w14:paraId="2A9E9A8A">
            <w:pPr>
              <w:pStyle w:val="1535"/>
            </w:pPr>
            <w:r>
              <w:rPr>
                <w:rFonts w:hint="eastAsia"/>
              </w:rPr>
              <w:t>散居农户</w:t>
            </w:r>
            <w:r>
              <w:t>，</w:t>
            </w:r>
            <w:r>
              <w:rPr>
                <w:rFonts w:hint="eastAsia"/>
              </w:rPr>
              <w:t>1</w:t>
            </w:r>
            <w:r>
              <w:t>户，约</w:t>
            </w:r>
            <w:r>
              <w:rPr>
                <w:rFonts w:hint="eastAsia"/>
              </w:rPr>
              <w:t>3</w:t>
            </w:r>
            <w:r>
              <w:t>人</w:t>
            </w:r>
          </w:p>
        </w:tc>
        <w:tc>
          <w:tcPr>
            <w:tcW w:w="375" w:type="pct"/>
            <w:vMerge w:val="continue"/>
            <w:vAlign w:val="center"/>
          </w:tcPr>
          <w:p w14:paraId="219B648B">
            <w:pPr>
              <w:pStyle w:val="1535"/>
            </w:pPr>
          </w:p>
        </w:tc>
        <w:tc>
          <w:tcPr>
            <w:tcW w:w="808" w:type="pct"/>
            <w:vMerge w:val="continue"/>
            <w:vAlign w:val="center"/>
          </w:tcPr>
          <w:p w14:paraId="616CFC1D">
            <w:pPr>
              <w:pStyle w:val="1535"/>
            </w:pPr>
          </w:p>
        </w:tc>
      </w:tr>
      <w:tr w14:paraId="6E48BB5E">
        <w:tblPrEx>
          <w:tblCellMar>
            <w:top w:w="0" w:type="dxa"/>
            <w:left w:w="108" w:type="dxa"/>
            <w:bottom w:w="0" w:type="dxa"/>
            <w:right w:w="108" w:type="dxa"/>
          </w:tblCellMar>
        </w:tblPrEx>
        <w:trPr>
          <w:trHeight w:val="397" w:hRule="atLeast"/>
        </w:trPr>
        <w:tc>
          <w:tcPr>
            <w:tcW w:w="312" w:type="pct"/>
            <w:vAlign w:val="center"/>
          </w:tcPr>
          <w:p w14:paraId="7A7A8B78">
            <w:pPr>
              <w:pStyle w:val="1535"/>
            </w:pPr>
            <w:r>
              <w:rPr>
                <w:rFonts w:hint="eastAsia"/>
              </w:rPr>
              <w:t>3</w:t>
            </w:r>
          </w:p>
        </w:tc>
        <w:tc>
          <w:tcPr>
            <w:tcW w:w="691" w:type="pct"/>
            <w:vAlign w:val="center"/>
          </w:tcPr>
          <w:p w14:paraId="4A457673">
            <w:pPr>
              <w:pStyle w:val="1535"/>
            </w:pPr>
            <w:r>
              <w:rPr>
                <w:rFonts w:hint="eastAsia"/>
              </w:rPr>
              <w:t>梅家湾</w:t>
            </w:r>
          </w:p>
        </w:tc>
        <w:tc>
          <w:tcPr>
            <w:tcW w:w="438" w:type="pct"/>
            <w:vAlign w:val="center"/>
          </w:tcPr>
          <w:p w14:paraId="65DDFD5B">
            <w:pPr>
              <w:pStyle w:val="1535"/>
            </w:pPr>
            <w:r>
              <w:rPr>
                <w:rFonts w:hint="eastAsia"/>
              </w:rPr>
              <w:t>-340</w:t>
            </w:r>
          </w:p>
        </w:tc>
        <w:tc>
          <w:tcPr>
            <w:tcW w:w="468" w:type="pct"/>
            <w:vAlign w:val="center"/>
          </w:tcPr>
          <w:p w14:paraId="104D7543">
            <w:pPr>
              <w:pStyle w:val="1535"/>
            </w:pPr>
            <w:r>
              <w:rPr>
                <w:rFonts w:hint="eastAsia"/>
              </w:rPr>
              <w:t>190</w:t>
            </w:r>
          </w:p>
        </w:tc>
        <w:tc>
          <w:tcPr>
            <w:tcW w:w="333" w:type="pct"/>
            <w:vAlign w:val="center"/>
          </w:tcPr>
          <w:p w14:paraId="06983FB8">
            <w:pPr>
              <w:pStyle w:val="1535"/>
            </w:pPr>
            <w:r>
              <w:rPr>
                <w:rFonts w:hint="eastAsia"/>
              </w:rPr>
              <w:t>NW</w:t>
            </w:r>
          </w:p>
        </w:tc>
        <w:tc>
          <w:tcPr>
            <w:tcW w:w="473" w:type="pct"/>
            <w:vAlign w:val="center"/>
          </w:tcPr>
          <w:p w14:paraId="19D1280C">
            <w:pPr>
              <w:pStyle w:val="1535"/>
            </w:pPr>
            <w:r>
              <w:rPr>
                <w:rFonts w:hint="eastAsia"/>
              </w:rPr>
              <w:t>350</w:t>
            </w:r>
          </w:p>
        </w:tc>
        <w:tc>
          <w:tcPr>
            <w:tcW w:w="1096" w:type="pct"/>
            <w:vAlign w:val="center"/>
          </w:tcPr>
          <w:p w14:paraId="07FA22AA">
            <w:pPr>
              <w:pStyle w:val="1535"/>
            </w:pPr>
            <w:r>
              <w:rPr>
                <w:rFonts w:hint="eastAsia"/>
              </w:rPr>
              <w:t>散居农户</w:t>
            </w:r>
            <w:r>
              <w:t>，</w:t>
            </w:r>
            <w:r>
              <w:rPr>
                <w:rFonts w:hint="eastAsia"/>
              </w:rPr>
              <w:t>8</w:t>
            </w:r>
            <w:r>
              <w:t>户，约</w:t>
            </w:r>
            <w:r>
              <w:rPr>
                <w:rFonts w:hint="eastAsia"/>
              </w:rPr>
              <w:t>26</w:t>
            </w:r>
            <w:r>
              <w:t>人</w:t>
            </w:r>
          </w:p>
        </w:tc>
        <w:tc>
          <w:tcPr>
            <w:tcW w:w="375" w:type="pct"/>
            <w:vMerge w:val="continue"/>
            <w:vAlign w:val="center"/>
          </w:tcPr>
          <w:p w14:paraId="2210801E">
            <w:pPr>
              <w:pStyle w:val="1535"/>
            </w:pPr>
          </w:p>
        </w:tc>
        <w:tc>
          <w:tcPr>
            <w:tcW w:w="808" w:type="pct"/>
            <w:vMerge w:val="restart"/>
            <w:vAlign w:val="center"/>
          </w:tcPr>
          <w:p w14:paraId="6E0FC6C1">
            <w:pPr>
              <w:pStyle w:val="1535"/>
            </w:pPr>
            <w:r>
              <w:t>大气环境、环境风险</w:t>
            </w:r>
          </w:p>
        </w:tc>
      </w:tr>
      <w:tr w14:paraId="3425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7748FCA8">
            <w:pPr>
              <w:pStyle w:val="1535"/>
            </w:pPr>
            <w:r>
              <w:rPr>
                <w:rFonts w:hint="eastAsia"/>
              </w:rPr>
              <w:t>4</w:t>
            </w:r>
          </w:p>
        </w:tc>
        <w:tc>
          <w:tcPr>
            <w:tcW w:w="691" w:type="pct"/>
            <w:vAlign w:val="center"/>
          </w:tcPr>
          <w:p w14:paraId="4611AE72">
            <w:pPr>
              <w:pStyle w:val="1535"/>
            </w:pPr>
            <w:r>
              <w:t>平安坝村</w:t>
            </w:r>
          </w:p>
        </w:tc>
        <w:tc>
          <w:tcPr>
            <w:tcW w:w="438" w:type="pct"/>
            <w:vAlign w:val="center"/>
          </w:tcPr>
          <w:p w14:paraId="2F5E172B">
            <w:pPr>
              <w:pStyle w:val="1535"/>
            </w:pPr>
            <w:r>
              <w:t>8</w:t>
            </w:r>
          </w:p>
        </w:tc>
        <w:tc>
          <w:tcPr>
            <w:tcW w:w="468" w:type="pct"/>
            <w:vAlign w:val="center"/>
          </w:tcPr>
          <w:p w14:paraId="47AB9899">
            <w:pPr>
              <w:pStyle w:val="1535"/>
            </w:pPr>
            <w:r>
              <w:t>575</w:t>
            </w:r>
          </w:p>
        </w:tc>
        <w:tc>
          <w:tcPr>
            <w:tcW w:w="333" w:type="pct"/>
            <w:vAlign w:val="center"/>
          </w:tcPr>
          <w:p w14:paraId="1D0A0677">
            <w:pPr>
              <w:pStyle w:val="1535"/>
            </w:pPr>
            <w:r>
              <w:t>N</w:t>
            </w:r>
          </w:p>
        </w:tc>
        <w:tc>
          <w:tcPr>
            <w:tcW w:w="473" w:type="pct"/>
            <w:vAlign w:val="center"/>
          </w:tcPr>
          <w:p w14:paraId="24A6D7C0">
            <w:pPr>
              <w:pStyle w:val="1535"/>
            </w:pPr>
            <w:r>
              <w:t>478</w:t>
            </w:r>
          </w:p>
        </w:tc>
        <w:tc>
          <w:tcPr>
            <w:tcW w:w="1096" w:type="pct"/>
            <w:vAlign w:val="center"/>
          </w:tcPr>
          <w:p w14:paraId="2FAFB665">
            <w:pPr>
              <w:pStyle w:val="1535"/>
            </w:pPr>
            <w:r>
              <w:t>农村居住点，50户，约160人</w:t>
            </w:r>
          </w:p>
        </w:tc>
        <w:tc>
          <w:tcPr>
            <w:tcW w:w="375" w:type="pct"/>
            <w:vMerge w:val="continue"/>
            <w:vAlign w:val="center"/>
          </w:tcPr>
          <w:p w14:paraId="02F50BC6">
            <w:pPr>
              <w:pStyle w:val="1535"/>
            </w:pPr>
          </w:p>
        </w:tc>
        <w:tc>
          <w:tcPr>
            <w:tcW w:w="808" w:type="pct"/>
            <w:vMerge w:val="continue"/>
            <w:vAlign w:val="center"/>
          </w:tcPr>
          <w:p w14:paraId="0DD15E8F">
            <w:pPr>
              <w:pStyle w:val="1535"/>
            </w:pPr>
          </w:p>
        </w:tc>
      </w:tr>
      <w:tr w14:paraId="40B4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160F5F51">
            <w:pPr>
              <w:pStyle w:val="1535"/>
            </w:pPr>
            <w:r>
              <w:rPr>
                <w:rFonts w:hint="eastAsia"/>
              </w:rPr>
              <w:t>5</w:t>
            </w:r>
          </w:p>
        </w:tc>
        <w:tc>
          <w:tcPr>
            <w:tcW w:w="691" w:type="pct"/>
            <w:vAlign w:val="center"/>
          </w:tcPr>
          <w:p w14:paraId="66C86C55">
            <w:pPr>
              <w:pStyle w:val="1535"/>
            </w:pPr>
            <w:r>
              <w:t>元明村三小农民新村</w:t>
            </w:r>
          </w:p>
        </w:tc>
        <w:tc>
          <w:tcPr>
            <w:tcW w:w="438" w:type="pct"/>
            <w:vAlign w:val="center"/>
          </w:tcPr>
          <w:p w14:paraId="31F0E4C7">
            <w:pPr>
              <w:pStyle w:val="1535"/>
            </w:pPr>
            <w:r>
              <w:t>-1009</w:t>
            </w:r>
          </w:p>
        </w:tc>
        <w:tc>
          <w:tcPr>
            <w:tcW w:w="468" w:type="pct"/>
            <w:vAlign w:val="center"/>
          </w:tcPr>
          <w:p w14:paraId="01856F5A">
            <w:pPr>
              <w:pStyle w:val="1535"/>
            </w:pPr>
            <w:r>
              <w:t>445</w:t>
            </w:r>
          </w:p>
        </w:tc>
        <w:tc>
          <w:tcPr>
            <w:tcW w:w="333" w:type="pct"/>
            <w:vAlign w:val="center"/>
          </w:tcPr>
          <w:p w14:paraId="770D86FD">
            <w:pPr>
              <w:pStyle w:val="1535"/>
            </w:pPr>
            <w:r>
              <w:t>NW</w:t>
            </w:r>
          </w:p>
        </w:tc>
        <w:tc>
          <w:tcPr>
            <w:tcW w:w="473" w:type="pct"/>
            <w:vAlign w:val="center"/>
          </w:tcPr>
          <w:p w14:paraId="5D009A0F">
            <w:pPr>
              <w:pStyle w:val="1535"/>
            </w:pPr>
            <w:r>
              <w:t>1294</w:t>
            </w:r>
          </w:p>
        </w:tc>
        <w:tc>
          <w:tcPr>
            <w:tcW w:w="1096" w:type="pct"/>
            <w:vAlign w:val="center"/>
          </w:tcPr>
          <w:p w14:paraId="7B232A75">
            <w:pPr>
              <w:pStyle w:val="1535"/>
            </w:pPr>
            <w:r>
              <w:t>集中居住区，300户，约1000人</w:t>
            </w:r>
          </w:p>
        </w:tc>
        <w:tc>
          <w:tcPr>
            <w:tcW w:w="375" w:type="pct"/>
            <w:vMerge w:val="continue"/>
            <w:vAlign w:val="center"/>
          </w:tcPr>
          <w:p w14:paraId="0F20B1C2">
            <w:pPr>
              <w:pStyle w:val="1535"/>
            </w:pPr>
          </w:p>
        </w:tc>
        <w:tc>
          <w:tcPr>
            <w:tcW w:w="808" w:type="pct"/>
            <w:vMerge w:val="continue"/>
            <w:vAlign w:val="center"/>
          </w:tcPr>
          <w:p w14:paraId="74501EA3">
            <w:pPr>
              <w:pStyle w:val="1535"/>
            </w:pPr>
          </w:p>
        </w:tc>
      </w:tr>
      <w:tr w14:paraId="7889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61A6198B">
            <w:pPr>
              <w:pStyle w:val="1535"/>
            </w:pPr>
            <w:r>
              <w:rPr>
                <w:rFonts w:hint="eastAsia"/>
              </w:rPr>
              <w:t>6</w:t>
            </w:r>
          </w:p>
        </w:tc>
        <w:tc>
          <w:tcPr>
            <w:tcW w:w="691" w:type="pct"/>
            <w:vAlign w:val="center"/>
          </w:tcPr>
          <w:p w14:paraId="3C2ED9BD">
            <w:pPr>
              <w:pStyle w:val="1535"/>
            </w:pPr>
            <w:r>
              <w:t>西彭镇三小</w:t>
            </w:r>
          </w:p>
        </w:tc>
        <w:tc>
          <w:tcPr>
            <w:tcW w:w="438" w:type="pct"/>
            <w:vAlign w:val="center"/>
          </w:tcPr>
          <w:p w14:paraId="6C64053E">
            <w:pPr>
              <w:pStyle w:val="1535"/>
            </w:pPr>
            <w:r>
              <w:t>-880</w:t>
            </w:r>
          </w:p>
        </w:tc>
        <w:tc>
          <w:tcPr>
            <w:tcW w:w="468" w:type="pct"/>
            <w:vAlign w:val="center"/>
          </w:tcPr>
          <w:p w14:paraId="542A16B4">
            <w:pPr>
              <w:pStyle w:val="1535"/>
            </w:pPr>
            <w:r>
              <w:t>566</w:t>
            </w:r>
          </w:p>
        </w:tc>
        <w:tc>
          <w:tcPr>
            <w:tcW w:w="333" w:type="pct"/>
            <w:vAlign w:val="center"/>
          </w:tcPr>
          <w:p w14:paraId="6DB5E8E8">
            <w:pPr>
              <w:pStyle w:val="1535"/>
            </w:pPr>
            <w:r>
              <w:t>NW</w:t>
            </w:r>
          </w:p>
        </w:tc>
        <w:tc>
          <w:tcPr>
            <w:tcW w:w="473" w:type="pct"/>
            <w:vAlign w:val="center"/>
          </w:tcPr>
          <w:p w14:paraId="76B4ED3C">
            <w:pPr>
              <w:pStyle w:val="1535"/>
            </w:pPr>
            <w:r>
              <w:t>1037</w:t>
            </w:r>
          </w:p>
        </w:tc>
        <w:tc>
          <w:tcPr>
            <w:tcW w:w="1096" w:type="pct"/>
            <w:vAlign w:val="center"/>
          </w:tcPr>
          <w:p w14:paraId="15FE18CD">
            <w:pPr>
              <w:pStyle w:val="1535"/>
            </w:pPr>
            <w:r>
              <w:t>现有小学班15个，师生774人</w:t>
            </w:r>
          </w:p>
        </w:tc>
        <w:tc>
          <w:tcPr>
            <w:tcW w:w="375" w:type="pct"/>
            <w:vMerge w:val="continue"/>
            <w:vAlign w:val="center"/>
          </w:tcPr>
          <w:p w14:paraId="500A29A4">
            <w:pPr>
              <w:pStyle w:val="1535"/>
            </w:pPr>
          </w:p>
        </w:tc>
        <w:tc>
          <w:tcPr>
            <w:tcW w:w="808" w:type="pct"/>
            <w:vMerge w:val="continue"/>
            <w:vAlign w:val="center"/>
          </w:tcPr>
          <w:p w14:paraId="30EC691F">
            <w:pPr>
              <w:pStyle w:val="1535"/>
            </w:pPr>
          </w:p>
        </w:tc>
      </w:tr>
      <w:tr w14:paraId="0DCBD0BC">
        <w:tblPrEx>
          <w:tblCellMar>
            <w:top w:w="0" w:type="dxa"/>
            <w:left w:w="108" w:type="dxa"/>
            <w:bottom w:w="0" w:type="dxa"/>
            <w:right w:w="108" w:type="dxa"/>
          </w:tblCellMar>
        </w:tblPrEx>
        <w:trPr>
          <w:trHeight w:val="397" w:hRule="atLeast"/>
        </w:trPr>
        <w:tc>
          <w:tcPr>
            <w:tcW w:w="312" w:type="pct"/>
            <w:vAlign w:val="center"/>
          </w:tcPr>
          <w:p w14:paraId="526696C1">
            <w:pPr>
              <w:pStyle w:val="1535"/>
            </w:pPr>
            <w:r>
              <w:rPr>
                <w:rFonts w:hint="eastAsia"/>
              </w:rPr>
              <w:t>7</w:t>
            </w:r>
          </w:p>
        </w:tc>
        <w:tc>
          <w:tcPr>
            <w:tcW w:w="691" w:type="pct"/>
            <w:vAlign w:val="center"/>
          </w:tcPr>
          <w:p w14:paraId="44B25D21">
            <w:pPr>
              <w:pStyle w:val="1535"/>
            </w:pPr>
            <w:r>
              <w:t>娟娟幼儿园</w:t>
            </w:r>
          </w:p>
        </w:tc>
        <w:tc>
          <w:tcPr>
            <w:tcW w:w="438" w:type="pct"/>
            <w:vAlign w:val="center"/>
          </w:tcPr>
          <w:p w14:paraId="09AB8DDD">
            <w:pPr>
              <w:pStyle w:val="1535"/>
            </w:pPr>
            <w:r>
              <w:t>-1410</w:t>
            </w:r>
          </w:p>
        </w:tc>
        <w:tc>
          <w:tcPr>
            <w:tcW w:w="468" w:type="pct"/>
            <w:vAlign w:val="center"/>
          </w:tcPr>
          <w:p w14:paraId="156E06B8">
            <w:pPr>
              <w:pStyle w:val="1535"/>
            </w:pPr>
            <w:r>
              <w:t>602</w:t>
            </w:r>
          </w:p>
        </w:tc>
        <w:tc>
          <w:tcPr>
            <w:tcW w:w="333" w:type="pct"/>
            <w:vAlign w:val="center"/>
          </w:tcPr>
          <w:p w14:paraId="3904737F">
            <w:pPr>
              <w:pStyle w:val="1535"/>
            </w:pPr>
            <w:r>
              <w:t>NW</w:t>
            </w:r>
          </w:p>
        </w:tc>
        <w:tc>
          <w:tcPr>
            <w:tcW w:w="473" w:type="pct"/>
            <w:vAlign w:val="center"/>
          </w:tcPr>
          <w:p w14:paraId="7ACFA0E1">
            <w:pPr>
              <w:pStyle w:val="1535"/>
            </w:pPr>
            <w:r>
              <w:t>1583</w:t>
            </w:r>
          </w:p>
        </w:tc>
        <w:tc>
          <w:tcPr>
            <w:tcW w:w="1096" w:type="pct"/>
            <w:vAlign w:val="center"/>
          </w:tcPr>
          <w:p w14:paraId="0A5BDE77">
            <w:pPr>
              <w:pStyle w:val="1535"/>
            </w:pPr>
            <w:r>
              <w:t>师生300人</w:t>
            </w:r>
          </w:p>
        </w:tc>
        <w:tc>
          <w:tcPr>
            <w:tcW w:w="375" w:type="pct"/>
            <w:vMerge w:val="continue"/>
            <w:vAlign w:val="center"/>
          </w:tcPr>
          <w:p w14:paraId="01721F20">
            <w:pPr>
              <w:pStyle w:val="1535"/>
            </w:pPr>
          </w:p>
        </w:tc>
        <w:tc>
          <w:tcPr>
            <w:tcW w:w="808" w:type="pct"/>
            <w:vMerge w:val="continue"/>
            <w:vAlign w:val="center"/>
          </w:tcPr>
          <w:p w14:paraId="1220C254">
            <w:pPr>
              <w:pStyle w:val="1535"/>
            </w:pPr>
          </w:p>
        </w:tc>
      </w:tr>
      <w:tr w14:paraId="0EFCD480">
        <w:tblPrEx>
          <w:tblCellMar>
            <w:top w:w="0" w:type="dxa"/>
            <w:left w:w="108" w:type="dxa"/>
            <w:bottom w:w="0" w:type="dxa"/>
            <w:right w:w="108" w:type="dxa"/>
          </w:tblCellMar>
        </w:tblPrEx>
        <w:trPr>
          <w:trHeight w:val="397" w:hRule="atLeast"/>
        </w:trPr>
        <w:tc>
          <w:tcPr>
            <w:tcW w:w="312" w:type="pct"/>
            <w:vAlign w:val="center"/>
          </w:tcPr>
          <w:p w14:paraId="5F136E76">
            <w:pPr>
              <w:pStyle w:val="1535"/>
            </w:pPr>
            <w:r>
              <w:rPr>
                <w:rFonts w:hint="eastAsia"/>
              </w:rPr>
              <w:t>8</w:t>
            </w:r>
          </w:p>
        </w:tc>
        <w:tc>
          <w:tcPr>
            <w:tcW w:w="691" w:type="pct"/>
            <w:vAlign w:val="center"/>
          </w:tcPr>
          <w:p w14:paraId="078182DE">
            <w:pPr>
              <w:pStyle w:val="1535"/>
            </w:pPr>
            <w:r>
              <w:t>和平村</w:t>
            </w:r>
          </w:p>
        </w:tc>
        <w:tc>
          <w:tcPr>
            <w:tcW w:w="438" w:type="pct"/>
            <w:vAlign w:val="center"/>
          </w:tcPr>
          <w:p w14:paraId="0E86404A">
            <w:pPr>
              <w:pStyle w:val="1535"/>
            </w:pPr>
            <w:r>
              <w:t>-909</w:t>
            </w:r>
          </w:p>
        </w:tc>
        <w:tc>
          <w:tcPr>
            <w:tcW w:w="468" w:type="pct"/>
            <w:vAlign w:val="center"/>
          </w:tcPr>
          <w:p w14:paraId="4F5D0EDB">
            <w:pPr>
              <w:pStyle w:val="1535"/>
            </w:pPr>
            <w:r>
              <w:t>1211</w:t>
            </w:r>
          </w:p>
        </w:tc>
        <w:tc>
          <w:tcPr>
            <w:tcW w:w="333" w:type="pct"/>
            <w:vAlign w:val="center"/>
          </w:tcPr>
          <w:p w14:paraId="400FB556">
            <w:pPr>
              <w:pStyle w:val="1535"/>
            </w:pPr>
            <w:r>
              <w:t>NW</w:t>
            </w:r>
          </w:p>
        </w:tc>
        <w:tc>
          <w:tcPr>
            <w:tcW w:w="473" w:type="pct"/>
            <w:vAlign w:val="center"/>
          </w:tcPr>
          <w:p w14:paraId="35AC6C8D">
            <w:pPr>
              <w:pStyle w:val="1535"/>
            </w:pPr>
            <w:r>
              <w:t>1454</w:t>
            </w:r>
          </w:p>
        </w:tc>
        <w:tc>
          <w:tcPr>
            <w:tcW w:w="1096" w:type="pct"/>
            <w:vAlign w:val="center"/>
          </w:tcPr>
          <w:p w14:paraId="32CD1B90">
            <w:pPr>
              <w:pStyle w:val="1535"/>
            </w:pPr>
            <w:r>
              <w:t>农村居住点，50户，约160人</w:t>
            </w:r>
          </w:p>
        </w:tc>
        <w:tc>
          <w:tcPr>
            <w:tcW w:w="375" w:type="pct"/>
            <w:vMerge w:val="continue"/>
            <w:vAlign w:val="center"/>
          </w:tcPr>
          <w:p w14:paraId="01A741F3">
            <w:pPr>
              <w:pStyle w:val="1535"/>
            </w:pPr>
          </w:p>
        </w:tc>
        <w:tc>
          <w:tcPr>
            <w:tcW w:w="808" w:type="pct"/>
            <w:vMerge w:val="continue"/>
            <w:vAlign w:val="center"/>
          </w:tcPr>
          <w:p w14:paraId="0899CA91">
            <w:pPr>
              <w:pStyle w:val="1535"/>
            </w:pPr>
          </w:p>
        </w:tc>
      </w:tr>
      <w:tr w14:paraId="5874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1470FDD8">
            <w:pPr>
              <w:pStyle w:val="1535"/>
            </w:pPr>
            <w:r>
              <w:rPr>
                <w:rFonts w:hint="eastAsia"/>
              </w:rPr>
              <w:t>9</w:t>
            </w:r>
          </w:p>
        </w:tc>
        <w:tc>
          <w:tcPr>
            <w:tcW w:w="691" w:type="pct"/>
            <w:vAlign w:val="center"/>
          </w:tcPr>
          <w:p w14:paraId="4DC7004D">
            <w:pPr>
              <w:pStyle w:val="1535"/>
            </w:pPr>
            <w:r>
              <w:t>元明村</w:t>
            </w:r>
          </w:p>
        </w:tc>
        <w:tc>
          <w:tcPr>
            <w:tcW w:w="438" w:type="pct"/>
            <w:vAlign w:val="center"/>
          </w:tcPr>
          <w:p w14:paraId="66636E56">
            <w:pPr>
              <w:pStyle w:val="1535"/>
            </w:pPr>
            <w:r>
              <w:t>-1539</w:t>
            </w:r>
          </w:p>
        </w:tc>
        <w:tc>
          <w:tcPr>
            <w:tcW w:w="468" w:type="pct"/>
            <w:vAlign w:val="center"/>
          </w:tcPr>
          <w:p w14:paraId="0F8CD208">
            <w:pPr>
              <w:pStyle w:val="1535"/>
            </w:pPr>
            <w:r>
              <w:t>509</w:t>
            </w:r>
          </w:p>
        </w:tc>
        <w:tc>
          <w:tcPr>
            <w:tcW w:w="333" w:type="pct"/>
            <w:vAlign w:val="center"/>
          </w:tcPr>
          <w:p w14:paraId="286228E4">
            <w:pPr>
              <w:pStyle w:val="1535"/>
            </w:pPr>
            <w:r>
              <w:t>NW</w:t>
            </w:r>
          </w:p>
        </w:tc>
        <w:tc>
          <w:tcPr>
            <w:tcW w:w="473" w:type="pct"/>
            <w:vAlign w:val="center"/>
          </w:tcPr>
          <w:p w14:paraId="58C77E34">
            <w:pPr>
              <w:pStyle w:val="1535"/>
            </w:pPr>
            <w:r>
              <w:t>1687</w:t>
            </w:r>
          </w:p>
        </w:tc>
        <w:tc>
          <w:tcPr>
            <w:tcW w:w="1096" w:type="pct"/>
            <w:vAlign w:val="center"/>
          </w:tcPr>
          <w:p w14:paraId="784186C0">
            <w:pPr>
              <w:pStyle w:val="1535"/>
            </w:pPr>
            <w:r>
              <w:t>农村居住点，150户，约480人</w:t>
            </w:r>
          </w:p>
        </w:tc>
        <w:tc>
          <w:tcPr>
            <w:tcW w:w="375" w:type="pct"/>
            <w:vMerge w:val="continue"/>
            <w:vAlign w:val="center"/>
          </w:tcPr>
          <w:p w14:paraId="04DB693E">
            <w:pPr>
              <w:pStyle w:val="1535"/>
            </w:pPr>
          </w:p>
        </w:tc>
        <w:tc>
          <w:tcPr>
            <w:tcW w:w="808" w:type="pct"/>
            <w:vMerge w:val="continue"/>
            <w:vAlign w:val="center"/>
          </w:tcPr>
          <w:p w14:paraId="70611BCE">
            <w:pPr>
              <w:pStyle w:val="1535"/>
            </w:pPr>
          </w:p>
        </w:tc>
      </w:tr>
      <w:tr w14:paraId="19D5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0B885286">
            <w:pPr>
              <w:pStyle w:val="1535"/>
            </w:pPr>
            <w:r>
              <w:rPr>
                <w:rFonts w:hint="eastAsia"/>
              </w:rPr>
              <w:t>10</w:t>
            </w:r>
          </w:p>
        </w:tc>
        <w:tc>
          <w:tcPr>
            <w:tcW w:w="691" w:type="pct"/>
            <w:vAlign w:val="center"/>
          </w:tcPr>
          <w:p w14:paraId="07D296E1">
            <w:pPr>
              <w:pStyle w:val="1535"/>
            </w:pPr>
            <w:r>
              <w:t>西彭三中</w:t>
            </w:r>
          </w:p>
        </w:tc>
        <w:tc>
          <w:tcPr>
            <w:tcW w:w="438" w:type="pct"/>
            <w:vAlign w:val="center"/>
          </w:tcPr>
          <w:p w14:paraId="34F2F20E">
            <w:pPr>
              <w:pStyle w:val="1535"/>
            </w:pPr>
            <w:r>
              <w:t>-1539</w:t>
            </w:r>
          </w:p>
        </w:tc>
        <w:tc>
          <w:tcPr>
            <w:tcW w:w="468" w:type="pct"/>
            <w:vAlign w:val="center"/>
          </w:tcPr>
          <w:p w14:paraId="673CE564">
            <w:pPr>
              <w:pStyle w:val="1535"/>
            </w:pPr>
            <w:r>
              <w:t>667</w:t>
            </w:r>
          </w:p>
        </w:tc>
        <w:tc>
          <w:tcPr>
            <w:tcW w:w="333" w:type="pct"/>
            <w:vAlign w:val="center"/>
          </w:tcPr>
          <w:p w14:paraId="26391328">
            <w:pPr>
              <w:pStyle w:val="1535"/>
            </w:pPr>
            <w:r>
              <w:t>NW</w:t>
            </w:r>
          </w:p>
        </w:tc>
        <w:tc>
          <w:tcPr>
            <w:tcW w:w="473" w:type="pct"/>
            <w:vAlign w:val="center"/>
          </w:tcPr>
          <w:p w14:paraId="76A0B999">
            <w:pPr>
              <w:pStyle w:val="1535"/>
            </w:pPr>
            <w:r>
              <w:t>1666</w:t>
            </w:r>
          </w:p>
        </w:tc>
        <w:tc>
          <w:tcPr>
            <w:tcW w:w="1096" w:type="pct"/>
            <w:vAlign w:val="center"/>
          </w:tcPr>
          <w:p w14:paraId="0EFD1B25">
            <w:pPr>
              <w:pStyle w:val="1535"/>
            </w:pPr>
            <w:r>
              <w:t>现有教职员工82人，学生约700人</w:t>
            </w:r>
          </w:p>
        </w:tc>
        <w:tc>
          <w:tcPr>
            <w:tcW w:w="375" w:type="pct"/>
            <w:vMerge w:val="continue"/>
            <w:vAlign w:val="center"/>
          </w:tcPr>
          <w:p w14:paraId="1F0717F6">
            <w:pPr>
              <w:pStyle w:val="1535"/>
            </w:pPr>
          </w:p>
        </w:tc>
        <w:tc>
          <w:tcPr>
            <w:tcW w:w="808" w:type="pct"/>
            <w:vMerge w:val="continue"/>
            <w:vAlign w:val="center"/>
          </w:tcPr>
          <w:p w14:paraId="6E2EF0B6">
            <w:pPr>
              <w:pStyle w:val="1535"/>
            </w:pPr>
          </w:p>
        </w:tc>
      </w:tr>
      <w:tr w14:paraId="3BB5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2AD31470">
            <w:pPr>
              <w:pStyle w:val="1535"/>
            </w:pPr>
            <w:r>
              <w:rPr>
                <w:rFonts w:hint="eastAsia"/>
              </w:rPr>
              <w:t>11</w:t>
            </w:r>
          </w:p>
        </w:tc>
        <w:tc>
          <w:tcPr>
            <w:tcW w:w="691" w:type="pct"/>
            <w:vAlign w:val="center"/>
          </w:tcPr>
          <w:p w14:paraId="7EC3D3DE">
            <w:pPr>
              <w:pStyle w:val="1535"/>
            </w:pPr>
            <w:r>
              <w:t>千秋村</w:t>
            </w:r>
          </w:p>
        </w:tc>
        <w:tc>
          <w:tcPr>
            <w:tcW w:w="438" w:type="pct"/>
            <w:vAlign w:val="center"/>
          </w:tcPr>
          <w:p w14:paraId="39A3DAEB">
            <w:pPr>
              <w:pStyle w:val="1535"/>
            </w:pPr>
            <w:r>
              <w:t>-1969</w:t>
            </w:r>
          </w:p>
        </w:tc>
        <w:tc>
          <w:tcPr>
            <w:tcW w:w="468" w:type="pct"/>
            <w:vAlign w:val="center"/>
          </w:tcPr>
          <w:p w14:paraId="5E12392B">
            <w:pPr>
              <w:pStyle w:val="1535"/>
            </w:pPr>
            <w:r>
              <w:t>1254</w:t>
            </w:r>
          </w:p>
        </w:tc>
        <w:tc>
          <w:tcPr>
            <w:tcW w:w="333" w:type="pct"/>
            <w:vAlign w:val="center"/>
          </w:tcPr>
          <w:p w14:paraId="7C28119E">
            <w:pPr>
              <w:pStyle w:val="1535"/>
            </w:pPr>
            <w:r>
              <w:t>NW</w:t>
            </w:r>
          </w:p>
        </w:tc>
        <w:tc>
          <w:tcPr>
            <w:tcW w:w="473" w:type="pct"/>
            <w:vAlign w:val="center"/>
          </w:tcPr>
          <w:p w14:paraId="2838C2ED">
            <w:pPr>
              <w:pStyle w:val="1535"/>
            </w:pPr>
            <w:r>
              <w:t>2205</w:t>
            </w:r>
          </w:p>
        </w:tc>
        <w:tc>
          <w:tcPr>
            <w:tcW w:w="1096" w:type="pct"/>
            <w:vAlign w:val="center"/>
          </w:tcPr>
          <w:p w14:paraId="249AC090">
            <w:pPr>
              <w:pStyle w:val="1535"/>
            </w:pPr>
            <w:r>
              <w:t>农村居住点，200户，约600人</w:t>
            </w:r>
          </w:p>
        </w:tc>
        <w:tc>
          <w:tcPr>
            <w:tcW w:w="375" w:type="pct"/>
            <w:vMerge w:val="continue"/>
            <w:vAlign w:val="center"/>
          </w:tcPr>
          <w:p w14:paraId="5FDA0C35">
            <w:pPr>
              <w:pStyle w:val="1535"/>
            </w:pPr>
          </w:p>
        </w:tc>
        <w:tc>
          <w:tcPr>
            <w:tcW w:w="808" w:type="pct"/>
            <w:vMerge w:val="continue"/>
            <w:vAlign w:val="center"/>
          </w:tcPr>
          <w:p w14:paraId="4B133A6D">
            <w:pPr>
              <w:pStyle w:val="1535"/>
            </w:pPr>
          </w:p>
        </w:tc>
      </w:tr>
      <w:tr w14:paraId="2C2C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199AE83">
            <w:pPr>
              <w:pStyle w:val="1535"/>
            </w:pPr>
            <w:r>
              <w:rPr>
                <w:rFonts w:hint="eastAsia"/>
              </w:rPr>
              <w:t>12</w:t>
            </w:r>
          </w:p>
        </w:tc>
        <w:tc>
          <w:tcPr>
            <w:tcW w:w="691" w:type="pct"/>
            <w:vAlign w:val="center"/>
          </w:tcPr>
          <w:p w14:paraId="6FC89361">
            <w:pPr>
              <w:pStyle w:val="1535"/>
            </w:pPr>
            <w:r>
              <w:t>梓怀村</w:t>
            </w:r>
          </w:p>
        </w:tc>
        <w:tc>
          <w:tcPr>
            <w:tcW w:w="438" w:type="pct"/>
            <w:vAlign w:val="center"/>
          </w:tcPr>
          <w:p w14:paraId="7CCAEE7D">
            <w:pPr>
              <w:pStyle w:val="1535"/>
            </w:pPr>
            <w:r>
              <w:t>-2048</w:t>
            </w:r>
          </w:p>
        </w:tc>
        <w:tc>
          <w:tcPr>
            <w:tcW w:w="468" w:type="pct"/>
            <w:vAlign w:val="center"/>
          </w:tcPr>
          <w:p w14:paraId="102C342A">
            <w:pPr>
              <w:pStyle w:val="1535"/>
            </w:pPr>
            <w:r>
              <w:t>-279</w:t>
            </w:r>
          </w:p>
        </w:tc>
        <w:tc>
          <w:tcPr>
            <w:tcW w:w="333" w:type="pct"/>
            <w:vAlign w:val="center"/>
          </w:tcPr>
          <w:p w14:paraId="0AD9E163">
            <w:pPr>
              <w:pStyle w:val="1535"/>
            </w:pPr>
            <w:r>
              <w:t>W</w:t>
            </w:r>
          </w:p>
        </w:tc>
        <w:tc>
          <w:tcPr>
            <w:tcW w:w="473" w:type="pct"/>
            <w:vAlign w:val="center"/>
          </w:tcPr>
          <w:p w14:paraId="63A85A4B">
            <w:pPr>
              <w:pStyle w:val="1535"/>
            </w:pPr>
            <w:r>
              <w:t>2040</w:t>
            </w:r>
          </w:p>
        </w:tc>
        <w:tc>
          <w:tcPr>
            <w:tcW w:w="1096" w:type="pct"/>
            <w:vAlign w:val="center"/>
          </w:tcPr>
          <w:p w14:paraId="4C9CEC73">
            <w:pPr>
              <w:pStyle w:val="1535"/>
            </w:pPr>
            <w:r>
              <w:t>农村居住点，50户，约160人</w:t>
            </w:r>
          </w:p>
        </w:tc>
        <w:tc>
          <w:tcPr>
            <w:tcW w:w="375" w:type="pct"/>
            <w:vMerge w:val="continue"/>
            <w:vAlign w:val="center"/>
          </w:tcPr>
          <w:p w14:paraId="3B27E59F">
            <w:pPr>
              <w:pStyle w:val="1535"/>
            </w:pPr>
          </w:p>
        </w:tc>
        <w:tc>
          <w:tcPr>
            <w:tcW w:w="808" w:type="pct"/>
            <w:vMerge w:val="continue"/>
            <w:vAlign w:val="center"/>
          </w:tcPr>
          <w:p w14:paraId="04A0E98B">
            <w:pPr>
              <w:pStyle w:val="1535"/>
            </w:pPr>
          </w:p>
        </w:tc>
      </w:tr>
      <w:tr w14:paraId="2D68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78969D3">
            <w:pPr>
              <w:pStyle w:val="1535"/>
            </w:pPr>
            <w:r>
              <w:rPr>
                <w:rFonts w:hint="eastAsia"/>
              </w:rPr>
              <w:t>13</w:t>
            </w:r>
          </w:p>
        </w:tc>
        <w:tc>
          <w:tcPr>
            <w:tcW w:w="691" w:type="pct"/>
            <w:vAlign w:val="center"/>
          </w:tcPr>
          <w:p w14:paraId="2DADA237">
            <w:pPr>
              <w:pStyle w:val="1535"/>
            </w:pPr>
            <w:r>
              <w:t>高坪村</w:t>
            </w:r>
          </w:p>
        </w:tc>
        <w:tc>
          <w:tcPr>
            <w:tcW w:w="438" w:type="pct"/>
            <w:vAlign w:val="center"/>
          </w:tcPr>
          <w:p w14:paraId="7934D44B">
            <w:pPr>
              <w:pStyle w:val="1535"/>
            </w:pPr>
            <w:r>
              <w:t>-2277</w:t>
            </w:r>
          </w:p>
        </w:tc>
        <w:tc>
          <w:tcPr>
            <w:tcW w:w="468" w:type="pct"/>
            <w:vAlign w:val="center"/>
          </w:tcPr>
          <w:p w14:paraId="7AC149E9">
            <w:pPr>
              <w:pStyle w:val="1535"/>
            </w:pPr>
            <w:r>
              <w:t>-2314</w:t>
            </w:r>
          </w:p>
        </w:tc>
        <w:tc>
          <w:tcPr>
            <w:tcW w:w="333" w:type="pct"/>
            <w:vAlign w:val="center"/>
          </w:tcPr>
          <w:p w14:paraId="643D7BD5">
            <w:pPr>
              <w:pStyle w:val="1535"/>
            </w:pPr>
            <w:r>
              <w:t>SW</w:t>
            </w:r>
          </w:p>
        </w:tc>
        <w:tc>
          <w:tcPr>
            <w:tcW w:w="473" w:type="pct"/>
            <w:vAlign w:val="center"/>
          </w:tcPr>
          <w:p w14:paraId="25C494E3">
            <w:pPr>
              <w:pStyle w:val="1535"/>
            </w:pPr>
            <w:r>
              <w:t>2900</w:t>
            </w:r>
          </w:p>
        </w:tc>
        <w:tc>
          <w:tcPr>
            <w:tcW w:w="1096" w:type="pct"/>
            <w:vAlign w:val="center"/>
          </w:tcPr>
          <w:p w14:paraId="0190A1A2">
            <w:pPr>
              <w:pStyle w:val="1535"/>
            </w:pPr>
            <w:r>
              <w:t>农村居住点，10户，约30人</w:t>
            </w:r>
          </w:p>
        </w:tc>
        <w:tc>
          <w:tcPr>
            <w:tcW w:w="375" w:type="pct"/>
            <w:vMerge w:val="continue"/>
            <w:vAlign w:val="center"/>
          </w:tcPr>
          <w:p w14:paraId="24957D2C">
            <w:pPr>
              <w:pStyle w:val="1535"/>
            </w:pPr>
          </w:p>
        </w:tc>
        <w:tc>
          <w:tcPr>
            <w:tcW w:w="808" w:type="pct"/>
            <w:vMerge w:val="continue"/>
            <w:vAlign w:val="center"/>
          </w:tcPr>
          <w:p w14:paraId="15EFD91B">
            <w:pPr>
              <w:pStyle w:val="1535"/>
            </w:pPr>
          </w:p>
        </w:tc>
      </w:tr>
      <w:tr w14:paraId="1F43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1F87DC35">
            <w:pPr>
              <w:pStyle w:val="1535"/>
            </w:pPr>
            <w:r>
              <w:rPr>
                <w:rFonts w:hint="eastAsia"/>
              </w:rPr>
              <w:t>14</w:t>
            </w:r>
          </w:p>
        </w:tc>
        <w:tc>
          <w:tcPr>
            <w:tcW w:w="691" w:type="pct"/>
            <w:vAlign w:val="center"/>
          </w:tcPr>
          <w:p w14:paraId="3A17A346">
            <w:pPr>
              <w:pStyle w:val="1535"/>
            </w:pPr>
            <w:r>
              <w:t>天堂村</w:t>
            </w:r>
          </w:p>
        </w:tc>
        <w:tc>
          <w:tcPr>
            <w:tcW w:w="438" w:type="pct"/>
            <w:vAlign w:val="center"/>
          </w:tcPr>
          <w:p w14:paraId="37DF9799">
            <w:pPr>
              <w:pStyle w:val="1535"/>
            </w:pPr>
            <w:r>
              <w:t>-1245</w:t>
            </w:r>
          </w:p>
        </w:tc>
        <w:tc>
          <w:tcPr>
            <w:tcW w:w="468" w:type="pct"/>
            <w:vAlign w:val="center"/>
          </w:tcPr>
          <w:p w14:paraId="17C79E9A">
            <w:pPr>
              <w:pStyle w:val="1535"/>
            </w:pPr>
            <w:r>
              <w:t>-2127</w:t>
            </w:r>
          </w:p>
        </w:tc>
        <w:tc>
          <w:tcPr>
            <w:tcW w:w="333" w:type="pct"/>
            <w:vAlign w:val="center"/>
          </w:tcPr>
          <w:p w14:paraId="601C4180">
            <w:pPr>
              <w:pStyle w:val="1535"/>
            </w:pPr>
            <w:r>
              <w:t>SW</w:t>
            </w:r>
          </w:p>
        </w:tc>
        <w:tc>
          <w:tcPr>
            <w:tcW w:w="473" w:type="pct"/>
            <w:vAlign w:val="center"/>
          </w:tcPr>
          <w:p w14:paraId="3709B73F">
            <w:pPr>
              <w:pStyle w:val="1535"/>
            </w:pPr>
            <w:r>
              <w:t>2488</w:t>
            </w:r>
          </w:p>
        </w:tc>
        <w:tc>
          <w:tcPr>
            <w:tcW w:w="1096" w:type="pct"/>
            <w:vAlign w:val="center"/>
          </w:tcPr>
          <w:p w14:paraId="0AC7CD5F">
            <w:pPr>
              <w:pStyle w:val="1535"/>
            </w:pPr>
            <w:r>
              <w:t>农村居住点，20户，约60人</w:t>
            </w:r>
          </w:p>
        </w:tc>
        <w:tc>
          <w:tcPr>
            <w:tcW w:w="375" w:type="pct"/>
            <w:vMerge w:val="continue"/>
            <w:vAlign w:val="center"/>
          </w:tcPr>
          <w:p w14:paraId="2E1E750D">
            <w:pPr>
              <w:pStyle w:val="1535"/>
            </w:pPr>
          </w:p>
        </w:tc>
        <w:tc>
          <w:tcPr>
            <w:tcW w:w="808" w:type="pct"/>
            <w:vMerge w:val="continue"/>
            <w:vAlign w:val="center"/>
          </w:tcPr>
          <w:p w14:paraId="617D4EC2">
            <w:pPr>
              <w:pStyle w:val="1535"/>
            </w:pPr>
          </w:p>
        </w:tc>
      </w:tr>
      <w:tr w14:paraId="3119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7650612F">
            <w:pPr>
              <w:pStyle w:val="1535"/>
            </w:pPr>
            <w:r>
              <w:rPr>
                <w:rFonts w:hint="eastAsia"/>
              </w:rPr>
              <w:t>15</w:t>
            </w:r>
          </w:p>
        </w:tc>
        <w:tc>
          <w:tcPr>
            <w:tcW w:w="691" w:type="pct"/>
            <w:vAlign w:val="center"/>
          </w:tcPr>
          <w:p w14:paraId="04AD42A9">
            <w:pPr>
              <w:pStyle w:val="1535"/>
            </w:pPr>
            <w:r>
              <w:t>东林村</w:t>
            </w:r>
          </w:p>
        </w:tc>
        <w:tc>
          <w:tcPr>
            <w:tcW w:w="438" w:type="pct"/>
            <w:vAlign w:val="center"/>
          </w:tcPr>
          <w:p w14:paraId="05E3072B">
            <w:pPr>
              <w:pStyle w:val="1535"/>
            </w:pPr>
            <w:r>
              <w:t>-808</w:t>
            </w:r>
          </w:p>
        </w:tc>
        <w:tc>
          <w:tcPr>
            <w:tcW w:w="468" w:type="pct"/>
            <w:vAlign w:val="center"/>
          </w:tcPr>
          <w:p w14:paraId="7196B1D1">
            <w:pPr>
              <w:pStyle w:val="1535"/>
            </w:pPr>
            <w:r>
              <w:t>-1662</w:t>
            </w:r>
          </w:p>
        </w:tc>
        <w:tc>
          <w:tcPr>
            <w:tcW w:w="333" w:type="pct"/>
            <w:vAlign w:val="center"/>
          </w:tcPr>
          <w:p w14:paraId="3D309DC8">
            <w:pPr>
              <w:pStyle w:val="1535"/>
            </w:pPr>
            <w:r>
              <w:t>SW</w:t>
            </w:r>
          </w:p>
        </w:tc>
        <w:tc>
          <w:tcPr>
            <w:tcW w:w="473" w:type="pct"/>
            <w:vAlign w:val="center"/>
          </w:tcPr>
          <w:p w14:paraId="0D21C911">
            <w:pPr>
              <w:pStyle w:val="1535"/>
            </w:pPr>
            <w:r>
              <w:t>1767</w:t>
            </w:r>
          </w:p>
        </w:tc>
        <w:tc>
          <w:tcPr>
            <w:tcW w:w="1096" w:type="pct"/>
            <w:vAlign w:val="center"/>
          </w:tcPr>
          <w:p w14:paraId="642B489F">
            <w:pPr>
              <w:pStyle w:val="1535"/>
            </w:pPr>
            <w:r>
              <w:t>农村居住点，60户，约192人</w:t>
            </w:r>
          </w:p>
        </w:tc>
        <w:tc>
          <w:tcPr>
            <w:tcW w:w="375" w:type="pct"/>
            <w:vMerge w:val="continue"/>
            <w:vAlign w:val="center"/>
          </w:tcPr>
          <w:p w14:paraId="6B8DE57C">
            <w:pPr>
              <w:pStyle w:val="1535"/>
            </w:pPr>
          </w:p>
        </w:tc>
        <w:tc>
          <w:tcPr>
            <w:tcW w:w="808" w:type="pct"/>
            <w:vMerge w:val="continue"/>
            <w:vAlign w:val="center"/>
          </w:tcPr>
          <w:p w14:paraId="3DA9AB33">
            <w:pPr>
              <w:pStyle w:val="1535"/>
            </w:pPr>
          </w:p>
        </w:tc>
      </w:tr>
      <w:tr w14:paraId="18CC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FF8E256">
            <w:pPr>
              <w:pStyle w:val="1535"/>
            </w:pPr>
            <w:r>
              <w:rPr>
                <w:rFonts w:hint="eastAsia"/>
              </w:rPr>
              <w:t>16</w:t>
            </w:r>
          </w:p>
        </w:tc>
        <w:tc>
          <w:tcPr>
            <w:tcW w:w="691" w:type="pct"/>
            <w:vAlign w:val="center"/>
          </w:tcPr>
          <w:p w14:paraId="4A0FD56F">
            <w:pPr>
              <w:pStyle w:val="1535"/>
            </w:pPr>
            <w:r>
              <w:t>松柏村</w:t>
            </w:r>
          </w:p>
        </w:tc>
        <w:tc>
          <w:tcPr>
            <w:tcW w:w="438" w:type="pct"/>
            <w:vAlign w:val="center"/>
          </w:tcPr>
          <w:p w14:paraId="5C7BD525">
            <w:pPr>
              <w:pStyle w:val="1535"/>
            </w:pPr>
            <w:r>
              <w:t>65</w:t>
            </w:r>
          </w:p>
        </w:tc>
        <w:tc>
          <w:tcPr>
            <w:tcW w:w="468" w:type="pct"/>
            <w:vAlign w:val="center"/>
          </w:tcPr>
          <w:p w14:paraId="15ACD3C5">
            <w:pPr>
              <w:pStyle w:val="1535"/>
            </w:pPr>
            <w:r>
              <w:t>-2392</w:t>
            </w:r>
          </w:p>
        </w:tc>
        <w:tc>
          <w:tcPr>
            <w:tcW w:w="333" w:type="pct"/>
            <w:vAlign w:val="center"/>
          </w:tcPr>
          <w:p w14:paraId="2244F28D">
            <w:pPr>
              <w:pStyle w:val="1535"/>
            </w:pPr>
            <w:r>
              <w:t>S</w:t>
            </w:r>
          </w:p>
        </w:tc>
        <w:tc>
          <w:tcPr>
            <w:tcW w:w="473" w:type="pct"/>
            <w:vAlign w:val="center"/>
          </w:tcPr>
          <w:p w14:paraId="4A19D7B9">
            <w:pPr>
              <w:pStyle w:val="1535"/>
            </w:pPr>
            <w:r>
              <w:t>2303</w:t>
            </w:r>
          </w:p>
        </w:tc>
        <w:tc>
          <w:tcPr>
            <w:tcW w:w="1096" w:type="pct"/>
            <w:vAlign w:val="center"/>
          </w:tcPr>
          <w:p w14:paraId="5C75BF81">
            <w:pPr>
              <w:pStyle w:val="1535"/>
            </w:pPr>
            <w:r>
              <w:t>农村居住点，30户，约100人</w:t>
            </w:r>
          </w:p>
        </w:tc>
        <w:tc>
          <w:tcPr>
            <w:tcW w:w="375" w:type="pct"/>
            <w:vMerge w:val="continue"/>
            <w:vAlign w:val="center"/>
          </w:tcPr>
          <w:p w14:paraId="2C4095E6">
            <w:pPr>
              <w:pStyle w:val="1535"/>
            </w:pPr>
          </w:p>
        </w:tc>
        <w:tc>
          <w:tcPr>
            <w:tcW w:w="808" w:type="pct"/>
            <w:vMerge w:val="continue"/>
            <w:vAlign w:val="center"/>
          </w:tcPr>
          <w:p w14:paraId="44C370D2">
            <w:pPr>
              <w:pStyle w:val="1535"/>
            </w:pPr>
          </w:p>
        </w:tc>
      </w:tr>
      <w:tr w14:paraId="7C72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65523F78">
            <w:pPr>
              <w:pStyle w:val="1535"/>
            </w:pPr>
            <w:r>
              <w:rPr>
                <w:rFonts w:hint="eastAsia"/>
              </w:rPr>
              <w:t>17</w:t>
            </w:r>
          </w:p>
        </w:tc>
        <w:tc>
          <w:tcPr>
            <w:tcW w:w="691" w:type="pct"/>
            <w:vAlign w:val="center"/>
          </w:tcPr>
          <w:p w14:paraId="1F59CB51">
            <w:pPr>
              <w:pStyle w:val="1535"/>
            </w:pPr>
            <w:r>
              <w:t>西彭敬老院</w:t>
            </w:r>
          </w:p>
        </w:tc>
        <w:tc>
          <w:tcPr>
            <w:tcW w:w="438" w:type="pct"/>
            <w:vAlign w:val="center"/>
          </w:tcPr>
          <w:p w14:paraId="52D9AB68">
            <w:pPr>
              <w:pStyle w:val="1535"/>
            </w:pPr>
            <w:r>
              <w:t>603</w:t>
            </w:r>
          </w:p>
        </w:tc>
        <w:tc>
          <w:tcPr>
            <w:tcW w:w="468" w:type="pct"/>
            <w:vAlign w:val="center"/>
          </w:tcPr>
          <w:p w14:paraId="03918B7A">
            <w:pPr>
              <w:pStyle w:val="1535"/>
            </w:pPr>
            <w:r>
              <w:t>-2507</w:t>
            </w:r>
          </w:p>
        </w:tc>
        <w:tc>
          <w:tcPr>
            <w:tcW w:w="333" w:type="pct"/>
            <w:vAlign w:val="center"/>
          </w:tcPr>
          <w:p w14:paraId="01A080DF">
            <w:pPr>
              <w:pStyle w:val="1535"/>
            </w:pPr>
            <w:r>
              <w:t>S</w:t>
            </w:r>
          </w:p>
        </w:tc>
        <w:tc>
          <w:tcPr>
            <w:tcW w:w="473" w:type="pct"/>
            <w:vAlign w:val="center"/>
          </w:tcPr>
          <w:p w14:paraId="057C8B4F">
            <w:pPr>
              <w:pStyle w:val="1535"/>
            </w:pPr>
            <w:r>
              <w:t>2615</w:t>
            </w:r>
          </w:p>
        </w:tc>
        <w:tc>
          <w:tcPr>
            <w:tcW w:w="1096" w:type="pct"/>
            <w:vAlign w:val="center"/>
          </w:tcPr>
          <w:p w14:paraId="15F91432">
            <w:pPr>
              <w:pStyle w:val="1535"/>
            </w:pPr>
            <w:r>
              <w:t>约160人</w:t>
            </w:r>
          </w:p>
        </w:tc>
        <w:tc>
          <w:tcPr>
            <w:tcW w:w="375" w:type="pct"/>
            <w:vMerge w:val="continue"/>
            <w:vAlign w:val="center"/>
          </w:tcPr>
          <w:p w14:paraId="0F886D82">
            <w:pPr>
              <w:pStyle w:val="1535"/>
            </w:pPr>
          </w:p>
        </w:tc>
        <w:tc>
          <w:tcPr>
            <w:tcW w:w="808" w:type="pct"/>
            <w:vMerge w:val="continue"/>
            <w:vAlign w:val="center"/>
          </w:tcPr>
          <w:p w14:paraId="7FDDD64A">
            <w:pPr>
              <w:pStyle w:val="1535"/>
            </w:pPr>
          </w:p>
        </w:tc>
      </w:tr>
      <w:tr w14:paraId="5512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5EC34B80">
            <w:pPr>
              <w:pStyle w:val="1535"/>
            </w:pPr>
            <w:r>
              <w:rPr>
                <w:rFonts w:hint="eastAsia"/>
              </w:rPr>
              <w:t>18</w:t>
            </w:r>
          </w:p>
        </w:tc>
        <w:tc>
          <w:tcPr>
            <w:tcW w:w="691" w:type="pct"/>
            <w:vAlign w:val="center"/>
          </w:tcPr>
          <w:p w14:paraId="05345D86">
            <w:pPr>
              <w:pStyle w:val="1535"/>
            </w:pPr>
            <w:r>
              <w:t>元通村</w:t>
            </w:r>
          </w:p>
        </w:tc>
        <w:tc>
          <w:tcPr>
            <w:tcW w:w="438" w:type="pct"/>
            <w:vAlign w:val="center"/>
          </w:tcPr>
          <w:p w14:paraId="44F47FFF">
            <w:pPr>
              <w:pStyle w:val="1535"/>
            </w:pPr>
            <w:r>
              <w:t>416</w:t>
            </w:r>
          </w:p>
        </w:tc>
        <w:tc>
          <w:tcPr>
            <w:tcW w:w="468" w:type="pct"/>
            <w:vAlign w:val="center"/>
          </w:tcPr>
          <w:p w14:paraId="72DF3AD1">
            <w:pPr>
              <w:pStyle w:val="1535"/>
            </w:pPr>
            <w:r>
              <w:t>-1862</w:t>
            </w:r>
          </w:p>
        </w:tc>
        <w:tc>
          <w:tcPr>
            <w:tcW w:w="333" w:type="pct"/>
            <w:vAlign w:val="center"/>
          </w:tcPr>
          <w:p w14:paraId="78E05451">
            <w:pPr>
              <w:pStyle w:val="1535"/>
            </w:pPr>
            <w:r>
              <w:t>S</w:t>
            </w:r>
          </w:p>
        </w:tc>
        <w:tc>
          <w:tcPr>
            <w:tcW w:w="473" w:type="pct"/>
            <w:vAlign w:val="center"/>
          </w:tcPr>
          <w:p w14:paraId="510F92F2">
            <w:pPr>
              <w:pStyle w:val="1535"/>
            </w:pPr>
            <w:r>
              <w:t>1800</w:t>
            </w:r>
          </w:p>
        </w:tc>
        <w:tc>
          <w:tcPr>
            <w:tcW w:w="1096" w:type="pct"/>
            <w:vAlign w:val="center"/>
          </w:tcPr>
          <w:p w14:paraId="5D8540ED">
            <w:pPr>
              <w:pStyle w:val="1535"/>
            </w:pPr>
            <w:r>
              <w:t>农村居住点，100户，约320人</w:t>
            </w:r>
          </w:p>
        </w:tc>
        <w:tc>
          <w:tcPr>
            <w:tcW w:w="375" w:type="pct"/>
            <w:vMerge w:val="continue"/>
            <w:vAlign w:val="center"/>
          </w:tcPr>
          <w:p w14:paraId="5C18BD55">
            <w:pPr>
              <w:pStyle w:val="1535"/>
            </w:pPr>
          </w:p>
        </w:tc>
        <w:tc>
          <w:tcPr>
            <w:tcW w:w="808" w:type="pct"/>
            <w:vMerge w:val="continue"/>
            <w:vAlign w:val="center"/>
          </w:tcPr>
          <w:p w14:paraId="3C243BAC">
            <w:pPr>
              <w:pStyle w:val="1535"/>
            </w:pPr>
          </w:p>
        </w:tc>
      </w:tr>
      <w:tr w14:paraId="07D8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0C3163F">
            <w:pPr>
              <w:pStyle w:val="1535"/>
            </w:pPr>
            <w:r>
              <w:rPr>
                <w:rFonts w:hint="eastAsia"/>
              </w:rPr>
              <w:t>19</w:t>
            </w:r>
          </w:p>
        </w:tc>
        <w:tc>
          <w:tcPr>
            <w:tcW w:w="691" w:type="pct"/>
            <w:vAlign w:val="center"/>
          </w:tcPr>
          <w:p w14:paraId="47394F3F">
            <w:pPr>
              <w:pStyle w:val="1535"/>
            </w:pPr>
            <w:r>
              <w:t>刘家湾小区</w:t>
            </w:r>
          </w:p>
        </w:tc>
        <w:tc>
          <w:tcPr>
            <w:tcW w:w="438" w:type="pct"/>
            <w:vAlign w:val="center"/>
          </w:tcPr>
          <w:p w14:paraId="7CA1EDFD">
            <w:pPr>
              <w:pStyle w:val="1535"/>
            </w:pPr>
            <w:r>
              <w:t>1083</w:t>
            </w:r>
          </w:p>
        </w:tc>
        <w:tc>
          <w:tcPr>
            <w:tcW w:w="468" w:type="pct"/>
            <w:vAlign w:val="center"/>
          </w:tcPr>
          <w:p w14:paraId="6B33F566">
            <w:pPr>
              <w:pStyle w:val="1535"/>
            </w:pPr>
            <w:r>
              <w:t>-1798</w:t>
            </w:r>
          </w:p>
        </w:tc>
        <w:tc>
          <w:tcPr>
            <w:tcW w:w="333" w:type="pct"/>
            <w:vAlign w:val="center"/>
          </w:tcPr>
          <w:p w14:paraId="435A38E0">
            <w:pPr>
              <w:pStyle w:val="1535"/>
            </w:pPr>
            <w:r>
              <w:t>SE</w:t>
            </w:r>
          </w:p>
        </w:tc>
        <w:tc>
          <w:tcPr>
            <w:tcW w:w="473" w:type="pct"/>
            <w:vAlign w:val="center"/>
          </w:tcPr>
          <w:p w14:paraId="7744B5B9">
            <w:pPr>
              <w:pStyle w:val="1535"/>
            </w:pPr>
            <w:r>
              <w:t>2275</w:t>
            </w:r>
          </w:p>
        </w:tc>
        <w:tc>
          <w:tcPr>
            <w:tcW w:w="1096" w:type="pct"/>
            <w:vAlign w:val="center"/>
          </w:tcPr>
          <w:p w14:paraId="21FC7DEF">
            <w:pPr>
              <w:pStyle w:val="1535"/>
            </w:pPr>
            <w:r>
              <w:t>集中居住区，600户，约2000人</w:t>
            </w:r>
          </w:p>
        </w:tc>
        <w:tc>
          <w:tcPr>
            <w:tcW w:w="375" w:type="pct"/>
            <w:vMerge w:val="continue"/>
            <w:vAlign w:val="center"/>
          </w:tcPr>
          <w:p w14:paraId="6E77F9E3">
            <w:pPr>
              <w:pStyle w:val="1535"/>
            </w:pPr>
          </w:p>
        </w:tc>
        <w:tc>
          <w:tcPr>
            <w:tcW w:w="808" w:type="pct"/>
            <w:vMerge w:val="continue"/>
            <w:vAlign w:val="center"/>
          </w:tcPr>
          <w:p w14:paraId="0BBA5EEC">
            <w:pPr>
              <w:pStyle w:val="1535"/>
            </w:pPr>
          </w:p>
        </w:tc>
      </w:tr>
      <w:tr w14:paraId="692C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0C7A67EA">
            <w:pPr>
              <w:pStyle w:val="1535"/>
            </w:pPr>
            <w:r>
              <w:rPr>
                <w:rFonts w:hint="eastAsia"/>
              </w:rPr>
              <w:t>20</w:t>
            </w:r>
          </w:p>
        </w:tc>
        <w:tc>
          <w:tcPr>
            <w:tcW w:w="691" w:type="pct"/>
            <w:vAlign w:val="center"/>
          </w:tcPr>
          <w:p w14:paraId="4EF12F55">
            <w:pPr>
              <w:pStyle w:val="1535"/>
            </w:pPr>
            <w:r>
              <w:t>西彭一中</w:t>
            </w:r>
          </w:p>
        </w:tc>
        <w:tc>
          <w:tcPr>
            <w:tcW w:w="438" w:type="pct"/>
            <w:vAlign w:val="center"/>
          </w:tcPr>
          <w:p w14:paraId="15B1B9FB">
            <w:pPr>
              <w:pStyle w:val="1535"/>
            </w:pPr>
            <w:r>
              <w:t>1527</w:t>
            </w:r>
          </w:p>
        </w:tc>
        <w:tc>
          <w:tcPr>
            <w:tcW w:w="468" w:type="pct"/>
            <w:vAlign w:val="center"/>
          </w:tcPr>
          <w:p w14:paraId="5E388D73">
            <w:pPr>
              <w:pStyle w:val="1535"/>
            </w:pPr>
            <w:r>
              <w:t>-2106</w:t>
            </w:r>
          </w:p>
        </w:tc>
        <w:tc>
          <w:tcPr>
            <w:tcW w:w="333" w:type="pct"/>
            <w:vAlign w:val="center"/>
          </w:tcPr>
          <w:p w14:paraId="3A97689E">
            <w:pPr>
              <w:pStyle w:val="1535"/>
            </w:pPr>
            <w:r>
              <w:t>SE</w:t>
            </w:r>
          </w:p>
        </w:tc>
        <w:tc>
          <w:tcPr>
            <w:tcW w:w="473" w:type="pct"/>
            <w:vAlign w:val="center"/>
          </w:tcPr>
          <w:p w14:paraId="5D954831">
            <w:pPr>
              <w:pStyle w:val="1535"/>
            </w:pPr>
            <w:r>
              <w:t>2886</w:t>
            </w:r>
          </w:p>
        </w:tc>
        <w:tc>
          <w:tcPr>
            <w:tcW w:w="1096" w:type="pct"/>
            <w:vAlign w:val="center"/>
          </w:tcPr>
          <w:p w14:paraId="42FF74FD">
            <w:pPr>
              <w:pStyle w:val="1535"/>
            </w:pPr>
            <w:r>
              <w:t>学校，在校师生约1500人</w:t>
            </w:r>
          </w:p>
        </w:tc>
        <w:tc>
          <w:tcPr>
            <w:tcW w:w="375" w:type="pct"/>
            <w:vMerge w:val="continue"/>
            <w:vAlign w:val="center"/>
          </w:tcPr>
          <w:p w14:paraId="5D37EB0B">
            <w:pPr>
              <w:pStyle w:val="1535"/>
            </w:pPr>
          </w:p>
        </w:tc>
        <w:tc>
          <w:tcPr>
            <w:tcW w:w="808" w:type="pct"/>
            <w:vMerge w:val="continue"/>
            <w:vAlign w:val="center"/>
          </w:tcPr>
          <w:p w14:paraId="4540FCBB">
            <w:pPr>
              <w:pStyle w:val="1535"/>
            </w:pPr>
          </w:p>
        </w:tc>
      </w:tr>
      <w:tr w14:paraId="7EFF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69B08B45">
            <w:pPr>
              <w:pStyle w:val="1535"/>
            </w:pPr>
            <w:r>
              <w:rPr>
                <w:rFonts w:hint="eastAsia"/>
              </w:rPr>
              <w:t>21</w:t>
            </w:r>
          </w:p>
        </w:tc>
        <w:tc>
          <w:tcPr>
            <w:tcW w:w="691" w:type="pct"/>
            <w:vAlign w:val="center"/>
          </w:tcPr>
          <w:p w14:paraId="34DBC6AF">
            <w:pPr>
              <w:pStyle w:val="1535"/>
            </w:pPr>
            <w:r>
              <w:t>大石堡九村小区</w:t>
            </w:r>
          </w:p>
        </w:tc>
        <w:tc>
          <w:tcPr>
            <w:tcW w:w="438" w:type="pct"/>
            <w:vAlign w:val="center"/>
          </w:tcPr>
          <w:p w14:paraId="6E6201A3">
            <w:pPr>
              <w:pStyle w:val="1535"/>
            </w:pPr>
            <w:r>
              <w:t>1677</w:t>
            </w:r>
          </w:p>
        </w:tc>
        <w:tc>
          <w:tcPr>
            <w:tcW w:w="468" w:type="pct"/>
            <w:vAlign w:val="center"/>
          </w:tcPr>
          <w:p w14:paraId="40E5B0CB">
            <w:pPr>
              <w:pStyle w:val="1535"/>
            </w:pPr>
            <w:r>
              <w:t>-2249</w:t>
            </w:r>
          </w:p>
        </w:tc>
        <w:tc>
          <w:tcPr>
            <w:tcW w:w="333" w:type="pct"/>
            <w:vAlign w:val="center"/>
          </w:tcPr>
          <w:p w14:paraId="46BC28D9">
            <w:pPr>
              <w:pStyle w:val="1535"/>
            </w:pPr>
            <w:r>
              <w:t>SE</w:t>
            </w:r>
          </w:p>
        </w:tc>
        <w:tc>
          <w:tcPr>
            <w:tcW w:w="473" w:type="pct"/>
            <w:vAlign w:val="center"/>
          </w:tcPr>
          <w:p w14:paraId="3B77E326">
            <w:pPr>
              <w:pStyle w:val="1535"/>
            </w:pPr>
            <w:r>
              <w:t>2984</w:t>
            </w:r>
          </w:p>
        </w:tc>
        <w:tc>
          <w:tcPr>
            <w:tcW w:w="1096" w:type="pct"/>
            <w:vAlign w:val="center"/>
          </w:tcPr>
          <w:p w14:paraId="01520C3D">
            <w:pPr>
              <w:pStyle w:val="1535"/>
            </w:pPr>
            <w:r>
              <w:t>集中居住区，300户，约1000人</w:t>
            </w:r>
          </w:p>
        </w:tc>
        <w:tc>
          <w:tcPr>
            <w:tcW w:w="375" w:type="pct"/>
            <w:vMerge w:val="continue"/>
            <w:vAlign w:val="center"/>
          </w:tcPr>
          <w:p w14:paraId="43AC350F">
            <w:pPr>
              <w:pStyle w:val="1535"/>
            </w:pPr>
          </w:p>
        </w:tc>
        <w:tc>
          <w:tcPr>
            <w:tcW w:w="808" w:type="pct"/>
            <w:vMerge w:val="continue"/>
            <w:vAlign w:val="center"/>
          </w:tcPr>
          <w:p w14:paraId="407C636E">
            <w:pPr>
              <w:pStyle w:val="1535"/>
            </w:pPr>
          </w:p>
        </w:tc>
      </w:tr>
      <w:tr w14:paraId="2DC2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249C55DA">
            <w:pPr>
              <w:pStyle w:val="1535"/>
            </w:pPr>
            <w:r>
              <w:rPr>
                <w:rFonts w:hint="eastAsia"/>
              </w:rPr>
              <w:t>22</w:t>
            </w:r>
          </w:p>
        </w:tc>
        <w:tc>
          <w:tcPr>
            <w:tcW w:w="691" w:type="pct"/>
            <w:vAlign w:val="center"/>
          </w:tcPr>
          <w:p w14:paraId="1C96510F">
            <w:pPr>
              <w:pStyle w:val="1535"/>
            </w:pPr>
            <w:r>
              <w:t>大石堡小区</w:t>
            </w:r>
          </w:p>
        </w:tc>
        <w:tc>
          <w:tcPr>
            <w:tcW w:w="438" w:type="pct"/>
            <w:vAlign w:val="center"/>
          </w:tcPr>
          <w:p w14:paraId="4DB05D27">
            <w:pPr>
              <w:pStyle w:val="1535"/>
            </w:pPr>
            <w:r>
              <w:t>1498</w:t>
            </w:r>
          </w:p>
        </w:tc>
        <w:tc>
          <w:tcPr>
            <w:tcW w:w="468" w:type="pct"/>
            <w:vAlign w:val="center"/>
          </w:tcPr>
          <w:p w14:paraId="01F27D8F">
            <w:pPr>
              <w:pStyle w:val="1535"/>
            </w:pPr>
            <w:r>
              <w:t>-2464</w:t>
            </w:r>
          </w:p>
        </w:tc>
        <w:tc>
          <w:tcPr>
            <w:tcW w:w="333" w:type="pct"/>
            <w:vAlign w:val="center"/>
          </w:tcPr>
          <w:p w14:paraId="4EC78900">
            <w:pPr>
              <w:pStyle w:val="1535"/>
            </w:pPr>
            <w:r>
              <w:t>SE</w:t>
            </w:r>
          </w:p>
        </w:tc>
        <w:tc>
          <w:tcPr>
            <w:tcW w:w="473" w:type="pct"/>
            <w:vAlign w:val="center"/>
          </w:tcPr>
          <w:p w14:paraId="57DFABBA">
            <w:pPr>
              <w:pStyle w:val="1535"/>
            </w:pPr>
            <w:r>
              <w:t>2947</w:t>
            </w:r>
          </w:p>
        </w:tc>
        <w:tc>
          <w:tcPr>
            <w:tcW w:w="1096" w:type="pct"/>
            <w:vAlign w:val="center"/>
          </w:tcPr>
          <w:p w14:paraId="3ACBF089">
            <w:pPr>
              <w:pStyle w:val="1535"/>
            </w:pPr>
            <w:r>
              <w:t>集中居住区，420户，约1350人</w:t>
            </w:r>
          </w:p>
        </w:tc>
        <w:tc>
          <w:tcPr>
            <w:tcW w:w="375" w:type="pct"/>
            <w:vMerge w:val="continue"/>
            <w:vAlign w:val="center"/>
          </w:tcPr>
          <w:p w14:paraId="3CD79C2D">
            <w:pPr>
              <w:pStyle w:val="1535"/>
            </w:pPr>
          </w:p>
        </w:tc>
        <w:tc>
          <w:tcPr>
            <w:tcW w:w="808" w:type="pct"/>
            <w:vMerge w:val="restart"/>
            <w:vAlign w:val="center"/>
          </w:tcPr>
          <w:p w14:paraId="368F2D1C">
            <w:pPr>
              <w:pStyle w:val="1535"/>
            </w:pPr>
            <w:r>
              <w:t>环境风险</w:t>
            </w:r>
          </w:p>
        </w:tc>
      </w:tr>
      <w:tr w14:paraId="79A1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14C1203D">
            <w:pPr>
              <w:pStyle w:val="1535"/>
            </w:pPr>
            <w:r>
              <w:rPr>
                <w:rFonts w:hint="eastAsia"/>
              </w:rPr>
              <w:t>23</w:t>
            </w:r>
          </w:p>
        </w:tc>
        <w:tc>
          <w:tcPr>
            <w:tcW w:w="691" w:type="pct"/>
            <w:vAlign w:val="center"/>
          </w:tcPr>
          <w:p w14:paraId="4FFE9216">
            <w:pPr>
              <w:pStyle w:val="1535"/>
            </w:pPr>
            <w:r>
              <w:t>大塘小区</w:t>
            </w:r>
          </w:p>
        </w:tc>
        <w:tc>
          <w:tcPr>
            <w:tcW w:w="438" w:type="pct"/>
            <w:vAlign w:val="center"/>
          </w:tcPr>
          <w:p w14:paraId="74372C3B">
            <w:pPr>
              <w:pStyle w:val="1535"/>
            </w:pPr>
            <w:r>
              <w:t>1476</w:t>
            </w:r>
          </w:p>
        </w:tc>
        <w:tc>
          <w:tcPr>
            <w:tcW w:w="468" w:type="pct"/>
            <w:vAlign w:val="center"/>
          </w:tcPr>
          <w:p w14:paraId="03A8D643">
            <w:pPr>
              <w:pStyle w:val="1535"/>
            </w:pPr>
            <w:r>
              <w:t>-2672</w:t>
            </w:r>
          </w:p>
        </w:tc>
        <w:tc>
          <w:tcPr>
            <w:tcW w:w="333" w:type="pct"/>
            <w:vAlign w:val="center"/>
          </w:tcPr>
          <w:p w14:paraId="7F308182">
            <w:pPr>
              <w:pStyle w:val="1535"/>
            </w:pPr>
            <w:r>
              <w:t>SE</w:t>
            </w:r>
          </w:p>
        </w:tc>
        <w:tc>
          <w:tcPr>
            <w:tcW w:w="473" w:type="pct"/>
            <w:vAlign w:val="center"/>
          </w:tcPr>
          <w:p w14:paraId="02E548C6">
            <w:pPr>
              <w:pStyle w:val="1535"/>
            </w:pPr>
            <w:r>
              <w:t>2996</w:t>
            </w:r>
          </w:p>
        </w:tc>
        <w:tc>
          <w:tcPr>
            <w:tcW w:w="1096" w:type="pct"/>
            <w:vAlign w:val="center"/>
          </w:tcPr>
          <w:p w14:paraId="312580D0">
            <w:pPr>
              <w:pStyle w:val="1535"/>
            </w:pPr>
            <w:r>
              <w:t>集中居住区，120户，约400人</w:t>
            </w:r>
          </w:p>
        </w:tc>
        <w:tc>
          <w:tcPr>
            <w:tcW w:w="375" w:type="pct"/>
            <w:vMerge w:val="continue"/>
            <w:vAlign w:val="center"/>
          </w:tcPr>
          <w:p w14:paraId="06CB7DD7">
            <w:pPr>
              <w:pStyle w:val="1535"/>
            </w:pPr>
          </w:p>
        </w:tc>
        <w:tc>
          <w:tcPr>
            <w:tcW w:w="808" w:type="pct"/>
            <w:vMerge w:val="continue"/>
            <w:vAlign w:val="center"/>
          </w:tcPr>
          <w:p w14:paraId="47A75628">
            <w:pPr>
              <w:pStyle w:val="1535"/>
            </w:pPr>
          </w:p>
        </w:tc>
      </w:tr>
      <w:tr w14:paraId="469E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199A691">
            <w:pPr>
              <w:pStyle w:val="1535"/>
            </w:pPr>
            <w:r>
              <w:rPr>
                <w:rFonts w:hint="eastAsia"/>
              </w:rPr>
              <w:t>24</w:t>
            </w:r>
          </w:p>
        </w:tc>
        <w:tc>
          <w:tcPr>
            <w:tcW w:w="691" w:type="pct"/>
            <w:vAlign w:val="center"/>
          </w:tcPr>
          <w:p w14:paraId="6E97DEEA">
            <w:pPr>
              <w:pStyle w:val="1535"/>
            </w:pPr>
            <w:r>
              <w:t>云鼎栖山1号院</w:t>
            </w:r>
          </w:p>
        </w:tc>
        <w:tc>
          <w:tcPr>
            <w:tcW w:w="438" w:type="pct"/>
            <w:vAlign w:val="center"/>
          </w:tcPr>
          <w:p w14:paraId="534FB9D5">
            <w:pPr>
              <w:pStyle w:val="1535"/>
            </w:pPr>
            <w:r>
              <w:t>2370</w:t>
            </w:r>
          </w:p>
        </w:tc>
        <w:tc>
          <w:tcPr>
            <w:tcW w:w="468" w:type="pct"/>
            <w:vAlign w:val="center"/>
          </w:tcPr>
          <w:p w14:paraId="3498FFEA">
            <w:pPr>
              <w:pStyle w:val="1535"/>
            </w:pPr>
            <w:r>
              <w:t>-2712</w:t>
            </w:r>
          </w:p>
        </w:tc>
        <w:tc>
          <w:tcPr>
            <w:tcW w:w="333" w:type="pct"/>
            <w:vAlign w:val="center"/>
          </w:tcPr>
          <w:p w14:paraId="6C9E7E2F">
            <w:pPr>
              <w:pStyle w:val="1535"/>
            </w:pPr>
            <w:r>
              <w:t>SE</w:t>
            </w:r>
          </w:p>
        </w:tc>
        <w:tc>
          <w:tcPr>
            <w:tcW w:w="473" w:type="pct"/>
            <w:vAlign w:val="center"/>
          </w:tcPr>
          <w:p w14:paraId="175BCA89">
            <w:pPr>
              <w:pStyle w:val="1535"/>
            </w:pPr>
            <w:r>
              <w:t>2839</w:t>
            </w:r>
          </w:p>
        </w:tc>
        <w:tc>
          <w:tcPr>
            <w:tcW w:w="1096" w:type="pct"/>
            <w:vAlign w:val="center"/>
          </w:tcPr>
          <w:p w14:paraId="3775AE2E">
            <w:pPr>
              <w:pStyle w:val="1535"/>
            </w:pPr>
            <w:r>
              <w:t>集中居住区，300户，约1000人</w:t>
            </w:r>
          </w:p>
        </w:tc>
        <w:tc>
          <w:tcPr>
            <w:tcW w:w="375" w:type="pct"/>
            <w:vMerge w:val="continue"/>
            <w:vAlign w:val="center"/>
          </w:tcPr>
          <w:p w14:paraId="38A7EE55">
            <w:pPr>
              <w:pStyle w:val="1535"/>
            </w:pPr>
          </w:p>
        </w:tc>
        <w:tc>
          <w:tcPr>
            <w:tcW w:w="808" w:type="pct"/>
            <w:vMerge w:val="continue"/>
            <w:vAlign w:val="center"/>
          </w:tcPr>
          <w:p w14:paraId="1D6F01A2">
            <w:pPr>
              <w:pStyle w:val="1535"/>
            </w:pPr>
          </w:p>
        </w:tc>
      </w:tr>
      <w:tr w14:paraId="73CC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42FC2986">
            <w:pPr>
              <w:pStyle w:val="1535"/>
            </w:pPr>
            <w:r>
              <w:rPr>
                <w:rFonts w:hint="eastAsia"/>
              </w:rPr>
              <w:t>25</w:t>
            </w:r>
          </w:p>
        </w:tc>
        <w:tc>
          <w:tcPr>
            <w:tcW w:w="691" w:type="pct"/>
            <w:vAlign w:val="center"/>
          </w:tcPr>
          <w:p w14:paraId="5ED1DD2F">
            <w:pPr>
              <w:pStyle w:val="1535"/>
            </w:pPr>
            <w:r>
              <w:t>澎湖花园南区</w:t>
            </w:r>
          </w:p>
        </w:tc>
        <w:tc>
          <w:tcPr>
            <w:tcW w:w="438" w:type="pct"/>
            <w:vAlign w:val="center"/>
          </w:tcPr>
          <w:p w14:paraId="341F364E">
            <w:pPr>
              <w:pStyle w:val="1535"/>
            </w:pPr>
            <w:r>
              <w:t>2183</w:t>
            </w:r>
          </w:p>
        </w:tc>
        <w:tc>
          <w:tcPr>
            <w:tcW w:w="468" w:type="pct"/>
            <w:vAlign w:val="center"/>
          </w:tcPr>
          <w:p w14:paraId="2C732D32">
            <w:pPr>
              <w:pStyle w:val="1535"/>
            </w:pPr>
            <w:r>
              <w:t>-2695</w:t>
            </w:r>
          </w:p>
        </w:tc>
        <w:tc>
          <w:tcPr>
            <w:tcW w:w="333" w:type="pct"/>
            <w:vAlign w:val="center"/>
          </w:tcPr>
          <w:p w14:paraId="5999AF5A">
            <w:pPr>
              <w:pStyle w:val="1535"/>
            </w:pPr>
            <w:r>
              <w:t>SE</w:t>
            </w:r>
          </w:p>
        </w:tc>
        <w:tc>
          <w:tcPr>
            <w:tcW w:w="473" w:type="pct"/>
            <w:vAlign w:val="center"/>
          </w:tcPr>
          <w:p w14:paraId="77E907E1">
            <w:pPr>
              <w:pStyle w:val="1535"/>
            </w:pPr>
            <w:r>
              <w:t>2847</w:t>
            </w:r>
          </w:p>
        </w:tc>
        <w:tc>
          <w:tcPr>
            <w:tcW w:w="1096" w:type="pct"/>
            <w:vAlign w:val="center"/>
          </w:tcPr>
          <w:p w14:paraId="41E02A11">
            <w:pPr>
              <w:pStyle w:val="1535"/>
            </w:pPr>
            <w:r>
              <w:t>集中居住区，300户，约1000人</w:t>
            </w:r>
          </w:p>
        </w:tc>
        <w:tc>
          <w:tcPr>
            <w:tcW w:w="375" w:type="pct"/>
            <w:vMerge w:val="continue"/>
            <w:vAlign w:val="center"/>
          </w:tcPr>
          <w:p w14:paraId="4FBA943C">
            <w:pPr>
              <w:pStyle w:val="1535"/>
            </w:pPr>
          </w:p>
        </w:tc>
        <w:tc>
          <w:tcPr>
            <w:tcW w:w="808" w:type="pct"/>
            <w:vMerge w:val="continue"/>
            <w:vAlign w:val="center"/>
          </w:tcPr>
          <w:p w14:paraId="43D59544">
            <w:pPr>
              <w:pStyle w:val="1535"/>
            </w:pPr>
          </w:p>
        </w:tc>
      </w:tr>
      <w:tr w14:paraId="6D01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7CAEEE25">
            <w:pPr>
              <w:pStyle w:val="1535"/>
            </w:pPr>
            <w:r>
              <w:rPr>
                <w:rFonts w:hint="eastAsia"/>
              </w:rPr>
              <w:t>26</w:t>
            </w:r>
          </w:p>
        </w:tc>
        <w:tc>
          <w:tcPr>
            <w:tcW w:w="691" w:type="pct"/>
            <w:vAlign w:val="center"/>
          </w:tcPr>
          <w:p w14:paraId="5DF2FC8C">
            <w:pPr>
              <w:pStyle w:val="1535"/>
            </w:pPr>
            <w:r>
              <w:t>七星恋城</w:t>
            </w:r>
          </w:p>
        </w:tc>
        <w:tc>
          <w:tcPr>
            <w:tcW w:w="438" w:type="pct"/>
            <w:vAlign w:val="center"/>
          </w:tcPr>
          <w:p w14:paraId="4DCF717B">
            <w:pPr>
              <w:pStyle w:val="1535"/>
            </w:pPr>
            <w:r>
              <w:t>2377</w:t>
            </w:r>
          </w:p>
        </w:tc>
        <w:tc>
          <w:tcPr>
            <w:tcW w:w="468" w:type="pct"/>
            <w:vAlign w:val="center"/>
          </w:tcPr>
          <w:p w14:paraId="2A4167BB">
            <w:pPr>
              <w:pStyle w:val="1535"/>
            </w:pPr>
            <w:r>
              <w:t>-2571</w:t>
            </w:r>
          </w:p>
        </w:tc>
        <w:tc>
          <w:tcPr>
            <w:tcW w:w="333" w:type="pct"/>
            <w:vAlign w:val="center"/>
          </w:tcPr>
          <w:p w14:paraId="2A3547ED">
            <w:pPr>
              <w:pStyle w:val="1535"/>
            </w:pPr>
            <w:r>
              <w:t>SE</w:t>
            </w:r>
          </w:p>
        </w:tc>
        <w:tc>
          <w:tcPr>
            <w:tcW w:w="473" w:type="pct"/>
            <w:vAlign w:val="center"/>
          </w:tcPr>
          <w:p w14:paraId="59152484">
            <w:pPr>
              <w:pStyle w:val="1535"/>
            </w:pPr>
            <w:r>
              <w:t>2848</w:t>
            </w:r>
          </w:p>
        </w:tc>
        <w:tc>
          <w:tcPr>
            <w:tcW w:w="1096" w:type="pct"/>
            <w:vAlign w:val="center"/>
          </w:tcPr>
          <w:p w14:paraId="1B26B87E">
            <w:pPr>
              <w:pStyle w:val="1535"/>
            </w:pPr>
            <w:r>
              <w:t>集中居住区，200户，约600人</w:t>
            </w:r>
          </w:p>
        </w:tc>
        <w:tc>
          <w:tcPr>
            <w:tcW w:w="375" w:type="pct"/>
            <w:vMerge w:val="continue"/>
            <w:vAlign w:val="center"/>
          </w:tcPr>
          <w:p w14:paraId="378079C3">
            <w:pPr>
              <w:pStyle w:val="1535"/>
            </w:pPr>
          </w:p>
        </w:tc>
        <w:tc>
          <w:tcPr>
            <w:tcW w:w="808" w:type="pct"/>
            <w:vMerge w:val="continue"/>
            <w:vAlign w:val="center"/>
          </w:tcPr>
          <w:p w14:paraId="56CC0C53">
            <w:pPr>
              <w:pStyle w:val="1535"/>
            </w:pPr>
          </w:p>
        </w:tc>
      </w:tr>
      <w:tr w14:paraId="01C19544">
        <w:tblPrEx>
          <w:tblCellMar>
            <w:top w:w="0" w:type="dxa"/>
            <w:left w:w="108" w:type="dxa"/>
            <w:bottom w:w="0" w:type="dxa"/>
            <w:right w:w="108" w:type="dxa"/>
          </w:tblCellMar>
        </w:tblPrEx>
        <w:trPr>
          <w:trHeight w:val="397" w:hRule="atLeast"/>
        </w:trPr>
        <w:tc>
          <w:tcPr>
            <w:tcW w:w="312" w:type="pct"/>
            <w:vAlign w:val="center"/>
          </w:tcPr>
          <w:p w14:paraId="7391AFB6">
            <w:pPr>
              <w:pStyle w:val="1535"/>
            </w:pPr>
            <w:r>
              <w:rPr>
                <w:rFonts w:hint="eastAsia"/>
              </w:rPr>
              <w:t>27</w:t>
            </w:r>
          </w:p>
        </w:tc>
        <w:tc>
          <w:tcPr>
            <w:tcW w:w="691" w:type="pct"/>
            <w:vAlign w:val="center"/>
          </w:tcPr>
          <w:p w14:paraId="370EBEA5">
            <w:pPr>
              <w:pStyle w:val="1535"/>
            </w:pPr>
            <w:r>
              <w:t>怡心苑B区</w:t>
            </w:r>
          </w:p>
        </w:tc>
        <w:tc>
          <w:tcPr>
            <w:tcW w:w="438" w:type="pct"/>
            <w:vAlign w:val="center"/>
          </w:tcPr>
          <w:p w14:paraId="4BB49E93">
            <w:pPr>
              <w:pStyle w:val="1535"/>
            </w:pPr>
            <w:r>
              <w:t>2180</w:t>
            </w:r>
          </w:p>
        </w:tc>
        <w:tc>
          <w:tcPr>
            <w:tcW w:w="468" w:type="pct"/>
            <w:vAlign w:val="center"/>
          </w:tcPr>
          <w:p w14:paraId="6B34570D">
            <w:pPr>
              <w:pStyle w:val="1535"/>
            </w:pPr>
            <w:r>
              <w:t>-2571</w:t>
            </w:r>
          </w:p>
        </w:tc>
        <w:tc>
          <w:tcPr>
            <w:tcW w:w="333" w:type="pct"/>
            <w:vAlign w:val="center"/>
          </w:tcPr>
          <w:p w14:paraId="51FC6BE8">
            <w:pPr>
              <w:pStyle w:val="1535"/>
            </w:pPr>
            <w:r>
              <w:t>SE</w:t>
            </w:r>
          </w:p>
        </w:tc>
        <w:tc>
          <w:tcPr>
            <w:tcW w:w="473" w:type="pct"/>
            <w:vAlign w:val="center"/>
          </w:tcPr>
          <w:p w14:paraId="5BC4898F">
            <w:pPr>
              <w:pStyle w:val="1535"/>
            </w:pPr>
            <w:r>
              <w:t>2953</w:t>
            </w:r>
          </w:p>
        </w:tc>
        <w:tc>
          <w:tcPr>
            <w:tcW w:w="1096" w:type="pct"/>
            <w:vAlign w:val="center"/>
          </w:tcPr>
          <w:p w14:paraId="1DDE0A78">
            <w:pPr>
              <w:pStyle w:val="1535"/>
            </w:pPr>
            <w:r>
              <w:t>集中居住区，100户，约300人</w:t>
            </w:r>
          </w:p>
        </w:tc>
        <w:tc>
          <w:tcPr>
            <w:tcW w:w="375" w:type="pct"/>
            <w:vMerge w:val="continue"/>
            <w:vAlign w:val="center"/>
          </w:tcPr>
          <w:p w14:paraId="6A445710">
            <w:pPr>
              <w:pStyle w:val="1535"/>
            </w:pPr>
          </w:p>
        </w:tc>
        <w:tc>
          <w:tcPr>
            <w:tcW w:w="808" w:type="pct"/>
            <w:vMerge w:val="continue"/>
            <w:vAlign w:val="center"/>
          </w:tcPr>
          <w:p w14:paraId="5ACCE6DD">
            <w:pPr>
              <w:pStyle w:val="1535"/>
            </w:pPr>
          </w:p>
        </w:tc>
      </w:tr>
      <w:tr w14:paraId="43451FF7">
        <w:tblPrEx>
          <w:tblCellMar>
            <w:top w:w="0" w:type="dxa"/>
            <w:left w:w="108" w:type="dxa"/>
            <w:bottom w:w="0" w:type="dxa"/>
            <w:right w:w="108" w:type="dxa"/>
          </w:tblCellMar>
        </w:tblPrEx>
        <w:trPr>
          <w:trHeight w:val="397" w:hRule="atLeast"/>
        </w:trPr>
        <w:tc>
          <w:tcPr>
            <w:tcW w:w="312" w:type="pct"/>
            <w:vAlign w:val="center"/>
          </w:tcPr>
          <w:p w14:paraId="7A87F12B">
            <w:pPr>
              <w:pStyle w:val="1535"/>
            </w:pPr>
            <w:r>
              <w:rPr>
                <w:rFonts w:hint="eastAsia"/>
              </w:rPr>
              <w:t>28</w:t>
            </w:r>
          </w:p>
        </w:tc>
        <w:tc>
          <w:tcPr>
            <w:tcW w:w="691" w:type="pct"/>
            <w:vAlign w:val="center"/>
          </w:tcPr>
          <w:p w14:paraId="4C3C09EA">
            <w:pPr>
              <w:pStyle w:val="1535"/>
            </w:pPr>
            <w:r>
              <w:t>怡心小区</w:t>
            </w:r>
          </w:p>
        </w:tc>
        <w:tc>
          <w:tcPr>
            <w:tcW w:w="438" w:type="pct"/>
            <w:vAlign w:val="center"/>
          </w:tcPr>
          <w:p w14:paraId="36553A30">
            <w:pPr>
              <w:pStyle w:val="1535"/>
            </w:pPr>
            <w:r>
              <w:t>1935</w:t>
            </w:r>
          </w:p>
        </w:tc>
        <w:tc>
          <w:tcPr>
            <w:tcW w:w="468" w:type="pct"/>
            <w:vAlign w:val="center"/>
          </w:tcPr>
          <w:p w14:paraId="7EA617A7">
            <w:pPr>
              <w:pStyle w:val="1535"/>
            </w:pPr>
            <w:r>
              <w:t>-2522</w:t>
            </w:r>
          </w:p>
        </w:tc>
        <w:tc>
          <w:tcPr>
            <w:tcW w:w="333" w:type="pct"/>
            <w:vAlign w:val="center"/>
          </w:tcPr>
          <w:p w14:paraId="44E6682A">
            <w:pPr>
              <w:pStyle w:val="1535"/>
            </w:pPr>
            <w:r>
              <w:t>SE</w:t>
            </w:r>
          </w:p>
        </w:tc>
        <w:tc>
          <w:tcPr>
            <w:tcW w:w="473" w:type="pct"/>
            <w:vAlign w:val="center"/>
          </w:tcPr>
          <w:p w14:paraId="5636EEE5">
            <w:pPr>
              <w:pStyle w:val="1535"/>
            </w:pPr>
            <w:r>
              <w:t>2900</w:t>
            </w:r>
          </w:p>
        </w:tc>
        <w:tc>
          <w:tcPr>
            <w:tcW w:w="1096" w:type="pct"/>
            <w:vAlign w:val="center"/>
          </w:tcPr>
          <w:p w14:paraId="1477A6A7">
            <w:pPr>
              <w:pStyle w:val="1535"/>
            </w:pPr>
            <w:r>
              <w:t>集中居住区，200户，约600人</w:t>
            </w:r>
          </w:p>
        </w:tc>
        <w:tc>
          <w:tcPr>
            <w:tcW w:w="375" w:type="pct"/>
            <w:vMerge w:val="continue"/>
            <w:vAlign w:val="center"/>
          </w:tcPr>
          <w:p w14:paraId="4D4117E1">
            <w:pPr>
              <w:pStyle w:val="1535"/>
            </w:pPr>
          </w:p>
        </w:tc>
        <w:tc>
          <w:tcPr>
            <w:tcW w:w="808" w:type="pct"/>
            <w:vMerge w:val="continue"/>
            <w:vAlign w:val="center"/>
          </w:tcPr>
          <w:p w14:paraId="553DE9F4">
            <w:pPr>
              <w:pStyle w:val="1535"/>
            </w:pPr>
          </w:p>
        </w:tc>
      </w:tr>
      <w:tr w14:paraId="1837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4DE816E7">
            <w:pPr>
              <w:pStyle w:val="1535"/>
            </w:pPr>
            <w:r>
              <w:rPr>
                <w:rFonts w:hint="eastAsia"/>
              </w:rPr>
              <w:t>29</w:t>
            </w:r>
          </w:p>
        </w:tc>
        <w:tc>
          <w:tcPr>
            <w:tcW w:w="691" w:type="pct"/>
            <w:vAlign w:val="center"/>
          </w:tcPr>
          <w:p w14:paraId="5BC38364">
            <w:pPr>
              <w:pStyle w:val="1535"/>
            </w:pPr>
            <w:r>
              <w:t>铝城小学</w:t>
            </w:r>
          </w:p>
        </w:tc>
        <w:tc>
          <w:tcPr>
            <w:tcW w:w="438" w:type="pct"/>
            <w:vAlign w:val="center"/>
          </w:tcPr>
          <w:p w14:paraId="76948D9C">
            <w:pPr>
              <w:pStyle w:val="1535"/>
            </w:pPr>
            <w:r>
              <w:t>1814</w:t>
            </w:r>
          </w:p>
        </w:tc>
        <w:tc>
          <w:tcPr>
            <w:tcW w:w="468" w:type="pct"/>
            <w:vAlign w:val="center"/>
          </w:tcPr>
          <w:p w14:paraId="3C09844C">
            <w:pPr>
              <w:pStyle w:val="1535"/>
            </w:pPr>
            <w:r>
              <w:t>-2447</w:t>
            </w:r>
          </w:p>
        </w:tc>
        <w:tc>
          <w:tcPr>
            <w:tcW w:w="333" w:type="pct"/>
            <w:vAlign w:val="center"/>
          </w:tcPr>
          <w:p w14:paraId="54251D5E">
            <w:pPr>
              <w:pStyle w:val="1535"/>
            </w:pPr>
            <w:r>
              <w:t>SE</w:t>
            </w:r>
          </w:p>
        </w:tc>
        <w:tc>
          <w:tcPr>
            <w:tcW w:w="473" w:type="pct"/>
            <w:vAlign w:val="center"/>
          </w:tcPr>
          <w:p w14:paraId="2EE47D1C">
            <w:pPr>
              <w:pStyle w:val="1535"/>
            </w:pPr>
            <w:r>
              <w:t>2919</w:t>
            </w:r>
          </w:p>
        </w:tc>
        <w:tc>
          <w:tcPr>
            <w:tcW w:w="1096" w:type="pct"/>
            <w:vAlign w:val="center"/>
          </w:tcPr>
          <w:p w14:paraId="0EA06C79">
            <w:pPr>
              <w:pStyle w:val="1535"/>
            </w:pPr>
            <w:r>
              <w:t>师生800人</w:t>
            </w:r>
          </w:p>
        </w:tc>
        <w:tc>
          <w:tcPr>
            <w:tcW w:w="375" w:type="pct"/>
            <w:vMerge w:val="continue"/>
            <w:vAlign w:val="center"/>
          </w:tcPr>
          <w:p w14:paraId="3B6E1481">
            <w:pPr>
              <w:pStyle w:val="1535"/>
            </w:pPr>
          </w:p>
        </w:tc>
        <w:tc>
          <w:tcPr>
            <w:tcW w:w="808" w:type="pct"/>
            <w:vMerge w:val="continue"/>
            <w:vAlign w:val="center"/>
          </w:tcPr>
          <w:p w14:paraId="09157BB3">
            <w:pPr>
              <w:pStyle w:val="1535"/>
            </w:pPr>
          </w:p>
        </w:tc>
      </w:tr>
      <w:tr w14:paraId="10F0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16A82316">
            <w:pPr>
              <w:pStyle w:val="1535"/>
            </w:pPr>
            <w:r>
              <w:rPr>
                <w:rFonts w:hint="eastAsia"/>
              </w:rPr>
              <w:t>30</w:t>
            </w:r>
          </w:p>
        </w:tc>
        <w:tc>
          <w:tcPr>
            <w:tcW w:w="691" w:type="pct"/>
            <w:vAlign w:val="center"/>
          </w:tcPr>
          <w:p w14:paraId="4B56B173">
            <w:pPr>
              <w:pStyle w:val="1535"/>
            </w:pPr>
            <w:r>
              <w:t>宏达阳光幼儿园</w:t>
            </w:r>
          </w:p>
        </w:tc>
        <w:tc>
          <w:tcPr>
            <w:tcW w:w="438" w:type="pct"/>
            <w:vAlign w:val="center"/>
          </w:tcPr>
          <w:p w14:paraId="57E253EE">
            <w:pPr>
              <w:pStyle w:val="1535"/>
            </w:pPr>
            <w:r>
              <w:t>2076</w:t>
            </w:r>
          </w:p>
        </w:tc>
        <w:tc>
          <w:tcPr>
            <w:tcW w:w="468" w:type="pct"/>
            <w:vAlign w:val="center"/>
          </w:tcPr>
          <w:p w14:paraId="20BAB26C">
            <w:pPr>
              <w:pStyle w:val="1535"/>
            </w:pPr>
            <w:r>
              <w:t>-2295</w:t>
            </w:r>
          </w:p>
        </w:tc>
        <w:tc>
          <w:tcPr>
            <w:tcW w:w="333" w:type="pct"/>
            <w:vAlign w:val="center"/>
          </w:tcPr>
          <w:p w14:paraId="355B8E5C">
            <w:pPr>
              <w:pStyle w:val="1535"/>
            </w:pPr>
            <w:r>
              <w:t>SE</w:t>
            </w:r>
          </w:p>
        </w:tc>
        <w:tc>
          <w:tcPr>
            <w:tcW w:w="473" w:type="pct"/>
            <w:vAlign w:val="center"/>
          </w:tcPr>
          <w:p w14:paraId="147130F2">
            <w:pPr>
              <w:pStyle w:val="1535"/>
            </w:pPr>
            <w:r>
              <w:t>2905</w:t>
            </w:r>
          </w:p>
        </w:tc>
        <w:tc>
          <w:tcPr>
            <w:tcW w:w="1096" w:type="pct"/>
            <w:vAlign w:val="center"/>
          </w:tcPr>
          <w:p w14:paraId="556F7F5E">
            <w:pPr>
              <w:pStyle w:val="1535"/>
            </w:pPr>
            <w:r>
              <w:t>师生300人</w:t>
            </w:r>
          </w:p>
        </w:tc>
        <w:tc>
          <w:tcPr>
            <w:tcW w:w="375" w:type="pct"/>
            <w:vMerge w:val="continue"/>
            <w:vAlign w:val="center"/>
          </w:tcPr>
          <w:p w14:paraId="31760F9E">
            <w:pPr>
              <w:pStyle w:val="1535"/>
            </w:pPr>
          </w:p>
        </w:tc>
        <w:tc>
          <w:tcPr>
            <w:tcW w:w="808" w:type="pct"/>
            <w:vMerge w:val="continue"/>
            <w:vAlign w:val="center"/>
          </w:tcPr>
          <w:p w14:paraId="1941EB68">
            <w:pPr>
              <w:pStyle w:val="1535"/>
            </w:pPr>
          </w:p>
        </w:tc>
      </w:tr>
      <w:tr w14:paraId="7632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7A6E296A">
            <w:pPr>
              <w:pStyle w:val="1535"/>
            </w:pPr>
            <w:r>
              <w:rPr>
                <w:rFonts w:hint="eastAsia"/>
              </w:rPr>
              <w:t>31</w:t>
            </w:r>
          </w:p>
        </w:tc>
        <w:tc>
          <w:tcPr>
            <w:tcW w:w="691" w:type="pct"/>
            <w:vAlign w:val="center"/>
          </w:tcPr>
          <w:p w14:paraId="6F37BEA4">
            <w:pPr>
              <w:pStyle w:val="1535"/>
            </w:pPr>
            <w:r>
              <w:t>聚星宏苑</w:t>
            </w:r>
          </w:p>
        </w:tc>
        <w:tc>
          <w:tcPr>
            <w:tcW w:w="438" w:type="pct"/>
            <w:vAlign w:val="center"/>
          </w:tcPr>
          <w:p w14:paraId="48999296">
            <w:pPr>
              <w:pStyle w:val="1535"/>
            </w:pPr>
            <w:r>
              <w:t>1810</w:t>
            </w:r>
          </w:p>
        </w:tc>
        <w:tc>
          <w:tcPr>
            <w:tcW w:w="468" w:type="pct"/>
            <w:vAlign w:val="center"/>
          </w:tcPr>
          <w:p w14:paraId="46996BD1">
            <w:pPr>
              <w:pStyle w:val="1535"/>
            </w:pPr>
            <w:r>
              <w:t>-2070</w:t>
            </w:r>
          </w:p>
        </w:tc>
        <w:tc>
          <w:tcPr>
            <w:tcW w:w="333" w:type="pct"/>
            <w:vAlign w:val="center"/>
          </w:tcPr>
          <w:p w14:paraId="06CA1D47">
            <w:pPr>
              <w:pStyle w:val="1535"/>
            </w:pPr>
            <w:r>
              <w:t>SE</w:t>
            </w:r>
          </w:p>
        </w:tc>
        <w:tc>
          <w:tcPr>
            <w:tcW w:w="473" w:type="pct"/>
            <w:vAlign w:val="center"/>
          </w:tcPr>
          <w:p w14:paraId="12D1D2EF">
            <w:pPr>
              <w:pStyle w:val="1535"/>
            </w:pPr>
            <w:r>
              <w:t>2713</w:t>
            </w:r>
          </w:p>
        </w:tc>
        <w:tc>
          <w:tcPr>
            <w:tcW w:w="1096" w:type="pct"/>
            <w:vAlign w:val="center"/>
          </w:tcPr>
          <w:p w14:paraId="1695DFC3">
            <w:pPr>
              <w:pStyle w:val="1535"/>
            </w:pPr>
            <w:r>
              <w:t>集中居住区，200户，约600人</w:t>
            </w:r>
          </w:p>
        </w:tc>
        <w:tc>
          <w:tcPr>
            <w:tcW w:w="375" w:type="pct"/>
            <w:vMerge w:val="continue"/>
            <w:vAlign w:val="center"/>
          </w:tcPr>
          <w:p w14:paraId="0EB5F384">
            <w:pPr>
              <w:pStyle w:val="1535"/>
            </w:pPr>
          </w:p>
        </w:tc>
        <w:tc>
          <w:tcPr>
            <w:tcW w:w="808" w:type="pct"/>
            <w:vMerge w:val="continue"/>
            <w:vAlign w:val="center"/>
          </w:tcPr>
          <w:p w14:paraId="754BC0DA">
            <w:pPr>
              <w:pStyle w:val="1535"/>
            </w:pPr>
          </w:p>
        </w:tc>
      </w:tr>
      <w:tr w14:paraId="793C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0726BB9E">
            <w:pPr>
              <w:pStyle w:val="1535"/>
            </w:pPr>
            <w:r>
              <w:rPr>
                <w:rFonts w:hint="eastAsia"/>
              </w:rPr>
              <w:t>32</w:t>
            </w:r>
          </w:p>
        </w:tc>
        <w:tc>
          <w:tcPr>
            <w:tcW w:w="691" w:type="pct"/>
            <w:vAlign w:val="center"/>
          </w:tcPr>
          <w:p w14:paraId="73F8436F">
            <w:pPr>
              <w:pStyle w:val="1535"/>
            </w:pPr>
            <w:r>
              <w:t>星光名都</w:t>
            </w:r>
          </w:p>
        </w:tc>
        <w:tc>
          <w:tcPr>
            <w:tcW w:w="438" w:type="pct"/>
            <w:vAlign w:val="center"/>
          </w:tcPr>
          <w:p w14:paraId="163FEB85">
            <w:pPr>
              <w:pStyle w:val="1535"/>
            </w:pPr>
            <w:r>
              <w:t>2011</w:t>
            </w:r>
          </w:p>
        </w:tc>
        <w:tc>
          <w:tcPr>
            <w:tcW w:w="468" w:type="pct"/>
            <w:vAlign w:val="center"/>
          </w:tcPr>
          <w:p w14:paraId="2D3AF9E6">
            <w:pPr>
              <w:pStyle w:val="1535"/>
            </w:pPr>
            <w:r>
              <w:t>-2105</w:t>
            </w:r>
          </w:p>
        </w:tc>
        <w:tc>
          <w:tcPr>
            <w:tcW w:w="333" w:type="pct"/>
            <w:vAlign w:val="center"/>
          </w:tcPr>
          <w:p w14:paraId="4A91C951">
            <w:pPr>
              <w:pStyle w:val="1535"/>
            </w:pPr>
            <w:r>
              <w:t>SE</w:t>
            </w:r>
          </w:p>
        </w:tc>
        <w:tc>
          <w:tcPr>
            <w:tcW w:w="473" w:type="pct"/>
            <w:vAlign w:val="center"/>
          </w:tcPr>
          <w:p w14:paraId="55E4FD52">
            <w:pPr>
              <w:pStyle w:val="1535"/>
            </w:pPr>
            <w:r>
              <w:t>2924</w:t>
            </w:r>
          </w:p>
        </w:tc>
        <w:tc>
          <w:tcPr>
            <w:tcW w:w="1096" w:type="pct"/>
            <w:vAlign w:val="center"/>
          </w:tcPr>
          <w:p w14:paraId="4CD704E9">
            <w:pPr>
              <w:pStyle w:val="1535"/>
            </w:pPr>
            <w:r>
              <w:t>集中居住区，300户，约1000人</w:t>
            </w:r>
          </w:p>
        </w:tc>
        <w:tc>
          <w:tcPr>
            <w:tcW w:w="375" w:type="pct"/>
            <w:vMerge w:val="continue"/>
            <w:vAlign w:val="center"/>
          </w:tcPr>
          <w:p w14:paraId="6FE43B7A">
            <w:pPr>
              <w:pStyle w:val="1535"/>
            </w:pPr>
          </w:p>
        </w:tc>
        <w:tc>
          <w:tcPr>
            <w:tcW w:w="808" w:type="pct"/>
            <w:vMerge w:val="continue"/>
            <w:vAlign w:val="center"/>
          </w:tcPr>
          <w:p w14:paraId="21CAB98C">
            <w:pPr>
              <w:pStyle w:val="1535"/>
            </w:pPr>
          </w:p>
        </w:tc>
      </w:tr>
      <w:tr w14:paraId="0B9B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3E97DE0">
            <w:pPr>
              <w:pStyle w:val="1535"/>
            </w:pPr>
            <w:r>
              <w:rPr>
                <w:rFonts w:hint="eastAsia"/>
              </w:rPr>
              <w:t>33</w:t>
            </w:r>
          </w:p>
        </w:tc>
        <w:tc>
          <w:tcPr>
            <w:tcW w:w="691" w:type="pct"/>
            <w:vAlign w:val="center"/>
          </w:tcPr>
          <w:p w14:paraId="1F8ECAA0">
            <w:pPr>
              <w:pStyle w:val="1535"/>
            </w:pPr>
            <w:r>
              <w:t>帝景豪苑</w:t>
            </w:r>
          </w:p>
        </w:tc>
        <w:tc>
          <w:tcPr>
            <w:tcW w:w="438" w:type="pct"/>
            <w:vAlign w:val="center"/>
          </w:tcPr>
          <w:p w14:paraId="44002435">
            <w:pPr>
              <w:pStyle w:val="1535"/>
            </w:pPr>
            <w:r>
              <w:t>2284</w:t>
            </w:r>
          </w:p>
        </w:tc>
        <w:tc>
          <w:tcPr>
            <w:tcW w:w="468" w:type="pct"/>
            <w:vAlign w:val="center"/>
          </w:tcPr>
          <w:p w14:paraId="5479D50D">
            <w:pPr>
              <w:pStyle w:val="1535"/>
            </w:pPr>
            <w:r>
              <w:t>-2087</w:t>
            </w:r>
          </w:p>
        </w:tc>
        <w:tc>
          <w:tcPr>
            <w:tcW w:w="333" w:type="pct"/>
            <w:vAlign w:val="center"/>
          </w:tcPr>
          <w:p w14:paraId="60EF3EB8">
            <w:pPr>
              <w:pStyle w:val="1535"/>
            </w:pPr>
            <w:r>
              <w:t>SE</w:t>
            </w:r>
          </w:p>
        </w:tc>
        <w:tc>
          <w:tcPr>
            <w:tcW w:w="473" w:type="pct"/>
            <w:vAlign w:val="center"/>
          </w:tcPr>
          <w:p w14:paraId="5546015E">
            <w:pPr>
              <w:pStyle w:val="1535"/>
            </w:pPr>
            <w:r>
              <w:t>2960</w:t>
            </w:r>
          </w:p>
        </w:tc>
        <w:tc>
          <w:tcPr>
            <w:tcW w:w="1096" w:type="pct"/>
            <w:vAlign w:val="center"/>
          </w:tcPr>
          <w:p w14:paraId="79AF5BE5">
            <w:pPr>
              <w:pStyle w:val="1535"/>
            </w:pPr>
            <w:r>
              <w:t>集中居住区，400户，约1200人</w:t>
            </w:r>
          </w:p>
        </w:tc>
        <w:tc>
          <w:tcPr>
            <w:tcW w:w="375" w:type="pct"/>
            <w:vMerge w:val="continue"/>
            <w:vAlign w:val="center"/>
          </w:tcPr>
          <w:p w14:paraId="57655DD8">
            <w:pPr>
              <w:pStyle w:val="1535"/>
            </w:pPr>
          </w:p>
        </w:tc>
        <w:tc>
          <w:tcPr>
            <w:tcW w:w="808" w:type="pct"/>
            <w:vMerge w:val="continue"/>
            <w:vAlign w:val="center"/>
          </w:tcPr>
          <w:p w14:paraId="66CE18D5">
            <w:pPr>
              <w:pStyle w:val="1535"/>
            </w:pPr>
          </w:p>
        </w:tc>
      </w:tr>
      <w:tr w14:paraId="2616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6BD9C891">
            <w:pPr>
              <w:pStyle w:val="1535"/>
            </w:pPr>
            <w:r>
              <w:rPr>
                <w:rFonts w:hint="eastAsia"/>
              </w:rPr>
              <w:t>34</w:t>
            </w:r>
          </w:p>
        </w:tc>
        <w:tc>
          <w:tcPr>
            <w:tcW w:w="691" w:type="pct"/>
            <w:vAlign w:val="center"/>
          </w:tcPr>
          <w:p w14:paraId="1CF059D0">
            <w:pPr>
              <w:pStyle w:val="1535"/>
            </w:pPr>
            <w:r>
              <w:t>皇冠假日</w:t>
            </w:r>
          </w:p>
        </w:tc>
        <w:tc>
          <w:tcPr>
            <w:tcW w:w="438" w:type="pct"/>
            <w:vAlign w:val="center"/>
          </w:tcPr>
          <w:p w14:paraId="4BB25335">
            <w:pPr>
              <w:pStyle w:val="1535"/>
            </w:pPr>
            <w:r>
              <w:t>2301</w:t>
            </w:r>
          </w:p>
        </w:tc>
        <w:tc>
          <w:tcPr>
            <w:tcW w:w="468" w:type="pct"/>
            <w:vAlign w:val="center"/>
          </w:tcPr>
          <w:p w14:paraId="132EFF82">
            <w:pPr>
              <w:pStyle w:val="1535"/>
            </w:pPr>
            <w:r>
              <w:t>-1839</w:t>
            </w:r>
          </w:p>
        </w:tc>
        <w:tc>
          <w:tcPr>
            <w:tcW w:w="333" w:type="pct"/>
            <w:vAlign w:val="center"/>
          </w:tcPr>
          <w:p w14:paraId="0D0CDD3F">
            <w:pPr>
              <w:pStyle w:val="1535"/>
            </w:pPr>
            <w:r>
              <w:t>SE</w:t>
            </w:r>
          </w:p>
        </w:tc>
        <w:tc>
          <w:tcPr>
            <w:tcW w:w="473" w:type="pct"/>
            <w:vAlign w:val="center"/>
          </w:tcPr>
          <w:p w14:paraId="41906426">
            <w:pPr>
              <w:pStyle w:val="1535"/>
            </w:pPr>
            <w:r>
              <w:t>2945</w:t>
            </w:r>
          </w:p>
        </w:tc>
        <w:tc>
          <w:tcPr>
            <w:tcW w:w="1096" w:type="pct"/>
            <w:vAlign w:val="center"/>
          </w:tcPr>
          <w:p w14:paraId="5B5ECA5D">
            <w:pPr>
              <w:pStyle w:val="1535"/>
            </w:pPr>
            <w:r>
              <w:t>集中居住区，300户，约1000人</w:t>
            </w:r>
          </w:p>
        </w:tc>
        <w:tc>
          <w:tcPr>
            <w:tcW w:w="375" w:type="pct"/>
            <w:vMerge w:val="continue"/>
            <w:vAlign w:val="center"/>
          </w:tcPr>
          <w:p w14:paraId="5E863357">
            <w:pPr>
              <w:pStyle w:val="1535"/>
            </w:pPr>
          </w:p>
        </w:tc>
        <w:tc>
          <w:tcPr>
            <w:tcW w:w="808" w:type="pct"/>
            <w:vMerge w:val="continue"/>
            <w:vAlign w:val="center"/>
          </w:tcPr>
          <w:p w14:paraId="5D6C7D7A">
            <w:pPr>
              <w:pStyle w:val="1535"/>
            </w:pPr>
          </w:p>
        </w:tc>
      </w:tr>
      <w:tr w14:paraId="46C6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49755A9C">
            <w:pPr>
              <w:pStyle w:val="1535"/>
            </w:pPr>
            <w:r>
              <w:rPr>
                <w:rFonts w:hint="eastAsia"/>
              </w:rPr>
              <w:t>35</w:t>
            </w:r>
          </w:p>
        </w:tc>
        <w:tc>
          <w:tcPr>
            <w:tcW w:w="691" w:type="pct"/>
            <w:vAlign w:val="center"/>
          </w:tcPr>
          <w:p w14:paraId="3621F355">
            <w:pPr>
              <w:pStyle w:val="1535"/>
            </w:pPr>
            <w:r>
              <w:t>红苗幼儿园</w:t>
            </w:r>
          </w:p>
        </w:tc>
        <w:tc>
          <w:tcPr>
            <w:tcW w:w="438" w:type="pct"/>
            <w:vAlign w:val="center"/>
          </w:tcPr>
          <w:p w14:paraId="4F80C37E">
            <w:pPr>
              <w:pStyle w:val="1535"/>
            </w:pPr>
            <w:r>
              <w:t>1855</w:t>
            </w:r>
          </w:p>
        </w:tc>
        <w:tc>
          <w:tcPr>
            <w:tcW w:w="468" w:type="pct"/>
            <w:vAlign w:val="center"/>
          </w:tcPr>
          <w:p w14:paraId="19D89AC8">
            <w:pPr>
              <w:pStyle w:val="1535"/>
            </w:pPr>
            <w:r>
              <w:t>-1908</w:t>
            </w:r>
          </w:p>
        </w:tc>
        <w:tc>
          <w:tcPr>
            <w:tcW w:w="333" w:type="pct"/>
            <w:vAlign w:val="center"/>
          </w:tcPr>
          <w:p w14:paraId="25B6B49D">
            <w:pPr>
              <w:pStyle w:val="1535"/>
            </w:pPr>
            <w:r>
              <w:t>SE</w:t>
            </w:r>
          </w:p>
        </w:tc>
        <w:tc>
          <w:tcPr>
            <w:tcW w:w="473" w:type="pct"/>
            <w:vAlign w:val="center"/>
          </w:tcPr>
          <w:p w14:paraId="6D3BA939">
            <w:pPr>
              <w:pStyle w:val="1535"/>
            </w:pPr>
            <w:r>
              <w:t>2699</w:t>
            </w:r>
          </w:p>
        </w:tc>
        <w:tc>
          <w:tcPr>
            <w:tcW w:w="1096" w:type="pct"/>
            <w:vAlign w:val="center"/>
          </w:tcPr>
          <w:p w14:paraId="24D7E6C5">
            <w:pPr>
              <w:pStyle w:val="1535"/>
            </w:pPr>
            <w:r>
              <w:t>师生300人</w:t>
            </w:r>
          </w:p>
        </w:tc>
        <w:tc>
          <w:tcPr>
            <w:tcW w:w="375" w:type="pct"/>
            <w:vMerge w:val="continue"/>
            <w:vAlign w:val="center"/>
          </w:tcPr>
          <w:p w14:paraId="09BCDF2C">
            <w:pPr>
              <w:pStyle w:val="1535"/>
            </w:pPr>
          </w:p>
        </w:tc>
        <w:tc>
          <w:tcPr>
            <w:tcW w:w="808" w:type="pct"/>
            <w:vMerge w:val="continue"/>
            <w:vAlign w:val="center"/>
          </w:tcPr>
          <w:p w14:paraId="2DCA5907">
            <w:pPr>
              <w:pStyle w:val="1535"/>
            </w:pPr>
          </w:p>
        </w:tc>
      </w:tr>
      <w:tr w14:paraId="456C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A6B981B">
            <w:pPr>
              <w:pStyle w:val="1535"/>
            </w:pPr>
            <w:r>
              <w:rPr>
                <w:rFonts w:hint="eastAsia"/>
              </w:rPr>
              <w:t>36</w:t>
            </w:r>
          </w:p>
        </w:tc>
        <w:tc>
          <w:tcPr>
            <w:tcW w:w="691" w:type="pct"/>
            <w:vAlign w:val="center"/>
          </w:tcPr>
          <w:p w14:paraId="4CB7207F">
            <w:pPr>
              <w:pStyle w:val="1535"/>
            </w:pPr>
            <w:r>
              <w:t>北京城建熙城</w:t>
            </w:r>
          </w:p>
        </w:tc>
        <w:tc>
          <w:tcPr>
            <w:tcW w:w="438" w:type="pct"/>
            <w:vAlign w:val="center"/>
          </w:tcPr>
          <w:p w14:paraId="28667610">
            <w:pPr>
              <w:pStyle w:val="1535"/>
            </w:pPr>
            <w:r>
              <w:t>1962</w:t>
            </w:r>
          </w:p>
        </w:tc>
        <w:tc>
          <w:tcPr>
            <w:tcW w:w="468" w:type="pct"/>
            <w:vAlign w:val="center"/>
          </w:tcPr>
          <w:p w14:paraId="7DCC1A0D">
            <w:pPr>
              <w:pStyle w:val="1535"/>
            </w:pPr>
            <w:r>
              <w:t>-1773</w:t>
            </w:r>
          </w:p>
        </w:tc>
        <w:tc>
          <w:tcPr>
            <w:tcW w:w="333" w:type="pct"/>
            <w:vAlign w:val="center"/>
          </w:tcPr>
          <w:p w14:paraId="1A10678D">
            <w:pPr>
              <w:pStyle w:val="1535"/>
            </w:pPr>
            <w:r>
              <w:t>SE</w:t>
            </w:r>
          </w:p>
        </w:tc>
        <w:tc>
          <w:tcPr>
            <w:tcW w:w="473" w:type="pct"/>
            <w:vAlign w:val="center"/>
          </w:tcPr>
          <w:p w14:paraId="02614566">
            <w:pPr>
              <w:pStyle w:val="1535"/>
            </w:pPr>
            <w:r>
              <w:t>2717</w:t>
            </w:r>
          </w:p>
        </w:tc>
        <w:tc>
          <w:tcPr>
            <w:tcW w:w="1096" w:type="pct"/>
            <w:vAlign w:val="center"/>
          </w:tcPr>
          <w:p w14:paraId="68AFFDDE">
            <w:pPr>
              <w:pStyle w:val="1535"/>
            </w:pPr>
            <w:r>
              <w:t>集中居住区，350户，约1100人</w:t>
            </w:r>
          </w:p>
        </w:tc>
        <w:tc>
          <w:tcPr>
            <w:tcW w:w="375" w:type="pct"/>
            <w:vMerge w:val="continue"/>
            <w:vAlign w:val="center"/>
          </w:tcPr>
          <w:p w14:paraId="42AB271C">
            <w:pPr>
              <w:pStyle w:val="1535"/>
            </w:pPr>
          </w:p>
        </w:tc>
        <w:tc>
          <w:tcPr>
            <w:tcW w:w="808" w:type="pct"/>
            <w:vMerge w:val="continue"/>
            <w:vAlign w:val="center"/>
          </w:tcPr>
          <w:p w14:paraId="3B083883">
            <w:pPr>
              <w:pStyle w:val="1535"/>
            </w:pPr>
          </w:p>
        </w:tc>
      </w:tr>
      <w:tr w14:paraId="53B5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77A23B0A">
            <w:pPr>
              <w:pStyle w:val="1535"/>
            </w:pPr>
            <w:r>
              <w:rPr>
                <w:rFonts w:hint="eastAsia"/>
              </w:rPr>
              <w:t>37</w:t>
            </w:r>
          </w:p>
        </w:tc>
        <w:tc>
          <w:tcPr>
            <w:tcW w:w="691" w:type="pct"/>
            <w:vAlign w:val="center"/>
          </w:tcPr>
          <w:p w14:paraId="25BFEAB7">
            <w:pPr>
              <w:pStyle w:val="1535"/>
            </w:pPr>
            <w:r>
              <w:t>瓦窑溪小区</w:t>
            </w:r>
          </w:p>
        </w:tc>
        <w:tc>
          <w:tcPr>
            <w:tcW w:w="438" w:type="pct"/>
            <w:vAlign w:val="center"/>
          </w:tcPr>
          <w:p w14:paraId="4E9C4087">
            <w:pPr>
              <w:pStyle w:val="1535"/>
            </w:pPr>
            <w:r>
              <w:t>1610</w:t>
            </w:r>
          </w:p>
        </w:tc>
        <w:tc>
          <w:tcPr>
            <w:tcW w:w="468" w:type="pct"/>
            <w:vAlign w:val="center"/>
          </w:tcPr>
          <w:p w14:paraId="5B6450E9">
            <w:pPr>
              <w:pStyle w:val="1535"/>
            </w:pPr>
            <w:r>
              <w:t>-1946</w:t>
            </w:r>
          </w:p>
        </w:tc>
        <w:tc>
          <w:tcPr>
            <w:tcW w:w="333" w:type="pct"/>
            <w:vAlign w:val="center"/>
          </w:tcPr>
          <w:p w14:paraId="3280DAA1">
            <w:pPr>
              <w:pStyle w:val="1535"/>
            </w:pPr>
            <w:r>
              <w:t>SE</w:t>
            </w:r>
          </w:p>
        </w:tc>
        <w:tc>
          <w:tcPr>
            <w:tcW w:w="473" w:type="pct"/>
            <w:vAlign w:val="center"/>
          </w:tcPr>
          <w:p w14:paraId="1450201E">
            <w:pPr>
              <w:pStyle w:val="1535"/>
            </w:pPr>
            <w:r>
              <w:t>2477</w:t>
            </w:r>
          </w:p>
        </w:tc>
        <w:tc>
          <w:tcPr>
            <w:tcW w:w="1096" w:type="pct"/>
            <w:vAlign w:val="center"/>
          </w:tcPr>
          <w:p w14:paraId="60ECD944">
            <w:pPr>
              <w:pStyle w:val="1535"/>
            </w:pPr>
            <w:r>
              <w:t>集中居住区，250户，约900人</w:t>
            </w:r>
          </w:p>
        </w:tc>
        <w:tc>
          <w:tcPr>
            <w:tcW w:w="375" w:type="pct"/>
            <w:vMerge w:val="continue"/>
            <w:vAlign w:val="center"/>
          </w:tcPr>
          <w:p w14:paraId="7957F2A5">
            <w:pPr>
              <w:pStyle w:val="1535"/>
            </w:pPr>
          </w:p>
        </w:tc>
        <w:tc>
          <w:tcPr>
            <w:tcW w:w="808" w:type="pct"/>
            <w:vMerge w:val="continue"/>
            <w:vAlign w:val="center"/>
          </w:tcPr>
          <w:p w14:paraId="3E04A831">
            <w:pPr>
              <w:pStyle w:val="1535"/>
            </w:pPr>
          </w:p>
        </w:tc>
      </w:tr>
      <w:tr w14:paraId="40F6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6820F4E4">
            <w:pPr>
              <w:pStyle w:val="1535"/>
            </w:pPr>
            <w:r>
              <w:rPr>
                <w:rFonts w:hint="eastAsia"/>
              </w:rPr>
              <w:t>38</w:t>
            </w:r>
          </w:p>
        </w:tc>
        <w:tc>
          <w:tcPr>
            <w:tcW w:w="691" w:type="pct"/>
            <w:vAlign w:val="center"/>
          </w:tcPr>
          <w:p w14:paraId="535FAD29">
            <w:pPr>
              <w:pStyle w:val="1535"/>
            </w:pPr>
            <w:r>
              <w:t>北京城建御峰二期</w:t>
            </w:r>
          </w:p>
        </w:tc>
        <w:tc>
          <w:tcPr>
            <w:tcW w:w="438" w:type="pct"/>
            <w:vAlign w:val="center"/>
          </w:tcPr>
          <w:p w14:paraId="1882F209">
            <w:pPr>
              <w:pStyle w:val="1535"/>
            </w:pPr>
            <w:r>
              <w:t>1955</w:t>
            </w:r>
          </w:p>
        </w:tc>
        <w:tc>
          <w:tcPr>
            <w:tcW w:w="468" w:type="pct"/>
            <w:vAlign w:val="center"/>
          </w:tcPr>
          <w:p w14:paraId="728C0B93">
            <w:pPr>
              <w:pStyle w:val="1535"/>
            </w:pPr>
            <w:r>
              <w:t>-1407</w:t>
            </w:r>
          </w:p>
        </w:tc>
        <w:tc>
          <w:tcPr>
            <w:tcW w:w="333" w:type="pct"/>
            <w:vAlign w:val="center"/>
          </w:tcPr>
          <w:p w14:paraId="01A4EB1C">
            <w:pPr>
              <w:pStyle w:val="1535"/>
            </w:pPr>
            <w:r>
              <w:t>SE</w:t>
            </w:r>
          </w:p>
        </w:tc>
        <w:tc>
          <w:tcPr>
            <w:tcW w:w="473" w:type="pct"/>
            <w:vAlign w:val="center"/>
          </w:tcPr>
          <w:p w14:paraId="2EDC4972">
            <w:pPr>
              <w:pStyle w:val="1535"/>
            </w:pPr>
            <w:r>
              <w:t>2550</w:t>
            </w:r>
          </w:p>
        </w:tc>
        <w:tc>
          <w:tcPr>
            <w:tcW w:w="1096" w:type="pct"/>
            <w:vAlign w:val="center"/>
          </w:tcPr>
          <w:p w14:paraId="53FA5DB3">
            <w:pPr>
              <w:pStyle w:val="1535"/>
            </w:pPr>
            <w:r>
              <w:t>集中居住区，300户，约1000人</w:t>
            </w:r>
          </w:p>
        </w:tc>
        <w:tc>
          <w:tcPr>
            <w:tcW w:w="375" w:type="pct"/>
            <w:vMerge w:val="continue"/>
            <w:vAlign w:val="center"/>
          </w:tcPr>
          <w:p w14:paraId="46E985B7">
            <w:pPr>
              <w:pStyle w:val="1535"/>
            </w:pPr>
          </w:p>
        </w:tc>
        <w:tc>
          <w:tcPr>
            <w:tcW w:w="808" w:type="pct"/>
            <w:vMerge w:val="continue"/>
            <w:vAlign w:val="center"/>
          </w:tcPr>
          <w:p w14:paraId="07BB8C02">
            <w:pPr>
              <w:pStyle w:val="1535"/>
            </w:pPr>
          </w:p>
        </w:tc>
      </w:tr>
      <w:tr w14:paraId="6CB0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5B7B70C4">
            <w:pPr>
              <w:pStyle w:val="1535"/>
            </w:pPr>
            <w:r>
              <w:rPr>
                <w:rFonts w:hint="eastAsia"/>
              </w:rPr>
              <w:t>39</w:t>
            </w:r>
          </w:p>
        </w:tc>
        <w:tc>
          <w:tcPr>
            <w:tcW w:w="691" w:type="pct"/>
            <w:vAlign w:val="center"/>
          </w:tcPr>
          <w:p w14:paraId="29A1F196">
            <w:pPr>
              <w:pStyle w:val="1535"/>
            </w:pPr>
            <w:r>
              <w:t>森迪时代广场</w:t>
            </w:r>
          </w:p>
        </w:tc>
        <w:tc>
          <w:tcPr>
            <w:tcW w:w="438" w:type="pct"/>
            <w:vAlign w:val="center"/>
          </w:tcPr>
          <w:p w14:paraId="44BDCDED">
            <w:pPr>
              <w:pStyle w:val="1535"/>
            </w:pPr>
            <w:r>
              <w:t>1520</w:t>
            </w:r>
          </w:p>
        </w:tc>
        <w:tc>
          <w:tcPr>
            <w:tcW w:w="468" w:type="pct"/>
            <w:vAlign w:val="center"/>
          </w:tcPr>
          <w:p w14:paraId="4091CD0C">
            <w:pPr>
              <w:pStyle w:val="1535"/>
            </w:pPr>
            <w:r>
              <w:t>-925</w:t>
            </w:r>
          </w:p>
        </w:tc>
        <w:tc>
          <w:tcPr>
            <w:tcW w:w="333" w:type="pct"/>
            <w:vAlign w:val="center"/>
          </w:tcPr>
          <w:p w14:paraId="347417EE">
            <w:pPr>
              <w:pStyle w:val="1535"/>
            </w:pPr>
            <w:r>
              <w:t>SE</w:t>
            </w:r>
          </w:p>
        </w:tc>
        <w:tc>
          <w:tcPr>
            <w:tcW w:w="473" w:type="pct"/>
            <w:vAlign w:val="center"/>
          </w:tcPr>
          <w:p w14:paraId="64C6E5BE">
            <w:pPr>
              <w:pStyle w:val="1535"/>
            </w:pPr>
            <w:r>
              <w:t>2049</w:t>
            </w:r>
          </w:p>
        </w:tc>
        <w:tc>
          <w:tcPr>
            <w:tcW w:w="1096" w:type="pct"/>
            <w:vAlign w:val="center"/>
          </w:tcPr>
          <w:p w14:paraId="3D689386">
            <w:pPr>
              <w:pStyle w:val="1535"/>
            </w:pPr>
            <w:r>
              <w:t>集中居住区，约4480人</w:t>
            </w:r>
          </w:p>
        </w:tc>
        <w:tc>
          <w:tcPr>
            <w:tcW w:w="375" w:type="pct"/>
            <w:vMerge w:val="continue"/>
            <w:vAlign w:val="center"/>
          </w:tcPr>
          <w:p w14:paraId="6FF04BED">
            <w:pPr>
              <w:pStyle w:val="1535"/>
            </w:pPr>
          </w:p>
        </w:tc>
        <w:tc>
          <w:tcPr>
            <w:tcW w:w="808" w:type="pct"/>
            <w:vMerge w:val="continue"/>
            <w:vAlign w:val="center"/>
          </w:tcPr>
          <w:p w14:paraId="709DB18A">
            <w:pPr>
              <w:pStyle w:val="1535"/>
            </w:pPr>
          </w:p>
        </w:tc>
      </w:tr>
      <w:tr w14:paraId="2A9B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5B2B750F">
            <w:pPr>
              <w:pStyle w:val="1535"/>
            </w:pPr>
            <w:r>
              <w:rPr>
                <w:rFonts w:hint="eastAsia"/>
              </w:rPr>
              <w:t>40</w:t>
            </w:r>
          </w:p>
        </w:tc>
        <w:tc>
          <w:tcPr>
            <w:tcW w:w="691" w:type="pct"/>
            <w:vAlign w:val="center"/>
          </w:tcPr>
          <w:p w14:paraId="2D36A7C7">
            <w:pPr>
              <w:pStyle w:val="1535"/>
            </w:pPr>
            <w:r>
              <w:t>响堂村</w:t>
            </w:r>
          </w:p>
        </w:tc>
        <w:tc>
          <w:tcPr>
            <w:tcW w:w="438" w:type="pct"/>
            <w:vAlign w:val="center"/>
          </w:tcPr>
          <w:p w14:paraId="24CF4347">
            <w:pPr>
              <w:pStyle w:val="1535"/>
            </w:pPr>
            <w:r>
              <w:t>814</w:t>
            </w:r>
          </w:p>
        </w:tc>
        <w:tc>
          <w:tcPr>
            <w:tcW w:w="468" w:type="pct"/>
            <w:vAlign w:val="center"/>
          </w:tcPr>
          <w:p w14:paraId="3E54C74C">
            <w:pPr>
              <w:pStyle w:val="1535"/>
            </w:pPr>
            <w:r>
              <w:t>345</w:t>
            </w:r>
          </w:p>
        </w:tc>
        <w:tc>
          <w:tcPr>
            <w:tcW w:w="333" w:type="pct"/>
            <w:vAlign w:val="center"/>
          </w:tcPr>
          <w:p w14:paraId="556E738B">
            <w:pPr>
              <w:pStyle w:val="1535"/>
            </w:pPr>
            <w:r>
              <w:t>NE</w:t>
            </w:r>
          </w:p>
        </w:tc>
        <w:tc>
          <w:tcPr>
            <w:tcW w:w="473" w:type="pct"/>
            <w:vAlign w:val="center"/>
          </w:tcPr>
          <w:p w14:paraId="09537989">
            <w:pPr>
              <w:pStyle w:val="1535"/>
            </w:pPr>
            <w:r>
              <w:t>997</w:t>
            </w:r>
          </w:p>
        </w:tc>
        <w:tc>
          <w:tcPr>
            <w:tcW w:w="1096" w:type="pct"/>
            <w:vAlign w:val="center"/>
          </w:tcPr>
          <w:p w14:paraId="626A2EAC">
            <w:pPr>
              <w:pStyle w:val="1535"/>
            </w:pPr>
            <w:r>
              <w:t>农村居住点，200户，约600人</w:t>
            </w:r>
          </w:p>
        </w:tc>
        <w:tc>
          <w:tcPr>
            <w:tcW w:w="375" w:type="pct"/>
            <w:vMerge w:val="continue"/>
            <w:vAlign w:val="center"/>
          </w:tcPr>
          <w:p w14:paraId="1E8D5547">
            <w:pPr>
              <w:pStyle w:val="1535"/>
            </w:pPr>
          </w:p>
        </w:tc>
        <w:tc>
          <w:tcPr>
            <w:tcW w:w="808" w:type="pct"/>
            <w:vMerge w:val="continue"/>
            <w:vAlign w:val="center"/>
          </w:tcPr>
          <w:p w14:paraId="2F0D41A3">
            <w:pPr>
              <w:pStyle w:val="1535"/>
            </w:pPr>
          </w:p>
        </w:tc>
      </w:tr>
      <w:tr w14:paraId="6A39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69D6062">
            <w:pPr>
              <w:pStyle w:val="1535"/>
            </w:pPr>
            <w:r>
              <w:rPr>
                <w:rFonts w:hint="eastAsia"/>
              </w:rPr>
              <w:t>41</w:t>
            </w:r>
          </w:p>
        </w:tc>
        <w:tc>
          <w:tcPr>
            <w:tcW w:w="691" w:type="pct"/>
            <w:vAlign w:val="center"/>
          </w:tcPr>
          <w:p w14:paraId="4E87664B">
            <w:pPr>
              <w:pStyle w:val="1535"/>
            </w:pPr>
            <w:r>
              <w:t>真武宫村</w:t>
            </w:r>
          </w:p>
        </w:tc>
        <w:tc>
          <w:tcPr>
            <w:tcW w:w="438" w:type="pct"/>
            <w:vAlign w:val="center"/>
          </w:tcPr>
          <w:p w14:paraId="3B6C2B28">
            <w:pPr>
              <w:pStyle w:val="1535"/>
            </w:pPr>
            <w:r>
              <w:t>1442</w:t>
            </w:r>
          </w:p>
        </w:tc>
        <w:tc>
          <w:tcPr>
            <w:tcW w:w="468" w:type="pct"/>
            <w:vAlign w:val="center"/>
          </w:tcPr>
          <w:p w14:paraId="3FC06430">
            <w:pPr>
              <w:pStyle w:val="1535"/>
            </w:pPr>
            <w:r>
              <w:t>715</w:t>
            </w:r>
          </w:p>
        </w:tc>
        <w:tc>
          <w:tcPr>
            <w:tcW w:w="333" w:type="pct"/>
            <w:vAlign w:val="center"/>
          </w:tcPr>
          <w:p w14:paraId="52D06A4A">
            <w:pPr>
              <w:pStyle w:val="1535"/>
            </w:pPr>
            <w:r>
              <w:t>NE</w:t>
            </w:r>
          </w:p>
        </w:tc>
        <w:tc>
          <w:tcPr>
            <w:tcW w:w="473" w:type="pct"/>
            <w:vAlign w:val="center"/>
          </w:tcPr>
          <w:p w14:paraId="208A8575">
            <w:pPr>
              <w:pStyle w:val="1535"/>
            </w:pPr>
            <w:r>
              <w:t>1665</w:t>
            </w:r>
          </w:p>
        </w:tc>
        <w:tc>
          <w:tcPr>
            <w:tcW w:w="1096" w:type="pct"/>
            <w:vAlign w:val="center"/>
          </w:tcPr>
          <w:p w14:paraId="7D2E948B">
            <w:pPr>
              <w:pStyle w:val="1535"/>
            </w:pPr>
            <w:r>
              <w:t>农村居住点，160户，约512人</w:t>
            </w:r>
          </w:p>
        </w:tc>
        <w:tc>
          <w:tcPr>
            <w:tcW w:w="375" w:type="pct"/>
            <w:vMerge w:val="continue"/>
            <w:vAlign w:val="center"/>
          </w:tcPr>
          <w:p w14:paraId="7F059DCA">
            <w:pPr>
              <w:pStyle w:val="1535"/>
            </w:pPr>
          </w:p>
        </w:tc>
        <w:tc>
          <w:tcPr>
            <w:tcW w:w="808" w:type="pct"/>
            <w:vMerge w:val="continue"/>
            <w:vAlign w:val="center"/>
          </w:tcPr>
          <w:p w14:paraId="158353FC">
            <w:pPr>
              <w:pStyle w:val="1535"/>
            </w:pPr>
          </w:p>
        </w:tc>
      </w:tr>
      <w:tr w14:paraId="7E28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EACA6A5">
            <w:pPr>
              <w:pStyle w:val="1535"/>
            </w:pPr>
            <w:r>
              <w:rPr>
                <w:rFonts w:hint="eastAsia"/>
              </w:rPr>
              <w:t>42</w:t>
            </w:r>
          </w:p>
        </w:tc>
        <w:tc>
          <w:tcPr>
            <w:tcW w:w="691" w:type="pct"/>
            <w:vAlign w:val="center"/>
          </w:tcPr>
          <w:p w14:paraId="0081ED06">
            <w:pPr>
              <w:pStyle w:val="1535"/>
            </w:pPr>
            <w:r>
              <w:t>西彭二小</w:t>
            </w:r>
          </w:p>
        </w:tc>
        <w:tc>
          <w:tcPr>
            <w:tcW w:w="438" w:type="pct"/>
            <w:vAlign w:val="center"/>
          </w:tcPr>
          <w:p w14:paraId="136EB3EF">
            <w:pPr>
              <w:pStyle w:val="1535"/>
            </w:pPr>
            <w:r>
              <w:t>1798</w:t>
            </w:r>
          </w:p>
        </w:tc>
        <w:tc>
          <w:tcPr>
            <w:tcW w:w="468" w:type="pct"/>
            <w:vAlign w:val="center"/>
          </w:tcPr>
          <w:p w14:paraId="18F98682">
            <w:pPr>
              <w:pStyle w:val="1535"/>
            </w:pPr>
            <w:r>
              <w:t>974</w:t>
            </w:r>
          </w:p>
        </w:tc>
        <w:tc>
          <w:tcPr>
            <w:tcW w:w="333" w:type="pct"/>
            <w:vAlign w:val="center"/>
          </w:tcPr>
          <w:p w14:paraId="37A9EE6C">
            <w:pPr>
              <w:pStyle w:val="1535"/>
            </w:pPr>
            <w:r>
              <w:t>NE</w:t>
            </w:r>
          </w:p>
        </w:tc>
        <w:tc>
          <w:tcPr>
            <w:tcW w:w="473" w:type="pct"/>
            <w:vAlign w:val="center"/>
          </w:tcPr>
          <w:p w14:paraId="0D2C887B">
            <w:pPr>
              <w:pStyle w:val="1535"/>
            </w:pPr>
            <w:r>
              <w:t>2003</w:t>
            </w:r>
          </w:p>
        </w:tc>
        <w:tc>
          <w:tcPr>
            <w:tcW w:w="1096" w:type="pct"/>
            <w:vAlign w:val="center"/>
          </w:tcPr>
          <w:p w14:paraId="007C8D63">
            <w:pPr>
              <w:pStyle w:val="1535"/>
            </w:pPr>
            <w:r>
              <w:t>师生800人</w:t>
            </w:r>
          </w:p>
        </w:tc>
        <w:tc>
          <w:tcPr>
            <w:tcW w:w="375" w:type="pct"/>
            <w:vMerge w:val="continue"/>
            <w:vAlign w:val="center"/>
          </w:tcPr>
          <w:p w14:paraId="4548B301">
            <w:pPr>
              <w:pStyle w:val="1535"/>
            </w:pPr>
          </w:p>
        </w:tc>
        <w:tc>
          <w:tcPr>
            <w:tcW w:w="808" w:type="pct"/>
            <w:vMerge w:val="continue"/>
            <w:vAlign w:val="center"/>
          </w:tcPr>
          <w:p w14:paraId="1108155E">
            <w:pPr>
              <w:pStyle w:val="1535"/>
            </w:pPr>
          </w:p>
        </w:tc>
      </w:tr>
      <w:tr w14:paraId="2BF4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71F3923F">
            <w:pPr>
              <w:pStyle w:val="1535"/>
            </w:pPr>
            <w:r>
              <w:rPr>
                <w:rFonts w:hint="eastAsia"/>
              </w:rPr>
              <w:t>43</w:t>
            </w:r>
          </w:p>
        </w:tc>
        <w:tc>
          <w:tcPr>
            <w:tcW w:w="691" w:type="pct"/>
            <w:vAlign w:val="center"/>
          </w:tcPr>
          <w:p w14:paraId="283E7F49">
            <w:pPr>
              <w:pStyle w:val="1535"/>
            </w:pPr>
            <w:r>
              <w:t>西彭镇第二中学校</w:t>
            </w:r>
          </w:p>
        </w:tc>
        <w:tc>
          <w:tcPr>
            <w:tcW w:w="438" w:type="pct"/>
            <w:vAlign w:val="center"/>
          </w:tcPr>
          <w:p w14:paraId="00A5EBDD">
            <w:pPr>
              <w:pStyle w:val="1535"/>
            </w:pPr>
            <w:r>
              <w:t>2095</w:t>
            </w:r>
          </w:p>
        </w:tc>
        <w:tc>
          <w:tcPr>
            <w:tcW w:w="468" w:type="pct"/>
            <w:vAlign w:val="center"/>
          </w:tcPr>
          <w:p w14:paraId="785636AD">
            <w:pPr>
              <w:pStyle w:val="1535"/>
            </w:pPr>
            <w:r>
              <w:t>621</w:t>
            </w:r>
          </w:p>
        </w:tc>
        <w:tc>
          <w:tcPr>
            <w:tcW w:w="333" w:type="pct"/>
            <w:vAlign w:val="center"/>
          </w:tcPr>
          <w:p w14:paraId="1E7C904C">
            <w:pPr>
              <w:pStyle w:val="1535"/>
            </w:pPr>
            <w:r>
              <w:t>NE</w:t>
            </w:r>
          </w:p>
        </w:tc>
        <w:tc>
          <w:tcPr>
            <w:tcW w:w="473" w:type="pct"/>
            <w:vAlign w:val="center"/>
          </w:tcPr>
          <w:p w14:paraId="2BB885F5">
            <w:pPr>
              <w:pStyle w:val="1535"/>
            </w:pPr>
            <w:r>
              <w:t>2163</w:t>
            </w:r>
          </w:p>
        </w:tc>
        <w:tc>
          <w:tcPr>
            <w:tcW w:w="1096" w:type="pct"/>
            <w:vAlign w:val="center"/>
          </w:tcPr>
          <w:p w14:paraId="60F7D361">
            <w:pPr>
              <w:pStyle w:val="1535"/>
            </w:pPr>
            <w:r>
              <w:t>师生700人</w:t>
            </w:r>
          </w:p>
        </w:tc>
        <w:tc>
          <w:tcPr>
            <w:tcW w:w="375" w:type="pct"/>
            <w:vMerge w:val="continue"/>
            <w:vAlign w:val="center"/>
          </w:tcPr>
          <w:p w14:paraId="1E75261A">
            <w:pPr>
              <w:pStyle w:val="1535"/>
            </w:pPr>
          </w:p>
        </w:tc>
        <w:tc>
          <w:tcPr>
            <w:tcW w:w="808" w:type="pct"/>
            <w:vMerge w:val="continue"/>
            <w:vAlign w:val="center"/>
          </w:tcPr>
          <w:p w14:paraId="0F438293">
            <w:pPr>
              <w:pStyle w:val="1535"/>
            </w:pPr>
          </w:p>
        </w:tc>
      </w:tr>
      <w:tr w14:paraId="3808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6E4F39D3">
            <w:pPr>
              <w:pStyle w:val="1535"/>
            </w:pPr>
            <w:r>
              <w:rPr>
                <w:rFonts w:hint="eastAsia"/>
              </w:rPr>
              <w:t>44</w:t>
            </w:r>
          </w:p>
        </w:tc>
        <w:tc>
          <w:tcPr>
            <w:tcW w:w="691" w:type="pct"/>
            <w:vAlign w:val="center"/>
          </w:tcPr>
          <w:p w14:paraId="706A3907">
            <w:pPr>
              <w:pStyle w:val="1535"/>
            </w:pPr>
            <w:r>
              <w:t>康居花园</w:t>
            </w:r>
          </w:p>
        </w:tc>
        <w:tc>
          <w:tcPr>
            <w:tcW w:w="438" w:type="pct"/>
            <w:vAlign w:val="center"/>
          </w:tcPr>
          <w:p w14:paraId="361AB89B">
            <w:pPr>
              <w:pStyle w:val="1535"/>
            </w:pPr>
            <w:r>
              <w:t>2354</w:t>
            </w:r>
          </w:p>
        </w:tc>
        <w:tc>
          <w:tcPr>
            <w:tcW w:w="468" w:type="pct"/>
            <w:vAlign w:val="center"/>
          </w:tcPr>
          <w:p w14:paraId="3A28DDE9">
            <w:pPr>
              <w:pStyle w:val="1535"/>
            </w:pPr>
            <w:r>
              <w:t>887</w:t>
            </w:r>
          </w:p>
        </w:tc>
        <w:tc>
          <w:tcPr>
            <w:tcW w:w="333" w:type="pct"/>
            <w:vAlign w:val="center"/>
          </w:tcPr>
          <w:p w14:paraId="4CD6180C">
            <w:pPr>
              <w:pStyle w:val="1535"/>
            </w:pPr>
            <w:r>
              <w:t>NE</w:t>
            </w:r>
          </w:p>
        </w:tc>
        <w:tc>
          <w:tcPr>
            <w:tcW w:w="473" w:type="pct"/>
            <w:vAlign w:val="center"/>
          </w:tcPr>
          <w:p w14:paraId="4C656D7C">
            <w:pPr>
              <w:pStyle w:val="1535"/>
            </w:pPr>
            <w:r>
              <w:t>2636</w:t>
            </w:r>
          </w:p>
        </w:tc>
        <w:tc>
          <w:tcPr>
            <w:tcW w:w="1096" w:type="pct"/>
            <w:vAlign w:val="center"/>
          </w:tcPr>
          <w:p w14:paraId="6A2601D1">
            <w:pPr>
              <w:pStyle w:val="1535"/>
            </w:pPr>
            <w:r>
              <w:t>集中居住区，300户，约1000人</w:t>
            </w:r>
          </w:p>
        </w:tc>
        <w:tc>
          <w:tcPr>
            <w:tcW w:w="375" w:type="pct"/>
            <w:vMerge w:val="continue"/>
            <w:vAlign w:val="center"/>
          </w:tcPr>
          <w:p w14:paraId="4F208B9D">
            <w:pPr>
              <w:pStyle w:val="1535"/>
            </w:pPr>
          </w:p>
        </w:tc>
        <w:tc>
          <w:tcPr>
            <w:tcW w:w="808" w:type="pct"/>
            <w:vMerge w:val="continue"/>
            <w:vAlign w:val="center"/>
          </w:tcPr>
          <w:p w14:paraId="2E98D3F6">
            <w:pPr>
              <w:pStyle w:val="1535"/>
            </w:pPr>
          </w:p>
        </w:tc>
      </w:tr>
      <w:tr w14:paraId="0ABB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388EF22">
            <w:pPr>
              <w:pStyle w:val="1535"/>
            </w:pPr>
            <w:r>
              <w:rPr>
                <w:rFonts w:hint="eastAsia"/>
              </w:rPr>
              <w:t>45</w:t>
            </w:r>
          </w:p>
        </w:tc>
        <w:tc>
          <w:tcPr>
            <w:tcW w:w="691" w:type="pct"/>
            <w:vAlign w:val="center"/>
          </w:tcPr>
          <w:p w14:paraId="274ACABD">
            <w:pPr>
              <w:pStyle w:val="1535"/>
            </w:pPr>
            <w:r>
              <w:t>宝华村</w:t>
            </w:r>
          </w:p>
        </w:tc>
        <w:tc>
          <w:tcPr>
            <w:tcW w:w="438" w:type="pct"/>
            <w:vAlign w:val="center"/>
          </w:tcPr>
          <w:p w14:paraId="7B5070E6">
            <w:pPr>
              <w:pStyle w:val="1535"/>
            </w:pPr>
            <w:r>
              <w:t>2354</w:t>
            </w:r>
          </w:p>
        </w:tc>
        <w:tc>
          <w:tcPr>
            <w:tcW w:w="468" w:type="pct"/>
            <w:vAlign w:val="center"/>
          </w:tcPr>
          <w:p w14:paraId="58082941">
            <w:pPr>
              <w:pStyle w:val="1535"/>
            </w:pPr>
            <w:r>
              <w:t>887</w:t>
            </w:r>
          </w:p>
        </w:tc>
        <w:tc>
          <w:tcPr>
            <w:tcW w:w="333" w:type="pct"/>
            <w:vAlign w:val="center"/>
          </w:tcPr>
          <w:p w14:paraId="4C238CA3">
            <w:pPr>
              <w:pStyle w:val="1535"/>
            </w:pPr>
            <w:r>
              <w:t>NE</w:t>
            </w:r>
          </w:p>
        </w:tc>
        <w:tc>
          <w:tcPr>
            <w:tcW w:w="473" w:type="pct"/>
            <w:vAlign w:val="center"/>
          </w:tcPr>
          <w:p w14:paraId="0AD723E2">
            <w:pPr>
              <w:pStyle w:val="1535"/>
            </w:pPr>
            <w:r>
              <w:t>2755</w:t>
            </w:r>
          </w:p>
        </w:tc>
        <w:tc>
          <w:tcPr>
            <w:tcW w:w="1096" w:type="pct"/>
            <w:vAlign w:val="center"/>
          </w:tcPr>
          <w:p w14:paraId="7A884055">
            <w:pPr>
              <w:pStyle w:val="1535"/>
            </w:pPr>
            <w:r>
              <w:t>集中居住区，300户，约1000人</w:t>
            </w:r>
          </w:p>
        </w:tc>
        <w:tc>
          <w:tcPr>
            <w:tcW w:w="375" w:type="pct"/>
            <w:vMerge w:val="continue"/>
            <w:vAlign w:val="center"/>
          </w:tcPr>
          <w:p w14:paraId="5818F5AA">
            <w:pPr>
              <w:pStyle w:val="1535"/>
            </w:pPr>
          </w:p>
        </w:tc>
        <w:tc>
          <w:tcPr>
            <w:tcW w:w="808" w:type="pct"/>
            <w:vMerge w:val="continue"/>
            <w:vAlign w:val="center"/>
          </w:tcPr>
          <w:p w14:paraId="50954D1A">
            <w:pPr>
              <w:pStyle w:val="1535"/>
            </w:pPr>
          </w:p>
        </w:tc>
      </w:tr>
      <w:tr w14:paraId="72F9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622E90EF">
            <w:pPr>
              <w:pStyle w:val="1535"/>
            </w:pPr>
            <w:r>
              <w:rPr>
                <w:rFonts w:hint="eastAsia"/>
              </w:rPr>
              <w:t>46</w:t>
            </w:r>
          </w:p>
        </w:tc>
        <w:tc>
          <w:tcPr>
            <w:tcW w:w="691" w:type="pct"/>
            <w:vAlign w:val="center"/>
          </w:tcPr>
          <w:p w14:paraId="2F7B1650">
            <w:pPr>
              <w:pStyle w:val="1535"/>
            </w:pPr>
            <w:r>
              <w:t>长江</w:t>
            </w:r>
          </w:p>
        </w:tc>
        <w:tc>
          <w:tcPr>
            <w:tcW w:w="438" w:type="pct"/>
            <w:vAlign w:val="center"/>
          </w:tcPr>
          <w:p w14:paraId="2013CDB6">
            <w:pPr>
              <w:pStyle w:val="1535"/>
            </w:pPr>
            <w:r>
              <w:t>/</w:t>
            </w:r>
          </w:p>
        </w:tc>
        <w:tc>
          <w:tcPr>
            <w:tcW w:w="468" w:type="pct"/>
            <w:vAlign w:val="center"/>
          </w:tcPr>
          <w:p w14:paraId="32C78002">
            <w:pPr>
              <w:pStyle w:val="1535"/>
            </w:pPr>
            <w:r>
              <w:t>/</w:t>
            </w:r>
          </w:p>
        </w:tc>
        <w:tc>
          <w:tcPr>
            <w:tcW w:w="333" w:type="pct"/>
            <w:vAlign w:val="center"/>
          </w:tcPr>
          <w:p w14:paraId="2A868BBE">
            <w:pPr>
              <w:pStyle w:val="1535"/>
            </w:pPr>
            <w:r>
              <w:t>南</w:t>
            </w:r>
          </w:p>
        </w:tc>
        <w:tc>
          <w:tcPr>
            <w:tcW w:w="473" w:type="pct"/>
            <w:vAlign w:val="center"/>
          </w:tcPr>
          <w:p w14:paraId="06ABC8A6">
            <w:pPr>
              <w:pStyle w:val="1535"/>
            </w:pPr>
            <w:r>
              <w:t>5200</w:t>
            </w:r>
          </w:p>
        </w:tc>
        <w:tc>
          <w:tcPr>
            <w:tcW w:w="1471" w:type="pct"/>
            <w:gridSpan w:val="2"/>
            <w:vAlign w:val="center"/>
          </w:tcPr>
          <w:p w14:paraId="073D4CDE">
            <w:pPr>
              <w:pStyle w:val="1535"/>
            </w:pPr>
            <w:r>
              <w:t>III类水域</w:t>
            </w:r>
          </w:p>
        </w:tc>
        <w:tc>
          <w:tcPr>
            <w:tcW w:w="808" w:type="pct"/>
            <w:vAlign w:val="center"/>
          </w:tcPr>
          <w:p w14:paraId="55BA9BD7">
            <w:pPr>
              <w:pStyle w:val="1535"/>
            </w:pPr>
            <w:r>
              <w:t>地表水</w:t>
            </w:r>
          </w:p>
        </w:tc>
      </w:tr>
      <w:tr w14:paraId="400E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66E314BC">
            <w:pPr>
              <w:pStyle w:val="1535"/>
            </w:pPr>
            <w:r>
              <w:rPr>
                <w:rFonts w:hint="eastAsia"/>
              </w:rPr>
              <w:t>47</w:t>
            </w:r>
          </w:p>
        </w:tc>
        <w:tc>
          <w:tcPr>
            <w:tcW w:w="691" w:type="pct"/>
            <w:vAlign w:val="center"/>
          </w:tcPr>
          <w:p w14:paraId="309F651D">
            <w:pPr>
              <w:pStyle w:val="1535"/>
            </w:pPr>
            <w:r>
              <w:t>桥头河</w:t>
            </w:r>
          </w:p>
        </w:tc>
        <w:tc>
          <w:tcPr>
            <w:tcW w:w="438" w:type="pct"/>
            <w:vAlign w:val="center"/>
          </w:tcPr>
          <w:p w14:paraId="6DF6C3D4">
            <w:pPr>
              <w:pStyle w:val="1535"/>
            </w:pPr>
            <w:r>
              <w:t>/</w:t>
            </w:r>
          </w:p>
        </w:tc>
        <w:tc>
          <w:tcPr>
            <w:tcW w:w="468" w:type="pct"/>
            <w:vAlign w:val="center"/>
          </w:tcPr>
          <w:p w14:paraId="2EC381FF">
            <w:pPr>
              <w:pStyle w:val="1535"/>
            </w:pPr>
            <w:r>
              <w:t>/</w:t>
            </w:r>
          </w:p>
        </w:tc>
        <w:tc>
          <w:tcPr>
            <w:tcW w:w="333" w:type="pct"/>
            <w:vAlign w:val="center"/>
          </w:tcPr>
          <w:p w14:paraId="1D5ECF5B">
            <w:pPr>
              <w:pStyle w:val="1535"/>
            </w:pPr>
            <w:r>
              <w:t>东南</w:t>
            </w:r>
          </w:p>
        </w:tc>
        <w:tc>
          <w:tcPr>
            <w:tcW w:w="473" w:type="pct"/>
            <w:vAlign w:val="center"/>
          </w:tcPr>
          <w:p w14:paraId="5945A6FB">
            <w:pPr>
              <w:pStyle w:val="1535"/>
            </w:pPr>
            <w:r>
              <w:t>3000</w:t>
            </w:r>
          </w:p>
        </w:tc>
        <w:tc>
          <w:tcPr>
            <w:tcW w:w="1471" w:type="pct"/>
            <w:gridSpan w:val="2"/>
            <w:vAlign w:val="center"/>
          </w:tcPr>
          <w:p w14:paraId="6023CB9D">
            <w:pPr>
              <w:pStyle w:val="1535"/>
            </w:pPr>
            <w:r>
              <w:t>无水域功能</w:t>
            </w:r>
          </w:p>
        </w:tc>
        <w:tc>
          <w:tcPr>
            <w:tcW w:w="808" w:type="pct"/>
            <w:vAlign w:val="center"/>
          </w:tcPr>
          <w:p w14:paraId="58473D78">
            <w:pPr>
              <w:pStyle w:val="1535"/>
            </w:pPr>
            <w:r>
              <w:t>地表水、环境风险</w:t>
            </w:r>
          </w:p>
        </w:tc>
      </w:tr>
      <w:tr w14:paraId="44F4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76FA568F">
            <w:pPr>
              <w:pStyle w:val="1535"/>
            </w:pPr>
            <w:r>
              <w:rPr>
                <w:rFonts w:hint="eastAsia"/>
              </w:rPr>
              <w:t>48</w:t>
            </w:r>
          </w:p>
        </w:tc>
        <w:tc>
          <w:tcPr>
            <w:tcW w:w="691" w:type="pct"/>
            <w:vAlign w:val="center"/>
          </w:tcPr>
          <w:p w14:paraId="7CD79B11">
            <w:pPr>
              <w:pStyle w:val="1535"/>
            </w:pPr>
            <w:r>
              <w:t>大溪河</w:t>
            </w:r>
          </w:p>
        </w:tc>
        <w:tc>
          <w:tcPr>
            <w:tcW w:w="438" w:type="pct"/>
            <w:vAlign w:val="center"/>
          </w:tcPr>
          <w:p w14:paraId="7664C366">
            <w:pPr>
              <w:pStyle w:val="1535"/>
            </w:pPr>
            <w:r>
              <w:t>/</w:t>
            </w:r>
          </w:p>
        </w:tc>
        <w:tc>
          <w:tcPr>
            <w:tcW w:w="468" w:type="pct"/>
            <w:vAlign w:val="center"/>
          </w:tcPr>
          <w:p w14:paraId="12A9135F">
            <w:pPr>
              <w:pStyle w:val="1535"/>
            </w:pPr>
            <w:r>
              <w:t>/</w:t>
            </w:r>
          </w:p>
        </w:tc>
        <w:tc>
          <w:tcPr>
            <w:tcW w:w="333" w:type="pct"/>
            <w:vAlign w:val="center"/>
          </w:tcPr>
          <w:p w14:paraId="7B58EBF7">
            <w:pPr>
              <w:pStyle w:val="1535"/>
            </w:pPr>
            <w:r>
              <w:t>东北</w:t>
            </w:r>
          </w:p>
        </w:tc>
        <w:tc>
          <w:tcPr>
            <w:tcW w:w="473" w:type="pct"/>
            <w:vAlign w:val="center"/>
          </w:tcPr>
          <w:p w14:paraId="1D615560">
            <w:pPr>
              <w:pStyle w:val="1535"/>
            </w:pPr>
            <w:r>
              <w:t>2100</w:t>
            </w:r>
          </w:p>
        </w:tc>
        <w:tc>
          <w:tcPr>
            <w:tcW w:w="1471" w:type="pct"/>
            <w:gridSpan w:val="2"/>
            <w:vAlign w:val="center"/>
          </w:tcPr>
          <w:p w14:paraId="3A14F40E">
            <w:pPr>
              <w:pStyle w:val="1535"/>
            </w:pPr>
            <w:r>
              <w:t>无水域功能</w:t>
            </w:r>
          </w:p>
        </w:tc>
        <w:tc>
          <w:tcPr>
            <w:tcW w:w="808" w:type="pct"/>
            <w:vAlign w:val="center"/>
          </w:tcPr>
          <w:p w14:paraId="50E38F0F">
            <w:pPr>
              <w:pStyle w:val="1535"/>
            </w:pPr>
            <w:r>
              <w:t>环境风险</w:t>
            </w:r>
          </w:p>
        </w:tc>
      </w:tr>
      <w:tr w14:paraId="05E7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5FE4976F">
            <w:pPr>
              <w:pStyle w:val="1535"/>
            </w:pPr>
            <w:r>
              <w:rPr>
                <w:rFonts w:hint="eastAsia"/>
              </w:rPr>
              <w:t>49</w:t>
            </w:r>
          </w:p>
        </w:tc>
        <w:tc>
          <w:tcPr>
            <w:tcW w:w="691" w:type="pct"/>
            <w:vAlign w:val="center"/>
          </w:tcPr>
          <w:p w14:paraId="5F9270F0">
            <w:pPr>
              <w:pStyle w:val="1535"/>
            </w:pPr>
            <w:r>
              <w:t>无名河沟</w:t>
            </w:r>
          </w:p>
        </w:tc>
        <w:tc>
          <w:tcPr>
            <w:tcW w:w="438" w:type="pct"/>
            <w:vAlign w:val="center"/>
          </w:tcPr>
          <w:p w14:paraId="10038B72">
            <w:pPr>
              <w:pStyle w:val="1535"/>
            </w:pPr>
            <w:r>
              <w:t>/</w:t>
            </w:r>
          </w:p>
        </w:tc>
        <w:tc>
          <w:tcPr>
            <w:tcW w:w="468" w:type="pct"/>
            <w:vAlign w:val="center"/>
          </w:tcPr>
          <w:p w14:paraId="7309493C">
            <w:pPr>
              <w:pStyle w:val="1535"/>
            </w:pPr>
            <w:r>
              <w:t>/</w:t>
            </w:r>
          </w:p>
        </w:tc>
        <w:tc>
          <w:tcPr>
            <w:tcW w:w="333" w:type="pct"/>
            <w:vAlign w:val="center"/>
          </w:tcPr>
          <w:p w14:paraId="464B852C">
            <w:pPr>
              <w:pStyle w:val="1535"/>
            </w:pPr>
            <w:r>
              <w:t>西北</w:t>
            </w:r>
          </w:p>
        </w:tc>
        <w:tc>
          <w:tcPr>
            <w:tcW w:w="473" w:type="pct"/>
            <w:vAlign w:val="center"/>
          </w:tcPr>
          <w:p w14:paraId="5A40C4EC">
            <w:pPr>
              <w:pStyle w:val="1535"/>
            </w:pPr>
            <w:r>
              <w:t>200</w:t>
            </w:r>
          </w:p>
        </w:tc>
        <w:tc>
          <w:tcPr>
            <w:tcW w:w="1471" w:type="pct"/>
            <w:gridSpan w:val="2"/>
            <w:vAlign w:val="center"/>
          </w:tcPr>
          <w:p w14:paraId="01CF66B5">
            <w:pPr>
              <w:pStyle w:val="1535"/>
            </w:pPr>
            <w:r>
              <w:t>大溪河支沟，无水域功能</w:t>
            </w:r>
          </w:p>
        </w:tc>
        <w:tc>
          <w:tcPr>
            <w:tcW w:w="808" w:type="pct"/>
            <w:vAlign w:val="center"/>
          </w:tcPr>
          <w:p w14:paraId="0CA3E07C">
            <w:pPr>
              <w:pStyle w:val="1535"/>
            </w:pPr>
            <w:r>
              <w:t>环境风险</w:t>
            </w:r>
          </w:p>
        </w:tc>
      </w:tr>
    </w:tbl>
    <w:p w14:paraId="230DE74A">
      <w:pPr>
        <w:spacing w:line="240" w:lineRule="auto"/>
        <w:ind w:firstLine="42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备注：表中坐标以厂区中心点为原点（0，0）</w:t>
      </w:r>
      <w:r>
        <w:rPr>
          <w:rFonts w:hint="eastAsia"/>
          <w:color w:val="000000" w:themeColor="text1"/>
          <w:sz w:val="21"/>
          <w:szCs w:val="21"/>
          <w14:textFill>
            <w14:solidFill>
              <w14:schemeClr w14:val="tx1"/>
            </w14:solidFill>
          </w14:textFill>
        </w:rPr>
        <w:t>，坐标</w:t>
      </w:r>
      <w:r>
        <w:rPr>
          <w:color w:val="000000" w:themeColor="text1"/>
          <w:sz w:val="21"/>
          <w:szCs w:val="21"/>
          <w14:textFill>
            <w14:solidFill>
              <w14:schemeClr w14:val="tx1"/>
            </w14:solidFill>
          </w14:textFill>
        </w:rPr>
        <w:t>（106.306019°E，29.333682°N）。</w:t>
      </w:r>
    </w:p>
    <w:p w14:paraId="676EB409">
      <w:pPr>
        <w:pStyle w:val="4"/>
        <w:rPr>
          <w:color w:val="000000" w:themeColor="text1"/>
          <w14:textFill>
            <w14:solidFill>
              <w14:schemeClr w14:val="tx1"/>
            </w14:solidFill>
          </w14:textFill>
        </w:rPr>
      </w:pPr>
      <w:bookmarkStart w:id="116" w:name="_Toc3279"/>
      <w:r>
        <w:rPr>
          <w:color w:val="000000" w:themeColor="text1"/>
          <w14:textFill>
            <w14:solidFill>
              <w14:schemeClr w14:val="tx1"/>
            </w14:solidFill>
          </w14:textFill>
        </w:rPr>
        <w:t>评价专题设置及评价重点</w:t>
      </w:r>
      <w:bookmarkEnd w:id="116"/>
    </w:p>
    <w:p w14:paraId="1CFDB263">
      <w:pPr>
        <w:pStyle w:val="5"/>
        <w:rPr>
          <w:bCs/>
          <w:color w:val="000000" w:themeColor="text1"/>
          <w14:textFill>
            <w14:solidFill>
              <w14:schemeClr w14:val="tx1"/>
            </w14:solidFill>
          </w14:textFill>
        </w:rPr>
      </w:pPr>
      <w:r>
        <w:rPr>
          <w:color w:val="000000" w:themeColor="text1"/>
          <w14:textFill>
            <w14:solidFill>
              <w14:schemeClr w14:val="tx1"/>
            </w14:solidFill>
          </w14:textFill>
        </w:rPr>
        <w:t>评价时段</w:t>
      </w:r>
    </w:p>
    <w:p w14:paraId="4BB12FC5">
      <w:pPr>
        <w:ind w:firstLine="520"/>
        <w:rPr>
          <w:color w:val="000000" w:themeColor="text1"/>
          <w14:textFill>
            <w14:solidFill>
              <w14:schemeClr w14:val="tx1"/>
            </w14:solidFill>
          </w14:textFill>
        </w:rPr>
      </w:pPr>
      <w:bookmarkStart w:id="117" w:name="_Hlk160464498"/>
      <w:r>
        <w:rPr>
          <w:color w:val="000000" w:themeColor="text1"/>
          <w14:textFill>
            <w14:solidFill>
              <w14:schemeClr w14:val="tx1"/>
            </w14:solidFill>
          </w14:textFill>
        </w:rPr>
        <w:t>施工期、营运期，主要是营运期。</w:t>
      </w:r>
    </w:p>
    <w:bookmarkEnd w:id="117"/>
    <w:p w14:paraId="67826E0F">
      <w:pPr>
        <w:pStyle w:val="5"/>
        <w:rPr>
          <w:bCs/>
          <w:color w:val="000000" w:themeColor="text1"/>
          <w14:textFill>
            <w14:solidFill>
              <w14:schemeClr w14:val="tx1"/>
            </w14:solidFill>
          </w14:textFill>
        </w:rPr>
      </w:pPr>
      <w:bookmarkStart w:id="118" w:name="_Toc11942522"/>
      <w:r>
        <w:rPr>
          <w:color w:val="000000" w:themeColor="text1"/>
          <w14:textFill>
            <w14:solidFill>
              <w14:schemeClr w14:val="tx1"/>
            </w14:solidFill>
          </w14:textFill>
        </w:rPr>
        <w:t>评价专题</w:t>
      </w:r>
      <w:bookmarkEnd w:id="118"/>
    </w:p>
    <w:p w14:paraId="11C518F5">
      <w:pPr>
        <w:ind w:firstLine="520"/>
        <w:rPr>
          <w:color w:val="000000" w:themeColor="text1"/>
          <w14:textFill>
            <w14:solidFill>
              <w14:schemeClr w14:val="tx1"/>
            </w14:solidFill>
          </w14:textFill>
        </w:rPr>
      </w:pPr>
      <w:r>
        <w:rPr>
          <w:color w:val="000000" w:themeColor="text1"/>
          <w14:textFill>
            <w14:solidFill>
              <w14:schemeClr w14:val="tx1"/>
            </w14:solidFill>
          </w14:textFill>
        </w:rPr>
        <w:t>根据导则要求，评价内容包括概述、总则、扩建项目概况、工程分析、环境现状调查与评价、环境影响预测与评价、环境风险评价、污染防治措施可行性论证、环境影响经济损益分析、环境管理与监测计划、结论与建议等内容。</w:t>
      </w:r>
    </w:p>
    <w:p w14:paraId="515B2ADF">
      <w:pPr>
        <w:pStyle w:val="5"/>
        <w:rPr>
          <w:bCs/>
          <w:color w:val="000000" w:themeColor="text1"/>
          <w14:textFill>
            <w14:solidFill>
              <w14:schemeClr w14:val="tx1"/>
            </w14:solidFill>
          </w14:textFill>
        </w:rPr>
      </w:pPr>
      <w:bookmarkStart w:id="119" w:name="_Toc290277393"/>
      <w:bookmarkStart w:id="120" w:name="_Toc290277044"/>
      <w:bookmarkStart w:id="121" w:name="_Toc11942523"/>
      <w:bookmarkStart w:id="122" w:name="_Toc290276695"/>
      <w:bookmarkStart w:id="123" w:name="_Toc40050774"/>
      <w:r>
        <w:rPr>
          <w:color w:val="000000" w:themeColor="text1"/>
          <w14:textFill>
            <w14:solidFill>
              <w14:schemeClr w14:val="tx1"/>
            </w14:solidFill>
          </w14:textFill>
        </w:rPr>
        <w:t>评价重点</w:t>
      </w:r>
      <w:bookmarkEnd w:id="119"/>
      <w:bookmarkEnd w:id="120"/>
      <w:bookmarkEnd w:id="121"/>
      <w:bookmarkEnd w:id="122"/>
      <w:bookmarkEnd w:id="123"/>
    </w:p>
    <w:p w14:paraId="31888BDF">
      <w:pPr>
        <w:ind w:firstLine="520"/>
        <w:rPr>
          <w:color w:val="000000" w:themeColor="text1"/>
          <w14:textFill>
            <w14:solidFill>
              <w14:schemeClr w14:val="tx1"/>
            </w14:solidFill>
          </w14:textFill>
        </w:rPr>
      </w:pPr>
      <w:r>
        <w:rPr>
          <w:color w:val="000000" w:themeColor="text1"/>
          <w14:textFill>
            <w14:solidFill>
              <w14:schemeClr w14:val="tx1"/>
            </w14:solidFill>
          </w14:textFill>
        </w:rPr>
        <w:t>针对项目特点，确定环境影响评价工作重点为工程分析和污染防治措施可行性论证；同时结合与有关规划的相符性分析，重点从环境制约因素、环境影响程度等方面论证项目建设环境合理性，提出切实可行的环境保护对策措施、制定环境管理、环境监测计划、排污许可、竣工环保验收等，为项目建设和环境管理提供依据。</w:t>
      </w:r>
    </w:p>
    <w:p w14:paraId="5E6AC233">
      <w:pPr>
        <w:pStyle w:val="4"/>
        <w:rPr>
          <w:color w:val="000000" w:themeColor="text1"/>
          <w14:textFill>
            <w14:solidFill>
              <w14:schemeClr w14:val="tx1"/>
            </w14:solidFill>
          </w14:textFill>
        </w:rPr>
      </w:pPr>
      <w:bookmarkStart w:id="124" w:name="_Toc8489"/>
      <w:bookmarkStart w:id="125" w:name="_Toc5441"/>
      <w:r>
        <w:rPr>
          <w:color w:val="000000" w:themeColor="text1"/>
          <w14:textFill>
            <w14:solidFill>
              <w14:schemeClr w14:val="tx1"/>
            </w14:solidFill>
          </w14:textFill>
        </w:rPr>
        <w:t>产业政策与规划符合性</w:t>
      </w:r>
      <w:bookmarkEnd w:id="124"/>
      <w:bookmarkEnd w:id="125"/>
    </w:p>
    <w:p w14:paraId="40A916B6">
      <w:pPr>
        <w:pStyle w:val="5"/>
        <w:rPr>
          <w:bCs/>
          <w:color w:val="000000" w:themeColor="text1"/>
          <w14:textFill>
            <w14:solidFill>
              <w14:schemeClr w14:val="tx1"/>
            </w14:solidFill>
          </w14:textFill>
        </w:rPr>
      </w:pPr>
      <w:r>
        <w:rPr>
          <w:color w:val="000000" w:themeColor="text1"/>
          <w14:textFill>
            <w14:solidFill>
              <w14:schemeClr w14:val="tx1"/>
            </w14:solidFill>
          </w14:textFill>
        </w:rPr>
        <w:t>选址合理性分析</w:t>
      </w:r>
    </w:p>
    <w:p w14:paraId="31D92B72">
      <w:pPr>
        <w:ind w:firstLine="520"/>
        <w:rPr>
          <w:color w:val="000000" w:themeColor="text1"/>
          <w14:textFill>
            <w14:solidFill>
              <w14:schemeClr w14:val="tx1"/>
            </w14:solidFill>
          </w14:textFill>
        </w:rPr>
      </w:pPr>
      <w:r>
        <w:rPr>
          <w:color w:val="000000" w:themeColor="text1"/>
          <w14:textFill>
            <w14:solidFill>
              <w14:schemeClr w14:val="tx1"/>
            </w14:solidFill>
          </w14:textFill>
        </w:rPr>
        <w:t>（1）区位优势</w:t>
      </w:r>
    </w:p>
    <w:p w14:paraId="73647A65">
      <w:pPr>
        <w:ind w:firstLine="520"/>
        <w:rPr>
          <w:color w:val="000000" w:themeColor="text1"/>
          <w14:textFill>
            <w14:solidFill>
              <w14:schemeClr w14:val="tx1"/>
            </w14:solidFill>
          </w14:textFill>
        </w:rPr>
      </w:pPr>
      <w:r>
        <w:rPr>
          <w:color w:val="000000" w:themeColor="text1"/>
          <w14:textFill>
            <w14:solidFill>
              <w14:schemeClr w14:val="tx1"/>
            </w14:solidFill>
          </w14:textFill>
        </w:rPr>
        <w:t>西彭工业园外有成渝环线高速，内有铝城大道、森迪大道、春晖路等交通主干道，交通道路网完善，形成网络型自由式路网格局，交通条件完善，能够形成良好的货物分流系统，满足配送距离和时限要求。</w:t>
      </w:r>
    </w:p>
    <w:p w14:paraId="70B8678E">
      <w:pPr>
        <w:ind w:firstLine="520"/>
        <w:rPr>
          <w:color w:val="000000" w:themeColor="text1"/>
          <w14:textFill>
            <w14:solidFill>
              <w14:schemeClr w14:val="tx1"/>
            </w14:solidFill>
          </w14:textFill>
        </w:rPr>
      </w:pPr>
      <w:r>
        <w:rPr>
          <w:color w:val="000000" w:themeColor="text1"/>
          <w14:textFill>
            <w14:solidFill>
              <w14:schemeClr w14:val="tx1"/>
            </w14:solidFill>
          </w14:textFill>
        </w:rPr>
        <w:t>（2）园区条件</w:t>
      </w:r>
    </w:p>
    <w:p w14:paraId="6D699DF5">
      <w:pPr>
        <w:ind w:firstLine="520"/>
        <w:rPr>
          <w:color w:val="000000" w:themeColor="text1"/>
          <w14:textFill>
            <w14:solidFill>
              <w14:schemeClr w14:val="tx1"/>
            </w14:solidFill>
          </w14:textFill>
        </w:rPr>
      </w:pPr>
      <w:r>
        <w:rPr>
          <w:color w:val="000000" w:themeColor="text1"/>
          <w14:textFill>
            <w14:solidFill>
              <w14:schemeClr w14:val="tx1"/>
            </w14:solidFill>
          </w14:textFill>
        </w:rPr>
        <w:t>西彭工业园各项基础设施完善，交通方便，通讯发达，水、电、气供应充足；园区内配套建设有西彭工业园区污水处理厂，可为项目发展提供废水深度处理支撑。</w:t>
      </w:r>
    </w:p>
    <w:p w14:paraId="07DDA516">
      <w:pPr>
        <w:ind w:firstLine="520"/>
        <w:rPr>
          <w:color w:val="000000" w:themeColor="text1"/>
          <w14:textFill>
            <w14:solidFill>
              <w14:schemeClr w14:val="tx1"/>
            </w14:solidFill>
          </w14:textFill>
        </w:rPr>
      </w:pPr>
      <w:r>
        <w:rPr>
          <w:color w:val="000000" w:themeColor="text1"/>
          <w14:textFill>
            <w14:solidFill>
              <w14:schemeClr w14:val="tx1"/>
            </w14:solidFill>
          </w14:textFill>
        </w:rPr>
        <w:t>（3）地质条件</w:t>
      </w:r>
    </w:p>
    <w:p w14:paraId="5D12F1D1">
      <w:pPr>
        <w:ind w:firstLine="520"/>
        <w:rPr>
          <w:color w:val="000000" w:themeColor="text1"/>
          <w14:textFill>
            <w14:solidFill>
              <w14:schemeClr w14:val="tx1"/>
            </w14:solidFill>
          </w14:textFill>
        </w:rPr>
      </w:pPr>
      <w:r>
        <w:rPr>
          <w:color w:val="000000" w:themeColor="text1"/>
          <w14:textFill>
            <w14:solidFill>
              <w14:schemeClr w14:val="tx1"/>
            </w14:solidFill>
          </w14:textFill>
        </w:rPr>
        <w:t>西彭工业园负责厂房建设，扩建项目区域范围内及周边没有滑坡、崩塌、泥石流、岩溶及地下人工洞室等不良地质现象，适于项目建设。</w:t>
      </w:r>
    </w:p>
    <w:p w14:paraId="3AD3BAF0">
      <w:pPr>
        <w:ind w:firstLine="520"/>
        <w:rPr>
          <w:color w:val="000000" w:themeColor="text1"/>
          <w14:textFill>
            <w14:solidFill>
              <w14:schemeClr w14:val="tx1"/>
            </w14:solidFill>
          </w14:textFill>
        </w:rPr>
      </w:pPr>
      <w:r>
        <w:rPr>
          <w:color w:val="000000" w:themeColor="text1"/>
          <w14:textFill>
            <w14:solidFill>
              <w14:schemeClr w14:val="tx1"/>
            </w14:solidFill>
          </w14:textFill>
        </w:rPr>
        <w:t>（4）区域环境承载力</w:t>
      </w:r>
    </w:p>
    <w:p w14:paraId="67B7651F">
      <w:pPr>
        <w:ind w:firstLine="52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《2024年重庆市生态环境状况公报》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九龙坡区为达标区</w:t>
      </w:r>
      <w:r>
        <w:rPr>
          <w:color w:val="000000" w:themeColor="text1"/>
          <w14:textFill>
            <w14:solidFill>
              <w14:schemeClr w14:val="tx1"/>
            </w14:solidFill>
          </w14:textFill>
        </w:rPr>
        <w:t>，具有环境容量。项目产生的生产废水，经分类收集和自建污水处理设施处理达标后，再经西彭工业园区污水处理厂进一步处理，不直接排入地表水体，对长江水质的影响较小，环境风险可以接受。噪声现状满足声环境质量标准要求，区域声环境质量现状良好。</w:t>
      </w:r>
    </w:p>
    <w:p w14:paraId="01AF5199">
      <w:pPr>
        <w:ind w:firstLine="520"/>
        <w:rPr>
          <w:color w:val="000000" w:themeColor="text1"/>
          <w14:textFill>
            <w14:solidFill>
              <w14:schemeClr w14:val="tx1"/>
            </w14:solidFill>
          </w14:textFill>
        </w:rPr>
      </w:pPr>
      <w:r>
        <w:rPr>
          <w:color w:val="000000" w:themeColor="text1"/>
          <w14:textFill>
            <w14:solidFill>
              <w14:schemeClr w14:val="tx1"/>
            </w14:solidFill>
          </w14:textFill>
        </w:rPr>
        <w:t>（5）周边用地相容性分析</w:t>
      </w:r>
    </w:p>
    <w:p w14:paraId="3DDA0D4F">
      <w:pPr>
        <w:ind w:firstLine="520"/>
        <w:rPr>
          <w:color w:val="000000" w:themeColor="text1"/>
          <w14:textFill>
            <w14:solidFill>
              <w14:schemeClr w14:val="tx1"/>
            </w14:solidFill>
          </w14:textFill>
        </w:rPr>
      </w:pPr>
      <w:r>
        <w:rPr>
          <w:color w:val="000000" w:themeColor="text1"/>
          <w14:textFill>
            <w14:solidFill>
              <w14:schemeClr w14:val="tx1"/>
            </w14:solidFill>
          </w14:textFill>
        </w:rPr>
        <w:t>根据现场踏勘及调研，</w:t>
      </w: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周边用地主要为工业用地，评价范围内现有入驻项目主要为机械加工等企业，南侧为重庆泰利德化学工业有限公司、重庆胜维德赫华翔汽车零部件有限公司，东侧为丘陵未开发利用高地，规划为西彭工业园区公园绿地，西侧暂未开发，规划为工业用地，北侧目前为未开发利用地，位于西彭工业园区规划范围外，暂无规划。项目周边1km范围内无对大气要求较高的医药、食品等企业。项目与周围环境相容，</w:t>
      </w: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周边外环境关系见附图4。</w:t>
      </w:r>
    </w:p>
    <w:p w14:paraId="713D686A">
      <w:pPr>
        <w:ind w:firstLine="520"/>
        <w:rPr>
          <w:color w:val="000000" w:themeColor="text1"/>
          <w14:textFill>
            <w14:solidFill>
              <w14:schemeClr w14:val="tx1"/>
            </w14:solidFill>
          </w14:textFill>
        </w:rPr>
      </w:pPr>
      <w:r>
        <w:rPr>
          <w:color w:val="000000" w:themeColor="text1"/>
          <w14:textFill>
            <w14:solidFill>
              <w14:schemeClr w14:val="tx1"/>
            </w14:solidFill>
          </w14:textFill>
        </w:rPr>
        <w:t>（6）小结</w:t>
      </w:r>
    </w:p>
    <w:p w14:paraId="5BDB9DBF">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扩建项目位于西彭工业园西彭组团，用地类型为工业用地，符合土地利用规划，项目周边无对大气要求较高的医药、食品等企业，废水经西彭工业园区污水处理厂处理后间接排放至长江。项目建设环境制约小。</w:t>
      </w:r>
    </w:p>
    <w:p w14:paraId="133F9051">
      <w:pPr>
        <w:pStyle w:val="5"/>
        <w:rPr>
          <w:bCs/>
          <w:color w:val="000000" w:themeColor="text1"/>
          <w14:textFill>
            <w14:solidFill>
              <w14:schemeClr w14:val="tx1"/>
            </w14:solidFill>
          </w14:textFill>
        </w:rPr>
      </w:pPr>
      <w:r>
        <w:rPr>
          <w:color w:val="000000" w:themeColor="text1"/>
          <w14:textFill>
            <w14:solidFill>
              <w14:schemeClr w14:val="tx1"/>
            </w14:solidFill>
          </w14:textFill>
        </w:rPr>
        <w:t>与国家产业政策符合性分析</w:t>
      </w:r>
    </w:p>
    <w:p w14:paraId="0890246F">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扩建项目属于电子专用材料制造项目，属于《产业结构调整指导目录（2024年本）》中的</w:t>
      </w:r>
      <w:r>
        <w:rPr>
          <w:rFonts w:hint="eastAsia"/>
          <w:color w:val="000000" w:themeColor="text1"/>
          <w14:textFill>
            <w14:solidFill>
              <w14:schemeClr w14:val="tx1"/>
            </w14:solidFill>
          </w14:textFill>
        </w:rPr>
        <w:t>鼓励类</w:t>
      </w:r>
      <w:r>
        <w:rPr>
          <w:color w:val="000000" w:themeColor="text1"/>
          <w14:textFill>
            <w14:solidFill>
              <w14:schemeClr w14:val="tx1"/>
            </w14:solidFill>
          </w14:textFill>
        </w:rPr>
        <w:t>“十四、机械</w:t>
      </w:r>
      <w:r>
        <w:rPr>
          <w:rFonts w:hint="eastAsia"/>
          <w:color w:val="000000" w:themeColor="text1"/>
          <w14:textFill>
            <w14:solidFill>
              <w14:schemeClr w14:val="tx1"/>
            </w14:solidFill>
          </w14:textFill>
        </w:rPr>
        <w:t>中12.</w:t>
      </w:r>
      <w:r>
        <w:rPr>
          <w:color w:val="000000" w:themeColor="text1"/>
          <w14:textFill>
            <w14:solidFill>
              <w14:schemeClr w14:val="tx1"/>
            </w14:solidFill>
          </w14:textFill>
        </w:rPr>
        <w:t>关键密封件</w:t>
      </w:r>
      <w:r>
        <w:rPr>
          <w:rFonts w:hint="eastAsia"/>
          <w:color w:val="000000" w:themeColor="text1"/>
          <w14:textFill>
            <w14:solidFill>
              <w14:schemeClr w14:val="tx1"/>
            </w14:solidFill>
          </w14:textFill>
        </w:rPr>
        <w:t>……高性能碳石墨密封材料（耐热温度350℃，抗压强度≥270兆帕）。</w:t>
      </w:r>
      <w:r>
        <w:rPr>
          <w:color w:val="000000" w:themeColor="text1"/>
          <w14:textFill>
            <w14:solidFill>
              <w14:schemeClr w14:val="tx1"/>
            </w14:solidFill>
          </w14:textFill>
        </w:rPr>
        <w:t>二十八、信息产业</w:t>
      </w:r>
      <w:r>
        <w:rPr>
          <w:rFonts w:hint="eastAsia"/>
          <w:color w:val="000000" w:themeColor="text1"/>
          <w14:textFill>
            <w14:solidFill>
              <w14:schemeClr w14:val="tx1"/>
            </w14:solidFill>
          </w14:textFill>
        </w:rPr>
        <w:t>中的6.</w:t>
      </w:r>
      <w:r>
        <w:rPr>
          <w:color w:val="000000" w:themeColor="text1"/>
          <w14:textFill>
            <w14:solidFill>
              <w14:schemeClr w14:val="tx1"/>
            </w14:solidFill>
          </w14:textFill>
        </w:rPr>
        <w:t>电子元器件生产专用材料</w:t>
      </w:r>
      <w:bookmarkStart w:id="126" w:name="OLE_LINK13"/>
      <w:r>
        <w:rPr>
          <w:rFonts w:hint="eastAsia"/>
          <w:color w:val="000000" w:themeColor="text1"/>
          <w14:textFill>
            <w14:solidFill>
              <w14:schemeClr w14:val="tx1"/>
            </w14:solidFill>
          </w14:textFill>
        </w:rPr>
        <w:t>……</w:t>
      </w:r>
      <w:bookmarkEnd w:id="126"/>
      <w:r>
        <w:rPr>
          <w:rFonts w:hint="eastAsia"/>
          <w:color w:val="000000" w:themeColor="text1"/>
          <w14:textFill>
            <w14:solidFill>
              <w14:schemeClr w14:val="tx1"/>
            </w14:solidFill>
          </w14:textFill>
        </w:rPr>
        <w:t>包括半导体材料、电子陶瓷材料、压电晶体材料等电子功能材料，覆铜板材料、电子铜箔、引线框架等封装和装联材料，以及湿化学品、电子特气、光刻胶等工艺与辅助材料，半导体照明衬底、外延、芯片、封装及材料（含高效散热覆铜板、导热胶、导热硅胶片）等</w:t>
      </w:r>
      <w:r>
        <w:rPr>
          <w:color w:val="000000" w:themeColor="text1"/>
          <w14:textFill>
            <w14:solidFill>
              <w14:schemeClr w14:val="tx1"/>
            </w14:solidFill>
          </w14:textFill>
        </w:rPr>
        <w:t>”。根据《重庆市发展和改革委员会关于印发重庆市产业投资准入工作手册的通知》（渝发改投资〔2022〕1436号），扩建项目不属于“不予准入类”、“限制准入类”。扩建项目于202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月10日取得重庆市九龙坡区发展和改革委员会的备案证，备案编号：2504-500107-04-01-860316。</w:t>
      </w:r>
      <w:r>
        <w:rPr>
          <w:rFonts w:hint="eastAsia"/>
          <w:color w:val="000000" w:themeColor="text1"/>
          <w14:textFill>
            <w14:solidFill>
              <w14:schemeClr w14:val="tx1"/>
            </w14:solidFill>
          </w14:textFill>
        </w:rPr>
        <w:t>综上扩建项目符合相关产业政策。</w:t>
      </w:r>
    </w:p>
    <w:p w14:paraId="1CD261DC">
      <w:pPr>
        <w:pStyle w:val="5"/>
        <w:rPr>
          <w:bCs/>
          <w:color w:val="000000" w:themeColor="text1"/>
          <w14:textFill>
            <w14:solidFill>
              <w14:schemeClr w14:val="tx1"/>
            </w14:solidFill>
          </w14:textFill>
        </w:rPr>
      </w:pPr>
      <w:r>
        <w:rPr>
          <w:color w:val="000000" w:themeColor="text1"/>
          <w14:textFill>
            <w14:solidFill>
              <w14:schemeClr w14:val="tx1"/>
            </w14:solidFill>
          </w14:textFill>
        </w:rPr>
        <w:t>与地方相关政策、规划及规划环评审查意见符合性分析</w:t>
      </w:r>
    </w:p>
    <w:p w14:paraId="4E00FCDA">
      <w:pPr>
        <w:ind w:firstLine="520"/>
        <w:rPr>
          <w:color w:val="000000" w:themeColor="text1"/>
          <w14:textFill>
            <w14:solidFill>
              <w14:schemeClr w14:val="tx1"/>
            </w14:solidFill>
          </w14:textFill>
        </w:rPr>
      </w:pPr>
      <w:r>
        <w:rPr>
          <w:color w:val="000000" w:themeColor="text1"/>
          <w14:textFill>
            <w14:solidFill>
              <w14:schemeClr w14:val="tx1"/>
            </w14:solidFill>
          </w14:textFill>
        </w:rPr>
        <w:t>（1）《重庆市产业投资准入工作手册》符合性</w:t>
      </w:r>
    </w:p>
    <w:p w14:paraId="16F11F6C">
      <w:pPr>
        <w:ind w:firstLine="520"/>
        <w:rPr>
          <w:color w:val="000000" w:themeColor="text1"/>
          <w14:textFill>
            <w14:solidFill>
              <w14:schemeClr w14:val="tx1"/>
            </w14:solidFill>
          </w14:textFill>
        </w:rPr>
      </w:pPr>
      <w:r>
        <w:rPr>
          <w:color w:val="000000" w:themeColor="text1"/>
          <w14:textFill>
            <w14:solidFill>
              <w14:schemeClr w14:val="tx1"/>
            </w14:solidFill>
          </w14:textFill>
        </w:rPr>
        <w:t>根据《重庆市发展和改革委员会关于印发重庆市产业投资准入工作手册的通知》（渝发改投资〔2022〕1436号），文件规定全市范围、重点控制区域内不予准入的产业类别，对扩建项目进行分析，详见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_Ref160541311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1.9</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B4F3F1D">
      <w:pPr>
        <w:ind w:firstLine="520"/>
        <w:rPr>
          <w:color w:val="000000" w:themeColor="text1"/>
          <w14:textFill>
            <w14:solidFill>
              <w14:schemeClr w14:val="tx1"/>
            </w14:solidFill>
          </w14:textFill>
        </w:rPr>
      </w:pPr>
      <w:bookmarkStart w:id="127" w:name="_Ref160541311"/>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127"/>
      <w:r>
        <w:rPr>
          <w:color w:val="000000" w:themeColor="text1"/>
          <w14:textFill>
            <w14:solidFill>
              <w14:schemeClr w14:val="tx1"/>
            </w14:solidFill>
          </w14:textFill>
        </w:rPr>
        <w:t xml:space="preserve">  与《重庆市产业投资准入工作手册》的符合性分析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57"/>
        <w:gridCol w:w="4874"/>
        <w:gridCol w:w="2814"/>
        <w:gridCol w:w="609"/>
      </w:tblGrid>
      <w:tr w14:paraId="1C72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jc w:val="center"/>
        </w:trPr>
        <w:tc>
          <w:tcPr>
            <w:tcW w:w="261" w:type="pct"/>
            <w:vAlign w:val="center"/>
          </w:tcPr>
          <w:p w14:paraId="6A34FCF2">
            <w:pPr>
              <w:pStyle w:val="1535"/>
            </w:pPr>
            <w:r>
              <w:t>序号</w:t>
            </w:r>
          </w:p>
        </w:tc>
        <w:tc>
          <w:tcPr>
            <w:tcW w:w="2784" w:type="pct"/>
            <w:vAlign w:val="center"/>
          </w:tcPr>
          <w:p w14:paraId="0DD8BFB6">
            <w:pPr>
              <w:pStyle w:val="1535"/>
            </w:pPr>
            <w:r>
              <w:t>《重庆市产业投资准入工作手册》相关内容</w:t>
            </w:r>
          </w:p>
        </w:tc>
        <w:tc>
          <w:tcPr>
            <w:tcW w:w="1607" w:type="pct"/>
            <w:vAlign w:val="center"/>
          </w:tcPr>
          <w:p w14:paraId="4F3F5CE4">
            <w:pPr>
              <w:pStyle w:val="1535"/>
            </w:pPr>
            <w:r>
              <w:t>项目情况</w:t>
            </w:r>
          </w:p>
        </w:tc>
        <w:tc>
          <w:tcPr>
            <w:tcW w:w="346" w:type="pct"/>
            <w:vAlign w:val="center"/>
          </w:tcPr>
          <w:p w14:paraId="4CDB845F">
            <w:pPr>
              <w:pStyle w:val="1535"/>
            </w:pPr>
            <w:r>
              <w:t>符合性</w:t>
            </w:r>
          </w:p>
        </w:tc>
      </w:tr>
      <w:tr w14:paraId="0AD3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4"/>
            <w:vAlign w:val="center"/>
          </w:tcPr>
          <w:p w14:paraId="613A0B61">
            <w:pPr>
              <w:pStyle w:val="1535"/>
            </w:pPr>
            <w:r>
              <w:t>全市范围内不予准入的产业</w:t>
            </w:r>
          </w:p>
        </w:tc>
      </w:tr>
      <w:tr w14:paraId="4146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6BED5959">
            <w:pPr>
              <w:pStyle w:val="1535"/>
            </w:pPr>
            <w:r>
              <w:t>1</w:t>
            </w:r>
          </w:p>
        </w:tc>
        <w:tc>
          <w:tcPr>
            <w:tcW w:w="2784" w:type="pct"/>
            <w:vAlign w:val="center"/>
          </w:tcPr>
          <w:p w14:paraId="0B8993B6">
            <w:pPr>
              <w:pStyle w:val="1535"/>
            </w:pPr>
            <w:r>
              <w:t>国家产业结构调整指导目录中的淘汰类项目。</w:t>
            </w:r>
          </w:p>
        </w:tc>
        <w:tc>
          <w:tcPr>
            <w:tcW w:w="1607" w:type="pct"/>
            <w:vAlign w:val="center"/>
          </w:tcPr>
          <w:p w14:paraId="37F461A5">
            <w:pPr>
              <w:pStyle w:val="1535"/>
            </w:pPr>
            <w:r>
              <w:t>不属于国家产业结构调整指导目录淘汰类项目。</w:t>
            </w:r>
          </w:p>
        </w:tc>
        <w:tc>
          <w:tcPr>
            <w:tcW w:w="346" w:type="pct"/>
            <w:vAlign w:val="center"/>
          </w:tcPr>
          <w:p w14:paraId="3552B715">
            <w:pPr>
              <w:pStyle w:val="1535"/>
            </w:pPr>
            <w:r>
              <w:t>符合</w:t>
            </w:r>
          </w:p>
        </w:tc>
      </w:tr>
      <w:tr w14:paraId="19A6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44DE4168">
            <w:pPr>
              <w:pStyle w:val="1535"/>
            </w:pPr>
            <w:r>
              <w:t>2</w:t>
            </w:r>
          </w:p>
        </w:tc>
        <w:tc>
          <w:tcPr>
            <w:tcW w:w="2784" w:type="pct"/>
            <w:vAlign w:val="center"/>
          </w:tcPr>
          <w:p w14:paraId="1D8019F6">
            <w:pPr>
              <w:pStyle w:val="1535"/>
            </w:pPr>
            <w:r>
              <w:t>天然林商业性采伐</w:t>
            </w:r>
          </w:p>
        </w:tc>
        <w:tc>
          <w:tcPr>
            <w:tcW w:w="1607" w:type="pct"/>
            <w:vAlign w:val="center"/>
          </w:tcPr>
          <w:p w14:paraId="5670AA6A">
            <w:pPr>
              <w:pStyle w:val="1535"/>
            </w:pPr>
            <w:r>
              <w:t>不属于此类项目。</w:t>
            </w:r>
          </w:p>
        </w:tc>
        <w:tc>
          <w:tcPr>
            <w:tcW w:w="346" w:type="pct"/>
            <w:vAlign w:val="center"/>
          </w:tcPr>
          <w:p w14:paraId="3B467941">
            <w:pPr>
              <w:pStyle w:val="1535"/>
            </w:pPr>
            <w:r>
              <w:t>符合</w:t>
            </w:r>
          </w:p>
        </w:tc>
      </w:tr>
      <w:tr w14:paraId="1B17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22285531">
            <w:pPr>
              <w:pStyle w:val="1535"/>
            </w:pPr>
            <w:r>
              <w:t>3</w:t>
            </w:r>
          </w:p>
        </w:tc>
        <w:tc>
          <w:tcPr>
            <w:tcW w:w="2784" w:type="pct"/>
            <w:vAlign w:val="center"/>
          </w:tcPr>
          <w:p w14:paraId="0058ED8E">
            <w:pPr>
              <w:pStyle w:val="1535"/>
            </w:pPr>
            <w:r>
              <w:t>法律法规和相关政策明令不予准入的其他项目。</w:t>
            </w:r>
          </w:p>
        </w:tc>
        <w:tc>
          <w:tcPr>
            <w:tcW w:w="1607" w:type="pct"/>
            <w:vAlign w:val="center"/>
          </w:tcPr>
          <w:p w14:paraId="6E9E0F44">
            <w:pPr>
              <w:pStyle w:val="1535"/>
            </w:pPr>
            <w:r>
              <w:t>不属于此类项目。</w:t>
            </w:r>
          </w:p>
        </w:tc>
        <w:tc>
          <w:tcPr>
            <w:tcW w:w="346" w:type="pct"/>
            <w:vAlign w:val="center"/>
          </w:tcPr>
          <w:p w14:paraId="40BC83C3">
            <w:pPr>
              <w:pStyle w:val="1535"/>
            </w:pPr>
            <w:r>
              <w:t>符合</w:t>
            </w:r>
          </w:p>
        </w:tc>
      </w:tr>
      <w:tr w14:paraId="200E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4"/>
            <w:vAlign w:val="center"/>
          </w:tcPr>
          <w:p w14:paraId="7733FA1A">
            <w:pPr>
              <w:pStyle w:val="1535"/>
            </w:pPr>
            <w:r>
              <w:t>重点区域范围内不予准入的产业</w:t>
            </w:r>
          </w:p>
        </w:tc>
      </w:tr>
      <w:tr w14:paraId="3DE3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6EFBB4CF">
            <w:pPr>
              <w:pStyle w:val="1535"/>
            </w:pPr>
            <w:r>
              <w:t>4</w:t>
            </w:r>
          </w:p>
        </w:tc>
        <w:tc>
          <w:tcPr>
            <w:tcW w:w="2784" w:type="pct"/>
            <w:vAlign w:val="center"/>
          </w:tcPr>
          <w:p w14:paraId="49545AA4">
            <w:pPr>
              <w:pStyle w:val="1535"/>
            </w:pPr>
            <w:r>
              <w:t>外环绕城高速公路以内长江、嘉陵江水域采砂</w:t>
            </w:r>
          </w:p>
        </w:tc>
        <w:tc>
          <w:tcPr>
            <w:tcW w:w="1607" w:type="pct"/>
            <w:vAlign w:val="center"/>
          </w:tcPr>
          <w:p w14:paraId="44261FB8">
            <w:pPr>
              <w:pStyle w:val="1535"/>
            </w:pPr>
            <w:r>
              <w:t>不属于此类项目。</w:t>
            </w:r>
          </w:p>
        </w:tc>
        <w:tc>
          <w:tcPr>
            <w:tcW w:w="346" w:type="pct"/>
            <w:vAlign w:val="center"/>
          </w:tcPr>
          <w:p w14:paraId="059B9D08">
            <w:pPr>
              <w:pStyle w:val="1535"/>
            </w:pPr>
            <w:r>
              <w:t>符合</w:t>
            </w:r>
          </w:p>
        </w:tc>
      </w:tr>
      <w:tr w14:paraId="3981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69D9B180">
            <w:pPr>
              <w:pStyle w:val="1535"/>
            </w:pPr>
            <w:r>
              <w:t>5</w:t>
            </w:r>
          </w:p>
        </w:tc>
        <w:tc>
          <w:tcPr>
            <w:tcW w:w="2784" w:type="pct"/>
            <w:vAlign w:val="center"/>
          </w:tcPr>
          <w:p w14:paraId="5F7B5F87">
            <w:pPr>
              <w:pStyle w:val="1535"/>
            </w:pPr>
            <w:r>
              <w:t>二十五度以上陡坡地开垦种植农作物。</w:t>
            </w:r>
          </w:p>
        </w:tc>
        <w:tc>
          <w:tcPr>
            <w:tcW w:w="1607" w:type="pct"/>
            <w:vAlign w:val="center"/>
          </w:tcPr>
          <w:p w14:paraId="1B0CAAB1">
            <w:pPr>
              <w:pStyle w:val="1535"/>
            </w:pPr>
            <w:r>
              <w:t>不属于此类项目。</w:t>
            </w:r>
          </w:p>
        </w:tc>
        <w:tc>
          <w:tcPr>
            <w:tcW w:w="346" w:type="pct"/>
            <w:vAlign w:val="center"/>
          </w:tcPr>
          <w:p w14:paraId="4FFD0A50">
            <w:pPr>
              <w:pStyle w:val="1535"/>
            </w:pPr>
            <w:r>
              <w:t>符合</w:t>
            </w:r>
          </w:p>
        </w:tc>
      </w:tr>
      <w:tr w14:paraId="3035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372D65E9">
            <w:pPr>
              <w:pStyle w:val="1535"/>
            </w:pPr>
            <w:r>
              <w:t>6</w:t>
            </w:r>
          </w:p>
        </w:tc>
        <w:tc>
          <w:tcPr>
            <w:tcW w:w="2784" w:type="pct"/>
            <w:vAlign w:val="center"/>
          </w:tcPr>
          <w:p w14:paraId="63AB65D2">
            <w:pPr>
              <w:pStyle w:val="1535"/>
            </w:pPr>
            <w:r>
              <w:t>在自然保护区核心区、缓冲区的岸线和河段范围内投资建设旅游和生产经营项目。</w:t>
            </w:r>
          </w:p>
        </w:tc>
        <w:tc>
          <w:tcPr>
            <w:tcW w:w="1607" w:type="pct"/>
            <w:vAlign w:val="center"/>
          </w:tcPr>
          <w:p w14:paraId="416E22C0">
            <w:pPr>
              <w:pStyle w:val="1535"/>
            </w:pPr>
            <w:r>
              <w:t>不属于此类项目。</w:t>
            </w:r>
          </w:p>
        </w:tc>
        <w:tc>
          <w:tcPr>
            <w:tcW w:w="346" w:type="pct"/>
            <w:vAlign w:val="center"/>
          </w:tcPr>
          <w:p w14:paraId="3937E416">
            <w:pPr>
              <w:pStyle w:val="1535"/>
            </w:pPr>
            <w:r>
              <w:t>符合</w:t>
            </w:r>
          </w:p>
        </w:tc>
      </w:tr>
      <w:tr w14:paraId="4044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1FC448D0">
            <w:pPr>
              <w:pStyle w:val="1535"/>
            </w:pPr>
            <w:r>
              <w:t>7</w:t>
            </w:r>
          </w:p>
        </w:tc>
        <w:tc>
          <w:tcPr>
            <w:tcW w:w="2784" w:type="pct"/>
            <w:vAlign w:val="center"/>
          </w:tcPr>
          <w:p w14:paraId="482A295B">
            <w:pPr>
              <w:pStyle w:val="1535"/>
            </w:pPr>
            <w: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607" w:type="pct"/>
            <w:vAlign w:val="center"/>
          </w:tcPr>
          <w:p w14:paraId="14816114">
            <w:pPr>
              <w:pStyle w:val="1535"/>
            </w:pPr>
            <w:r>
              <w:t>不属于所列区域。</w:t>
            </w:r>
          </w:p>
        </w:tc>
        <w:tc>
          <w:tcPr>
            <w:tcW w:w="346" w:type="pct"/>
            <w:vAlign w:val="center"/>
          </w:tcPr>
          <w:p w14:paraId="4275E7A6">
            <w:pPr>
              <w:pStyle w:val="1535"/>
            </w:pPr>
            <w:r>
              <w:t>符合</w:t>
            </w:r>
          </w:p>
        </w:tc>
      </w:tr>
      <w:tr w14:paraId="0516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257A62DD">
            <w:pPr>
              <w:pStyle w:val="1535"/>
            </w:pPr>
            <w:r>
              <w:t>8</w:t>
            </w:r>
          </w:p>
        </w:tc>
        <w:tc>
          <w:tcPr>
            <w:tcW w:w="2784" w:type="pct"/>
            <w:vAlign w:val="center"/>
          </w:tcPr>
          <w:p w14:paraId="632F8469">
            <w:pPr>
              <w:pStyle w:val="1535"/>
            </w:pPr>
            <w:r>
              <w:t>长江干流岸线3公里范围内和重要支流岸线1公里范围内新建、改建、扩建尾矿库、冶炼渣库和磷石膏库（以提升安全、生态环境保护水平为目的的改建除外）。</w:t>
            </w:r>
          </w:p>
        </w:tc>
        <w:tc>
          <w:tcPr>
            <w:tcW w:w="1607" w:type="pct"/>
            <w:vAlign w:val="center"/>
          </w:tcPr>
          <w:p w14:paraId="30F79EF7">
            <w:pPr>
              <w:pStyle w:val="1535"/>
            </w:pPr>
            <w:r>
              <w:t>不属于此类项目。</w:t>
            </w:r>
          </w:p>
        </w:tc>
        <w:tc>
          <w:tcPr>
            <w:tcW w:w="346" w:type="pct"/>
            <w:vAlign w:val="center"/>
          </w:tcPr>
          <w:p w14:paraId="269A3602">
            <w:pPr>
              <w:pStyle w:val="1535"/>
            </w:pPr>
            <w:r>
              <w:t>符合</w:t>
            </w:r>
          </w:p>
        </w:tc>
      </w:tr>
      <w:tr w14:paraId="34F8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54FB864C">
            <w:pPr>
              <w:pStyle w:val="1535"/>
            </w:pPr>
            <w:r>
              <w:t>9</w:t>
            </w:r>
          </w:p>
        </w:tc>
        <w:tc>
          <w:tcPr>
            <w:tcW w:w="2784" w:type="pct"/>
            <w:vAlign w:val="center"/>
          </w:tcPr>
          <w:p w14:paraId="505BE8C0">
            <w:pPr>
              <w:pStyle w:val="1535"/>
            </w:pPr>
            <w:r>
              <w:t>在风景名胜区核心景区的岸线和河段范围内投资建设与风景名胜资源保护无关的项目。</w:t>
            </w:r>
          </w:p>
        </w:tc>
        <w:tc>
          <w:tcPr>
            <w:tcW w:w="1607" w:type="pct"/>
            <w:vAlign w:val="center"/>
          </w:tcPr>
          <w:p w14:paraId="70FCF11A">
            <w:pPr>
              <w:pStyle w:val="1535"/>
            </w:pPr>
            <w:r>
              <w:t>不属于所列区域。</w:t>
            </w:r>
          </w:p>
        </w:tc>
        <w:tc>
          <w:tcPr>
            <w:tcW w:w="346" w:type="pct"/>
            <w:vAlign w:val="center"/>
          </w:tcPr>
          <w:p w14:paraId="32BA6D1B">
            <w:pPr>
              <w:pStyle w:val="1535"/>
            </w:pPr>
            <w:r>
              <w:t>符合</w:t>
            </w:r>
          </w:p>
        </w:tc>
      </w:tr>
      <w:tr w14:paraId="29D3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385F632C">
            <w:pPr>
              <w:pStyle w:val="1535"/>
            </w:pPr>
            <w:r>
              <w:t>10</w:t>
            </w:r>
          </w:p>
        </w:tc>
        <w:tc>
          <w:tcPr>
            <w:tcW w:w="2784" w:type="pct"/>
            <w:vAlign w:val="center"/>
          </w:tcPr>
          <w:p w14:paraId="3E6C63BB">
            <w:pPr>
              <w:pStyle w:val="1535"/>
            </w:pPr>
            <w:r>
              <w:t>在国家湿地公园的岸线和河段范围内挖沙、采矿，以及任何不符合主体功能定位的投资建设项目。</w:t>
            </w:r>
          </w:p>
        </w:tc>
        <w:tc>
          <w:tcPr>
            <w:tcW w:w="1607" w:type="pct"/>
            <w:vAlign w:val="center"/>
          </w:tcPr>
          <w:p w14:paraId="5F3AC11E">
            <w:pPr>
              <w:pStyle w:val="1535"/>
            </w:pPr>
            <w:r>
              <w:t>不属于所列区域。</w:t>
            </w:r>
          </w:p>
        </w:tc>
        <w:tc>
          <w:tcPr>
            <w:tcW w:w="346" w:type="pct"/>
            <w:vAlign w:val="center"/>
          </w:tcPr>
          <w:p w14:paraId="6C0F80F9">
            <w:pPr>
              <w:pStyle w:val="1535"/>
            </w:pPr>
            <w:r>
              <w:t>符合</w:t>
            </w:r>
          </w:p>
        </w:tc>
      </w:tr>
      <w:tr w14:paraId="2E58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3E2992DE">
            <w:pPr>
              <w:pStyle w:val="1535"/>
            </w:pPr>
            <w:r>
              <w:t>11</w:t>
            </w:r>
          </w:p>
        </w:tc>
        <w:tc>
          <w:tcPr>
            <w:tcW w:w="2784" w:type="pct"/>
            <w:vAlign w:val="center"/>
          </w:tcPr>
          <w:p w14:paraId="5BF42EB5">
            <w:pPr>
              <w:pStyle w:val="1535"/>
            </w:pPr>
            <w:r>
              <w:t>在《长江岸线保护和开发利用总体规划》划定的岸线保护区和保留区内投资建设除事关公共安全及公众利益的防洪护岸、河道治理、供水、生态环境保护、航道整治、国家重要基础设施以外的项目。</w:t>
            </w:r>
          </w:p>
        </w:tc>
        <w:tc>
          <w:tcPr>
            <w:tcW w:w="1607" w:type="pct"/>
            <w:vAlign w:val="center"/>
          </w:tcPr>
          <w:p w14:paraId="41B0AA59">
            <w:pPr>
              <w:pStyle w:val="1535"/>
            </w:pPr>
            <w:r>
              <w:t>不属于所列区域。</w:t>
            </w:r>
          </w:p>
        </w:tc>
        <w:tc>
          <w:tcPr>
            <w:tcW w:w="346" w:type="pct"/>
            <w:vAlign w:val="center"/>
          </w:tcPr>
          <w:p w14:paraId="3183F4F2">
            <w:pPr>
              <w:pStyle w:val="1535"/>
            </w:pPr>
            <w:r>
              <w:t>符合</w:t>
            </w:r>
          </w:p>
        </w:tc>
      </w:tr>
      <w:tr w14:paraId="6155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1B397B61">
            <w:pPr>
              <w:pStyle w:val="1535"/>
            </w:pPr>
            <w:r>
              <w:t>12</w:t>
            </w:r>
          </w:p>
        </w:tc>
        <w:tc>
          <w:tcPr>
            <w:tcW w:w="2784" w:type="pct"/>
            <w:vAlign w:val="center"/>
          </w:tcPr>
          <w:p w14:paraId="073EEDF7">
            <w:pPr>
              <w:pStyle w:val="1535"/>
            </w:pPr>
            <w:r>
              <w:t>在《全国重要江河湖泊水功能区划》划定的河段及湖泊保护区、保留区</w:t>
            </w:r>
            <w:r>
              <w:cr/>
            </w:r>
            <w:r>
              <w:t>投资建设不利于水资源及自然生态保护的项目。</w:t>
            </w:r>
          </w:p>
        </w:tc>
        <w:tc>
          <w:tcPr>
            <w:tcW w:w="1607" w:type="pct"/>
            <w:vAlign w:val="center"/>
          </w:tcPr>
          <w:p w14:paraId="143BD947">
            <w:pPr>
              <w:pStyle w:val="1535"/>
            </w:pPr>
            <w:r>
              <w:t>不属于所列区域。</w:t>
            </w:r>
          </w:p>
        </w:tc>
        <w:tc>
          <w:tcPr>
            <w:tcW w:w="346" w:type="pct"/>
            <w:vAlign w:val="center"/>
          </w:tcPr>
          <w:p w14:paraId="570B2347">
            <w:pPr>
              <w:pStyle w:val="1535"/>
            </w:pPr>
            <w:r>
              <w:t>符合</w:t>
            </w:r>
          </w:p>
        </w:tc>
      </w:tr>
      <w:tr w14:paraId="7114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4"/>
            <w:vAlign w:val="center"/>
          </w:tcPr>
          <w:p w14:paraId="1CC29D2C">
            <w:pPr>
              <w:pStyle w:val="1535"/>
            </w:pPr>
            <w:r>
              <w:t>全市范围内限制准入的产业</w:t>
            </w:r>
          </w:p>
        </w:tc>
      </w:tr>
      <w:tr w14:paraId="7029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36FE41C0">
            <w:pPr>
              <w:pStyle w:val="1535"/>
            </w:pPr>
            <w:r>
              <w:t>1</w:t>
            </w:r>
          </w:p>
        </w:tc>
        <w:tc>
          <w:tcPr>
            <w:tcW w:w="2784" w:type="pct"/>
            <w:vAlign w:val="center"/>
          </w:tcPr>
          <w:p w14:paraId="532D402F">
            <w:pPr>
              <w:pStyle w:val="1535"/>
            </w:pPr>
            <w:r>
              <w:t>新建、扩建不符合国家产能置换要求的严重过剩产能行业的项目。新建、扩建不符合要求的高耗能高排放项目。</w:t>
            </w:r>
          </w:p>
        </w:tc>
        <w:tc>
          <w:tcPr>
            <w:tcW w:w="1607" w:type="pct"/>
            <w:vAlign w:val="center"/>
          </w:tcPr>
          <w:p w14:paraId="0A043853">
            <w:pPr>
              <w:pStyle w:val="1535"/>
            </w:pPr>
            <w:r>
              <w:t>不属于此类项目。</w:t>
            </w:r>
          </w:p>
        </w:tc>
        <w:tc>
          <w:tcPr>
            <w:tcW w:w="346" w:type="pct"/>
            <w:vAlign w:val="center"/>
          </w:tcPr>
          <w:p w14:paraId="5EF1752F">
            <w:pPr>
              <w:pStyle w:val="1535"/>
            </w:pPr>
            <w:r>
              <w:t>符合</w:t>
            </w:r>
          </w:p>
        </w:tc>
      </w:tr>
      <w:tr w14:paraId="58FB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002BE8B1">
            <w:pPr>
              <w:pStyle w:val="1535"/>
            </w:pPr>
            <w:r>
              <w:t>2</w:t>
            </w:r>
          </w:p>
        </w:tc>
        <w:tc>
          <w:tcPr>
            <w:tcW w:w="2784" w:type="pct"/>
            <w:vAlign w:val="center"/>
          </w:tcPr>
          <w:p w14:paraId="2F8A7C62">
            <w:pPr>
              <w:pStyle w:val="1535"/>
            </w:pPr>
            <w:r>
              <w:t>新建、扩建不符合国家石化、现代煤化工等产业布局规划的项目</w:t>
            </w:r>
          </w:p>
        </w:tc>
        <w:tc>
          <w:tcPr>
            <w:tcW w:w="1607" w:type="pct"/>
            <w:vAlign w:val="center"/>
          </w:tcPr>
          <w:p w14:paraId="6ED28A46">
            <w:pPr>
              <w:pStyle w:val="1535"/>
            </w:pPr>
            <w:r>
              <w:t>不属于此类项目。</w:t>
            </w:r>
          </w:p>
        </w:tc>
        <w:tc>
          <w:tcPr>
            <w:tcW w:w="346" w:type="pct"/>
            <w:vAlign w:val="center"/>
          </w:tcPr>
          <w:p w14:paraId="1E0FA361">
            <w:pPr>
              <w:pStyle w:val="1535"/>
            </w:pPr>
            <w:r>
              <w:t>符合</w:t>
            </w:r>
          </w:p>
        </w:tc>
      </w:tr>
      <w:tr w14:paraId="26A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46950B79">
            <w:pPr>
              <w:pStyle w:val="1535"/>
            </w:pPr>
            <w:r>
              <w:t>3</w:t>
            </w:r>
          </w:p>
        </w:tc>
        <w:tc>
          <w:tcPr>
            <w:tcW w:w="2784" w:type="pct"/>
            <w:vAlign w:val="center"/>
          </w:tcPr>
          <w:p w14:paraId="5EE5FDCB">
            <w:pPr>
              <w:pStyle w:val="1535"/>
            </w:pPr>
            <w:r>
              <w:t>在合规园区外新建、扩建钢铁、石化、化工、焦化、建材、有色、制浆造纸等高污染项目。</w:t>
            </w:r>
          </w:p>
        </w:tc>
        <w:tc>
          <w:tcPr>
            <w:tcW w:w="1607" w:type="pct"/>
            <w:vAlign w:val="center"/>
          </w:tcPr>
          <w:p w14:paraId="3846309C">
            <w:pPr>
              <w:pStyle w:val="1535"/>
            </w:pPr>
            <w:r>
              <w:t>不属于此类项目。</w:t>
            </w:r>
          </w:p>
        </w:tc>
        <w:tc>
          <w:tcPr>
            <w:tcW w:w="346" w:type="pct"/>
            <w:vAlign w:val="center"/>
          </w:tcPr>
          <w:p w14:paraId="77C39EAB">
            <w:pPr>
              <w:pStyle w:val="1535"/>
            </w:pPr>
            <w:r>
              <w:t>符合</w:t>
            </w:r>
          </w:p>
        </w:tc>
      </w:tr>
      <w:tr w14:paraId="5BB9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0A9FCA02">
            <w:pPr>
              <w:pStyle w:val="1535"/>
            </w:pPr>
            <w:r>
              <w:t>4</w:t>
            </w:r>
          </w:p>
        </w:tc>
        <w:tc>
          <w:tcPr>
            <w:tcW w:w="2784" w:type="pct"/>
            <w:vAlign w:val="center"/>
          </w:tcPr>
          <w:p w14:paraId="2F15681F">
            <w:pPr>
              <w:pStyle w:val="1535"/>
            </w:pPr>
            <w:r>
              <w:t>《汽车产业投资管理规定》（国家发展和改革委员会令第22号）明确禁止建设的汽车投资项目。</w:t>
            </w:r>
          </w:p>
        </w:tc>
        <w:tc>
          <w:tcPr>
            <w:tcW w:w="1607" w:type="pct"/>
            <w:vAlign w:val="center"/>
          </w:tcPr>
          <w:p w14:paraId="63484C58">
            <w:pPr>
              <w:pStyle w:val="1535"/>
            </w:pPr>
            <w:r>
              <w:t>不属于此类项目。</w:t>
            </w:r>
          </w:p>
        </w:tc>
        <w:tc>
          <w:tcPr>
            <w:tcW w:w="346" w:type="pct"/>
            <w:vAlign w:val="center"/>
          </w:tcPr>
          <w:p w14:paraId="67A5B910">
            <w:pPr>
              <w:pStyle w:val="1535"/>
            </w:pPr>
            <w:r>
              <w:t>符合</w:t>
            </w:r>
          </w:p>
        </w:tc>
      </w:tr>
      <w:tr w14:paraId="732C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4"/>
            <w:vAlign w:val="center"/>
          </w:tcPr>
          <w:p w14:paraId="776EDD4C">
            <w:pPr>
              <w:pStyle w:val="1535"/>
            </w:pPr>
            <w:r>
              <w:t>重点区域范围内限制准入的产业</w:t>
            </w:r>
          </w:p>
        </w:tc>
      </w:tr>
      <w:tr w14:paraId="1645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151F2B9B">
            <w:pPr>
              <w:pStyle w:val="1535"/>
            </w:pPr>
            <w:r>
              <w:t>5</w:t>
            </w:r>
          </w:p>
        </w:tc>
        <w:tc>
          <w:tcPr>
            <w:tcW w:w="2784" w:type="pct"/>
            <w:vAlign w:val="center"/>
          </w:tcPr>
          <w:p w14:paraId="67D8848A">
            <w:pPr>
              <w:pStyle w:val="1535"/>
            </w:pPr>
            <w:r>
              <w:t>长江干支流、重要湖泊岸线1公里范围内新建、扩建化工园区和化工项目，长江、嘉陵江、乌江岸线1公里范围内布局新建纸浆制造、印染等存在环境风险的项目</w:t>
            </w:r>
          </w:p>
        </w:tc>
        <w:tc>
          <w:tcPr>
            <w:tcW w:w="1607" w:type="pct"/>
            <w:vAlign w:val="center"/>
          </w:tcPr>
          <w:p w14:paraId="78619AEA">
            <w:pPr>
              <w:pStyle w:val="1535"/>
            </w:pPr>
            <w:r>
              <w:t>不属于所列区域。</w:t>
            </w:r>
          </w:p>
        </w:tc>
        <w:tc>
          <w:tcPr>
            <w:tcW w:w="346" w:type="pct"/>
            <w:vAlign w:val="center"/>
          </w:tcPr>
          <w:p w14:paraId="5380FBB7">
            <w:pPr>
              <w:pStyle w:val="1535"/>
            </w:pPr>
            <w:r>
              <w:t>符合</w:t>
            </w:r>
          </w:p>
        </w:tc>
      </w:tr>
      <w:tr w14:paraId="0D61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054A7315">
            <w:pPr>
              <w:pStyle w:val="1535"/>
            </w:pPr>
            <w:r>
              <w:t>6</w:t>
            </w:r>
          </w:p>
        </w:tc>
        <w:tc>
          <w:tcPr>
            <w:tcW w:w="2784" w:type="pct"/>
            <w:vAlign w:val="center"/>
          </w:tcPr>
          <w:p w14:paraId="142D9146">
            <w:pPr>
              <w:pStyle w:val="1535"/>
            </w:pPr>
            <w:r>
              <w:t>在水产种质资源保护区的岸线和河段范围内新建围湖造田等投资建设项目。</w:t>
            </w:r>
          </w:p>
        </w:tc>
        <w:tc>
          <w:tcPr>
            <w:tcW w:w="1607" w:type="pct"/>
            <w:vAlign w:val="center"/>
          </w:tcPr>
          <w:p w14:paraId="332AD717">
            <w:pPr>
              <w:pStyle w:val="1535"/>
            </w:pPr>
            <w:r>
              <w:t>不属于所列区域。</w:t>
            </w:r>
          </w:p>
        </w:tc>
        <w:tc>
          <w:tcPr>
            <w:tcW w:w="346" w:type="pct"/>
            <w:vAlign w:val="center"/>
          </w:tcPr>
          <w:p w14:paraId="0D8A4ABA">
            <w:pPr>
              <w:pStyle w:val="1535"/>
            </w:pPr>
            <w:r>
              <w:t>符合</w:t>
            </w:r>
          </w:p>
        </w:tc>
      </w:tr>
    </w:tbl>
    <w:p w14:paraId="6D784EAD">
      <w:pPr>
        <w:ind w:firstLine="520"/>
        <w:rPr>
          <w:color w:val="000000" w:themeColor="text1"/>
          <w14:textFill>
            <w14:solidFill>
              <w14:schemeClr w14:val="tx1"/>
            </w14:solidFill>
          </w14:textFill>
        </w:rPr>
      </w:pPr>
      <w:r>
        <w:rPr>
          <w:color w:val="000000" w:themeColor="text1"/>
          <w14:textFill>
            <w14:solidFill>
              <w14:schemeClr w14:val="tx1"/>
            </w14:solidFill>
          </w14:textFill>
        </w:rPr>
        <w:t>由上表可知，扩建项目符合《重庆市产业投资准入工作手册》（渝发改投资〔2022〕1436号）中准入要求。</w:t>
      </w:r>
    </w:p>
    <w:p w14:paraId="3B6F4287">
      <w:pPr>
        <w:ind w:firstLine="520"/>
        <w:rPr>
          <w:bCs/>
          <w:color w:val="000000" w:themeColor="text1"/>
          <w14:textFill>
            <w14:solidFill>
              <w14:schemeClr w14:val="tx1"/>
            </w14:solidFill>
          </w14:textFill>
        </w:rPr>
      </w:pP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）与《四川省、重庆市长江经济带发展负面清单实施细则（试行，2022年版）》符合性分析</w:t>
      </w:r>
    </w:p>
    <w:p w14:paraId="3657FC4D">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与《四川省、重庆市长江经济带发展负面清单实施细则（试行，2022年版）》（川长江办发〔2022〕17号）符合性分析见下表。</w:t>
      </w:r>
    </w:p>
    <w:p w14:paraId="6876E5D8">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与川长江办发〔2022〕17号符合性分析（部分摘录）</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11"/>
        <w:gridCol w:w="5927"/>
        <w:gridCol w:w="1566"/>
        <w:gridCol w:w="556"/>
      </w:tblGrid>
      <w:tr w14:paraId="1DD3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53" w:type="pct"/>
            <w:shd w:val="clear" w:color="auto" w:fill="FFFFFF"/>
            <w:vAlign w:val="center"/>
          </w:tcPr>
          <w:p w14:paraId="345C8170">
            <w:pPr>
              <w:pStyle w:val="1535"/>
            </w:pPr>
            <w:r>
              <w:t>序号</w:t>
            </w:r>
          </w:p>
        </w:tc>
        <w:tc>
          <w:tcPr>
            <w:tcW w:w="3422" w:type="pct"/>
            <w:shd w:val="clear" w:color="auto" w:fill="FFFFFF"/>
            <w:vAlign w:val="center"/>
          </w:tcPr>
          <w:p w14:paraId="5BDE63BA">
            <w:pPr>
              <w:pStyle w:val="1535"/>
            </w:pPr>
            <w:r>
              <w:t>禁投清单</w:t>
            </w:r>
          </w:p>
        </w:tc>
        <w:tc>
          <w:tcPr>
            <w:tcW w:w="904" w:type="pct"/>
            <w:shd w:val="clear" w:color="auto" w:fill="FFFFFF"/>
            <w:vAlign w:val="center"/>
          </w:tcPr>
          <w:p w14:paraId="7DA4BFB1">
            <w:pPr>
              <w:pStyle w:val="1535"/>
            </w:pPr>
            <w:r>
              <w:t>扩建项目条件</w:t>
            </w:r>
          </w:p>
        </w:tc>
        <w:tc>
          <w:tcPr>
            <w:tcW w:w="321" w:type="pct"/>
            <w:shd w:val="clear" w:color="auto" w:fill="FFFFFF"/>
            <w:vAlign w:val="center"/>
          </w:tcPr>
          <w:p w14:paraId="345AE36F">
            <w:pPr>
              <w:pStyle w:val="1535"/>
            </w:pPr>
            <w:r>
              <w:t>符合性</w:t>
            </w:r>
          </w:p>
        </w:tc>
      </w:tr>
      <w:tr w14:paraId="61AD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67975EC1">
            <w:pPr>
              <w:pStyle w:val="1535"/>
            </w:pPr>
            <w:r>
              <w:t>1</w:t>
            </w:r>
          </w:p>
        </w:tc>
        <w:tc>
          <w:tcPr>
            <w:tcW w:w="3422" w:type="pct"/>
            <w:shd w:val="clear" w:color="auto" w:fill="FFFFFF"/>
            <w:vAlign w:val="center"/>
          </w:tcPr>
          <w:p w14:paraId="351B067A">
            <w:pPr>
              <w:pStyle w:val="1535"/>
            </w:pPr>
            <w:r>
              <w:t>第五条禁止新建、改建和扩建不符合全国港口布局规划，以及《四川省内河水运发展规划》《泸州—宜宾—乐山港口群布局规划》《重庆港总体规划(2035年）》等省级港口布局规划及市级港口总体规划的码头项目。</w:t>
            </w:r>
          </w:p>
        </w:tc>
        <w:tc>
          <w:tcPr>
            <w:tcW w:w="904" w:type="pct"/>
            <w:shd w:val="clear" w:color="auto" w:fill="FFFFFF"/>
            <w:vAlign w:val="center"/>
          </w:tcPr>
          <w:p w14:paraId="68D45387">
            <w:pPr>
              <w:pStyle w:val="1535"/>
            </w:pPr>
            <w:r>
              <w:t>项目不属于码头项目</w:t>
            </w:r>
          </w:p>
        </w:tc>
        <w:tc>
          <w:tcPr>
            <w:tcW w:w="321" w:type="pct"/>
            <w:shd w:val="clear" w:color="auto" w:fill="FFFFFF"/>
            <w:vAlign w:val="center"/>
          </w:tcPr>
          <w:p w14:paraId="349560BF">
            <w:pPr>
              <w:pStyle w:val="1535"/>
            </w:pPr>
            <w:r>
              <w:t>符合</w:t>
            </w:r>
          </w:p>
        </w:tc>
      </w:tr>
      <w:tr w14:paraId="4F58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5327ED86">
            <w:pPr>
              <w:pStyle w:val="1535"/>
            </w:pPr>
            <w:r>
              <w:t>2</w:t>
            </w:r>
          </w:p>
        </w:tc>
        <w:tc>
          <w:tcPr>
            <w:tcW w:w="3422" w:type="pct"/>
            <w:shd w:val="clear" w:color="auto" w:fill="FFFFFF"/>
            <w:vAlign w:val="center"/>
          </w:tcPr>
          <w:p w14:paraId="3DD01AC7">
            <w:pPr>
              <w:pStyle w:val="1535"/>
            </w:pPr>
            <w:r>
              <w:t>第六条禁止新建、改建和扩建不符合《长江干线过江通道布局规划(2020—2035年）》的过长江通道项目（含桥梁、隧道），国家发展改革委同意过长江通道线位调整的除外。</w:t>
            </w:r>
          </w:p>
        </w:tc>
        <w:tc>
          <w:tcPr>
            <w:tcW w:w="904" w:type="pct"/>
            <w:shd w:val="clear" w:color="auto" w:fill="FFFFFF"/>
            <w:vAlign w:val="center"/>
          </w:tcPr>
          <w:p w14:paraId="73A009C0">
            <w:pPr>
              <w:pStyle w:val="1535"/>
            </w:pPr>
            <w:r>
              <w:t>项目不属长江通道项目</w:t>
            </w:r>
          </w:p>
        </w:tc>
        <w:tc>
          <w:tcPr>
            <w:tcW w:w="321" w:type="pct"/>
            <w:shd w:val="clear" w:color="auto" w:fill="FFFFFF"/>
            <w:vAlign w:val="center"/>
          </w:tcPr>
          <w:p w14:paraId="5DA2F333">
            <w:pPr>
              <w:pStyle w:val="1535"/>
            </w:pPr>
            <w:r>
              <w:t>符合</w:t>
            </w:r>
          </w:p>
        </w:tc>
      </w:tr>
      <w:tr w14:paraId="1283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1CCEEADB">
            <w:pPr>
              <w:pStyle w:val="1535"/>
            </w:pPr>
            <w:r>
              <w:t>3</w:t>
            </w:r>
          </w:p>
        </w:tc>
        <w:tc>
          <w:tcPr>
            <w:tcW w:w="3422" w:type="pct"/>
            <w:shd w:val="clear" w:color="auto" w:fill="FFFFFF"/>
            <w:vAlign w:val="center"/>
          </w:tcPr>
          <w:p w14:paraId="491495DF">
            <w:pPr>
              <w:pStyle w:val="1535"/>
            </w:pPr>
            <w:r>
              <w:t>第七条禁止在自然保护区核心区、缓冲区的岸线和河段范围</w:t>
            </w:r>
            <w:r>
              <w:cr/>
            </w:r>
            <w:r>
              <w:t>投资建设旅游和生产经营项目。自然保护区的内部未分区的，依照核心区和缓冲区的规定管控。</w:t>
            </w:r>
          </w:p>
        </w:tc>
        <w:tc>
          <w:tcPr>
            <w:tcW w:w="904" w:type="pct"/>
            <w:shd w:val="clear" w:color="auto" w:fill="FFFFFF"/>
            <w:vAlign w:val="center"/>
          </w:tcPr>
          <w:p w14:paraId="35C65C56">
            <w:pPr>
              <w:pStyle w:val="1535"/>
            </w:pPr>
            <w:r>
              <w:t>项目不涉及自然保护区</w:t>
            </w:r>
          </w:p>
        </w:tc>
        <w:tc>
          <w:tcPr>
            <w:tcW w:w="321" w:type="pct"/>
            <w:shd w:val="clear" w:color="auto" w:fill="FFFFFF"/>
            <w:vAlign w:val="center"/>
          </w:tcPr>
          <w:p w14:paraId="15D11E4B">
            <w:pPr>
              <w:pStyle w:val="1535"/>
            </w:pPr>
            <w:r>
              <w:t>符合</w:t>
            </w:r>
          </w:p>
        </w:tc>
      </w:tr>
      <w:tr w14:paraId="16DE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6A71BF1B">
            <w:pPr>
              <w:pStyle w:val="1535"/>
            </w:pPr>
            <w:r>
              <w:t>4</w:t>
            </w:r>
          </w:p>
        </w:tc>
        <w:tc>
          <w:tcPr>
            <w:tcW w:w="3422" w:type="pct"/>
            <w:shd w:val="clear" w:color="auto" w:fill="FFFFFF"/>
            <w:vAlign w:val="center"/>
          </w:tcPr>
          <w:p w14:paraId="28BD53D0">
            <w:pPr>
              <w:pStyle w:val="1535"/>
            </w:pPr>
            <w:r>
              <w:t>第八条禁止违反风景名胜区规划，在风景名胜区内设立各类开发区。禁止在风景名胜区核心景区的岸线和河段范围内建设宾馆、招待所、培训中心、疗养院以及与风景名胜资源保护无关的项目。</w:t>
            </w:r>
          </w:p>
        </w:tc>
        <w:tc>
          <w:tcPr>
            <w:tcW w:w="904" w:type="pct"/>
            <w:shd w:val="clear" w:color="auto" w:fill="FFFFFF"/>
            <w:vAlign w:val="center"/>
          </w:tcPr>
          <w:p w14:paraId="024526B6">
            <w:pPr>
              <w:pStyle w:val="1535"/>
            </w:pPr>
            <w:r>
              <w:t>项目不涉及风景名胜区</w:t>
            </w:r>
          </w:p>
        </w:tc>
        <w:tc>
          <w:tcPr>
            <w:tcW w:w="321" w:type="pct"/>
            <w:shd w:val="clear" w:color="auto" w:fill="FFFFFF"/>
            <w:vAlign w:val="center"/>
          </w:tcPr>
          <w:p w14:paraId="31EAC6EB">
            <w:pPr>
              <w:pStyle w:val="1535"/>
            </w:pPr>
            <w:r>
              <w:t>符合</w:t>
            </w:r>
          </w:p>
        </w:tc>
      </w:tr>
      <w:tr w14:paraId="3F0B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5E74D934">
            <w:pPr>
              <w:pStyle w:val="1535"/>
            </w:pPr>
            <w:r>
              <w:t>5</w:t>
            </w:r>
          </w:p>
        </w:tc>
        <w:tc>
          <w:tcPr>
            <w:tcW w:w="3422" w:type="pct"/>
            <w:shd w:val="clear" w:color="auto" w:fill="FFFFFF"/>
            <w:vAlign w:val="center"/>
          </w:tcPr>
          <w:p w14:paraId="43BD880B">
            <w:pPr>
              <w:pStyle w:val="1535"/>
            </w:pPr>
            <w:r>
              <w:t>第九条禁止在饮用水水源准保护区的岸线</w:t>
            </w:r>
            <w:r>
              <w:cr/>
            </w:r>
            <w:r>
              <w:t>河段范围内新建、扩建对水体污染严重的建设项目，禁止改建增加</w:t>
            </w:r>
            <w:r>
              <w:cr/>
            </w:r>
            <w:r>
              <w:t>污量的建设项目。</w:t>
            </w:r>
          </w:p>
        </w:tc>
        <w:tc>
          <w:tcPr>
            <w:tcW w:w="904" w:type="pct"/>
            <w:shd w:val="clear" w:color="auto" w:fill="FFFFFF"/>
            <w:vAlign w:val="center"/>
          </w:tcPr>
          <w:p w14:paraId="5918D3E7">
            <w:pPr>
              <w:pStyle w:val="1535"/>
            </w:pPr>
            <w:r>
              <w:t>项目不涉及饮用水水源准保护区</w:t>
            </w:r>
          </w:p>
        </w:tc>
        <w:tc>
          <w:tcPr>
            <w:tcW w:w="321" w:type="pct"/>
            <w:shd w:val="clear" w:color="auto" w:fill="FFFFFF"/>
            <w:vAlign w:val="center"/>
          </w:tcPr>
          <w:p w14:paraId="288630D1">
            <w:pPr>
              <w:pStyle w:val="1535"/>
            </w:pPr>
            <w:r>
              <w:t>符合</w:t>
            </w:r>
          </w:p>
        </w:tc>
      </w:tr>
      <w:tr w14:paraId="0B3C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38DF9CD8">
            <w:pPr>
              <w:pStyle w:val="1535"/>
            </w:pPr>
            <w:r>
              <w:t>6</w:t>
            </w:r>
          </w:p>
        </w:tc>
        <w:tc>
          <w:tcPr>
            <w:tcW w:w="3422" w:type="pct"/>
            <w:shd w:val="clear" w:color="auto" w:fill="FFFFFF"/>
            <w:vAlign w:val="center"/>
          </w:tcPr>
          <w:p w14:paraId="7590E641">
            <w:pPr>
              <w:pStyle w:val="1535"/>
            </w:pPr>
            <w:r>
              <w:t>第十条饮用水水源二级保护区的岸线和河段范围内，除遵守准保护区规定外，禁止新建、改建、扩建排放污染物的投资建设项目；禁止从事对水体有污染的水产养殖等活动。</w:t>
            </w:r>
          </w:p>
        </w:tc>
        <w:tc>
          <w:tcPr>
            <w:tcW w:w="904" w:type="pct"/>
            <w:shd w:val="clear" w:color="auto" w:fill="FFFFFF"/>
            <w:vAlign w:val="center"/>
          </w:tcPr>
          <w:p w14:paraId="52DE3902">
            <w:pPr>
              <w:pStyle w:val="1535"/>
            </w:pPr>
            <w:r>
              <w:t>项目不涉及饮用水水源二级保护区</w:t>
            </w:r>
          </w:p>
        </w:tc>
        <w:tc>
          <w:tcPr>
            <w:tcW w:w="321" w:type="pct"/>
            <w:shd w:val="clear" w:color="auto" w:fill="FFFFFF"/>
            <w:vAlign w:val="center"/>
          </w:tcPr>
          <w:p w14:paraId="323DE30F">
            <w:pPr>
              <w:pStyle w:val="1535"/>
            </w:pPr>
            <w:r>
              <w:t>符合</w:t>
            </w:r>
          </w:p>
        </w:tc>
      </w:tr>
      <w:tr w14:paraId="08B3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2D305BCA">
            <w:pPr>
              <w:pStyle w:val="1535"/>
            </w:pPr>
            <w:r>
              <w:rPr>
                <w:rFonts w:hint="eastAsia"/>
              </w:rPr>
              <w:t>7</w:t>
            </w:r>
          </w:p>
        </w:tc>
        <w:tc>
          <w:tcPr>
            <w:tcW w:w="3422" w:type="pct"/>
            <w:shd w:val="clear" w:color="auto" w:fill="FFFFFF"/>
            <w:vAlign w:val="center"/>
          </w:tcPr>
          <w:p w14:paraId="333E21B6">
            <w:pPr>
              <w:pStyle w:val="1535"/>
            </w:pPr>
            <w: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904" w:type="pct"/>
            <w:shd w:val="clear" w:color="auto" w:fill="FFFFFF"/>
            <w:vAlign w:val="center"/>
          </w:tcPr>
          <w:p w14:paraId="71A007F9">
            <w:pPr>
              <w:pStyle w:val="1535"/>
            </w:pPr>
            <w:r>
              <w:t>项目不涉及饮用水水</w:t>
            </w:r>
            <w:r>
              <w:cr/>
            </w:r>
            <w:r>
              <w:t>一级保护区</w:t>
            </w:r>
          </w:p>
        </w:tc>
        <w:tc>
          <w:tcPr>
            <w:tcW w:w="321" w:type="pct"/>
            <w:shd w:val="clear" w:color="auto" w:fill="FFFFFF"/>
            <w:vAlign w:val="center"/>
          </w:tcPr>
          <w:p w14:paraId="235ED8E4">
            <w:pPr>
              <w:pStyle w:val="1535"/>
            </w:pPr>
            <w:r>
              <w:t>符合</w:t>
            </w:r>
          </w:p>
        </w:tc>
      </w:tr>
      <w:tr w14:paraId="4429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636A3B5A">
            <w:pPr>
              <w:pStyle w:val="1535"/>
            </w:pPr>
            <w:r>
              <w:t>8</w:t>
            </w:r>
          </w:p>
        </w:tc>
        <w:tc>
          <w:tcPr>
            <w:tcW w:w="3422" w:type="pct"/>
            <w:shd w:val="clear" w:color="auto" w:fill="FFFFFF"/>
            <w:vAlign w:val="center"/>
          </w:tcPr>
          <w:p w14:paraId="7D73CA2D">
            <w:pPr>
              <w:pStyle w:val="1535"/>
            </w:pPr>
            <w:r>
              <w:t>第十二条禁止在水产种质资源保护区岸线和河段范围内新建围湖造田、围湖造地或挖沙采石等投资建设项目。</w:t>
            </w:r>
          </w:p>
        </w:tc>
        <w:tc>
          <w:tcPr>
            <w:tcW w:w="904" w:type="pct"/>
            <w:shd w:val="clear" w:color="auto" w:fill="FFFFFF"/>
            <w:vAlign w:val="center"/>
          </w:tcPr>
          <w:p w14:paraId="5E20226C">
            <w:pPr>
              <w:pStyle w:val="1535"/>
            </w:pPr>
            <w:r>
              <w:t>项目不涉及水产种质资源保护区</w:t>
            </w:r>
          </w:p>
        </w:tc>
        <w:tc>
          <w:tcPr>
            <w:tcW w:w="321" w:type="pct"/>
            <w:shd w:val="clear" w:color="auto" w:fill="FFFFFF"/>
            <w:vAlign w:val="center"/>
          </w:tcPr>
          <w:p w14:paraId="11D56FAA">
            <w:pPr>
              <w:pStyle w:val="1535"/>
            </w:pPr>
            <w:r>
              <w:t>符合</w:t>
            </w:r>
          </w:p>
        </w:tc>
      </w:tr>
      <w:tr w14:paraId="2CA6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353" w:type="pct"/>
            <w:shd w:val="clear" w:color="auto" w:fill="FFFFFF"/>
            <w:vAlign w:val="center"/>
          </w:tcPr>
          <w:p w14:paraId="08E6DB6D">
            <w:pPr>
              <w:pStyle w:val="1535"/>
            </w:pPr>
            <w:r>
              <w:t>9</w:t>
            </w:r>
          </w:p>
        </w:tc>
        <w:tc>
          <w:tcPr>
            <w:tcW w:w="3422" w:type="pct"/>
            <w:shd w:val="clear" w:color="auto" w:fill="FFFFFF"/>
            <w:vAlign w:val="center"/>
          </w:tcPr>
          <w:p w14:paraId="1B7CA50A">
            <w:pPr>
              <w:pStyle w:val="1535"/>
            </w:pPr>
            <w: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904" w:type="pct"/>
            <w:shd w:val="clear" w:color="auto" w:fill="FFFFFF"/>
            <w:vAlign w:val="center"/>
          </w:tcPr>
          <w:p w14:paraId="17D42C34">
            <w:pPr>
              <w:pStyle w:val="1535"/>
            </w:pPr>
            <w:r>
              <w:t>项目不涉及</w:t>
            </w:r>
            <w:r>
              <w:rPr>
                <w:rFonts w:hint="eastAsia"/>
              </w:rPr>
              <w:t>湿地</w:t>
            </w:r>
            <w:r>
              <w:t>公园。</w:t>
            </w:r>
          </w:p>
        </w:tc>
        <w:tc>
          <w:tcPr>
            <w:tcW w:w="321" w:type="pct"/>
            <w:shd w:val="clear" w:color="auto" w:fill="FFFFFF"/>
            <w:vAlign w:val="center"/>
          </w:tcPr>
          <w:p w14:paraId="41B089E0">
            <w:pPr>
              <w:pStyle w:val="1535"/>
            </w:pPr>
            <w:r>
              <w:t>符合</w:t>
            </w:r>
          </w:p>
        </w:tc>
      </w:tr>
      <w:tr w14:paraId="7BD3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00CDA60D">
            <w:pPr>
              <w:pStyle w:val="1535"/>
            </w:pPr>
            <w:r>
              <w:t>10</w:t>
            </w:r>
          </w:p>
        </w:tc>
        <w:tc>
          <w:tcPr>
            <w:tcW w:w="3422" w:type="pct"/>
            <w:shd w:val="clear" w:color="auto" w:fill="FFFFFF"/>
            <w:vAlign w:val="center"/>
          </w:tcPr>
          <w:p w14:paraId="6C67E968">
            <w:pPr>
              <w:pStyle w:val="1535"/>
            </w:pPr>
            <w:r>
              <w:t>第十四条</w:t>
            </w:r>
            <w:r>
              <w:cr/>
            </w:r>
            <w:r>
              <w:t>止违法利用、占用长江流域河湖岸线。</w:t>
            </w:r>
            <w:r>
              <w:cr/>
            </w:r>
            <w:r>
              <w:t>止在《长江岸线保护和开发利用总体规划》划定的岸线保护区和岸线保留区内投资建设除事关公共安全及公众利益的防洪护岸、河道治理、供水、生态环境保护、航道整治、国家重要基础设施以外的项目。</w:t>
            </w:r>
          </w:p>
        </w:tc>
        <w:tc>
          <w:tcPr>
            <w:tcW w:w="904" w:type="pct"/>
            <w:shd w:val="clear" w:color="auto" w:fill="FFFFFF"/>
            <w:vAlign w:val="center"/>
          </w:tcPr>
          <w:p w14:paraId="69722CD2">
            <w:pPr>
              <w:pStyle w:val="1535"/>
            </w:pPr>
            <w:r>
              <w:t>项目不涉及长江流域河湖岸线保护区</w:t>
            </w:r>
          </w:p>
        </w:tc>
        <w:tc>
          <w:tcPr>
            <w:tcW w:w="321" w:type="pct"/>
            <w:shd w:val="clear" w:color="auto" w:fill="FFFFFF"/>
            <w:vAlign w:val="center"/>
          </w:tcPr>
          <w:p w14:paraId="5C2E6B33">
            <w:pPr>
              <w:pStyle w:val="1535"/>
            </w:pPr>
            <w:r>
              <w:t>符合</w:t>
            </w:r>
          </w:p>
        </w:tc>
      </w:tr>
      <w:tr w14:paraId="2BFE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7835BF5C">
            <w:pPr>
              <w:pStyle w:val="1535"/>
            </w:pPr>
            <w:r>
              <w:t>11</w:t>
            </w:r>
          </w:p>
        </w:tc>
        <w:tc>
          <w:tcPr>
            <w:tcW w:w="3422" w:type="pct"/>
            <w:shd w:val="clear" w:color="auto" w:fill="FFFFFF"/>
            <w:vAlign w:val="center"/>
          </w:tcPr>
          <w:p w14:paraId="40FB18FE">
            <w:pPr>
              <w:pStyle w:val="1535"/>
            </w:pPr>
            <w:r>
              <w:t>第十五条禁止在《全国重要江河湖泊水功能区划》划定的河段及湖泊保护区、保留区内投资建设不利于水资源及自然生</w:t>
            </w:r>
            <w:r>
              <w:cr/>
            </w:r>
            <w:r>
              <w:t>保护的项目。</w:t>
            </w:r>
          </w:p>
        </w:tc>
        <w:tc>
          <w:tcPr>
            <w:tcW w:w="904" w:type="pct"/>
            <w:shd w:val="clear" w:color="auto" w:fill="FFFFFF"/>
            <w:vAlign w:val="center"/>
          </w:tcPr>
          <w:p w14:paraId="7BFAA9C0">
            <w:pPr>
              <w:pStyle w:val="1535"/>
            </w:pPr>
            <w:r>
              <w:t>项目不涉及重要江河湖泊保护区、保留区，产生的废水经过处理后达标排放</w:t>
            </w:r>
          </w:p>
        </w:tc>
        <w:tc>
          <w:tcPr>
            <w:tcW w:w="321" w:type="pct"/>
            <w:shd w:val="clear" w:color="auto" w:fill="FFFFFF"/>
            <w:vAlign w:val="center"/>
          </w:tcPr>
          <w:p w14:paraId="5A4F3704">
            <w:pPr>
              <w:pStyle w:val="1535"/>
            </w:pPr>
            <w:r>
              <w:t>符</w:t>
            </w:r>
          </w:p>
        </w:tc>
      </w:tr>
      <w:tr w14:paraId="7945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5B0802D9">
            <w:pPr>
              <w:pStyle w:val="1535"/>
            </w:pPr>
            <w:r>
              <w:t>12</w:t>
            </w:r>
          </w:p>
        </w:tc>
        <w:tc>
          <w:tcPr>
            <w:tcW w:w="3422" w:type="pct"/>
            <w:shd w:val="clear" w:color="auto" w:fill="FFFFFF"/>
            <w:vAlign w:val="center"/>
          </w:tcPr>
          <w:p w14:paraId="5D622302">
            <w:pPr>
              <w:pStyle w:val="1535"/>
            </w:pPr>
            <w:r>
              <w:t>第十六条禁止在长江流域江河、湖泊新设、改</w:t>
            </w:r>
            <w:r>
              <w:cr/>
            </w:r>
            <w:r>
              <w:t>或者扩大排污口，经有管辖权的生态环境主管部门或者长江流域生态环</w:t>
            </w:r>
            <w:r>
              <w:cr/>
            </w:r>
            <w:r>
              <w:t>监督管理机构同意的除外。</w:t>
            </w:r>
          </w:p>
        </w:tc>
        <w:tc>
          <w:tcPr>
            <w:tcW w:w="904" w:type="pct"/>
            <w:shd w:val="clear" w:color="auto" w:fill="FFFFFF"/>
            <w:vAlign w:val="center"/>
          </w:tcPr>
          <w:p w14:paraId="18E5FE50">
            <w:pPr>
              <w:pStyle w:val="1535"/>
            </w:pPr>
            <w:r>
              <w:t>项目不涉及新设、改设或者扩大排污口</w:t>
            </w:r>
          </w:p>
        </w:tc>
        <w:tc>
          <w:tcPr>
            <w:tcW w:w="321" w:type="pct"/>
            <w:shd w:val="clear" w:color="auto" w:fill="FFFFFF"/>
            <w:vAlign w:val="center"/>
          </w:tcPr>
          <w:p w14:paraId="4A59FCD5">
            <w:pPr>
              <w:pStyle w:val="1535"/>
            </w:pPr>
            <w:r>
              <w:t>符合</w:t>
            </w:r>
          </w:p>
        </w:tc>
      </w:tr>
      <w:tr w14:paraId="6900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738BC00A">
            <w:pPr>
              <w:pStyle w:val="1535"/>
            </w:pPr>
            <w:r>
              <w:t>13</w:t>
            </w:r>
          </w:p>
        </w:tc>
        <w:tc>
          <w:tcPr>
            <w:tcW w:w="3422" w:type="pct"/>
            <w:shd w:val="clear" w:color="auto" w:fill="FFFFFF"/>
            <w:vAlign w:val="center"/>
          </w:tcPr>
          <w:p w14:paraId="53532D67">
            <w:pPr>
              <w:pStyle w:val="1535"/>
            </w:pPr>
            <w:r>
              <w:t>第十七条禁止在长江于流、大渡河、峨江、赤水河、汜江、嘉陵江、乌江、汉江和51个（四川省45个、重庆市6个）水生生物保护区开展生产性捕捞。</w:t>
            </w:r>
          </w:p>
        </w:tc>
        <w:tc>
          <w:tcPr>
            <w:tcW w:w="904" w:type="pct"/>
            <w:shd w:val="clear" w:color="auto" w:fill="FFFFFF"/>
            <w:vAlign w:val="center"/>
          </w:tcPr>
          <w:p w14:paraId="3901A64E">
            <w:pPr>
              <w:pStyle w:val="1535"/>
            </w:pPr>
            <w:r>
              <w:t>项目不涉及捕捞活动</w:t>
            </w:r>
          </w:p>
        </w:tc>
        <w:tc>
          <w:tcPr>
            <w:tcW w:w="321" w:type="pct"/>
            <w:shd w:val="clear" w:color="auto" w:fill="FFFFFF"/>
            <w:vAlign w:val="center"/>
          </w:tcPr>
          <w:p w14:paraId="0F55C8AB">
            <w:pPr>
              <w:pStyle w:val="1535"/>
            </w:pPr>
            <w:r>
              <w:t>符合</w:t>
            </w:r>
          </w:p>
        </w:tc>
      </w:tr>
      <w:tr w14:paraId="1073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1" w:hRule="atLeast"/>
          <w:jc w:val="center"/>
        </w:trPr>
        <w:tc>
          <w:tcPr>
            <w:tcW w:w="353" w:type="pct"/>
            <w:shd w:val="clear" w:color="auto" w:fill="FFFFFF"/>
            <w:vAlign w:val="center"/>
          </w:tcPr>
          <w:p w14:paraId="4077E1D7">
            <w:pPr>
              <w:pStyle w:val="1535"/>
            </w:pPr>
            <w:r>
              <w:t>14</w:t>
            </w:r>
          </w:p>
        </w:tc>
        <w:tc>
          <w:tcPr>
            <w:tcW w:w="3422" w:type="pct"/>
            <w:shd w:val="clear" w:color="auto" w:fill="FFFFFF"/>
            <w:vAlign w:val="center"/>
          </w:tcPr>
          <w:p w14:paraId="521FC281">
            <w:pPr>
              <w:pStyle w:val="1535"/>
            </w:pPr>
            <w:r>
              <w:t>第十八条禁止在长江干支流、重要湖泊岸线一公里范围内新建、扩建化工园区和化工项目。</w:t>
            </w:r>
          </w:p>
        </w:tc>
        <w:tc>
          <w:tcPr>
            <w:tcW w:w="904" w:type="pct"/>
            <w:shd w:val="clear" w:color="auto" w:fill="FFFFFF"/>
            <w:vAlign w:val="center"/>
          </w:tcPr>
          <w:p w14:paraId="2775C10E">
            <w:pPr>
              <w:pStyle w:val="1535"/>
            </w:pPr>
            <w:r>
              <w:t>项目不在长江干支流、重要湖泊岸线1</w:t>
            </w:r>
            <w:r>
              <w:rPr>
                <w:rFonts w:hint="eastAsia"/>
              </w:rPr>
              <w:t>公里</w:t>
            </w:r>
            <w:r>
              <w:t>范围内</w:t>
            </w:r>
          </w:p>
        </w:tc>
        <w:tc>
          <w:tcPr>
            <w:tcW w:w="321" w:type="pct"/>
            <w:shd w:val="clear" w:color="auto" w:fill="FFFFFF"/>
            <w:vAlign w:val="center"/>
          </w:tcPr>
          <w:p w14:paraId="6B7C0907">
            <w:pPr>
              <w:pStyle w:val="1535"/>
            </w:pPr>
            <w:r>
              <w:t>符合</w:t>
            </w:r>
          </w:p>
        </w:tc>
      </w:tr>
      <w:tr w14:paraId="6BCE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1" w:hRule="atLeast"/>
          <w:jc w:val="center"/>
        </w:trPr>
        <w:tc>
          <w:tcPr>
            <w:tcW w:w="353" w:type="pct"/>
            <w:shd w:val="clear" w:color="auto" w:fill="FFFFFF"/>
            <w:vAlign w:val="center"/>
          </w:tcPr>
          <w:p w14:paraId="3383F92A">
            <w:pPr>
              <w:pStyle w:val="1535"/>
            </w:pPr>
            <w:r>
              <w:t>1</w:t>
            </w:r>
            <w:r>
              <w:rPr>
                <w:rFonts w:hint="eastAsia"/>
              </w:rPr>
              <w:t>5</w:t>
            </w:r>
          </w:p>
        </w:tc>
        <w:tc>
          <w:tcPr>
            <w:tcW w:w="3422" w:type="pct"/>
            <w:shd w:val="clear" w:color="auto" w:fill="FFFFFF"/>
            <w:vAlign w:val="center"/>
          </w:tcPr>
          <w:p w14:paraId="68FAA050">
            <w:pPr>
              <w:pStyle w:val="1535"/>
            </w:pPr>
            <w:r>
              <w:t>第十九条禁止在长</w:t>
            </w:r>
            <w:r>
              <w:cr/>
            </w:r>
            <w:r>
              <w:t>干流岸线三公里范围内和重要支流岸</w:t>
            </w:r>
            <w:r>
              <w:cr/>
            </w:r>
            <w:r>
              <w:t>一公里范围内新建、改建、扩建尾矿库、冶炼渣库、磷石</w:t>
            </w:r>
            <w:r>
              <w:cr/>
            </w:r>
            <w:r>
              <w:t>库，以提升安全、生态环境保护水平为目的的改建除外。</w:t>
            </w:r>
          </w:p>
        </w:tc>
        <w:tc>
          <w:tcPr>
            <w:tcW w:w="904" w:type="pct"/>
            <w:shd w:val="clear" w:color="auto" w:fill="FFFFFF"/>
            <w:vAlign w:val="center"/>
          </w:tcPr>
          <w:p w14:paraId="71E51804">
            <w:pPr>
              <w:pStyle w:val="1535"/>
            </w:pPr>
            <w:r>
              <w:t>项目不在长江干岸线3公里内</w:t>
            </w:r>
          </w:p>
        </w:tc>
        <w:tc>
          <w:tcPr>
            <w:tcW w:w="321" w:type="pct"/>
            <w:shd w:val="clear" w:color="auto" w:fill="FFFFFF"/>
            <w:vAlign w:val="center"/>
          </w:tcPr>
          <w:p w14:paraId="7CD7546D">
            <w:pPr>
              <w:pStyle w:val="1535"/>
            </w:pPr>
            <w:r>
              <w:t>符合</w:t>
            </w:r>
          </w:p>
        </w:tc>
      </w:tr>
      <w:tr w14:paraId="5DAD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76B1FFCE">
            <w:pPr>
              <w:pStyle w:val="1535"/>
            </w:pPr>
            <w:r>
              <w:t>16</w:t>
            </w:r>
          </w:p>
        </w:tc>
        <w:tc>
          <w:tcPr>
            <w:tcW w:w="3422" w:type="pct"/>
            <w:shd w:val="clear" w:color="auto" w:fill="FFFFFF"/>
            <w:vAlign w:val="center"/>
          </w:tcPr>
          <w:p w14:paraId="25AF8B55">
            <w:pPr>
              <w:pStyle w:val="1535"/>
            </w:pPr>
            <w:r>
              <w:t>第二十条禁止在生态保护红线区域、永久基本农田集中区域和其他需要特别保护的区域内选址建设尾矿库、冶炼渣库、磷石膏库。</w:t>
            </w:r>
          </w:p>
        </w:tc>
        <w:tc>
          <w:tcPr>
            <w:tcW w:w="904" w:type="pct"/>
            <w:shd w:val="clear" w:color="auto" w:fill="FFFFFF"/>
            <w:vAlign w:val="center"/>
          </w:tcPr>
          <w:p w14:paraId="5A80FB58">
            <w:pPr>
              <w:pStyle w:val="1535"/>
            </w:pPr>
            <w:r>
              <w:t>项目不属于尾矿库、冶炼渣库、磷石膏库</w:t>
            </w:r>
          </w:p>
        </w:tc>
        <w:tc>
          <w:tcPr>
            <w:tcW w:w="321" w:type="pct"/>
            <w:shd w:val="clear" w:color="auto" w:fill="FFFFFF"/>
            <w:vAlign w:val="center"/>
          </w:tcPr>
          <w:p w14:paraId="2137330A">
            <w:pPr>
              <w:pStyle w:val="1535"/>
            </w:pPr>
            <w:r>
              <w:t>符合</w:t>
            </w:r>
          </w:p>
        </w:tc>
      </w:tr>
      <w:tr w14:paraId="28F3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716420D1">
            <w:pPr>
              <w:pStyle w:val="1535"/>
            </w:pPr>
            <w:r>
              <w:t>17</w:t>
            </w:r>
          </w:p>
        </w:tc>
        <w:tc>
          <w:tcPr>
            <w:tcW w:w="3422" w:type="pct"/>
            <w:shd w:val="clear" w:color="auto" w:fill="FFFFFF"/>
            <w:vAlign w:val="center"/>
          </w:tcPr>
          <w:p w14:paraId="294BF008">
            <w:pPr>
              <w:pStyle w:val="1535"/>
            </w:pPr>
            <w:r>
              <w:t>第</w:t>
            </w:r>
            <w:r>
              <w:cr/>
            </w:r>
            <w:r>
              <w:t>十一条禁止在合规园区外新建、扩建钢铁、石化、化工、焦化、建材、有色、制浆造纸等高污染项目。</w:t>
            </w:r>
          </w:p>
        </w:tc>
        <w:tc>
          <w:tcPr>
            <w:tcW w:w="904" w:type="pct"/>
            <w:shd w:val="clear" w:color="auto" w:fill="FFFFFF"/>
            <w:vAlign w:val="center"/>
          </w:tcPr>
          <w:p w14:paraId="6144315B">
            <w:pPr>
              <w:pStyle w:val="1535"/>
            </w:pPr>
            <w:r>
              <w:t>项目不属于高污染项目</w:t>
            </w:r>
          </w:p>
        </w:tc>
        <w:tc>
          <w:tcPr>
            <w:tcW w:w="321" w:type="pct"/>
            <w:shd w:val="clear" w:color="auto" w:fill="FFFFFF"/>
            <w:vAlign w:val="center"/>
          </w:tcPr>
          <w:p w14:paraId="102650B8">
            <w:pPr>
              <w:pStyle w:val="1535"/>
            </w:pPr>
            <w:r>
              <w:t>符合</w:t>
            </w:r>
          </w:p>
        </w:tc>
      </w:tr>
      <w:tr w14:paraId="1F0D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1C150483">
            <w:pPr>
              <w:pStyle w:val="1535"/>
            </w:pPr>
            <w:r>
              <w:t>18</w:t>
            </w:r>
          </w:p>
        </w:tc>
        <w:tc>
          <w:tcPr>
            <w:tcW w:w="3422" w:type="pct"/>
            <w:shd w:val="clear" w:color="auto" w:fill="FFFFFF"/>
            <w:vAlign w:val="center"/>
          </w:tcPr>
          <w:p w14:paraId="6D5ADF8B">
            <w:pPr>
              <w:pStyle w:val="1535"/>
            </w:pPr>
            <w:r>
              <w:t>第二十二条禁止新建、扩建不符合国家石化、现代煤化工等产业布局规划的项目。</w:t>
            </w:r>
          </w:p>
          <w:p w14:paraId="523EBC0D">
            <w:pPr>
              <w:pStyle w:val="1535"/>
            </w:pPr>
            <w:r>
              <w:t>（一）严格控制新增炼油产能，未列入《石化产业规划布局方案（修订版）》的新增炼油产能一律不得建设。</w:t>
            </w:r>
          </w:p>
          <w:p w14:paraId="4BC10F92">
            <w:pPr>
              <w:pStyle w:val="1535"/>
            </w:pPr>
            <w:r>
              <w:t>（二）新建煤制烯经、煤制芳经项目必须列入《现代煤化工产业创新发展布局方案》，必须符合《现代煤化工建设项目环境准入条件（试行）》要求。</w:t>
            </w:r>
          </w:p>
        </w:tc>
        <w:tc>
          <w:tcPr>
            <w:tcW w:w="904" w:type="pct"/>
            <w:shd w:val="clear" w:color="auto" w:fill="FFFFFF"/>
            <w:vAlign w:val="center"/>
          </w:tcPr>
          <w:p w14:paraId="487F2D81">
            <w:pPr>
              <w:pStyle w:val="1535"/>
            </w:pPr>
            <w:r>
              <w:t>项目不属于石化、煤化工项目</w:t>
            </w:r>
          </w:p>
        </w:tc>
        <w:tc>
          <w:tcPr>
            <w:tcW w:w="321" w:type="pct"/>
            <w:shd w:val="clear" w:color="auto" w:fill="FFFFFF"/>
            <w:vAlign w:val="center"/>
          </w:tcPr>
          <w:p w14:paraId="5201830E">
            <w:pPr>
              <w:pStyle w:val="1535"/>
            </w:pPr>
            <w:r>
              <w:t>符合</w:t>
            </w:r>
          </w:p>
        </w:tc>
      </w:tr>
      <w:tr w14:paraId="0DB8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687657FB">
            <w:pPr>
              <w:pStyle w:val="1535"/>
            </w:pPr>
            <w:r>
              <w:t>19</w:t>
            </w:r>
          </w:p>
        </w:tc>
        <w:tc>
          <w:tcPr>
            <w:tcW w:w="3422" w:type="pct"/>
            <w:shd w:val="clear" w:color="auto" w:fill="FFFFFF"/>
            <w:vAlign w:val="center"/>
          </w:tcPr>
          <w:p w14:paraId="1F1A158C">
            <w:pPr>
              <w:pStyle w:val="1535"/>
            </w:pPr>
            <w: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904" w:type="pct"/>
            <w:shd w:val="clear" w:color="auto" w:fill="FFFFFF"/>
            <w:vAlign w:val="center"/>
          </w:tcPr>
          <w:p w14:paraId="46B95BC6">
            <w:pPr>
              <w:pStyle w:val="1535"/>
            </w:pPr>
            <w:r>
              <w:t>项目不属于落后产能项目，不属于《产业结构调整指导目录》限制类及淘汰类。</w:t>
            </w:r>
          </w:p>
        </w:tc>
        <w:tc>
          <w:tcPr>
            <w:tcW w:w="321" w:type="pct"/>
            <w:shd w:val="clear" w:color="auto" w:fill="FFFFFF"/>
            <w:vAlign w:val="center"/>
          </w:tcPr>
          <w:p w14:paraId="50029272">
            <w:pPr>
              <w:pStyle w:val="1535"/>
            </w:pPr>
            <w:r>
              <w:t>符合</w:t>
            </w:r>
          </w:p>
        </w:tc>
      </w:tr>
      <w:tr w14:paraId="73C9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0D24F9F1">
            <w:pPr>
              <w:pStyle w:val="1535"/>
            </w:pPr>
            <w:r>
              <w:t>2</w:t>
            </w:r>
            <w:r>
              <w:rPr>
                <w:rFonts w:hint="eastAsia"/>
              </w:rPr>
              <w:t>0</w:t>
            </w:r>
          </w:p>
        </w:tc>
        <w:tc>
          <w:tcPr>
            <w:tcW w:w="3422" w:type="pct"/>
            <w:shd w:val="clear" w:color="auto" w:fill="FFFFFF"/>
            <w:vAlign w:val="center"/>
          </w:tcPr>
          <w:p w14:paraId="5E955529">
            <w:pPr>
              <w:pStyle w:val="1535"/>
            </w:pPr>
            <w:r>
              <w:t>第二十四条禁止新建、扩建不符合国家产能置换要求的严重过剩产能行业的项目。</w:t>
            </w:r>
            <w:r>
              <w:cr/>
            </w:r>
            <w:r>
              <w:t>于</w:t>
            </w:r>
            <w:r>
              <w:cr/>
            </w:r>
            <w:r>
              <w:t>符合国家产能置换要求的严重过剩产能行业，不得以其他任何名义、任何方式备案新增产能项目。</w:t>
            </w:r>
          </w:p>
        </w:tc>
        <w:tc>
          <w:tcPr>
            <w:tcW w:w="904" w:type="pct"/>
            <w:shd w:val="clear" w:color="auto" w:fill="FFFFFF"/>
            <w:vAlign w:val="center"/>
          </w:tcPr>
          <w:p w14:paraId="21F0F218">
            <w:pPr>
              <w:pStyle w:val="1535"/>
            </w:pPr>
            <w:r>
              <w:t>项目不属于过剩产能行业项目</w:t>
            </w:r>
          </w:p>
        </w:tc>
        <w:tc>
          <w:tcPr>
            <w:tcW w:w="321" w:type="pct"/>
            <w:shd w:val="clear" w:color="auto" w:fill="FFFFFF"/>
            <w:vAlign w:val="center"/>
          </w:tcPr>
          <w:p w14:paraId="33844149">
            <w:pPr>
              <w:pStyle w:val="1535"/>
            </w:pPr>
            <w:r>
              <w:t>符合</w:t>
            </w:r>
          </w:p>
        </w:tc>
      </w:tr>
      <w:tr w14:paraId="6456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0EA93BF4">
            <w:pPr>
              <w:pStyle w:val="1535"/>
            </w:pPr>
            <w:r>
              <w:t>21</w:t>
            </w:r>
          </w:p>
        </w:tc>
        <w:tc>
          <w:tcPr>
            <w:tcW w:w="3422" w:type="pct"/>
            <w:shd w:val="clear" w:color="auto" w:fill="FFFFFF"/>
            <w:vAlign w:val="center"/>
          </w:tcPr>
          <w:p w14:paraId="0D6DB8AA">
            <w:pPr>
              <w:pStyle w:val="1535"/>
            </w:pPr>
            <w:r>
              <w:t>第二十五条禁止建设以下燃油汽车投资项目（不在中国境内销售产品的投资项目除外）：</w:t>
            </w:r>
          </w:p>
          <w:p w14:paraId="45520E00">
            <w:pPr>
              <w:pStyle w:val="1535"/>
            </w:pPr>
            <w:r>
              <w:t>（一）新建独立燃油汽车企业；</w:t>
            </w:r>
          </w:p>
          <w:p w14:paraId="77EFF156">
            <w:pPr>
              <w:pStyle w:val="1535"/>
            </w:pPr>
            <w:r>
              <w:t>（二）现有汽车企业跨乘用车、商用车类别建设燃油汽车生产能力；</w:t>
            </w:r>
          </w:p>
          <w:p w14:paraId="4B0A5A31">
            <w:pPr>
              <w:pStyle w:val="1535"/>
            </w:pPr>
            <w:r>
              <w:t>（三）外省现有燃油汽车企业整体搬迁至本省（列入国家级区域发展规划或不改变企业股权结构的项目除外）；</w:t>
            </w:r>
          </w:p>
          <w:p w14:paraId="6732DDA5">
            <w:pPr>
              <w:pStyle w:val="1535"/>
            </w:pPr>
            <w:r>
              <w:t>（四）对行业管理部门特别公示的燃油汽车企业进行投资（企业原有股东投资或将该企业转为非独立法人的投资项目除外）。</w:t>
            </w:r>
          </w:p>
        </w:tc>
        <w:tc>
          <w:tcPr>
            <w:tcW w:w="904" w:type="pct"/>
            <w:shd w:val="clear" w:color="auto" w:fill="FFFFFF"/>
            <w:vAlign w:val="center"/>
          </w:tcPr>
          <w:p w14:paraId="256DE699">
            <w:pPr>
              <w:pStyle w:val="1535"/>
            </w:pPr>
            <w:r>
              <w:t>项目不属于燃油汽车投资项目</w:t>
            </w:r>
          </w:p>
        </w:tc>
        <w:tc>
          <w:tcPr>
            <w:tcW w:w="321" w:type="pct"/>
            <w:shd w:val="clear" w:color="auto" w:fill="FFFFFF"/>
            <w:vAlign w:val="center"/>
          </w:tcPr>
          <w:p w14:paraId="04344564">
            <w:pPr>
              <w:pStyle w:val="1535"/>
            </w:pPr>
            <w:r>
              <w:t>符合</w:t>
            </w:r>
          </w:p>
        </w:tc>
      </w:tr>
      <w:tr w14:paraId="04A7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53" w:type="pct"/>
            <w:shd w:val="clear" w:color="auto" w:fill="FFFFFF"/>
            <w:vAlign w:val="center"/>
          </w:tcPr>
          <w:p w14:paraId="6EB3D611">
            <w:pPr>
              <w:pStyle w:val="1535"/>
            </w:pPr>
            <w:r>
              <w:t>22</w:t>
            </w:r>
          </w:p>
        </w:tc>
        <w:tc>
          <w:tcPr>
            <w:tcW w:w="3422" w:type="pct"/>
            <w:shd w:val="clear" w:color="auto" w:fill="FFFFFF"/>
            <w:vAlign w:val="center"/>
          </w:tcPr>
          <w:p w14:paraId="04283B52">
            <w:pPr>
              <w:pStyle w:val="1535"/>
            </w:pPr>
            <w:r>
              <w:t>第二十六条禁止新建、扩建不符合要求的高耗能、高排放、低水平项目。</w:t>
            </w:r>
          </w:p>
        </w:tc>
        <w:tc>
          <w:tcPr>
            <w:tcW w:w="904" w:type="pct"/>
            <w:shd w:val="clear" w:color="auto" w:fill="FFFFFF"/>
            <w:vAlign w:val="center"/>
          </w:tcPr>
          <w:p w14:paraId="1678770F">
            <w:pPr>
              <w:pStyle w:val="1535"/>
            </w:pPr>
            <w:r>
              <w:t>项目不属于高耗能、高排放、低水平项目</w:t>
            </w:r>
          </w:p>
        </w:tc>
        <w:tc>
          <w:tcPr>
            <w:tcW w:w="321" w:type="pct"/>
            <w:shd w:val="clear" w:color="auto" w:fill="FFFFFF"/>
            <w:vAlign w:val="center"/>
          </w:tcPr>
          <w:p w14:paraId="267C2BC1">
            <w:pPr>
              <w:pStyle w:val="1535"/>
            </w:pPr>
            <w:r>
              <w:t>符合</w:t>
            </w:r>
          </w:p>
        </w:tc>
      </w:tr>
    </w:tbl>
    <w:p w14:paraId="22159621">
      <w:pPr>
        <w:ind w:firstLine="520"/>
        <w:rPr>
          <w:color w:val="000000" w:themeColor="text1"/>
          <w14:textFill>
            <w14:solidFill>
              <w14:schemeClr w14:val="tx1"/>
            </w14:solidFill>
          </w14:textFill>
        </w:rPr>
      </w:pPr>
      <w:r>
        <w:rPr>
          <w:color w:val="000000" w:themeColor="text1"/>
          <w14:textFill>
            <w14:solidFill>
              <w14:schemeClr w14:val="tx1"/>
            </w14:solidFill>
          </w14:textFill>
        </w:rPr>
        <w:t>由上表可知，扩建项目符合《四川省、重庆市长江经济带发展负面清单实施细则（试行，2022年版）》（川长江办发〔2022〕17号）相关要求。</w:t>
      </w:r>
    </w:p>
    <w:p w14:paraId="312D335A">
      <w:pPr>
        <w:ind w:firstLine="52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）与《国家发展改革委环境保护部印发关于加强长江黄金水道环境污染防控治理的指导意见的通知》（发改环资[2016]370号）符合性</w:t>
      </w:r>
    </w:p>
    <w:p w14:paraId="2E17C27D">
      <w:pPr>
        <w:ind w:firstLine="520"/>
        <w:rPr>
          <w:color w:val="000000" w:themeColor="text1"/>
          <w14:textFill>
            <w14:solidFill>
              <w14:schemeClr w14:val="tx1"/>
            </w14:solidFill>
          </w14:textFill>
        </w:rPr>
      </w:pPr>
      <w:r>
        <w:rPr>
          <w:color w:val="000000" w:themeColor="text1"/>
          <w14:textFill>
            <w14:solidFill>
              <w14:schemeClr w14:val="tx1"/>
            </w14:solidFill>
          </w14:textFill>
        </w:rPr>
        <w:t>《国家发展改革委环境保护部印发关于加强长江黄金水道环境污染防控治理的指导意见的通知》（发改环资[2016]370号）指出：优化沿江产业空间布局。落实主体功能区战略，实施差别化的区域产业政策。科学划定岸线功能分区边界，严格分区管理和用途管制。坚持“以水定发展”，统筹规划沿江岸线资源，严控下游高污染、高排放企业向上游转移。除在建项目外，严禁在干流及主要支流岸线1公里范围内新建布局重化工园区，严控在中上游沿岸地区新建石油化工和煤化工项目。严格沿江产业准入。加强沿江各类开发建设规划和规划环评工作，完善空间准入、产业准入和环境准入的负面清单管理模式，建立健全准入标准，从严审批产生有毒有害污染物的新建和扩建项目。强化环评管理，新建、改建、扩建重点行业项目实行主要水污染物排放减量置换，严控新增污染物排放。加强高耗水行业用水定额管理，严格控制高耗水项目建设。</w:t>
      </w:r>
    </w:p>
    <w:p w14:paraId="608CF120">
      <w:pPr>
        <w:ind w:firstLine="520"/>
        <w:rPr>
          <w:color w:val="000000" w:themeColor="text1"/>
          <w14:textFill>
            <w14:solidFill>
              <w14:schemeClr w14:val="tx1"/>
            </w14:solidFill>
          </w14:textFill>
        </w:rPr>
      </w:pPr>
      <w:r>
        <w:rPr>
          <w:color w:val="000000" w:themeColor="text1"/>
          <w14:textFill>
            <w14:solidFill>
              <w14:schemeClr w14:val="tx1"/>
            </w14:solidFill>
          </w14:textFill>
        </w:rPr>
        <w:t>项目不属于石油化工和煤化工项目，不属于高水耗项目。项目建设符合园区规划环评要求。因此，扩建项目符合关于加强长江黄金水道环境污染防控治理的指导意见。</w:t>
      </w:r>
    </w:p>
    <w:p w14:paraId="1A0B4FEA">
      <w:pPr>
        <w:ind w:firstLine="52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）与《重庆市生态环境保护“十四五”规划（2021-2025）》（渝府发[2022]11号）符合性</w:t>
      </w:r>
    </w:p>
    <w:p w14:paraId="3F057E14">
      <w:pPr>
        <w:ind w:firstLine="520"/>
        <w:rPr>
          <w:color w:val="000000" w:themeColor="text1"/>
          <w14:textFill>
            <w14:solidFill>
              <w14:schemeClr w14:val="tx1"/>
            </w14:solidFill>
          </w14:textFill>
        </w:rPr>
      </w:pPr>
      <w:r>
        <w:rPr>
          <w:color w:val="000000" w:themeColor="text1"/>
          <w14:textFill>
            <w14:solidFill>
              <w14:schemeClr w14:val="tx1"/>
            </w14:solidFill>
          </w14:textFill>
        </w:rPr>
        <w:t>根据《重庆市生态环境保护“十四五”规划（2021-2025年）》（渝府发[2022]11号）对比分析可知，项目符合该规划要求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具体见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50C29656">
      <w:pPr>
        <w:ind w:firstLine="0" w:firstLineChars="0"/>
        <w:jc w:val="center"/>
        <w:rPr>
          <w:color w:val="000000" w:themeColor="text1"/>
          <w14:textFill>
            <w14:solidFill>
              <w14:schemeClr w14:val="tx1"/>
            </w14:solidFill>
          </w14:textFill>
        </w:rPr>
      </w:pPr>
      <w:bookmarkStart w:id="128" w:name="_Ref160541952"/>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bookmarkEnd w:id="128"/>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与《重庆市生态环境保护“十四五”规划（2021-2025年）》符合性</w:t>
      </w:r>
    </w:p>
    <w:tbl>
      <w:tblPr>
        <w:tblStyle w:val="8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4776"/>
        <w:gridCol w:w="2094"/>
        <w:gridCol w:w="1379"/>
      </w:tblGrid>
      <w:tr w14:paraId="76FE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40" w:type="pct"/>
            <w:vAlign w:val="center"/>
          </w:tcPr>
          <w:p w14:paraId="540E4F9C">
            <w:pPr>
              <w:pStyle w:val="1535"/>
            </w:pPr>
            <w:r>
              <w:t>序号</w:t>
            </w:r>
          </w:p>
        </w:tc>
        <w:tc>
          <w:tcPr>
            <w:tcW w:w="2698" w:type="pct"/>
            <w:vAlign w:val="center"/>
          </w:tcPr>
          <w:p w14:paraId="441102DE">
            <w:pPr>
              <w:pStyle w:val="1535"/>
            </w:pPr>
            <w:r>
              <w:t>文件要求</w:t>
            </w:r>
          </w:p>
        </w:tc>
        <w:tc>
          <w:tcPr>
            <w:tcW w:w="1183" w:type="pct"/>
            <w:vAlign w:val="center"/>
          </w:tcPr>
          <w:p w14:paraId="5BA7C767">
            <w:pPr>
              <w:pStyle w:val="1535"/>
            </w:pPr>
            <w:r>
              <w:t>项目情况</w:t>
            </w:r>
          </w:p>
        </w:tc>
        <w:tc>
          <w:tcPr>
            <w:tcW w:w="779" w:type="pct"/>
            <w:vAlign w:val="center"/>
          </w:tcPr>
          <w:p w14:paraId="4E99A291">
            <w:pPr>
              <w:pStyle w:val="1535"/>
            </w:pPr>
            <w:r>
              <w:t>符合性</w:t>
            </w:r>
          </w:p>
        </w:tc>
      </w:tr>
      <w:tr w14:paraId="140D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vAlign w:val="center"/>
          </w:tcPr>
          <w:p w14:paraId="1CA5AFD0">
            <w:pPr>
              <w:pStyle w:val="1535"/>
            </w:pPr>
            <w:r>
              <w:t>1</w:t>
            </w:r>
          </w:p>
        </w:tc>
        <w:tc>
          <w:tcPr>
            <w:tcW w:w="2698" w:type="pct"/>
            <w:vAlign w:val="center"/>
          </w:tcPr>
          <w:p w14:paraId="1B56879F">
            <w:pPr>
              <w:pStyle w:val="1535"/>
            </w:pPr>
            <w:r>
              <w:t>对超过污染物排放标准、超过重点污染物排放总量控制指标的企业，依法责令限制生</w:t>
            </w:r>
            <w:r>
              <w:cr/>
            </w:r>
            <w:r>
              <w:t>、停产整治或停业、关闭。</w:t>
            </w:r>
          </w:p>
        </w:tc>
        <w:tc>
          <w:tcPr>
            <w:tcW w:w="1183" w:type="pct"/>
            <w:vAlign w:val="center"/>
          </w:tcPr>
          <w:p w14:paraId="619D960F">
            <w:pPr>
              <w:pStyle w:val="1535"/>
            </w:pPr>
            <w:r>
              <w:t>拟建工程污染物均可达标排放，已建企业未超过总量控制指标。</w:t>
            </w:r>
          </w:p>
        </w:tc>
        <w:tc>
          <w:tcPr>
            <w:tcW w:w="779" w:type="pct"/>
            <w:vAlign w:val="center"/>
          </w:tcPr>
          <w:p w14:paraId="7592993C">
            <w:pPr>
              <w:pStyle w:val="1535"/>
            </w:pPr>
            <w:r>
              <w:t>符合</w:t>
            </w:r>
          </w:p>
        </w:tc>
      </w:tr>
      <w:tr w14:paraId="539D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340" w:type="pct"/>
            <w:vAlign w:val="center"/>
          </w:tcPr>
          <w:p w14:paraId="64FBB921">
            <w:pPr>
              <w:pStyle w:val="1535"/>
            </w:pPr>
            <w:r>
              <w:t>2</w:t>
            </w:r>
          </w:p>
        </w:tc>
        <w:tc>
          <w:tcPr>
            <w:tcW w:w="2698" w:type="pct"/>
            <w:vAlign w:val="center"/>
          </w:tcPr>
          <w:p w14:paraId="27FA2552">
            <w:pPr>
              <w:pStyle w:val="1535"/>
            </w:pPr>
            <w:r>
              <w:t>除在安全生产或者产业布局等方面有特殊要求外，禁止在工业园区外新建工业项目。禁止在工业园区外扩建钢铁、焦化、建材、有色等高污染项目，禁止新建、扩建不符合国家石化、现代煤化工等产业布局规划的项目。</w:t>
            </w:r>
          </w:p>
        </w:tc>
        <w:tc>
          <w:tcPr>
            <w:tcW w:w="1183" w:type="pct"/>
            <w:vAlign w:val="center"/>
          </w:tcPr>
          <w:p w14:paraId="427677B5">
            <w:pPr>
              <w:pStyle w:val="1535"/>
            </w:pPr>
            <w:r>
              <w:t>拟建工程位于西彭工业园区，不属于石化、现代煤化工等项目。</w:t>
            </w:r>
          </w:p>
        </w:tc>
        <w:tc>
          <w:tcPr>
            <w:tcW w:w="779" w:type="pct"/>
            <w:vAlign w:val="center"/>
          </w:tcPr>
          <w:p w14:paraId="55DB2814">
            <w:pPr>
              <w:pStyle w:val="1535"/>
            </w:pPr>
            <w:r>
              <w:t>符合</w:t>
            </w:r>
          </w:p>
        </w:tc>
      </w:tr>
      <w:tr w14:paraId="5165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vAlign w:val="center"/>
          </w:tcPr>
          <w:p w14:paraId="5A3DFC7A">
            <w:pPr>
              <w:pStyle w:val="1535"/>
            </w:pPr>
            <w:r>
              <w:t>3</w:t>
            </w:r>
          </w:p>
        </w:tc>
        <w:tc>
          <w:tcPr>
            <w:tcW w:w="2698" w:type="pct"/>
            <w:vAlign w:val="center"/>
          </w:tcPr>
          <w:p w14:paraId="170BB0B6">
            <w:pPr>
              <w:pStyle w:val="1535"/>
            </w:pPr>
            <w:r>
              <w:t>加强工业园区噪声污染防治，禁止在1类声环境功能区、严格限制在2类声环境功能区审批产生噪声污染的工业项目环评。</w:t>
            </w:r>
          </w:p>
        </w:tc>
        <w:tc>
          <w:tcPr>
            <w:tcW w:w="1183" w:type="pct"/>
            <w:vAlign w:val="center"/>
          </w:tcPr>
          <w:p w14:paraId="3686E82C">
            <w:pPr>
              <w:pStyle w:val="1535"/>
            </w:pPr>
            <w:r>
              <w:t>拟建工程位于西彭工业园区内，不属于1类、2类声环境功能区。</w:t>
            </w:r>
          </w:p>
        </w:tc>
        <w:tc>
          <w:tcPr>
            <w:tcW w:w="779" w:type="pct"/>
            <w:vAlign w:val="center"/>
          </w:tcPr>
          <w:p w14:paraId="7085A058">
            <w:pPr>
              <w:pStyle w:val="1535"/>
            </w:pPr>
            <w:r>
              <w:t>符合</w:t>
            </w:r>
          </w:p>
        </w:tc>
      </w:tr>
      <w:tr w14:paraId="142F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vAlign w:val="center"/>
          </w:tcPr>
          <w:p w14:paraId="36EC97DE">
            <w:pPr>
              <w:pStyle w:val="1535"/>
            </w:pPr>
            <w:r>
              <w:t>4</w:t>
            </w:r>
          </w:p>
        </w:tc>
        <w:tc>
          <w:tcPr>
            <w:tcW w:w="2698" w:type="pct"/>
            <w:vAlign w:val="center"/>
          </w:tcPr>
          <w:p w14:paraId="2D8AEF86">
            <w:pPr>
              <w:pStyle w:val="1535"/>
            </w:pPr>
            <w:r>
              <w:t>持续推进重金属环境风险防控。挖掘减排潜力，推进实施一批重金属减排项目。严格执行建设项目重金属排放“等量替换”或“减量替换”制度，无排放指标替换来源的项目不予审批。全面深化涉铅、镉、铬等重金属排放行业污染排查整治，对纳入整治清单的企业实施限期整改。继续对全市有色金属矿采选业、有色金属冶炼业、铅蓄电池制造业、皮革及其制品业、化学原料及化学制品制造业、电镀行业等重点行业执行重点重金属污染物特别排放限值，督促企业达标排放。</w:t>
            </w:r>
          </w:p>
        </w:tc>
        <w:tc>
          <w:tcPr>
            <w:tcW w:w="1183" w:type="pct"/>
            <w:vAlign w:val="center"/>
          </w:tcPr>
          <w:p w14:paraId="4613B348">
            <w:pPr>
              <w:pStyle w:val="1535"/>
            </w:pPr>
            <w:r>
              <w:t>拟建工程不属于有色金属矿采选业、有色金属冶炼业、铅蓄电池制造业、皮革及其制品业、化学原料及化学制品制造业、电镀行业等重点行业</w:t>
            </w:r>
            <w:r>
              <w:rPr>
                <w:rFonts w:hint="eastAsia"/>
              </w:rPr>
              <w:t>；不排放重金属</w:t>
            </w:r>
            <w:r>
              <w:t>。</w:t>
            </w:r>
          </w:p>
        </w:tc>
        <w:tc>
          <w:tcPr>
            <w:tcW w:w="779" w:type="pct"/>
            <w:vAlign w:val="center"/>
          </w:tcPr>
          <w:p w14:paraId="7CD1B58F">
            <w:pPr>
              <w:pStyle w:val="1535"/>
            </w:pPr>
            <w:r>
              <w:t>符合</w:t>
            </w:r>
          </w:p>
        </w:tc>
      </w:tr>
    </w:tbl>
    <w:p w14:paraId="6DBB64BF">
      <w:pPr>
        <w:ind w:firstLine="52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）与《重庆西彭工业园区规划环境影响报告书》及规划环评审查意见（渝环函〔2023〕439号）符合性</w:t>
      </w:r>
    </w:p>
    <w:p w14:paraId="4914D70B">
      <w:pPr>
        <w:ind w:firstLine="520"/>
        <w:rPr>
          <w:bCs/>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与规划环评生态环境准入清单</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性分析详见下表；</w:t>
      </w:r>
    </w:p>
    <w:p w14:paraId="3F8A8AF3">
      <w:pPr>
        <w:ind w:firstLine="520"/>
        <w:rPr>
          <w:color w:val="000000" w:themeColor="text1"/>
          <w14:textFill>
            <w14:solidFill>
              <w14:schemeClr w14:val="tx1"/>
            </w14:solidFill>
          </w14:textFill>
        </w:rPr>
      </w:pPr>
    </w:p>
    <w:p w14:paraId="410170D5">
      <w:pPr>
        <w:spacing w:before="24" w:after="50" w:line="360" w:lineRule="auto"/>
        <w:ind w:firstLine="197" w:firstLineChars="76"/>
        <w:rPr>
          <w:color w:val="000000" w:themeColor="text1"/>
          <w14:textFill>
            <w14:solidFill>
              <w14:schemeClr w14:val="tx1"/>
            </w14:solidFill>
          </w14:textFill>
        </w:rPr>
        <w:sectPr>
          <w:pgSz w:w="12240" w:h="15840"/>
          <w:pgMar w:top="1440" w:right="1800" w:bottom="1440" w:left="1800" w:header="720" w:footer="720" w:gutter="0"/>
          <w:cols w:space="720" w:num="1"/>
        </w:sectPr>
      </w:pPr>
    </w:p>
    <w:p w14:paraId="6F526C13">
      <w:pPr>
        <w:ind w:firstLine="0" w:firstLineChars="0"/>
        <w:jc w:val="center"/>
        <w:rPr>
          <w:color w:val="000000" w:themeColor="text1"/>
          <w14:textFill>
            <w14:solidFill>
              <w14:schemeClr w14:val="tx1"/>
            </w14:solidFill>
          </w14:textFill>
        </w:rPr>
      </w:pPr>
      <w:bookmarkStart w:id="129" w:name="_Ref160542380"/>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bookmarkEnd w:id="129"/>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项目与生态环境准入清单（摘抄自规划环评文本）符合性分析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7287"/>
        <w:gridCol w:w="4157"/>
        <w:gridCol w:w="1545"/>
      </w:tblGrid>
      <w:tr w14:paraId="5E1B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1210" w:type="dxa"/>
            <w:vAlign w:val="center"/>
          </w:tcPr>
          <w:p w14:paraId="480906C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清单类型</w:t>
            </w:r>
          </w:p>
        </w:tc>
        <w:tc>
          <w:tcPr>
            <w:tcW w:w="7171" w:type="dxa"/>
            <w:vAlign w:val="center"/>
          </w:tcPr>
          <w:p w14:paraId="1D56772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环境准入要求</w:t>
            </w:r>
          </w:p>
        </w:tc>
        <w:tc>
          <w:tcPr>
            <w:tcW w:w="4091" w:type="dxa"/>
            <w:vAlign w:val="center"/>
          </w:tcPr>
          <w:p w14:paraId="19270CF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项目情况</w:t>
            </w:r>
          </w:p>
        </w:tc>
        <w:tc>
          <w:tcPr>
            <w:tcW w:w="1520" w:type="dxa"/>
            <w:vAlign w:val="center"/>
          </w:tcPr>
          <w:p w14:paraId="0A28E667">
            <w:pPr>
              <w:spacing w:line="240" w:lineRule="auto"/>
              <w:ind w:firstLine="0" w:firstLineChars="0"/>
              <w:jc w:val="center"/>
              <w:rPr>
                <w:color w:val="000000" w:themeColor="text1"/>
                <w:spacing w:val="-10"/>
                <w:sz w:val="22"/>
                <w:szCs w:val="22"/>
                <w14:textFill>
                  <w14:solidFill>
                    <w14:schemeClr w14:val="tx1"/>
                  </w14:solidFill>
                </w14:textFill>
              </w:rPr>
            </w:pPr>
            <w:r>
              <w:rPr>
                <w:color w:val="000000" w:themeColor="text1"/>
                <w:spacing w:val="-10"/>
                <w:sz w:val="22"/>
                <w:szCs w:val="22"/>
                <w14:textFill>
                  <w14:solidFill>
                    <w14:schemeClr w14:val="tx1"/>
                  </w14:solidFill>
                </w14:textFill>
              </w:rPr>
              <w:t>符合性分析</w:t>
            </w:r>
          </w:p>
        </w:tc>
      </w:tr>
      <w:tr w14:paraId="3D81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restart"/>
            <w:vAlign w:val="center"/>
          </w:tcPr>
          <w:p w14:paraId="685267D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空间布局约束</w:t>
            </w:r>
          </w:p>
        </w:tc>
        <w:tc>
          <w:tcPr>
            <w:tcW w:w="7171" w:type="dxa"/>
            <w:vAlign w:val="center"/>
          </w:tcPr>
          <w:p w14:paraId="3C67AA62">
            <w:pPr>
              <w:spacing w:line="240" w:lineRule="auto"/>
              <w:ind w:firstLine="0" w:firstLineChars="0"/>
              <w:jc w:val="center"/>
              <w:rPr>
                <w:color w:val="000000" w:themeColor="text1"/>
                <w:spacing w:val="-2"/>
                <w:sz w:val="22"/>
                <w:szCs w:val="22"/>
                <w14:textFill>
                  <w14:solidFill>
                    <w14:schemeClr w14:val="tx1"/>
                  </w14:solidFill>
                </w14:textFill>
              </w:rPr>
            </w:pPr>
            <w:r>
              <w:rPr>
                <w:color w:val="000000" w:themeColor="text1"/>
                <w:spacing w:val="-2"/>
                <w:sz w:val="22"/>
                <w:szCs w:val="22"/>
                <w14:textFill>
                  <w14:solidFill>
                    <w14:schemeClr w14:val="tx1"/>
                  </w14:solidFill>
                </w14:textFill>
              </w:rPr>
              <w:t>西彭组团东北侧科研用地兼一类工业用地（C61-1/01、C61-4/01、C61-5/01、C62-1/01、C62-3/01、C63-1/01、C63-2/01）后续引入项目时应考虑以污染较轻的项目为主，禁止新建涉及喷漆、酸洗、熔炼等异味较大的生产工艺项目</w:t>
            </w:r>
          </w:p>
        </w:tc>
        <w:tc>
          <w:tcPr>
            <w:tcW w:w="4091" w:type="dxa"/>
            <w:vAlign w:val="center"/>
          </w:tcPr>
          <w:p w14:paraId="7000394E">
            <w:pPr>
              <w:spacing w:line="240" w:lineRule="auto"/>
              <w:ind w:firstLine="0" w:firstLineChars="0"/>
              <w:jc w:val="center"/>
              <w:rPr>
                <w:color w:val="000000" w:themeColor="text1"/>
                <w:spacing w:val="-6"/>
                <w:sz w:val="22"/>
                <w:szCs w:val="22"/>
                <w14:textFill>
                  <w14:solidFill>
                    <w14:schemeClr w14:val="tx1"/>
                  </w14:solidFill>
                </w14:textFill>
              </w:rPr>
            </w:pPr>
            <w:r>
              <w:rPr>
                <w:color w:val="000000" w:themeColor="text1"/>
                <w:spacing w:val="-6"/>
                <w:sz w:val="22"/>
                <w:szCs w:val="22"/>
                <w14:textFill>
                  <w14:solidFill>
                    <w14:schemeClr w14:val="tx1"/>
                  </w14:solidFill>
                </w14:textFill>
              </w:rPr>
              <w:t>项目位于</w:t>
            </w:r>
            <w:r>
              <w:rPr>
                <w:rFonts w:hint="eastAsia"/>
                <w:color w:val="000000" w:themeColor="text1"/>
                <w:spacing w:val="-6"/>
                <w:sz w:val="22"/>
                <w:szCs w:val="22"/>
                <w14:textFill>
                  <w14:solidFill>
                    <w14:schemeClr w14:val="tx1"/>
                  </w14:solidFill>
                </w14:textFill>
              </w:rPr>
              <w:t>西彭工业园区D标准分区</w:t>
            </w:r>
            <w:r>
              <w:rPr>
                <w:color w:val="000000" w:themeColor="text1"/>
                <w:spacing w:val="-6"/>
                <w:sz w:val="22"/>
                <w:szCs w:val="22"/>
                <w14:textFill>
                  <w14:solidFill>
                    <w14:schemeClr w14:val="tx1"/>
                  </w14:solidFill>
                </w14:textFill>
              </w:rPr>
              <w:t>，</w:t>
            </w:r>
            <w:r>
              <w:rPr>
                <w:rFonts w:hint="eastAsia"/>
                <w:color w:val="000000" w:themeColor="text1"/>
                <w:spacing w:val="-6"/>
                <w:sz w:val="22"/>
                <w:szCs w:val="22"/>
                <w14:textFill>
                  <w14:solidFill>
                    <w14:schemeClr w14:val="tx1"/>
                  </w14:solidFill>
                </w14:textFill>
              </w:rPr>
              <w:t>不属于</w:t>
            </w:r>
            <w:r>
              <w:rPr>
                <w:color w:val="000000" w:themeColor="text1"/>
                <w:spacing w:val="-2"/>
                <w:sz w:val="22"/>
                <w:szCs w:val="22"/>
                <w14:textFill>
                  <w14:solidFill>
                    <w14:schemeClr w14:val="tx1"/>
                  </w14:solidFill>
                </w14:textFill>
              </w:rPr>
              <w:t>C61-1/01、C61-4/01、C61-5/01、C62-1/01、C62-3/01、C63-1/01、C63-2/01</w:t>
            </w:r>
            <w:r>
              <w:rPr>
                <w:rFonts w:hint="eastAsia"/>
                <w:color w:val="000000" w:themeColor="text1"/>
                <w:spacing w:val="-2"/>
                <w:sz w:val="22"/>
                <w:szCs w:val="22"/>
                <w14:textFill>
                  <w14:solidFill>
                    <w14:schemeClr w14:val="tx1"/>
                  </w14:solidFill>
                </w14:textFill>
              </w:rPr>
              <w:t>地块</w:t>
            </w:r>
            <w:r>
              <w:rPr>
                <w:color w:val="000000" w:themeColor="text1"/>
                <w:spacing w:val="-6"/>
                <w:sz w:val="22"/>
                <w:szCs w:val="22"/>
                <w14:textFill>
                  <w14:solidFill>
                    <w14:schemeClr w14:val="tx1"/>
                  </w14:solidFill>
                </w14:textFill>
              </w:rPr>
              <w:t>。</w:t>
            </w:r>
          </w:p>
        </w:tc>
        <w:tc>
          <w:tcPr>
            <w:tcW w:w="1520" w:type="dxa"/>
            <w:vAlign w:val="center"/>
          </w:tcPr>
          <w:p w14:paraId="53A35F0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7DEC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continue"/>
            <w:vAlign w:val="center"/>
          </w:tcPr>
          <w:p w14:paraId="1D1E2BBD">
            <w:pPr>
              <w:spacing w:line="240" w:lineRule="auto"/>
              <w:ind w:firstLine="0" w:firstLineChars="0"/>
              <w:jc w:val="center"/>
              <w:rPr>
                <w:color w:val="000000" w:themeColor="text1"/>
                <w:sz w:val="22"/>
                <w:szCs w:val="22"/>
                <w14:textFill>
                  <w14:solidFill>
                    <w14:schemeClr w14:val="tx1"/>
                  </w14:solidFill>
                </w14:textFill>
              </w:rPr>
            </w:pPr>
          </w:p>
        </w:tc>
        <w:tc>
          <w:tcPr>
            <w:tcW w:w="7171" w:type="dxa"/>
            <w:vAlign w:val="center"/>
          </w:tcPr>
          <w:p w14:paraId="2980C5A8">
            <w:pPr>
              <w:spacing w:line="240" w:lineRule="auto"/>
              <w:ind w:firstLine="0" w:firstLineChars="0"/>
              <w:jc w:val="center"/>
              <w:rPr>
                <w:color w:val="000000" w:themeColor="text1"/>
                <w:spacing w:val="-2"/>
                <w:sz w:val="22"/>
                <w:szCs w:val="22"/>
                <w14:textFill>
                  <w14:solidFill>
                    <w14:schemeClr w14:val="tx1"/>
                  </w14:solidFill>
                </w14:textFill>
              </w:rPr>
            </w:pPr>
            <w:r>
              <w:rPr>
                <w:color w:val="000000" w:themeColor="text1"/>
                <w:spacing w:val="-2"/>
                <w:sz w:val="22"/>
                <w:szCs w:val="22"/>
                <w14:textFill>
                  <w14:solidFill>
                    <w14:schemeClr w14:val="tx1"/>
                  </w14:solidFill>
                </w14:textFill>
              </w:rPr>
              <w:t>西彭组团临近居住的A31/04、A33/04、A34/04、A30-1-1/06地块在新引入项目时应引入不涉及喷漆、酸洗、熔炼、铸造等异味较大的项目</w:t>
            </w:r>
          </w:p>
        </w:tc>
        <w:tc>
          <w:tcPr>
            <w:tcW w:w="4091" w:type="dxa"/>
            <w:vAlign w:val="center"/>
          </w:tcPr>
          <w:p w14:paraId="4C2B8942">
            <w:pPr>
              <w:spacing w:line="240" w:lineRule="auto"/>
              <w:ind w:firstLine="0" w:firstLineChars="0"/>
              <w:jc w:val="center"/>
              <w:rPr>
                <w:color w:val="000000" w:themeColor="text1"/>
                <w:spacing w:val="-6"/>
                <w:sz w:val="22"/>
                <w:szCs w:val="22"/>
                <w14:textFill>
                  <w14:solidFill>
                    <w14:schemeClr w14:val="tx1"/>
                  </w14:solidFill>
                </w14:textFill>
              </w:rPr>
            </w:pPr>
            <w:r>
              <w:rPr>
                <w:color w:val="000000" w:themeColor="text1"/>
                <w:spacing w:val="-6"/>
                <w:sz w:val="22"/>
                <w:szCs w:val="22"/>
                <w14:textFill>
                  <w14:solidFill>
                    <w14:schemeClr w14:val="tx1"/>
                  </w14:solidFill>
                </w14:textFill>
              </w:rPr>
              <w:t>项目位于</w:t>
            </w:r>
            <w:r>
              <w:rPr>
                <w:rFonts w:hint="eastAsia"/>
                <w:color w:val="000000" w:themeColor="text1"/>
                <w:spacing w:val="-6"/>
                <w:sz w:val="22"/>
                <w:szCs w:val="22"/>
                <w14:textFill>
                  <w14:solidFill>
                    <w14:schemeClr w14:val="tx1"/>
                  </w14:solidFill>
                </w14:textFill>
              </w:rPr>
              <w:t>西彭工业园区D标准分区</w:t>
            </w:r>
            <w:r>
              <w:rPr>
                <w:color w:val="000000" w:themeColor="text1"/>
                <w:spacing w:val="-6"/>
                <w:sz w:val="22"/>
                <w:szCs w:val="22"/>
                <w14:textFill>
                  <w14:solidFill>
                    <w14:schemeClr w14:val="tx1"/>
                  </w14:solidFill>
                </w14:textFill>
              </w:rPr>
              <w:t>，</w:t>
            </w:r>
            <w:r>
              <w:rPr>
                <w:rFonts w:hint="eastAsia"/>
                <w:color w:val="000000" w:themeColor="text1"/>
                <w:spacing w:val="-6"/>
                <w:sz w:val="22"/>
                <w:szCs w:val="22"/>
                <w14:textFill>
                  <w14:solidFill>
                    <w14:schemeClr w14:val="tx1"/>
                  </w14:solidFill>
                </w14:textFill>
              </w:rPr>
              <w:t>不属于</w:t>
            </w:r>
            <w:r>
              <w:rPr>
                <w:color w:val="000000" w:themeColor="text1"/>
                <w:spacing w:val="-2"/>
                <w:sz w:val="22"/>
                <w:szCs w:val="22"/>
                <w14:textFill>
                  <w14:solidFill>
                    <w14:schemeClr w14:val="tx1"/>
                  </w14:solidFill>
                </w14:textFill>
              </w:rPr>
              <w:t>A31/04、A33/04、A34/04、A30-1-1/06地块</w:t>
            </w:r>
            <w:r>
              <w:rPr>
                <w:color w:val="000000" w:themeColor="text1"/>
                <w:spacing w:val="-6"/>
                <w:sz w:val="22"/>
                <w:szCs w:val="22"/>
                <w14:textFill>
                  <w14:solidFill>
                    <w14:schemeClr w14:val="tx1"/>
                  </w14:solidFill>
                </w14:textFill>
              </w:rPr>
              <w:t>。</w:t>
            </w:r>
          </w:p>
        </w:tc>
        <w:tc>
          <w:tcPr>
            <w:tcW w:w="1520" w:type="dxa"/>
            <w:vAlign w:val="center"/>
          </w:tcPr>
          <w:p w14:paraId="3D3D90E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7883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continue"/>
            <w:vAlign w:val="center"/>
          </w:tcPr>
          <w:p w14:paraId="7F59536A">
            <w:pPr>
              <w:spacing w:line="240" w:lineRule="auto"/>
              <w:ind w:firstLine="0" w:firstLineChars="0"/>
              <w:jc w:val="center"/>
              <w:rPr>
                <w:color w:val="000000" w:themeColor="text1"/>
                <w:sz w:val="22"/>
                <w:szCs w:val="22"/>
                <w14:textFill>
                  <w14:solidFill>
                    <w14:schemeClr w14:val="tx1"/>
                  </w14:solidFill>
                </w14:textFill>
              </w:rPr>
            </w:pPr>
          </w:p>
        </w:tc>
        <w:tc>
          <w:tcPr>
            <w:tcW w:w="7171" w:type="dxa"/>
            <w:vAlign w:val="center"/>
          </w:tcPr>
          <w:p w14:paraId="20E1F7E1">
            <w:pPr>
              <w:spacing w:line="240" w:lineRule="auto"/>
              <w:ind w:firstLine="0" w:firstLineChars="0"/>
              <w:jc w:val="center"/>
              <w:rPr>
                <w:color w:val="000000" w:themeColor="text1"/>
                <w:spacing w:val="-2"/>
                <w:sz w:val="22"/>
                <w:szCs w:val="22"/>
                <w14:textFill>
                  <w14:solidFill>
                    <w14:schemeClr w14:val="tx1"/>
                  </w14:solidFill>
                </w14:textFill>
              </w:rPr>
            </w:pPr>
            <w:r>
              <w:rPr>
                <w:color w:val="000000" w:themeColor="text1"/>
                <w:spacing w:val="-2"/>
                <w:sz w:val="22"/>
                <w:szCs w:val="22"/>
                <w14:textFill>
                  <w14:solidFill>
                    <w14:schemeClr w14:val="tx1"/>
                  </w14:solidFill>
                </w14:textFill>
              </w:rPr>
              <w:t>陶家组团规划的工业用地（080-04/01、080-01/04、L1-02-2/03、L1-02-1/03、L4-03/01、L9-01/02、L27-02-1/04、J41-9/01、J41-10/01）禁止引入涉及喷漆、熔炼、铸造等异味较大的生产工艺项目</w:t>
            </w:r>
            <w:r>
              <w:rPr>
                <w:rFonts w:hint="eastAsia"/>
                <w:color w:val="000000" w:themeColor="text1"/>
                <w:spacing w:val="-2"/>
                <w:sz w:val="22"/>
                <w:szCs w:val="22"/>
                <w14:textFill>
                  <w14:solidFill>
                    <w14:schemeClr w14:val="tx1"/>
                  </w14:solidFill>
                </w14:textFill>
              </w:rPr>
              <w:t>。</w:t>
            </w:r>
          </w:p>
        </w:tc>
        <w:tc>
          <w:tcPr>
            <w:tcW w:w="4091" w:type="dxa"/>
            <w:vAlign w:val="center"/>
          </w:tcPr>
          <w:p w14:paraId="17EF3BA5">
            <w:pPr>
              <w:spacing w:line="240" w:lineRule="auto"/>
              <w:ind w:firstLine="0" w:firstLineChars="0"/>
              <w:jc w:val="center"/>
              <w:rPr>
                <w:color w:val="000000" w:themeColor="text1"/>
                <w:spacing w:val="-6"/>
                <w:sz w:val="22"/>
                <w:szCs w:val="22"/>
                <w14:textFill>
                  <w14:solidFill>
                    <w14:schemeClr w14:val="tx1"/>
                  </w14:solidFill>
                </w14:textFill>
              </w:rPr>
            </w:pPr>
            <w:r>
              <w:rPr>
                <w:rFonts w:hint="eastAsia"/>
                <w:color w:val="000000" w:themeColor="text1"/>
                <w:spacing w:val="-6"/>
                <w:sz w:val="22"/>
                <w:szCs w:val="22"/>
                <w14:textFill>
                  <w14:solidFill>
                    <w14:schemeClr w14:val="tx1"/>
                  </w14:solidFill>
                </w14:textFill>
              </w:rPr>
              <w:t>项目位于西彭组团，不涉及该项。</w:t>
            </w:r>
          </w:p>
        </w:tc>
        <w:tc>
          <w:tcPr>
            <w:tcW w:w="1520" w:type="dxa"/>
            <w:vAlign w:val="center"/>
          </w:tcPr>
          <w:p w14:paraId="4FCFF8A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69F5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restart"/>
            <w:vAlign w:val="center"/>
          </w:tcPr>
          <w:p w14:paraId="664A8CA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污染物排放管控</w:t>
            </w:r>
          </w:p>
        </w:tc>
        <w:tc>
          <w:tcPr>
            <w:tcW w:w="7171" w:type="dxa"/>
            <w:vAlign w:val="center"/>
          </w:tcPr>
          <w:p w14:paraId="55033E48">
            <w:pPr>
              <w:spacing w:line="240" w:lineRule="auto"/>
              <w:ind w:firstLine="0" w:firstLineChars="0"/>
              <w:jc w:val="center"/>
              <w:rPr>
                <w:color w:val="000000" w:themeColor="text1"/>
                <w:spacing w:val="-2"/>
                <w:sz w:val="22"/>
                <w:szCs w:val="22"/>
                <w14:textFill>
                  <w14:solidFill>
                    <w14:schemeClr w14:val="tx1"/>
                  </w14:solidFill>
                </w14:textFill>
              </w:rPr>
            </w:pPr>
            <w:r>
              <w:rPr>
                <w:rFonts w:hint="eastAsia"/>
                <w:color w:val="000000" w:themeColor="text1"/>
                <w:spacing w:val="-2"/>
                <w:sz w:val="22"/>
                <w:szCs w:val="22"/>
                <w14:textFill>
                  <w14:solidFill>
                    <w14:schemeClr w14:val="tx1"/>
                  </w14:solidFill>
                </w14:textFill>
              </w:rPr>
              <w:t>规划区范围内污染物排放总量不得突破本次规划环评确定的污染物排放总量限值</w:t>
            </w:r>
          </w:p>
        </w:tc>
        <w:tc>
          <w:tcPr>
            <w:tcW w:w="4091" w:type="dxa"/>
            <w:vAlign w:val="center"/>
          </w:tcPr>
          <w:p w14:paraId="787938E7">
            <w:pPr>
              <w:spacing w:line="240" w:lineRule="auto"/>
              <w:ind w:firstLine="0" w:firstLineChars="0"/>
              <w:jc w:val="center"/>
              <w:rPr>
                <w:color w:val="000000" w:themeColor="text1"/>
                <w:spacing w:val="-6"/>
                <w:sz w:val="22"/>
                <w:szCs w:val="22"/>
                <w14:textFill>
                  <w14:solidFill>
                    <w14:schemeClr w14:val="tx1"/>
                  </w14:solidFill>
                </w14:textFill>
              </w:rPr>
            </w:pPr>
            <w:r>
              <w:rPr>
                <w:rFonts w:hint="eastAsia"/>
                <w:color w:val="000000" w:themeColor="text1"/>
                <w:spacing w:val="-6"/>
                <w:sz w:val="22"/>
                <w:szCs w:val="22"/>
                <w14:textFill>
                  <w14:solidFill>
                    <w14:schemeClr w14:val="tx1"/>
                  </w14:solidFill>
                </w14:textFill>
              </w:rPr>
              <w:t>项目总量未突破</w:t>
            </w:r>
            <w:r>
              <w:rPr>
                <w:rFonts w:hint="eastAsia"/>
                <w:color w:val="000000" w:themeColor="text1"/>
                <w:spacing w:val="-2"/>
                <w:sz w:val="22"/>
                <w:szCs w:val="22"/>
                <w14:textFill>
                  <w14:solidFill>
                    <w14:schemeClr w14:val="tx1"/>
                  </w14:solidFill>
                </w14:textFill>
              </w:rPr>
              <w:t>本次规划环评确定的污染物排放总量限值。</w:t>
            </w:r>
          </w:p>
        </w:tc>
        <w:tc>
          <w:tcPr>
            <w:tcW w:w="1520" w:type="dxa"/>
            <w:vAlign w:val="center"/>
          </w:tcPr>
          <w:p w14:paraId="5D88F39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0635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continue"/>
            <w:vAlign w:val="center"/>
          </w:tcPr>
          <w:p w14:paraId="7ADC7DCC">
            <w:pPr>
              <w:spacing w:line="240" w:lineRule="auto"/>
              <w:ind w:firstLine="0" w:firstLineChars="0"/>
              <w:jc w:val="center"/>
              <w:rPr>
                <w:color w:val="000000" w:themeColor="text1"/>
                <w:sz w:val="22"/>
                <w:szCs w:val="22"/>
                <w14:textFill>
                  <w14:solidFill>
                    <w14:schemeClr w14:val="tx1"/>
                  </w14:solidFill>
                </w14:textFill>
              </w:rPr>
            </w:pPr>
          </w:p>
        </w:tc>
        <w:tc>
          <w:tcPr>
            <w:tcW w:w="7171" w:type="dxa"/>
            <w:vAlign w:val="center"/>
          </w:tcPr>
          <w:p w14:paraId="77D30533">
            <w:pPr>
              <w:spacing w:line="240" w:lineRule="auto"/>
              <w:ind w:firstLine="0" w:firstLineChars="0"/>
              <w:jc w:val="center"/>
              <w:rPr>
                <w:color w:val="000000" w:themeColor="text1"/>
                <w:spacing w:val="-2"/>
                <w:sz w:val="22"/>
                <w:szCs w:val="22"/>
                <w14:textFill>
                  <w14:solidFill>
                    <w14:schemeClr w14:val="tx1"/>
                  </w14:solidFill>
                </w14:textFill>
              </w:rPr>
            </w:pPr>
            <w:r>
              <w:rPr>
                <w:color w:val="000000" w:themeColor="text1"/>
                <w:spacing w:val="-2"/>
                <w:sz w:val="22"/>
                <w:szCs w:val="22"/>
                <w14:textFill>
                  <w14:solidFill>
                    <w14:schemeClr w14:val="tx1"/>
                  </w14:solidFill>
                </w14:textFill>
              </w:rPr>
              <w:t>禁止新建、扩建排放废水</w:t>
            </w:r>
            <w:r>
              <w:rPr>
                <w:rFonts w:hint="eastAsia"/>
                <w:color w:val="000000" w:themeColor="text1"/>
                <w:spacing w:val="-2"/>
                <w:sz w:val="22"/>
                <w:szCs w:val="22"/>
                <w14:textFill>
                  <w14:solidFill>
                    <w14:schemeClr w14:val="tx1"/>
                  </w14:solidFill>
                </w14:textFill>
              </w:rPr>
              <w:t>含有五类</w:t>
            </w:r>
            <w:r>
              <w:rPr>
                <w:color w:val="000000" w:themeColor="text1"/>
                <w:spacing w:val="-2"/>
                <w:sz w:val="22"/>
                <w:szCs w:val="22"/>
                <w14:textFill>
                  <w14:solidFill>
                    <w14:schemeClr w14:val="tx1"/>
                  </w14:solidFill>
                </w14:textFill>
              </w:rPr>
              <w:t>重金属（铬、镉、汞、砷、铅）、剧毒物质和持久性有机污染物的工业项目</w:t>
            </w:r>
          </w:p>
        </w:tc>
        <w:tc>
          <w:tcPr>
            <w:tcW w:w="4091" w:type="dxa"/>
            <w:vAlign w:val="center"/>
          </w:tcPr>
          <w:p w14:paraId="757B6CBC">
            <w:pPr>
              <w:spacing w:line="240" w:lineRule="auto"/>
              <w:ind w:firstLine="0" w:firstLineChars="0"/>
              <w:jc w:val="center"/>
              <w:rPr>
                <w:color w:val="000000" w:themeColor="text1"/>
                <w:spacing w:val="-6"/>
                <w:sz w:val="22"/>
                <w:szCs w:val="22"/>
                <w14:textFill>
                  <w14:solidFill>
                    <w14:schemeClr w14:val="tx1"/>
                  </w14:solidFill>
                </w14:textFill>
              </w:rPr>
            </w:pPr>
            <w:r>
              <w:rPr>
                <w:rFonts w:hint="eastAsia"/>
                <w:color w:val="000000" w:themeColor="text1"/>
                <w:spacing w:val="-6"/>
                <w:sz w:val="22"/>
                <w:szCs w:val="22"/>
                <w14:textFill>
                  <w14:solidFill>
                    <w14:schemeClr w14:val="tx1"/>
                  </w14:solidFill>
                </w14:textFill>
              </w:rPr>
              <w:t>项目不涉及</w:t>
            </w:r>
            <w:r>
              <w:rPr>
                <w:color w:val="000000" w:themeColor="text1"/>
                <w:spacing w:val="-2"/>
                <w:sz w:val="22"/>
                <w:szCs w:val="22"/>
                <w14:textFill>
                  <w14:solidFill>
                    <w14:schemeClr w14:val="tx1"/>
                  </w14:solidFill>
                </w14:textFill>
              </w:rPr>
              <w:t>排放废水</w:t>
            </w:r>
            <w:r>
              <w:rPr>
                <w:rFonts w:hint="eastAsia"/>
                <w:color w:val="000000" w:themeColor="text1"/>
                <w:spacing w:val="-2"/>
                <w:sz w:val="22"/>
                <w:szCs w:val="22"/>
                <w14:textFill>
                  <w14:solidFill>
                    <w14:schemeClr w14:val="tx1"/>
                  </w14:solidFill>
                </w14:textFill>
              </w:rPr>
              <w:t>含有五类</w:t>
            </w:r>
            <w:r>
              <w:rPr>
                <w:color w:val="000000" w:themeColor="text1"/>
                <w:spacing w:val="-2"/>
                <w:sz w:val="22"/>
                <w:szCs w:val="22"/>
                <w14:textFill>
                  <w14:solidFill>
                    <w14:schemeClr w14:val="tx1"/>
                  </w14:solidFill>
                </w14:textFill>
              </w:rPr>
              <w:t>重金属（铬、镉、汞、砷、铅）、剧毒物质和持久性有机污染物</w:t>
            </w:r>
          </w:p>
        </w:tc>
        <w:tc>
          <w:tcPr>
            <w:tcW w:w="1520" w:type="dxa"/>
            <w:vAlign w:val="center"/>
          </w:tcPr>
          <w:p w14:paraId="1B07683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7B07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continue"/>
            <w:vAlign w:val="center"/>
          </w:tcPr>
          <w:p w14:paraId="453551AF">
            <w:pPr>
              <w:spacing w:line="240" w:lineRule="auto"/>
              <w:ind w:firstLine="0" w:firstLineChars="0"/>
              <w:jc w:val="center"/>
              <w:rPr>
                <w:color w:val="000000" w:themeColor="text1"/>
                <w:sz w:val="22"/>
                <w:szCs w:val="22"/>
                <w14:textFill>
                  <w14:solidFill>
                    <w14:schemeClr w14:val="tx1"/>
                  </w14:solidFill>
                </w14:textFill>
              </w:rPr>
            </w:pPr>
          </w:p>
        </w:tc>
        <w:tc>
          <w:tcPr>
            <w:tcW w:w="7171" w:type="dxa"/>
            <w:vAlign w:val="center"/>
          </w:tcPr>
          <w:p w14:paraId="298B6F2E">
            <w:pPr>
              <w:spacing w:line="240" w:lineRule="auto"/>
              <w:ind w:firstLine="0" w:firstLineChars="0"/>
              <w:jc w:val="center"/>
              <w:rPr>
                <w:color w:val="000000" w:themeColor="text1"/>
                <w:spacing w:val="-2"/>
                <w:sz w:val="22"/>
                <w:szCs w:val="22"/>
                <w14:textFill>
                  <w14:solidFill>
                    <w14:schemeClr w14:val="tx1"/>
                  </w14:solidFill>
                </w14:textFill>
              </w:rPr>
            </w:pPr>
            <w:r>
              <w:rPr>
                <w:rFonts w:hint="eastAsia"/>
                <w:color w:val="000000" w:themeColor="text1"/>
                <w:spacing w:val="-2"/>
                <w:sz w:val="22"/>
                <w:szCs w:val="22"/>
                <w14:textFill>
                  <w14:solidFill>
                    <w14:schemeClr w14:val="tx1"/>
                  </w14:solidFill>
                </w14:textFill>
              </w:rPr>
              <w:t>陶家组团范围内重庆奇爽实业（集团）有限公司不再扩大用地规模、不新增污染物排放</w:t>
            </w:r>
          </w:p>
        </w:tc>
        <w:tc>
          <w:tcPr>
            <w:tcW w:w="4091" w:type="dxa"/>
            <w:vAlign w:val="center"/>
          </w:tcPr>
          <w:p w14:paraId="653511EC">
            <w:pPr>
              <w:spacing w:line="240" w:lineRule="auto"/>
              <w:ind w:firstLine="0" w:firstLineChars="0"/>
              <w:jc w:val="center"/>
              <w:rPr>
                <w:color w:val="000000" w:themeColor="text1"/>
                <w:spacing w:val="-6"/>
                <w:sz w:val="22"/>
                <w:szCs w:val="22"/>
                <w14:textFill>
                  <w14:solidFill>
                    <w14:schemeClr w14:val="tx1"/>
                  </w14:solidFill>
                </w14:textFill>
              </w:rPr>
            </w:pPr>
            <w:r>
              <w:rPr>
                <w:rFonts w:hint="eastAsia"/>
                <w:color w:val="000000" w:themeColor="text1"/>
                <w:spacing w:val="-6"/>
                <w:sz w:val="22"/>
                <w:szCs w:val="22"/>
                <w14:textFill>
                  <w14:solidFill>
                    <w14:schemeClr w14:val="tx1"/>
                  </w14:solidFill>
                </w14:textFill>
              </w:rPr>
              <w:t>项目位于西彭组团，不涉及该项目。</w:t>
            </w:r>
          </w:p>
        </w:tc>
        <w:tc>
          <w:tcPr>
            <w:tcW w:w="1520" w:type="dxa"/>
            <w:vAlign w:val="center"/>
          </w:tcPr>
          <w:p w14:paraId="3FFD7F4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5DCF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continue"/>
            <w:vAlign w:val="center"/>
          </w:tcPr>
          <w:p w14:paraId="69A14C5E">
            <w:pPr>
              <w:spacing w:line="240" w:lineRule="auto"/>
              <w:ind w:firstLine="0" w:firstLineChars="0"/>
              <w:jc w:val="center"/>
              <w:rPr>
                <w:color w:val="000000" w:themeColor="text1"/>
                <w:sz w:val="22"/>
                <w:szCs w:val="22"/>
                <w14:textFill>
                  <w14:solidFill>
                    <w14:schemeClr w14:val="tx1"/>
                  </w14:solidFill>
                </w14:textFill>
              </w:rPr>
            </w:pPr>
          </w:p>
        </w:tc>
        <w:tc>
          <w:tcPr>
            <w:tcW w:w="7171" w:type="dxa"/>
            <w:vAlign w:val="center"/>
          </w:tcPr>
          <w:p w14:paraId="6BFB92BB">
            <w:pPr>
              <w:spacing w:line="240" w:lineRule="auto"/>
              <w:ind w:firstLine="0" w:firstLineChars="0"/>
              <w:jc w:val="center"/>
              <w:rPr>
                <w:color w:val="000000" w:themeColor="text1"/>
                <w:spacing w:val="-2"/>
                <w:sz w:val="22"/>
                <w:szCs w:val="22"/>
                <w14:textFill>
                  <w14:solidFill>
                    <w14:schemeClr w14:val="tx1"/>
                  </w14:solidFill>
                </w14:textFill>
              </w:rPr>
            </w:pPr>
            <w:r>
              <w:rPr>
                <w:rFonts w:hint="eastAsia"/>
                <w:color w:val="000000" w:themeColor="text1"/>
                <w:spacing w:val="-2"/>
                <w:sz w:val="22"/>
                <w:szCs w:val="22"/>
                <w14:textFill>
                  <w14:solidFill>
                    <w14:schemeClr w14:val="tx1"/>
                  </w14:solidFill>
                </w14:textFill>
              </w:rPr>
              <w:t>铜罐驿组团范围内红蜻蜓（重庆）植物油脂有限公司、重庆潼川印务有限责任公司、重庆小可食品有限公司、重庆豆奇食品有限公司不再扩大用地规模、不新增污染物排放</w:t>
            </w:r>
          </w:p>
        </w:tc>
        <w:tc>
          <w:tcPr>
            <w:tcW w:w="4091" w:type="dxa"/>
            <w:vAlign w:val="center"/>
          </w:tcPr>
          <w:p w14:paraId="2D38EEF2">
            <w:pPr>
              <w:spacing w:line="240" w:lineRule="auto"/>
              <w:ind w:firstLine="0" w:firstLineChars="0"/>
              <w:jc w:val="center"/>
              <w:rPr>
                <w:color w:val="000000" w:themeColor="text1"/>
                <w:spacing w:val="-6"/>
                <w:sz w:val="22"/>
                <w:szCs w:val="22"/>
                <w14:textFill>
                  <w14:solidFill>
                    <w14:schemeClr w14:val="tx1"/>
                  </w14:solidFill>
                </w14:textFill>
              </w:rPr>
            </w:pPr>
            <w:r>
              <w:rPr>
                <w:rFonts w:hint="eastAsia"/>
                <w:color w:val="000000" w:themeColor="text1"/>
                <w:spacing w:val="-6"/>
                <w:sz w:val="22"/>
                <w:szCs w:val="22"/>
                <w14:textFill>
                  <w14:solidFill>
                    <w14:schemeClr w14:val="tx1"/>
                  </w14:solidFill>
                </w14:textFill>
              </w:rPr>
              <w:t>项目位于西彭组团，不涉及该项目。</w:t>
            </w:r>
          </w:p>
        </w:tc>
        <w:tc>
          <w:tcPr>
            <w:tcW w:w="1520" w:type="dxa"/>
            <w:vAlign w:val="center"/>
          </w:tcPr>
          <w:p w14:paraId="7C3379A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013A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restart"/>
            <w:vAlign w:val="center"/>
          </w:tcPr>
          <w:p w14:paraId="08B01A9D">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环境</w:t>
            </w:r>
            <w:r>
              <w:rPr>
                <w:color w:val="000000" w:themeColor="text1"/>
                <w:sz w:val="22"/>
                <w:szCs w:val="22"/>
                <w14:textFill>
                  <w14:solidFill>
                    <w14:schemeClr w14:val="tx1"/>
                  </w14:solidFill>
                </w14:textFill>
              </w:rPr>
              <w:t>风险防控</w:t>
            </w:r>
          </w:p>
        </w:tc>
        <w:tc>
          <w:tcPr>
            <w:tcW w:w="7171" w:type="dxa"/>
            <w:vAlign w:val="center"/>
          </w:tcPr>
          <w:p w14:paraId="66F99F8C">
            <w:pPr>
              <w:spacing w:line="240" w:lineRule="auto"/>
              <w:ind w:firstLine="0" w:firstLineChars="0"/>
              <w:jc w:val="center"/>
              <w:rPr>
                <w:color w:val="000000" w:themeColor="text1"/>
                <w:spacing w:val="-2"/>
                <w:sz w:val="22"/>
                <w:szCs w:val="22"/>
                <w14:textFill>
                  <w14:solidFill>
                    <w14:schemeClr w14:val="tx1"/>
                  </w14:solidFill>
                </w14:textFill>
              </w:rPr>
            </w:pPr>
            <w:r>
              <w:rPr>
                <w:rFonts w:hint="eastAsia"/>
                <w:color w:val="000000" w:themeColor="text1"/>
                <w:spacing w:val="-2"/>
                <w:sz w:val="22"/>
                <w:szCs w:val="22"/>
                <w14:textFill>
                  <w14:solidFill>
                    <w14:schemeClr w14:val="tx1"/>
                  </w14:solidFill>
                </w14:textFill>
              </w:rPr>
              <w:t>西彭组团和铜罐驿组团沿江1km范围内规划仓储用地（A72-1/04、A90-1/04、A88/02、A87-1/03、A101/01、A99/01、A102/01、A104/01、A103/01、A105/01、F40-1/02、F41-1/01地块）禁止新引入从事危险化学品储存、运输的仓储物流项目</w:t>
            </w:r>
          </w:p>
        </w:tc>
        <w:tc>
          <w:tcPr>
            <w:tcW w:w="4091" w:type="dxa"/>
            <w:vAlign w:val="center"/>
          </w:tcPr>
          <w:p w14:paraId="116AA5A3">
            <w:pPr>
              <w:spacing w:line="240" w:lineRule="auto"/>
              <w:ind w:firstLine="0" w:firstLineChars="0"/>
              <w:jc w:val="center"/>
              <w:rPr>
                <w:color w:val="000000" w:themeColor="text1"/>
                <w:spacing w:val="-6"/>
                <w:sz w:val="22"/>
                <w:szCs w:val="22"/>
                <w14:textFill>
                  <w14:solidFill>
                    <w14:schemeClr w14:val="tx1"/>
                  </w14:solidFill>
                </w14:textFill>
              </w:rPr>
            </w:pPr>
            <w:r>
              <w:rPr>
                <w:rFonts w:hint="eastAsia"/>
                <w:color w:val="000000" w:themeColor="text1"/>
                <w:sz w:val="21"/>
                <w14:textFill>
                  <w14:solidFill>
                    <w14:schemeClr w14:val="tx1"/>
                  </w14:solidFill>
                </w14:textFill>
              </w:rPr>
              <w:t>项目位于西彭工业园区D标准分区，规划为工业用地，不在上述地块范围内。</w:t>
            </w:r>
          </w:p>
        </w:tc>
        <w:tc>
          <w:tcPr>
            <w:tcW w:w="1520" w:type="dxa"/>
            <w:vAlign w:val="center"/>
          </w:tcPr>
          <w:p w14:paraId="436127A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2277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continue"/>
            <w:vAlign w:val="center"/>
          </w:tcPr>
          <w:p w14:paraId="45C14FD0">
            <w:pPr>
              <w:spacing w:line="240" w:lineRule="auto"/>
              <w:ind w:firstLine="0" w:firstLineChars="0"/>
              <w:jc w:val="center"/>
              <w:rPr>
                <w:color w:val="000000" w:themeColor="text1"/>
                <w:sz w:val="22"/>
                <w:szCs w:val="22"/>
                <w14:textFill>
                  <w14:solidFill>
                    <w14:schemeClr w14:val="tx1"/>
                  </w14:solidFill>
                </w14:textFill>
              </w:rPr>
            </w:pPr>
          </w:p>
        </w:tc>
        <w:tc>
          <w:tcPr>
            <w:tcW w:w="7171" w:type="dxa"/>
            <w:vAlign w:val="center"/>
          </w:tcPr>
          <w:p w14:paraId="241FA779">
            <w:pPr>
              <w:spacing w:line="240" w:lineRule="auto"/>
              <w:ind w:firstLine="0" w:firstLineChars="0"/>
              <w:jc w:val="center"/>
              <w:rPr>
                <w:color w:val="000000" w:themeColor="text1"/>
                <w:spacing w:val="-2"/>
                <w:sz w:val="22"/>
                <w:szCs w:val="22"/>
                <w14:textFill>
                  <w14:solidFill>
                    <w14:schemeClr w14:val="tx1"/>
                  </w14:solidFill>
                </w14:textFill>
              </w:rPr>
            </w:pPr>
            <w:r>
              <w:rPr>
                <w:rFonts w:hint="eastAsia"/>
                <w:color w:val="000000" w:themeColor="text1"/>
                <w:spacing w:val="-2"/>
                <w:sz w:val="22"/>
                <w:szCs w:val="22"/>
                <w14:textFill>
                  <w14:solidFill>
                    <w14:schemeClr w14:val="tx1"/>
                  </w14:solidFill>
                </w14:textFill>
              </w:rPr>
              <w:t>临长江道路禁止规划运输危险化学品及危险废物路线</w:t>
            </w:r>
          </w:p>
        </w:tc>
        <w:tc>
          <w:tcPr>
            <w:tcW w:w="4091" w:type="dxa"/>
            <w:vAlign w:val="center"/>
          </w:tcPr>
          <w:p w14:paraId="6D6881C7">
            <w:pPr>
              <w:spacing w:line="240" w:lineRule="auto"/>
              <w:ind w:firstLine="0" w:firstLineChars="0"/>
              <w:jc w:val="center"/>
              <w:rPr>
                <w:color w:val="000000" w:themeColor="text1"/>
                <w:spacing w:val="-6"/>
                <w:sz w:val="22"/>
                <w:szCs w:val="22"/>
                <w14:textFill>
                  <w14:solidFill>
                    <w14:schemeClr w14:val="tx1"/>
                  </w14:solidFill>
                </w14:textFill>
              </w:rPr>
            </w:pPr>
            <w:r>
              <w:rPr>
                <w:rFonts w:hint="eastAsia"/>
                <w:color w:val="000000" w:themeColor="text1"/>
                <w:spacing w:val="-6"/>
                <w:sz w:val="22"/>
                <w:szCs w:val="22"/>
                <w14:textFill>
                  <w14:solidFill>
                    <w14:schemeClr w14:val="tx1"/>
                  </w14:solidFill>
                </w14:textFill>
              </w:rPr>
              <w:t>不涉及。</w:t>
            </w:r>
          </w:p>
        </w:tc>
        <w:tc>
          <w:tcPr>
            <w:tcW w:w="1520" w:type="dxa"/>
            <w:vAlign w:val="center"/>
          </w:tcPr>
          <w:p w14:paraId="5D47B1A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58BF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Merge w:val="continue"/>
            <w:vAlign w:val="center"/>
          </w:tcPr>
          <w:p w14:paraId="6869196A">
            <w:pPr>
              <w:spacing w:line="240" w:lineRule="auto"/>
              <w:ind w:firstLine="0" w:firstLineChars="0"/>
              <w:jc w:val="center"/>
              <w:rPr>
                <w:color w:val="000000" w:themeColor="text1"/>
                <w:sz w:val="22"/>
                <w:szCs w:val="22"/>
                <w14:textFill>
                  <w14:solidFill>
                    <w14:schemeClr w14:val="tx1"/>
                  </w14:solidFill>
                </w14:textFill>
              </w:rPr>
            </w:pPr>
          </w:p>
        </w:tc>
        <w:tc>
          <w:tcPr>
            <w:tcW w:w="7171" w:type="dxa"/>
            <w:vAlign w:val="center"/>
          </w:tcPr>
          <w:p w14:paraId="2300F6F7">
            <w:pPr>
              <w:spacing w:line="240" w:lineRule="auto"/>
              <w:ind w:firstLine="0" w:firstLineChars="0"/>
              <w:jc w:val="center"/>
              <w:rPr>
                <w:color w:val="000000" w:themeColor="text1"/>
                <w:spacing w:val="-2"/>
                <w:sz w:val="22"/>
                <w:szCs w:val="22"/>
                <w14:textFill>
                  <w14:solidFill>
                    <w14:schemeClr w14:val="tx1"/>
                  </w14:solidFill>
                </w14:textFill>
              </w:rPr>
            </w:pPr>
            <w:r>
              <w:rPr>
                <w:color w:val="000000" w:themeColor="text1"/>
                <w:spacing w:val="-2"/>
                <w:sz w:val="22"/>
                <w:szCs w:val="22"/>
                <w14:textFill>
                  <w14:solidFill>
                    <w14:schemeClr w14:val="tx1"/>
                  </w14:solidFill>
                </w14:textFill>
              </w:rPr>
              <w:t>禁止</w:t>
            </w:r>
            <w:r>
              <w:rPr>
                <w:rFonts w:hint="eastAsia"/>
                <w:color w:val="000000" w:themeColor="text1"/>
                <w:spacing w:val="-2"/>
                <w:sz w:val="22"/>
                <w:szCs w:val="22"/>
                <w14:textFill>
                  <w14:solidFill>
                    <w14:schemeClr w14:val="tx1"/>
                  </w14:solidFill>
                </w14:textFill>
              </w:rPr>
              <w:t>新建、扩建</w:t>
            </w:r>
            <w:r>
              <w:rPr>
                <w:color w:val="000000" w:themeColor="text1"/>
                <w:spacing w:val="-2"/>
                <w:sz w:val="22"/>
                <w:szCs w:val="22"/>
                <w14:textFill>
                  <w14:solidFill>
                    <w14:schemeClr w14:val="tx1"/>
                  </w14:solidFill>
                </w14:textFill>
              </w:rPr>
              <w:t>化工项目</w:t>
            </w:r>
          </w:p>
        </w:tc>
        <w:tc>
          <w:tcPr>
            <w:tcW w:w="4091" w:type="dxa"/>
            <w:vAlign w:val="center"/>
          </w:tcPr>
          <w:p w14:paraId="770F1414">
            <w:pPr>
              <w:spacing w:line="240" w:lineRule="auto"/>
              <w:ind w:firstLine="0" w:firstLineChars="0"/>
              <w:jc w:val="center"/>
              <w:rPr>
                <w:color w:val="000000" w:themeColor="text1"/>
                <w:spacing w:val="-6"/>
                <w:sz w:val="22"/>
                <w:szCs w:val="22"/>
                <w14:textFill>
                  <w14:solidFill>
                    <w14:schemeClr w14:val="tx1"/>
                  </w14:solidFill>
                </w14:textFill>
              </w:rPr>
            </w:pPr>
            <w:r>
              <w:rPr>
                <w:rFonts w:hint="eastAsia"/>
                <w:color w:val="000000" w:themeColor="text1"/>
                <w:spacing w:val="-6"/>
                <w:sz w:val="22"/>
                <w:szCs w:val="22"/>
                <w14:textFill>
                  <w14:solidFill>
                    <w14:schemeClr w14:val="tx1"/>
                  </w14:solidFill>
                </w14:textFill>
              </w:rPr>
              <w:t>项目不属于化工项目</w:t>
            </w:r>
          </w:p>
        </w:tc>
        <w:tc>
          <w:tcPr>
            <w:tcW w:w="1520" w:type="dxa"/>
            <w:vAlign w:val="center"/>
          </w:tcPr>
          <w:p w14:paraId="188245D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3FB3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Align w:val="center"/>
          </w:tcPr>
          <w:p w14:paraId="37433A7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资源开发利用要求</w:t>
            </w:r>
          </w:p>
        </w:tc>
        <w:tc>
          <w:tcPr>
            <w:tcW w:w="7171" w:type="dxa"/>
            <w:vAlign w:val="center"/>
          </w:tcPr>
          <w:p w14:paraId="2926BD53">
            <w:pPr>
              <w:spacing w:line="240" w:lineRule="auto"/>
              <w:ind w:firstLine="0" w:firstLineChars="0"/>
              <w:jc w:val="center"/>
              <w:rPr>
                <w:color w:val="000000" w:themeColor="text1"/>
                <w:spacing w:val="-2"/>
                <w:sz w:val="22"/>
                <w:szCs w:val="22"/>
                <w14:textFill>
                  <w14:solidFill>
                    <w14:schemeClr w14:val="tx1"/>
                  </w14:solidFill>
                </w14:textFill>
              </w:rPr>
            </w:pPr>
            <w:r>
              <w:rPr>
                <w:rFonts w:hint="eastAsia"/>
                <w:color w:val="000000" w:themeColor="text1"/>
                <w:spacing w:val="-2"/>
                <w:sz w:val="22"/>
                <w:szCs w:val="22"/>
                <w14:textFill>
                  <w14:solidFill>
                    <w14:schemeClr w14:val="tx1"/>
                  </w14:solidFill>
                </w14:textFill>
              </w:rPr>
              <w:t>禁止新建、扩建燃用煤、重油等高污染燃料的工业项目，重庆和友实业股份有限公司不再新增燃煤总量</w:t>
            </w:r>
          </w:p>
        </w:tc>
        <w:tc>
          <w:tcPr>
            <w:tcW w:w="4091" w:type="dxa"/>
            <w:vAlign w:val="center"/>
          </w:tcPr>
          <w:p w14:paraId="4E39E7AD">
            <w:pPr>
              <w:spacing w:line="240" w:lineRule="auto"/>
              <w:ind w:firstLine="0" w:firstLineChars="0"/>
              <w:jc w:val="center"/>
              <w:rPr>
                <w:color w:val="000000" w:themeColor="text1"/>
                <w:spacing w:val="-6"/>
                <w:sz w:val="22"/>
                <w:szCs w:val="22"/>
                <w14:textFill>
                  <w14:solidFill>
                    <w14:schemeClr w14:val="tx1"/>
                  </w14:solidFill>
                </w14:textFill>
              </w:rPr>
            </w:pPr>
            <w:r>
              <w:rPr>
                <w:color w:val="000000" w:themeColor="text1"/>
                <w:spacing w:val="-6"/>
                <w:sz w:val="22"/>
                <w:szCs w:val="22"/>
                <w14:textFill>
                  <w14:solidFill>
                    <w14:schemeClr w14:val="tx1"/>
                  </w14:solidFill>
                </w14:textFill>
              </w:rPr>
              <w:t>项目使用</w:t>
            </w:r>
            <w:r>
              <w:rPr>
                <w:rFonts w:hint="eastAsia"/>
                <w:color w:val="000000" w:themeColor="text1"/>
                <w:spacing w:val="-6"/>
                <w:sz w:val="22"/>
                <w:szCs w:val="22"/>
                <w14:textFill>
                  <w14:solidFill>
                    <w14:schemeClr w14:val="tx1"/>
                  </w14:solidFill>
                </w14:textFill>
              </w:rPr>
              <w:t>电、</w:t>
            </w:r>
            <w:r>
              <w:rPr>
                <w:color w:val="000000" w:themeColor="text1"/>
                <w:spacing w:val="-6"/>
                <w:sz w:val="22"/>
                <w:szCs w:val="22"/>
                <w14:textFill>
                  <w14:solidFill>
                    <w14:schemeClr w14:val="tx1"/>
                  </w14:solidFill>
                </w14:textFill>
              </w:rPr>
              <w:t>天然气</w:t>
            </w:r>
            <w:r>
              <w:rPr>
                <w:rFonts w:hint="eastAsia"/>
                <w:color w:val="000000" w:themeColor="text1"/>
                <w:spacing w:val="-6"/>
                <w:sz w:val="22"/>
                <w:szCs w:val="22"/>
                <w14:textFill>
                  <w14:solidFill>
                    <w14:schemeClr w14:val="tx1"/>
                  </w14:solidFill>
                </w14:textFill>
              </w:rPr>
              <w:t>等能源</w:t>
            </w:r>
            <w:r>
              <w:rPr>
                <w:color w:val="000000" w:themeColor="text1"/>
                <w:spacing w:val="-6"/>
                <w:sz w:val="22"/>
                <w:szCs w:val="22"/>
                <w14:textFill>
                  <w14:solidFill>
                    <w14:schemeClr w14:val="tx1"/>
                  </w14:solidFill>
                </w14:textFill>
              </w:rPr>
              <w:t>，不使用</w:t>
            </w:r>
            <w:r>
              <w:rPr>
                <w:color w:val="000000" w:themeColor="text1"/>
                <w:spacing w:val="-2"/>
                <w:sz w:val="22"/>
                <w:szCs w:val="22"/>
                <w14:textFill>
                  <w14:solidFill>
                    <w14:schemeClr w14:val="tx1"/>
                  </w14:solidFill>
                </w14:textFill>
              </w:rPr>
              <w:t>煤、重油等高污染燃料。</w:t>
            </w:r>
          </w:p>
        </w:tc>
        <w:tc>
          <w:tcPr>
            <w:tcW w:w="1520" w:type="dxa"/>
            <w:vAlign w:val="center"/>
          </w:tcPr>
          <w:p w14:paraId="1E79BF7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r w14:paraId="0D6E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210" w:type="dxa"/>
            <w:vAlign w:val="center"/>
          </w:tcPr>
          <w:p w14:paraId="607C1BF1">
            <w:pPr>
              <w:spacing w:line="240" w:lineRule="auto"/>
              <w:ind w:firstLine="0" w:firstLineChars="0"/>
              <w:jc w:val="center"/>
              <w:rPr>
                <w:color w:val="000000" w:themeColor="text1"/>
                <w:sz w:val="22"/>
                <w:szCs w:val="22"/>
                <w14:textFill>
                  <w14:solidFill>
                    <w14:schemeClr w14:val="tx1"/>
                  </w14:solidFill>
                </w14:textFill>
              </w:rPr>
            </w:pPr>
          </w:p>
        </w:tc>
        <w:tc>
          <w:tcPr>
            <w:tcW w:w="7171" w:type="dxa"/>
            <w:vAlign w:val="center"/>
          </w:tcPr>
          <w:p w14:paraId="1448D95A">
            <w:pPr>
              <w:spacing w:line="240" w:lineRule="auto"/>
              <w:ind w:firstLine="0" w:firstLineChars="0"/>
              <w:jc w:val="center"/>
              <w:rPr>
                <w:color w:val="000000" w:themeColor="text1"/>
                <w:spacing w:val="-2"/>
                <w:sz w:val="22"/>
                <w:szCs w:val="22"/>
                <w14:textFill>
                  <w14:solidFill>
                    <w14:schemeClr w14:val="tx1"/>
                  </w14:solidFill>
                </w14:textFill>
              </w:rPr>
            </w:pPr>
            <w:r>
              <w:rPr>
                <w:rFonts w:hint="eastAsia"/>
                <w:color w:val="000000" w:themeColor="text1"/>
                <w:spacing w:val="-2"/>
                <w:sz w:val="22"/>
                <w:szCs w:val="22"/>
                <w14:textFill>
                  <w14:solidFill>
                    <w14:schemeClr w14:val="tx1"/>
                  </w14:solidFill>
                </w14:textFill>
              </w:rPr>
              <w:t>新建和改、扩建的工业项目清洁生产水平应达到国内先进水平</w:t>
            </w:r>
          </w:p>
        </w:tc>
        <w:tc>
          <w:tcPr>
            <w:tcW w:w="4091" w:type="dxa"/>
            <w:vAlign w:val="center"/>
          </w:tcPr>
          <w:p w14:paraId="49C6FB48">
            <w:pPr>
              <w:spacing w:line="240" w:lineRule="auto"/>
              <w:ind w:firstLine="0" w:firstLineChars="0"/>
              <w:jc w:val="center"/>
              <w:rPr>
                <w:color w:val="000000" w:themeColor="text1"/>
                <w:spacing w:val="-6"/>
                <w:sz w:val="22"/>
                <w:szCs w:val="22"/>
                <w14:textFill>
                  <w14:solidFill>
                    <w14:schemeClr w14:val="tx1"/>
                  </w14:solidFill>
                </w14:textFill>
              </w:rPr>
            </w:pPr>
            <w:r>
              <w:rPr>
                <w:color w:val="000000" w:themeColor="text1"/>
                <w:spacing w:val="-6"/>
                <w:sz w:val="22"/>
                <w:szCs w:val="22"/>
                <w14:textFill>
                  <w14:solidFill>
                    <w14:schemeClr w14:val="tx1"/>
                  </w14:solidFill>
                </w14:textFill>
              </w:rPr>
              <w:t>项目</w:t>
            </w:r>
            <w:r>
              <w:rPr>
                <w:rFonts w:hint="eastAsia"/>
                <w:color w:val="000000" w:themeColor="text1"/>
                <w:spacing w:val="-6"/>
                <w:sz w:val="22"/>
                <w:szCs w:val="22"/>
                <w14:textFill>
                  <w14:solidFill>
                    <w14:schemeClr w14:val="tx1"/>
                  </w14:solidFill>
                </w14:textFill>
              </w:rPr>
              <w:t>清洁生产</w:t>
            </w:r>
            <w:r>
              <w:rPr>
                <w:color w:val="000000" w:themeColor="text1"/>
                <w:spacing w:val="-6"/>
                <w:sz w:val="22"/>
                <w:szCs w:val="22"/>
                <w14:textFill>
                  <w14:solidFill>
                    <w14:schemeClr w14:val="tx1"/>
                  </w14:solidFill>
                </w14:textFill>
              </w:rPr>
              <w:t>水平</w:t>
            </w:r>
            <w:r>
              <w:rPr>
                <w:rFonts w:hint="eastAsia"/>
                <w:color w:val="000000" w:themeColor="text1"/>
                <w:spacing w:val="-6"/>
                <w:sz w:val="22"/>
                <w:szCs w:val="22"/>
                <w14:textFill>
                  <w14:solidFill>
                    <w14:schemeClr w14:val="tx1"/>
                  </w14:solidFill>
                </w14:textFill>
              </w:rPr>
              <w:t>不低于</w:t>
            </w:r>
            <w:r>
              <w:rPr>
                <w:color w:val="000000" w:themeColor="text1"/>
                <w:spacing w:val="-6"/>
                <w:sz w:val="22"/>
                <w:szCs w:val="22"/>
                <w14:textFill>
                  <w14:solidFill>
                    <w14:schemeClr w14:val="tx1"/>
                  </w14:solidFill>
                </w14:textFill>
              </w:rPr>
              <w:t>国内先进水平</w:t>
            </w:r>
            <w:r>
              <w:rPr>
                <w:rFonts w:hint="eastAsia"/>
                <w:color w:val="000000" w:themeColor="text1"/>
                <w:spacing w:val="-6"/>
                <w:sz w:val="22"/>
                <w:szCs w:val="22"/>
                <w14:textFill>
                  <w14:solidFill>
                    <w14:schemeClr w14:val="tx1"/>
                  </w14:solidFill>
                </w14:textFill>
              </w:rPr>
              <w:t>。</w:t>
            </w:r>
          </w:p>
        </w:tc>
        <w:tc>
          <w:tcPr>
            <w:tcW w:w="1520" w:type="dxa"/>
            <w:vAlign w:val="center"/>
          </w:tcPr>
          <w:p w14:paraId="71A2CBB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符合要求</w:t>
            </w:r>
          </w:p>
        </w:tc>
      </w:tr>
    </w:tbl>
    <w:p w14:paraId="63055AC4">
      <w:pPr>
        <w:ind w:firstLine="520"/>
        <w:rPr>
          <w:bCs/>
          <w:color w:val="000000" w:themeColor="text1"/>
          <w14:textFill>
            <w14:solidFill>
              <w14:schemeClr w14:val="tx1"/>
            </w14:solidFill>
          </w14:textFill>
        </w:rPr>
      </w:pPr>
      <w:bookmarkStart w:id="130" w:name="_Ref160542503"/>
      <w:r>
        <w:rPr>
          <w:bCs/>
          <w:color w:val="000000" w:themeColor="text1"/>
          <w14:textFill>
            <w14:solidFill>
              <w14:schemeClr w14:val="tx1"/>
            </w14:solidFill>
          </w14:textFill>
        </w:rPr>
        <w:t>与规划环评审查意见符合性</w:t>
      </w:r>
      <w:r>
        <w:rPr>
          <w:rFonts w:hint="eastAsia"/>
          <w:bCs/>
          <w:color w:val="000000" w:themeColor="text1"/>
          <w14:textFill>
            <w14:solidFill>
              <w14:schemeClr w14:val="tx1"/>
            </w14:solidFill>
          </w14:textFill>
        </w:rPr>
        <w:t>详见下表：</w:t>
      </w:r>
    </w:p>
    <w:p w14:paraId="5F780EC8">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bookmarkEnd w:id="130"/>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扩建项目与规划环评审查意见的符合性分析</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7977"/>
        <w:gridCol w:w="5034"/>
        <w:gridCol w:w="771"/>
      </w:tblGrid>
      <w:tr w14:paraId="4301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0" w:type="auto"/>
            <w:vAlign w:val="center"/>
          </w:tcPr>
          <w:p w14:paraId="1BDBF8FB">
            <w:pPr>
              <w:pStyle w:val="1535"/>
            </w:pPr>
            <w:r>
              <w:t>序号</w:t>
            </w:r>
          </w:p>
        </w:tc>
        <w:tc>
          <w:tcPr>
            <w:tcW w:w="7977" w:type="dxa"/>
            <w:vAlign w:val="center"/>
          </w:tcPr>
          <w:p w14:paraId="60EB855B">
            <w:pPr>
              <w:pStyle w:val="1535"/>
            </w:pPr>
            <w:r>
              <w:t>相关要求</w:t>
            </w:r>
          </w:p>
        </w:tc>
        <w:tc>
          <w:tcPr>
            <w:tcW w:w="5034" w:type="dxa"/>
            <w:vAlign w:val="center"/>
          </w:tcPr>
          <w:p w14:paraId="4667DB89">
            <w:pPr>
              <w:pStyle w:val="1535"/>
            </w:pPr>
            <w:r>
              <w:t>扩建项目情况</w:t>
            </w:r>
          </w:p>
        </w:tc>
        <w:tc>
          <w:tcPr>
            <w:tcW w:w="771" w:type="dxa"/>
            <w:vAlign w:val="center"/>
          </w:tcPr>
          <w:p w14:paraId="195DEAB1">
            <w:pPr>
              <w:pStyle w:val="1535"/>
            </w:pPr>
            <w:r>
              <w:t>符合性</w:t>
            </w:r>
          </w:p>
        </w:tc>
      </w:tr>
      <w:tr w14:paraId="4F22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dxa"/>
            <w:vAlign w:val="center"/>
          </w:tcPr>
          <w:p w14:paraId="23E2F5FF">
            <w:pPr>
              <w:pStyle w:val="1535"/>
            </w:pPr>
            <w:r>
              <w:t>1</w:t>
            </w:r>
          </w:p>
        </w:tc>
        <w:tc>
          <w:tcPr>
            <w:tcW w:w="7977" w:type="dxa"/>
            <w:vAlign w:val="center"/>
          </w:tcPr>
          <w:p w14:paraId="55040EA1">
            <w:pPr>
              <w:pStyle w:val="1535"/>
            </w:pPr>
            <w:r>
              <w:t>(一)严格生态环境准入。强化规划环评与“三线一单”生态环境分区管控要求、国土空间“三区三线”等成果衔接，主要管控措施应符合重庆市及九龙坡区“三线一单”生态环境分区管控要求。规划区入驻项目应满足相关产业政策和环境准入要求以及《报告书》提出的生态环境管控要求。</w:t>
            </w:r>
          </w:p>
        </w:tc>
        <w:tc>
          <w:tcPr>
            <w:tcW w:w="5034" w:type="dxa"/>
            <w:vAlign w:val="center"/>
          </w:tcPr>
          <w:p w14:paraId="17B20BE9">
            <w:pPr>
              <w:pStyle w:val="1535"/>
            </w:pPr>
            <w:r>
              <w:t>扩建项目不属于园区禁止引入类以及限制引入类企业，不属于生态保护红线范围，项目所在区域满足环境质量底线，项目涉及使用清洁能源电，相对区域资源利用量很少，满足资源利用上限，不属于重庆西彭工业园区环境准入负面清单中禁止类、限制类，符合园区“三线一单”的要求，满足相关产业政策和环境准入要求以及《报告书》提出的生态环境管控要求。</w:t>
            </w:r>
          </w:p>
        </w:tc>
        <w:tc>
          <w:tcPr>
            <w:tcW w:w="771" w:type="dxa"/>
            <w:vAlign w:val="center"/>
          </w:tcPr>
          <w:p w14:paraId="247F9FD2">
            <w:pPr>
              <w:pStyle w:val="1535"/>
            </w:pPr>
            <w:r>
              <w:t>符合</w:t>
            </w:r>
          </w:p>
        </w:tc>
      </w:tr>
      <w:tr w14:paraId="0FF8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436" w:type="dxa"/>
            <w:vAlign w:val="center"/>
          </w:tcPr>
          <w:p w14:paraId="0C0EB148">
            <w:pPr>
              <w:pStyle w:val="1535"/>
            </w:pPr>
            <w:r>
              <w:t>2</w:t>
            </w:r>
          </w:p>
        </w:tc>
        <w:tc>
          <w:tcPr>
            <w:tcW w:w="7977" w:type="dxa"/>
            <w:vAlign w:val="center"/>
          </w:tcPr>
          <w:p w14:paraId="2AB3CC82">
            <w:pPr>
              <w:pStyle w:val="1535"/>
            </w:pPr>
            <w:r>
              <w:t>(二)强化空间布局约束。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A31/04、A33/04、A34/04、A32/04、A30-1-1/06)与居住用地之间均应设置不少于100米环境防护距离，后续应根据项目环评确定拟建项目环境防护距离是否满足要求。与居住用地相邻的规划工业用地(A31/04、A33/04、A34/04、A30-1-1/06)及东北侧规划科研用地兼一类工业用地(C61-1/01、C61-4/01、C61-5/01、C62-1/01、C62-3/01、C63-1/01、C63-2/01)后续不宜布局高噪声以及涉及喷漆、酸洗、熔炼等异味明显的生产项目。规划区禁止新建、扩建排放废水中含重金属(铬、镉、汞、砷、铅等重金属)、剧毒物质和持久性有机污染物的工业项目。</w:t>
            </w:r>
          </w:p>
        </w:tc>
        <w:tc>
          <w:tcPr>
            <w:tcW w:w="5034" w:type="dxa"/>
            <w:vAlign w:val="center"/>
          </w:tcPr>
          <w:p w14:paraId="4EB9574A">
            <w:pPr>
              <w:pStyle w:val="1535"/>
            </w:pPr>
            <w:r>
              <w:t>扩建项目位于重庆西彭工业园区西彭组团</w:t>
            </w:r>
            <w:r>
              <w:rPr>
                <w:rFonts w:hint="eastAsia"/>
              </w:rPr>
              <w:t>D标准分区</w:t>
            </w:r>
            <w:r>
              <w:t>，</w:t>
            </w:r>
            <w:r>
              <w:rPr>
                <w:rFonts w:hint="eastAsia"/>
              </w:rPr>
              <w:t>不属于上述地块；</w:t>
            </w:r>
            <w:r>
              <w:t>符合《中华人民共和国长江保护法》等法律法规以及关于沿江产业布局的相关规定。排放废水</w:t>
            </w:r>
            <w:r>
              <w:rPr>
                <w:rFonts w:hint="eastAsia"/>
              </w:rPr>
              <w:t>中不涉及</w:t>
            </w:r>
            <w:r>
              <w:t>含重金属(铬、镉、汞、砷、铅等重金属)、剧毒物质和持久性有机污染物。</w:t>
            </w:r>
          </w:p>
        </w:tc>
        <w:tc>
          <w:tcPr>
            <w:tcW w:w="771" w:type="dxa"/>
            <w:vAlign w:val="center"/>
          </w:tcPr>
          <w:p w14:paraId="37569756">
            <w:pPr>
              <w:pStyle w:val="1535"/>
            </w:pPr>
            <w:r>
              <w:t>符合</w:t>
            </w:r>
          </w:p>
        </w:tc>
      </w:tr>
      <w:tr w14:paraId="1CBB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436" w:type="dxa"/>
            <w:vAlign w:val="center"/>
          </w:tcPr>
          <w:p w14:paraId="4E98F32E">
            <w:pPr>
              <w:pStyle w:val="1535"/>
            </w:pPr>
            <w:r>
              <w:t>3</w:t>
            </w:r>
          </w:p>
        </w:tc>
        <w:tc>
          <w:tcPr>
            <w:tcW w:w="7977" w:type="dxa"/>
            <w:vAlign w:val="center"/>
          </w:tcPr>
          <w:p w14:paraId="5CB60DA4">
            <w:pPr>
              <w:pStyle w:val="1535"/>
            </w:pPr>
            <w:r>
              <w:t>（三）加强污染排放管控。规划实施排放的主要污染物及特征污染物排放量不得突破《报告书》确定的总量管控指标。</w:t>
            </w:r>
          </w:p>
          <w:p w14:paraId="4F3635ED">
            <w:pPr>
              <w:pStyle w:val="1535"/>
            </w:pPr>
            <w:r>
              <w:t>1.水污染物排放管控。</w:t>
            </w:r>
          </w:p>
          <w:p w14:paraId="6DBFADC5">
            <w:pPr>
              <w:pStyle w:val="1535"/>
            </w:pPr>
            <w:r>
              <w:t>规划区排水系统采用雨、污分流制，加快实施污水处理厂扩建和提标改造，完善雨水、污水管网建设，确保雨污分流、污废水得到有效收集处理。持续推进清洁生产审核，工业企业应采用先进的生产工艺，减少新鲜水消耗和废水排放。</w:t>
            </w:r>
          </w:p>
          <w:p w14:paraId="6D7A5540">
            <w:pPr>
              <w:pStyle w:val="1535"/>
            </w:pPr>
            <w:r>
              <w:t>西彭组团生活区污水收集进入西彭镇污水处理厂处理达《城镇污水处理厂污染物排放标准》(GB18918-2002)一级A标准后排入桥头河；工业区(除西南铝企业)废水经企业预处理达接管要求后进入西彭工业园区污水处理厂处理达《城镇污水处理厂污染物排放标准》(GB18918-2002)一级A标准后排入桥头河(其中COD、NH₃-N、TP达《地表水环境质量标准》(GB3838-2002)IV类标准);西南铝企业污废水经自建污水处理站处理达《污水综合排放标准》(GB8978-1996)一级标准后排入桥头河。</w:t>
            </w:r>
          </w:p>
          <w:p w14:paraId="09256DAB">
            <w:pPr>
              <w:pStyle w:val="1535"/>
            </w:pPr>
            <w:r>
              <w:t>陶家组团生活区污水收集进入陶家镇生活污水处理厂处理达《城镇污水处理厂污染物排放标准》(GB18918-2002)一级A标后排入大溪河；工业区废水经企业预处理达接管要求后排入陶家工业污水处理厂处理达《城镇污水处理厂污染物排放标准》(GB18918-2002)一级A标准后排入杨柳曲河再汇入大溪河(其中COD、NH₃-N、TP达《地表水环境质量标准》(GB3838-2002)IV类标准)。</w:t>
            </w:r>
          </w:p>
          <w:p w14:paraId="7BECDE82">
            <w:pPr>
              <w:pStyle w:val="1535"/>
            </w:pPr>
            <w:r>
              <w:t>铜罐驿组团污废水(除重庆和友实业股份有限公司)污废水通过市政污水管网进入铜罐驿污水处理厂处理达《地表水环境质量标准》(GB3838-2002)IV类标准后排入金竹沟再汇入长江；重庆和友实业股份有限公司经自建污水处理站处理达到《合成氨工业水污染物排放标准》(GB13458-2013)后排入金竹沟再汇入长江。</w:t>
            </w:r>
          </w:p>
        </w:tc>
        <w:tc>
          <w:tcPr>
            <w:tcW w:w="5034" w:type="dxa"/>
            <w:vAlign w:val="center"/>
          </w:tcPr>
          <w:p w14:paraId="49211391">
            <w:pPr>
              <w:pStyle w:val="1535"/>
            </w:pPr>
            <w:r>
              <w:t>扩建项目生产废水，生产废水经排污管道汇流入厂区综合废水处理站，处理达《电子工业水污染物排放标准》（GB39731-2020）间接排放标准，生活污水经生化池处理达《电子工业水污染物排放标准》（GB39731-2020）间接排放标准（动植物油执行《污水综合排放标准》（GB8978-1996）三级标准），处理后的生产废水与生活污水经厂区总排口进入西彭工业园区污水处理厂达《污水综合排放标准》（GB8978-1996）一级标准后排入长江。远期西彭工业园区污水处理厂处理达《城镇污水处理厂污染物排放标准》(GB18918-2002)一级A标准(其中COD、NH₃-N、TP达《地表水环境质量标准》(GB3838-2002)IV类标准)后排入长江。</w:t>
            </w:r>
          </w:p>
        </w:tc>
        <w:tc>
          <w:tcPr>
            <w:tcW w:w="771" w:type="dxa"/>
            <w:vAlign w:val="center"/>
          </w:tcPr>
          <w:p w14:paraId="14F882B6">
            <w:pPr>
              <w:pStyle w:val="1535"/>
            </w:pPr>
            <w:r>
              <w:t>符合</w:t>
            </w:r>
          </w:p>
        </w:tc>
      </w:tr>
      <w:tr w14:paraId="4C50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dxa"/>
            <w:vAlign w:val="center"/>
          </w:tcPr>
          <w:p w14:paraId="5601B104">
            <w:pPr>
              <w:pStyle w:val="1535"/>
            </w:pPr>
            <w:r>
              <w:t>4</w:t>
            </w:r>
          </w:p>
        </w:tc>
        <w:tc>
          <w:tcPr>
            <w:tcW w:w="7977" w:type="dxa"/>
            <w:vAlign w:val="center"/>
          </w:tcPr>
          <w:p w14:paraId="19F0D8A6">
            <w:pPr>
              <w:pStyle w:val="1535"/>
            </w:pPr>
            <w:r>
              <w:t>2.大气污染物排放管控。</w:t>
            </w:r>
          </w:p>
          <w:p w14:paraId="47B404E3">
            <w:pPr>
              <w:pStyle w:val="1535"/>
            </w:pPr>
            <w: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VOCs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5034" w:type="dxa"/>
            <w:vAlign w:val="center"/>
          </w:tcPr>
          <w:p w14:paraId="602C5539">
            <w:pPr>
              <w:pStyle w:val="1535"/>
            </w:pPr>
            <w:r>
              <w:t>项目</w:t>
            </w:r>
            <w:r>
              <w:rPr>
                <w:rFonts w:hint="eastAsia"/>
              </w:rPr>
              <w:t>主要</w:t>
            </w:r>
            <w:r>
              <w:t>使用</w:t>
            </w:r>
            <w:r>
              <w:rPr>
                <w:rFonts w:hint="eastAsia"/>
              </w:rPr>
              <w:t>天然气、</w:t>
            </w:r>
            <w:r>
              <w:t>电</w:t>
            </w:r>
            <w:r>
              <w:rPr>
                <w:rFonts w:hint="eastAsia"/>
              </w:rPr>
              <w:t>等清洁能源。</w:t>
            </w:r>
            <w:r>
              <w:t>扩建项目</w:t>
            </w:r>
            <w:r>
              <w:rPr>
                <w:rFonts w:hint="eastAsia"/>
              </w:rPr>
              <w:t>不涉及燃气锅炉，</w:t>
            </w:r>
            <w:r>
              <w:t>采取有效的废气处理措施，确保工艺废气稳定达标排放并满足总量控制要求。</w:t>
            </w:r>
            <w:r>
              <w:rPr>
                <w:rFonts w:hint="eastAsia"/>
              </w:rPr>
              <w:t>项目按照相关</w:t>
            </w:r>
            <w:r>
              <w:t>要求采用先进生产技术、高效工艺，减少工艺过程无组织排放，严格按照国家及重庆市关于挥发性有机物治理的相关要求落实污染防治措施。</w:t>
            </w:r>
          </w:p>
        </w:tc>
        <w:tc>
          <w:tcPr>
            <w:tcW w:w="771" w:type="dxa"/>
            <w:vAlign w:val="center"/>
          </w:tcPr>
          <w:p w14:paraId="1FCE66F7">
            <w:pPr>
              <w:pStyle w:val="1535"/>
            </w:pPr>
            <w:r>
              <w:t>符合</w:t>
            </w:r>
          </w:p>
        </w:tc>
      </w:tr>
      <w:tr w14:paraId="7F5C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dxa"/>
            <w:vAlign w:val="center"/>
          </w:tcPr>
          <w:p w14:paraId="5641FF08">
            <w:pPr>
              <w:pStyle w:val="1535"/>
            </w:pPr>
            <w:r>
              <w:t>5</w:t>
            </w:r>
          </w:p>
        </w:tc>
        <w:tc>
          <w:tcPr>
            <w:tcW w:w="7977" w:type="dxa"/>
            <w:vAlign w:val="center"/>
          </w:tcPr>
          <w:p w14:paraId="3CE1B1C5">
            <w:pPr>
              <w:pStyle w:val="1535"/>
            </w:pPr>
            <w:r>
              <w:t>3.工业固废排放管控。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GB18597-2023)等有关规定，设置危险废物暂存场所，并按照规定设置危险废物识别标志。危险废物转移应严格执行《危险废物转移管理办法》(生态环境部公安部交通运输部部令第23号)相关要求。</w:t>
            </w:r>
          </w:p>
        </w:tc>
        <w:tc>
          <w:tcPr>
            <w:tcW w:w="5034" w:type="dxa"/>
            <w:vAlign w:val="center"/>
          </w:tcPr>
          <w:p w14:paraId="396DA091">
            <w:pPr>
              <w:pStyle w:val="1535"/>
            </w:pPr>
            <w:r>
              <w:t>扩建项目危险废物分类收集后交有资质单位处置。</w:t>
            </w:r>
            <w:r>
              <w:rPr>
                <w:rFonts w:hint="eastAsia"/>
              </w:rPr>
              <w:t>建设了</w:t>
            </w:r>
            <w:r>
              <w:t>切削液回收车间</w:t>
            </w:r>
            <w:r>
              <w:rPr>
                <w:rFonts w:hint="eastAsia"/>
              </w:rPr>
              <w:t>对切削液</w:t>
            </w:r>
            <w:r>
              <w:t>处理后回用，符合资源化、减量化、无害化要求；危废贮存设施及切削液回收间将严格按照《危险废物贮存污染控制标准》(GB18597-2023)等有关规定，设置危险废物暂存场所，并按照规定设置危险废物识别标志。危险废物转移应严格执行《危险废物转移管理办法》(生态环境部公安部交通运输部部令第23号)相关要求。</w:t>
            </w:r>
          </w:p>
        </w:tc>
        <w:tc>
          <w:tcPr>
            <w:tcW w:w="771" w:type="dxa"/>
            <w:vAlign w:val="center"/>
          </w:tcPr>
          <w:p w14:paraId="3DB5B7E3">
            <w:pPr>
              <w:pStyle w:val="1535"/>
            </w:pPr>
            <w:r>
              <w:t>符合</w:t>
            </w:r>
          </w:p>
        </w:tc>
      </w:tr>
      <w:tr w14:paraId="770F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dxa"/>
            <w:vAlign w:val="center"/>
          </w:tcPr>
          <w:p w14:paraId="14A15999">
            <w:pPr>
              <w:pStyle w:val="1535"/>
            </w:pPr>
            <w:r>
              <w:t>6</w:t>
            </w:r>
          </w:p>
        </w:tc>
        <w:tc>
          <w:tcPr>
            <w:tcW w:w="7977" w:type="dxa"/>
            <w:vAlign w:val="center"/>
          </w:tcPr>
          <w:p w14:paraId="0CF6FB75">
            <w:pPr>
              <w:pStyle w:val="1535"/>
            </w:pPr>
            <w:r>
              <w:t>4.噪声污染管控。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5034" w:type="dxa"/>
            <w:vAlign w:val="center"/>
          </w:tcPr>
          <w:p w14:paraId="7A1965CE">
            <w:pPr>
              <w:pStyle w:val="1535"/>
            </w:pPr>
            <w:r>
              <w:t>项目采取隔声、减振等措施，确保厂界噪声达标。运输路线主要位于工业园区，运输过程对沿线居民的影响小。</w:t>
            </w:r>
          </w:p>
        </w:tc>
        <w:tc>
          <w:tcPr>
            <w:tcW w:w="771" w:type="dxa"/>
            <w:vAlign w:val="center"/>
          </w:tcPr>
          <w:p w14:paraId="3B6399C8">
            <w:pPr>
              <w:pStyle w:val="1535"/>
            </w:pPr>
            <w:r>
              <w:t>符合</w:t>
            </w:r>
          </w:p>
        </w:tc>
      </w:tr>
      <w:tr w14:paraId="73B6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dxa"/>
            <w:vAlign w:val="center"/>
          </w:tcPr>
          <w:p w14:paraId="2192AC62">
            <w:pPr>
              <w:pStyle w:val="1535"/>
            </w:pPr>
            <w:r>
              <w:t>7</w:t>
            </w:r>
          </w:p>
        </w:tc>
        <w:tc>
          <w:tcPr>
            <w:tcW w:w="7977" w:type="dxa"/>
            <w:vAlign w:val="center"/>
          </w:tcPr>
          <w:p w14:paraId="12EC000C">
            <w:pPr>
              <w:pStyle w:val="1535"/>
            </w:pPr>
            <w:r>
              <w:t>5.土壤、地下水污染风险防控。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5034" w:type="dxa"/>
            <w:vAlign w:val="center"/>
          </w:tcPr>
          <w:p w14:paraId="02CA9B0A">
            <w:pPr>
              <w:pStyle w:val="1535"/>
            </w:pPr>
            <w:r>
              <w:t>扩建项目</w:t>
            </w:r>
            <w:r>
              <w:rPr>
                <w:rFonts w:hint="eastAsia"/>
              </w:rPr>
              <w:t>依托的现有工程</w:t>
            </w:r>
            <w:r>
              <w:t>实行分区防渗，切削液回收车间、化学品库、污水处理站、危废间采取重点防渗，设置收集沟收集泄漏物料，设置开闭阀门且连接厂区污水处理站，事故池规模为270</w:t>
            </w:r>
            <w:r>
              <w:rPr>
                <w:rFonts w:hint="eastAsia"/>
              </w:rPr>
              <w:t xml:space="preserve"> m</w:t>
            </w:r>
            <w:r>
              <w:rPr>
                <w:rFonts w:hint="eastAsia"/>
                <w:vertAlign w:val="superscript"/>
              </w:rPr>
              <w:t>3</w:t>
            </w:r>
            <w:r>
              <w:t>。</w:t>
            </w:r>
          </w:p>
        </w:tc>
        <w:tc>
          <w:tcPr>
            <w:tcW w:w="771" w:type="dxa"/>
            <w:vAlign w:val="center"/>
          </w:tcPr>
          <w:p w14:paraId="31AA7778">
            <w:pPr>
              <w:pStyle w:val="1535"/>
            </w:pPr>
            <w:r>
              <w:t>符合</w:t>
            </w:r>
          </w:p>
        </w:tc>
      </w:tr>
    </w:tbl>
    <w:p w14:paraId="2A98BB63">
      <w:pPr>
        <w:ind w:firstLine="520"/>
        <w:rPr>
          <w:bCs/>
          <w:color w:val="000000" w:themeColor="text1"/>
          <w14:textFill>
            <w14:solidFill>
              <w14:schemeClr w14:val="tx1"/>
            </w14:solidFill>
          </w14:textFill>
        </w:rPr>
      </w:pPr>
      <w:r>
        <w:rPr>
          <w:color w:val="000000" w:themeColor="text1"/>
          <w14:textFill>
            <w14:solidFill>
              <w14:schemeClr w14:val="tx1"/>
            </w14:solidFill>
          </w14:textFill>
        </w:rPr>
        <w:t>由</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可知，扩建项目符合《</w:t>
      </w:r>
      <w:r>
        <w:rPr>
          <w:rFonts w:hint="eastAsia"/>
          <w:color w:val="000000" w:themeColor="text1"/>
          <w14:textFill>
            <w14:solidFill>
              <w14:schemeClr w14:val="tx1"/>
            </w14:solidFill>
          </w14:textFill>
        </w:rPr>
        <w:t>重庆市生态环境局</w:t>
      </w:r>
      <w:r>
        <w:rPr>
          <w:color w:val="000000" w:themeColor="text1"/>
          <w14:textFill>
            <w14:solidFill>
              <w14:schemeClr w14:val="tx1"/>
            </w14:solidFill>
          </w14:textFill>
        </w:rPr>
        <w:t>关于重庆西彭工业园区规划环境影响报告书》</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审查意见的函（渝环函〔2023〕439号）的相关要求。</w:t>
      </w:r>
    </w:p>
    <w:p w14:paraId="4059A1CD">
      <w:pPr>
        <w:spacing w:before="31" w:after="156" w:afterLines="50" w:line="360" w:lineRule="auto"/>
        <w:ind w:firstLine="520"/>
        <w:rPr>
          <w:color w:val="000000" w:themeColor="text1"/>
          <w14:textFill>
            <w14:solidFill>
              <w14:schemeClr w14:val="tx1"/>
            </w14:solidFill>
          </w14:textFill>
        </w:rPr>
        <w:sectPr>
          <w:pgSz w:w="16838" w:h="11906" w:orient="landscape"/>
          <w:pgMar w:top="1134" w:right="1418" w:bottom="1134" w:left="1418" w:header="851" w:footer="992" w:gutter="0"/>
          <w:cols w:space="720" w:num="1"/>
          <w:docGrid w:type="lines" w:linePitch="312" w:charSpace="0"/>
        </w:sectPr>
      </w:pPr>
    </w:p>
    <w:p w14:paraId="49A11156">
      <w:pPr>
        <w:pStyle w:val="4"/>
        <w:rPr>
          <w:color w:val="000000" w:themeColor="text1"/>
          <w14:textFill>
            <w14:solidFill>
              <w14:schemeClr w14:val="tx1"/>
            </w14:solidFill>
          </w14:textFill>
        </w:rPr>
      </w:pPr>
      <w:bookmarkStart w:id="131" w:name="_Toc811"/>
      <w:bookmarkStart w:id="132" w:name="_Toc25550"/>
      <w:r>
        <w:rPr>
          <w:color w:val="000000" w:themeColor="text1"/>
          <w14:textFill>
            <w14:solidFill>
              <w14:schemeClr w14:val="tx1"/>
            </w14:solidFill>
          </w14:textFill>
        </w:rPr>
        <w:t>“三线一单”符合性分析</w:t>
      </w:r>
      <w:bookmarkEnd w:id="131"/>
      <w:bookmarkEnd w:id="132"/>
    </w:p>
    <w:p w14:paraId="4322DE3E">
      <w:pPr>
        <w:ind w:firstLine="520"/>
        <w:rPr>
          <w:color w:val="000000" w:themeColor="text1"/>
          <w14:textFill>
            <w14:solidFill>
              <w14:schemeClr w14:val="tx1"/>
            </w14:solidFill>
          </w14:textFill>
        </w:rPr>
      </w:pPr>
      <w:r>
        <w:rPr>
          <w:color w:val="000000" w:themeColor="text1"/>
          <w:szCs w:val="26"/>
          <w14:textFill>
            <w14:solidFill>
              <w14:schemeClr w14:val="tx1"/>
            </w14:solidFill>
          </w14:textFill>
        </w:rPr>
        <w:t>根据重庆市“三线一单”智检服务平台导出的《三线一单检测分析报告》（详见附件</w:t>
      </w:r>
      <w:r>
        <w:rPr>
          <w:rFonts w:hint="eastAsia"/>
          <w:color w:val="000000" w:themeColor="text1"/>
          <w:szCs w:val="26"/>
          <w14:textFill>
            <w14:solidFill>
              <w14:schemeClr w14:val="tx1"/>
            </w14:solidFill>
          </w14:textFill>
        </w:rPr>
        <w:t>8</w:t>
      </w:r>
      <w:r>
        <w:rPr>
          <w:color w:val="000000" w:themeColor="text1"/>
          <w:szCs w:val="26"/>
          <w14:textFill>
            <w14:solidFill>
              <w14:schemeClr w14:val="tx1"/>
            </w14:solidFill>
          </w14:textFill>
        </w:rPr>
        <w:t>）</w:t>
      </w:r>
      <w:r>
        <w:rPr>
          <w:color w:val="000000" w:themeColor="text1"/>
          <w14:textFill>
            <w14:solidFill>
              <w14:schemeClr w14:val="tx1"/>
            </w14:solidFill>
          </w14:textFill>
        </w:rPr>
        <w:t>，</w:t>
      </w:r>
      <w:r>
        <w:rPr>
          <w:color w:val="000000" w:themeColor="text1"/>
          <w:szCs w:val="26"/>
          <w14:textFill>
            <w14:solidFill>
              <w14:schemeClr w14:val="tx1"/>
            </w14:solidFill>
          </w14:textFill>
        </w:rPr>
        <w:t>项目所在区域属于九龙坡区</w:t>
      </w:r>
      <w:r>
        <w:rPr>
          <w:rFonts w:hint="eastAsia"/>
          <w:color w:val="000000" w:themeColor="text1"/>
          <w:szCs w:val="26"/>
          <w14:textFill>
            <w14:solidFill>
              <w14:schemeClr w14:val="tx1"/>
            </w14:solidFill>
          </w14:textFill>
        </w:rPr>
        <w:t>工业城镇重点管控单元－九龙西城片区（编码：ZH50010720002）</w:t>
      </w:r>
      <w:r>
        <w:rPr>
          <w:rFonts w:hint="eastAsia"/>
          <w:color w:val="000000" w:themeColor="text1"/>
          <w14:textFill>
            <w14:solidFill>
              <w14:schemeClr w14:val="tx1"/>
            </w14:solidFill>
          </w14:textFill>
        </w:rPr>
        <w:t>，</w:t>
      </w:r>
      <w:r>
        <w:rPr>
          <w:rFonts w:hint="eastAsia"/>
          <w:color w:val="000000" w:themeColor="text1"/>
          <w:szCs w:val="26"/>
          <w14:textFill>
            <w14:solidFill>
              <w14:schemeClr w14:val="tx1"/>
            </w14:solidFill>
          </w14:textFill>
        </w:rPr>
        <w:t>具体</w:t>
      </w:r>
      <w:r>
        <w:rPr>
          <w:color w:val="000000" w:themeColor="text1"/>
          <w:szCs w:val="26"/>
          <w14:textFill>
            <w14:solidFill>
              <w14:schemeClr w14:val="tx1"/>
            </w14:solidFill>
          </w14:textFill>
        </w:rPr>
        <w:t>管控要求</w:t>
      </w:r>
      <w:r>
        <w:rPr>
          <w:rFonts w:hint="eastAsia"/>
          <w:color w:val="000000" w:themeColor="text1"/>
          <w:szCs w:val="26"/>
          <w14:textFill>
            <w14:solidFill>
              <w14:schemeClr w14:val="tx1"/>
            </w14:solidFill>
          </w14:textFill>
        </w:rPr>
        <w:t>及</w:t>
      </w:r>
      <w:r>
        <w:rPr>
          <w:color w:val="000000" w:themeColor="text1"/>
          <w:szCs w:val="26"/>
          <w14:textFill>
            <w14:solidFill>
              <w14:schemeClr w14:val="tx1"/>
            </w14:solidFill>
          </w14:textFill>
        </w:rPr>
        <w:t>符合性分析详见下表</w:t>
      </w:r>
      <w:r>
        <w:rPr>
          <w:color w:val="000000" w:themeColor="text1"/>
          <w14:textFill>
            <w14:solidFill>
              <w14:schemeClr w14:val="tx1"/>
            </w14:solidFill>
          </w14:textFill>
        </w:rPr>
        <w:t>。</w:t>
      </w:r>
    </w:p>
    <w:p w14:paraId="2BB4CDBC">
      <w:pPr>
        <w:pStyle w:val="22"/>
        <w:rPr>
          <w:color w:val="000000" w:themeColor="text1"/>
          <w14:textFill>
            <w14:solidFill>
              <w14:schemeClr w14:val="tx1"/>
            </w14:solidFill>
          </w14:textFill>
        </w:rPr>
      </w:pPr>
    </w:p>
    <w:p w14:paraId="52457DA3">
      <w:pPr>
        <w:spacing w:before="31" w:line="360" w:lineRule="auto"/>
        <w:ind w:firstLine="520"/>
        <w:rPr>
          <w:color w:val="000000" w:themeColor="text1"/>
          <w14:textFill>
            <w14:solidFill>
              <w14:schemeClr w14:val="tx1"/>
            </w14:solidFill>
          </w14:textFill>
        </w:rPr>
        <w:sectPr>
          <w:pgSz w:w="11906" w:h="16838"/>
          <w:pgMar w:top="1418" w:right="1134" w:bottom="1418" w:left="1134" w:header="851" w:footer="992" w:gutter="0"/>
          <w:cols w:space="720" w:num="1"/>
          <w:docGrid w:type="lines" w:linePitch="312" w:charSpace="0"/>
        </w:sectPr>
      </w:pPr>
    </w:p>
    <w:p w14:paraId="4EF1B5F9">
      <w:pPr>
        <w:ind w:firstLine="520"/>
        <w:rPr>
          <w:color w:val="000000" w:themeColor="text1"/>
          <w14:textFill>
            <w14:solidFill>
              <w14:schemeClr w14:val="tx1"/>
            </w14:solidFill>
          </w14:textFill>
        </w:rPr>
      </w:pPr>
      <w:r>
        <w:rPr>
          <w:color w:val="000000" w:themeColor="text1"/>
          <w14:textFill>
            <w14:solidFill>
              <w14:schemeClr w14:val="tx1"/>
            </w14:solidFill>
          </w14:textFill>
        </w:rPr>
        <w:t>根据</w:t>
      </w:r>
      <w:bookmarkStart w:id="133" w:name="OLE_LINK9"/>
      <w:r>
        <w:rPr>
          <w:color w:val="000000" w:themeColor="text1"/>
          <w14:textFill>
            <w14:solidFill>
              <w14:schemeClr w14:val="tx1"/>
            </w14:solidFill>
          </w14:textFill>
        </w:rPr>
        <w:t>《建设项目环评“三线一单”符合性分析技术要点（试行）》（渝环函〔2022〕397号</w:t>
      </w:r>
      <w:bookmarkEnd w:id="133"/>
      <w:r>
        <w:rPr>
          <w:color w:val="000000" w:themeColor="text1"/>
          <w14:textFill>
            <w14:solidFill>
              <w14:schemeClr w14:val="tx1"/>
            </w14:solidFill>
          </w14:textFill>
        </w:rPr>
        <w:t>附件），扩建项目与三线一单符合性分析见下表。</w:t>
      </w:r>
    </w:p>
    <w:p w14:paraId="29DEF08B">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1.10</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项目与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符合性分析表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1024"/>
        <w:gridCol w:w="7194"/>
        <w:gridCol w:w="3745"/>
        <w:gridCol w:w="1115"/>
      </w:tblGrid>
      <w:tr w14:paraId="7F78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1" w:type="pct"/>
            <w:gridSpan w:val="2"/>
            <w:vAlign w:val="center"/>
          </w:tcPr>
          <w:p w14:paraId="68BECB3A">
            <w:pPr>
              <w:pStyle w:val="1535"/>
            </w:pPr>
            <w:r>
              <w:t>环境管控单元编码</w:t>
            </w:r>
          </w:p>
        </w:tc>
        <w:tc>
          <w:tcPr>
            <w:tcW w:w="2530" w:type="pct"/>
            <w:vAlign w:val="center"/>
          </w:tcPr>
          <w:p w14:paraId="7A875BE4">
            <w:pPr>
              <w:pStyle w:val="1535"/>
            </w:pPr>
            <w:r>
              <w:t>环境管控单元名称</w:t>
            </w:r>
          </w:p>
        </w:tc>
        <w:tc>
          <w:tcPr>
            <w:tcW w:w="1709" w:type="pct"/>
            <w:gridSpan w:val="2"/>
            <w:vAlign w:val="center"/>
          </w:tcPr>
          <w:p w14:paraId="35DD2247">
            <w:pPr>
              <w:pStyle w:val="1535"/>
            </w:pPr>
            <w:r>
              <w:t>环境管控单元类型</w:t>
            </w:r>
          </w:p>
        </w:tc>
      </w:tr>
      <w:tr w14:paraId="6E66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1" w:type="pct"/>
            <w:gridSpan w:val="2"/>
            <w:vAlign w:val="center"/>
          </w:tcPr>
          <w:p w14:paraId="5B2BA58E">
            <w:pPr>
              <w:pStyle w:val="1535"/>
            </w:pPr>
            <w:r>
              <w:rPr>
                <w:rFonts w:hint="eastAsia"/>
              </w:rPr>
              <w:t>ZH50010720002</w:t>
            </w:r>
          </w:p>
        </w:tc>
        <w:tc>
          <w:tcPr>
            <w:tcW w:w="2530" w:type="pct"/>
            <w:vAlign w:val="center"/>
          </w:tcPr>
          <w:p w14:paraId="347B2169">
            <w:pPr>
              <w:pStyle w:val="1535"/>
            </w:pPr>
            <w:r>
              <w:t>九龙坡区重点管控单元-</w:t>
            </w:r>
            <w:r>
              <w:rPr>
                <w:rFonts w:hint="eastAsia"/>
                <w:szCs w:val="26"/>
              </w:rPr>
              <w:t>九龙西城片区</w:t>
            </w:r>
          </w:p>
        </w:tc>
        <w:tc>
          <w:tcPr>
            <w:tcW w:w="1709" w:type="pct"/>
            <w:gridSpan w:val="2"/>
            <w:vAlign w:val="center"/>
          </w:tcPr>
          <w:p w14:paraId="72BD9767">
            <w:pPr>
              <w:pStyle w:val="1535"/>
            </w:pPr>
            <w:r>
              <w:t>重点管控单元4</w:t>
            </w:r>
          </w:p>
        </w:tc>
      </w:tr>
      <w:tr w14:paraId="397C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Align w:val="center"/>
          </w:tcPr>
          <w:p w14:paraId="626F685B">
            <w:pPr>
              <w:pStyle w:val="1535"/>
            </w:pPr>
            <w:r>
              <w:t>管控要求层级</w:t>
            </w:r>
          </w:p>
        </w:tc>
        <w:tc>
          <w:tcPr>
            <w:tcW w:w="360" w:type="pct"/>
            <w:vAlign w:val="center"/>
          </w:tcPr>
          <w:p w14:paraId="6703566E">
            <w:pPr>
              <w:pStyle w:val="1535"/>
            </w:pPr>
            <w:r>
              <w:t>管控类型</w:t>
            </w:r>
          </w:p>
        </w:tc>
        <w:tc>
          <w:tcPr>
            <w:tcW w:w="2530" w:type="pct"/>
            <w:vAlign w:val="center"/>
          </w:tcPr>
          <w:p w14:paraId="06179EF8">
            <w:pPr>
              <w:pStyle w:val="1535"/>
            </w:pPr>
            <w:r>
              <w:t>管控要求</w:t>
            </w:r>
          </w:p>
        </w:tc>
        <w:tc>
          <w:tcPr>
            <w:tcW w:w="1317" w:type="pct"/>
            <w:vAlign w:val="center"/>
          </w:tcPr>
          <w:p w14:paraId="533A3DE0">
            <w:pPr>
              <w:pStyle w:val="1535"/>
            </w:pPr>
            <w:r>
              <w:t>建设项目相关情况</w:t>
            </w:r>
          </w:p>
        </w:tc>
        <w:tc>
          <w:tcPr>
            <w:tcW w:w="392" w:type="pct"/>
            <w:vAlign w:val="center"/>
          </w:tcPr>
          <w:p w14:paraId="7C649389">
            <w:pPr>
              <w:pStyle w:val="1535"/>
            </w:pPr>
            <w:r>
              <w:t>符合性分析结论</w:t>
            </w:r>
          </w:p>
        </w:tc>
      </w:tr>
      <w:tr w14:paraId="5982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restart"/>
            <w:vAlign w:val="center"/>
          </w:tcPr>
          <w:p w14:paraId="09C8CE1F">
            <w:pPr>
              <w:pStyle w:val="1535"/>
            </w:pPr>
            <w:r>
              <w:t>全市总体管控要求</w:t>
            </w:r>
          </w:p>
        </w:tc>
        <w:tc>
          <w:tcPr>
            <w:tcW w:w="360" w:type="pct"/>
            <w:vAlign w:val="center"/>
          </w:tcPr>
          <w:p w14:paraId="779826B8">
            <w:pPr>
              <w:pStyle w:val="1535"/>
            </w:pPr>
            <w:r>
              <w:t>空间布局约束</w:t>
            </w:r>
          </w:p>
        </w:tc>
        <w:tc>
          <w:tcPr>
            <w:tcW w:w="2530" w:type="pct"/>
            <w:vAlign w:val="center"/>
          </w:tcPr>
          <w:p w14:paraId="2312482C">
            <w:pPr>
              <w:pStyle w:val="1535"/>
            </w:pPr>
            <w:r>
              <w:rPr>
                <w:rFonts w:hint="eastAsia"/>
              </w:rPr>
              <w:t>第一条  深入贯彻习近平生态文明思想，筑牢长江上游重要生态屏障，推动优势区域重点发展、生态功能区重点保护、城乡融合发展，优化重点区域、流域、产业的空间布局</w:t>
            </w:r>
            <w:r>
              <w:t>。</w:t>
            </w:r>
          </w:p>
          <w:p w14:paraId="0F67860C">
            <w:pPr>
              <w:pStyle w:val="1535"/>
            </w:pPr>
            <w:r>
              <w:rPr>
                <w:rFonts w:hint="eastAsia"/>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118E2778">
            <w:pPr>
              <w:pStyle w:val="1535"/>
            </w:pPr>
            <w:r>
              <w:rPr>
                <w:rFonts w:hint="eastAsia"/>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158CE769">
            <w:pPr>
              <w:pStyle w:val="1535"/>
            </w:pPr>
            <w:r>
              <w:rPr>
                <w:rFonts w:hint="eastAsia"/>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59965F31">
            <w:pPr>
              <w:pStyle w:val="1535"/>
            </w:pPr>
            <w:r>
              <w:rPr>
                <w:rFonts w:hint="eastAsia"/>
              </w:rPr>
              <w:t>第五条  新建、扩建有色金属冶炼、电镀、铅蓄电池等企业应布设在依法合规设立并经过规划环评的产业园区。</w:t>
            </w:r>
          </w:p>
          <w:p w14:paraId="78CEAF8B">
            <w:pPr>
              <w:pStyle w:val="1535"/>
            </w:pPr>
            <w:r>
              <w:rPr>
                <w:rFonts w:hint="eastAsia"/>
              </w:rPr>
              <w:t>第六条  涉及环境防护距离的工业企业或项目应通过选址或调整布局原则上将环境防护距离控制在园区边界或用地红线内，提前合理规划项目地块布置、预防环境风险。</w:t>
            </w:r>
          </w:p>
          <w:p w14:paraId="2C31520C">
            <w:pPr>
              <w:pStyle w:val="1535"/>
            </w:pPr>
            <w:r>
              <w:rPr>
                <w:rFonts w:hint="eastAsia"/>
              </w:rPr>
              <w:t>第七条  有效规范空间开发秩序，合理控制空间开发强度，切实将各类开发活动限制在资源环境承载能力之内，为构建高效协调可持续的国土空间开发格局奠定坚实基础</w:t>
            </w:r>
            <w:r>
              <w:t>。</w:t>
            </w:r>
          </w:p>
        </w:tc>
        <w:tc>
          <w:tcPr>
            <w:tcW w:w="1317" w:type="pct"/>
            <w:vAlign w:val="center"/>
          </w:tcPr>
          <w:p w14:paraId="7B255539">
            <w:pPr>
              <w:pStyle w:val="1535"/>
            </w:pPr>
            <w:r>
              <w:rPr>
                <w:rFonts w:hint="eastAsia"/>
              </w:rPr>
              <w:t>1、项目严格深入贯彻习近平生态文明思想。</w:t>
            </w:r>
          </w:p>
          <w:p w14:paraId="624354C1">
            <w:pPr>
              <w:pStyle w:val="1535"/>
            </w:pPr>
            <w:r>
              <w:rPr>
                <w:rFonts w:hint="eastAsia"/>
              </w:rPr>
              <w:t>2、项目不在长江干支流、重要湖泊岸线一公里范围内且不属于化工项目、尾矿库、冶炼渣库、磷石膏库；不属于重</w:t>
            </w:r>
            <w:r>
              <w:t>化工、</w:t>
            </w:r>
            <w:r>
              <w:rPr>
                <w:rFonts w:hint="eastAsia"/>
              </w:rPr>
              <w:t>纸浆制造、印染</w:t>
            </w:r>
            <w:r>
              <w:t>等存在</w:t>
            </w:r>
            <w:r>
              <w:rPr>
                <w:rFonts w:hint="eastAsia"/>
              </w:rPr>
              <w:t>环境</w:t>
            </w:r>
            <w:r>
              <w:t>风险的项目。</w:t>
            </w:r>
          </w:p>
          <w:p w14:paraId="4C17636D">
            <w:pPr>
              <w:pStyle w:val="1535"/>
            </w:pPr>
            <w:r>
              <w:rPr>
                <w:rFonts w:hint="eastAsia"/>
              </w:rPr>
              <w:t>3、项目位于西彭工业园区属于市级合规园区</w:t>
            </w:r>
            <w:r>
              <w:t>。</w:t>
            </w:r>
          </w:p>
          <w:p w14:paraId="384E3B58">
            <w:pPr>
              <w:pStyle w:val="1535"/>
            </w:pPr>
            <w:r>
              <w:rPr>
                <w:rFonts w:hint="eastAsia"/>
              </w:rPr>
              <w:t>4、项目符合相关要求且不属于高耗能、高排放、低水平项目</w:t>
            </w:r>
            <w:r>
              <w:t>。</w:t>
            </w:r>
          </w:p>
          <w:p w14:paraId="2C476447">
            <w:pPr>
              <w:pStyle w:val="1535"/>
            </w:pPr>
            <w:r>
              <w:rPr>
                <w:rFonts w:hint="eastAsia"/>
              </w:rPr>
              <w:t>5、项目位于西彭工业园区属于市级合规园区且经过规划环评（渝环函〔2023〕439号）属于合规园区且不属于有色金属冶炼、电镀、铅蓄电池等企业</w:t>
            </w:r>
            <w:r>
              <w:t>。</w:t>
            </w:r>
          </w:p>
          <w:p w14:paraId="49DED24E">
            <w:pPr>
              <w:pStyle w:val="1535"/>
            </w:pPr>
            <w:r>
              <w:rPr>
                <w:rFonts w:hint="eastAsia"/>
              </w:rPr>
              <w:t>6、项目不涉及环境防护距离</w:t>
            </w:r>
            <w:r>
              <w:t>。</w:t>
            </w:r>
          </w:p>
          <w:p w14:paraId="0436E45D">
            <w:pPr>
              <w:pStyle w:val="1535"/>
            </w:pPr>
            <w:r>
              <w:rPr>
                <w:rFonts w:hint="eastAsia"/>
              </w:rPr>
              <w:t>7、项目符合规划环评准入要求。</w:t>
            </w:r>
          </w:p>
        </w:tc>
        <w:tc>
          <w:tcPr>
            <w:tcW w:w="392" w:type="pct"/>
            <w:vAlign w:val="center"/>
          </w:tcPr>
          <w:p w14:paraId="48E37816">
            <w:pPr>
              <w:pStyle w:val="1535"/>
            </w:pPr>
            <w:r>
              <w:t>符合</w:t>
            </w:r>
          </w:p>
        </w:tc>
      </w:tr>
      <w:tr w14:paraId="5C48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067D3448">
            <w:pPr>
              <w:pStyle w:val="1535"/>
            </w:pPr>
          </w:p>
        </w:tc>
        <w:tc>
          <w:tcPr>
            <w:tcW w:w="360" w:type="pct"/>
            <w:vAlign w:val="center"/>
          </w:tcPr>
          <w:p w14:paraId="0C4B5A25">
            <w:pPr>
              <w:pStyle w:val="1535"/>
            </w:pPr>
            <w:r>
              <w:t>污染物排放管控</w:t>
            </w:r>
          </w:p>
        </w:tc>
        <w:tc>
          <w:tcPr>
            <w:tcW w:w="2530" w:type="pct"/>
            <w:vAlign w:val="center"/>
          </w:tcPr>
          <w:p w14:paraId="41CDE275">
            <w:pPr>
              <w:pStyle w:val="1535"/>
            </w:pPr>
            <w:r>
              <w:rPr>
                <w:rFonts w:hint="eastAsia"/>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扩建项目严格落实相关产业政策要求，满足能效标杆水平、环保绩效A级指标要求。</w:t>
            </w:r>
          </w:p>
          <w:p w14:paraId="12757202">
            <w:pPr>
              <w:pStyle w:val="1535"/>
            </w:pPr>
            <w:r>
              <w:rPr>
                <w:rFonts w:hint="eastAsia"/>
              </w:rPr>
              <w:t>第九条  严格落实国家及我市大气污染防控相关要求，对大气环境质量未达标地区，新建、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3EA35F7D">
            <w:pPr>
              <w:pStyle w:val="1535"/>
            </w:pPr>
            <w:r>
              <w:rPr>
                <w:rFonts w:hint="eastAsia"/>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1C93110F">
            <w:pPr>
              <w:pStyle w:val="1535"/>
            </w:pPr>
            <w:r>
              <w:rPr>
                <w:rFonts w:hint="eastAsia"/>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51022D56">
            <w:pPr>
              <w:pStyle w:val="1535"/>
            </w:pPr>
            <w:r>
              <w:rPr>
                <w:rFonts w:hint="eastAsia"/>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5B92219E">
            <w:pPr>
              <w:pStyle w:val="1535"/>
            </w:pPr>
            <w:r>
              <w:rPr>
                <w:rFonts w:hint="eastAsia"/>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1020A163">
            <w:pPr>
              <w:pStyle w:val="1535"/>
            </w:pPr>
            <w:r>
              <w:rPr>
                <w:rFonts w:hint="eastAsia"/>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p w14:paraId="4EDC1786">
            <w:pPr>
              <w:pStyle w:val="1535"/>
            </w:pPr>
            <w:r>
              <w:rPr>
                <w:rFonts w:hint="eastAsia"/>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r>
              <w:t>。</w:t>
            </w:r>
          </w:p>
        </w:tc>
        <w:tc>
          <w:tcPr>
            <w:tcW w:w="1317" w:type="pct"/>
            <w:vAlign w:val="center"/>
          </w:tcPr>
          <w:p w14:paraId="6C7F513C">
            <w:pPr>
              <w:pStyle w:val="1535"/>
            </w:pPr>
            <w:r>
              <w:rPr>
                <w:rFonts w:hint="eastAsia"/>
              </w:rPr>
              <w:t>8、项目不属于上述项目，符合相关要求</w:t>
            </w:r>
            <w:r>
              <w:t>。</w:t>
            </w:r>
          </w:p>
          <w:p w14:paraId="6B5C57AA">
            <w:pPr>
              <w:pStyle w:val="1535"/>
            </w:pPr>
            <w:r>
              <w:rPr>
                <w:rFonts w:hint="eastAsia"/>
              </w:rPr>
              <w:t>9、项目位于大气环境质量达标区，严格落实污染物排放总量控制相关要求</w:t>
            </w:r>
            <w:r>
              <w:t>。</w:t>
            </w:r>
          </w:p>
          <w:p w14:paraId="509C121D">
            <w:pPr>
              <w:pStyle w:val="1535"/>
            </w:pPr>
            <w:r>
              <w:rPr>
                <w:rFonts w:hint="eastAsia"/>
              </w:rPr>
              <w:t>10、项目不属于重点行业（石化、化工、工业涂装、包装印刷、油品储运销等），但严格落实污染防治措施，减小对环境影响</w:t>
            </w:r>
            <w:r>
              <w:t>。</w:t>
            </w:r>
          </w:p>
          <w:p w14:paraId="0E6FB808">
            <w:pPr>
              <w:pStyle w:val="1535"/>
            </w:pPr>
            <w:r>
              <w:rPr>
                <w:rFonts w:hint="eastAsia"/>
              </w:rPr>
              <w:t>11、项目所在西彭工业园区建设有西彭工业园区污水处理厂等污水集中处理设施；项目污废水经处理达《污水综合排放标准》（GB 8978-1996）三级标准后排入市政污水管网，进入西彭工业园区污水处理厂进一步处理。</w:t>
            </w:r>
          </w:p>
          <w:p w14:paraId="6EF3C80C">
            <w:pPr>
              <w:pStyle w:val="1535"/>
            </w:pPr>
            <w:r>
              <w:rPr>
                <w:rFonts w:hint="eastAsia"/>
              </w:rPr>
              <w:t>12、目前西彭工业园区污水处理厂正在进行提标改造，近期废水处理达《污水综合排放标准》（GB8978-1996）一级标准后排入桥头河；提标改造完成后处理达《城镇污水处理厂污染物排放标准》（GB18918-2002）一级A标准后排入桥头河（其中COD、NH3-N、TP）达《地表水环境质量标准》（GB3838-2002）Ⅳ类标准。</w:t>
            </w:r>
          </w:p>
          <w:p w14:paraId="194E5698">
            <w:pPr>
              <w:pStyle w:val="1535"/>
            </w:pPr>
            <w:r>
              <w:rPr>
                <w:rFonts w:hint="eastAsia"/>
              </w:rPr>
              <w:t>13、项目不属于〔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不涉及重金属污染物排放。</w:t>
            </w:r>
          </w:p>
          <w:p w14:paraId="6D5CBDCA">
            <w:pPr>
              <w:pStyle w:val="1535"/>
            </w:pPr>
            <w:r>
              <w:rPr>
                <w:rFonts w:hint="eastAsia"/>
              </w:rPr>
              <w:t>14、项目建立健全了工业固体废物产生、收集、贮存、运输、利用、处置全过程的污染环境防治责任制度，建立了工业固体废物管理台账。</w:t>
            </w:r>
          </w:p>
          <w:p w14:paraId="19E9CD8B">
            <w:pPr>
              <w:pStyle w:val="1535"/>
            </w:pPr>
            <w:r>
              <w:rPr>
                <w:rFonts w:hint="eastAsia"/>
              </w:rPr>
              <w:t>15、项目生活垃圾分类收集后交镇环卫部门统一处理。</w:t>
            </w:r>
          </w:p>
        </w:tc>
        <w:tc>
          <w:tcPr>
            <w:tcW w:w="392" w:type="pct"/>
            <w:vAlign w:val="center"/>
          </w:tcPr>
          <w:p w14:paraId="397F1B59">
            <w:pPr>
              <w:pStyle w:val="1535"/>
            </w:pPr>
            <w:r>
              <w:t>符合</w:t>
            </w:r>
          </w:p>
        </w:tc>
      </w:tr>
      <w:tr w14:paraId="2E61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75DCBEE3">
            <w:pPr>
              <w:pStyle w:val="1535"/>
            </w:pPr>
          </w:p>
        </w:tc>
        <w:tc>
          <w:tcPr>
            <w:tcW w:w="360" w:type="pct"/>
            <w:vAlign w:val="center"/>
          </w:tcPr>
          <w:p w14:paraId="30940FD7">
            <w:pPr>
              <w:pStyle w:val="1535"/>
            </w:pPr>
            <w:r>
              <w:t>环境风险防控</w:t>
            </w:r>
          </w:p>
        </w:tc>
        <w:tc>
          <w:tcPr>
            <w:tcW w:w="2530" w:type="pct"/>
            <w:vAlign w:val="center"/>
          </w:tcPr>
          <w:p w14:paraId="3B306ADF">
            <w:pPr>
              <w:pStyle w:val="1535"/>
            </w:pPr>
            <w:r>
              <w:rPr>
                <w:rFonts w:hint="eastAsia"/>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4B80B697">
            <w:pPr>
              <w:pStyle w:val="1535"/>
            </w:pPr>
            <w:r>
              <w:rPr>
                <w:rFonts w:hint="eastAsia"/>
              </w:rPr>
              <w:t>第十七条  强化化工园区涉水突发环境事件四级环境风险防范体系建设。持续推进重点化工园区（化工集中区）建设有毒有害气体监测预警体系和水质生物毒性预警体系</w:t>
            </w:r>
            <w:r>
              <w:t>。</w:t>
            </w:r>
          </w:p>
        </w:tc>
        <w:tc>
          <w:tcPr>
            <w:tcW w:w="1317" w:type="pct"/>
            <w:vAlign w:val="center"/>
          </w:tcPr>
          <w:p w14:paraId="23E9A6EF">
            <w:pPr>
              <w:pStyle w:val="1535"/>
            </w:pPr>
            <w:r>
              <w:rPr>
                <w:rFonts w:hint="eastAsia"/>
              </w:rPr>
              <w:t>16、项目应进行突发环境事件风险评估，编制风险评估报告和应急预案并进行备案</w:t>
            </w:r>
            <w:r>
              <w:t>。</w:t>
            </w:r>
          </w:p>
          <w:p w14:paraId="55B5DDC3">
            <w:pPr>
              <w:pStyle w:val="1535"/>
            </w:pPr>
            <w:r>
              <w:rPr>
                <w:rFonts w:hint="eastAsia"/>
              </w:rPr>
              <w:t>17、</w:t>
            </w:r>
            <w:r>
              <w:t>项目废水处理后排污西彭工业园区污水处理厂进一步处理后排放，废气均收集处理后达标排放，不涉及存在重大环境安全隐患。</w:t>
            </w:r>
          </w:p>
        </w:tc>
        <w:tc>
          <w:tcPr>
            <w:tcW w:w="392" w:type="pct"/>
            <w:vAlign w:val="center"/>
          </w:tcPr>
          <w:p w14:paraId="3D0971DC">
            <w:pPr>
              <w:pStyle w:val="1535"/>
            </w:pPr>
            <w:r>
              <w:t>符合</w:t>
            </w:r>
          </w:p>
        </w:tc>
      </w:tr>
      <w:tr w14:paraId="5A4A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79196E20">
            <w:pPr>
              <w:pStyle w:val="1535"/>
            </w:pPr>
          </w:p>
        </w:tc>
        <w:tc>
          <w:tcPr>
            <w:tcW w:w="360" w:type="pct"/>
            <w:vAlign w:val="center"/>
          </w:tcPr>
          <w:p w14:paraId="5FA2B204">
            <w:pPr>
              <w:pStyle w:val="1535"/>
            </w:pPr>
            <w:r>
              <w:t>资源开发利用效率</w:t>
            </w:r>
          </w:p>
        </w:tc>
        <w:tc>
          <w:tcPr>
            <w:tcW w:w="2530" w:type="pct"/>
            <w:vAlign w:val="center"/>
          </w:tcPr>
          <w:p w14:paraId="7F942EF9">
            <w:pPr>
              <w:pStyle w:val="1535"/>
            </w:pPr>
            <w:r>
              <w:rPr>
                <w:rFonts w:hint="eastAsia"/>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p w14:paraId="72DAF965">
            <w:pPr>
              <w:pStyle w:val="1535"/>
            </w:pPr>
            <w:r>
              <w:rPr>
                <w:rFonts w:hint="eastAsia"/>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14:paraId="559E8A1B">
            <w:pPr>
              <w:pStyle w:val="1535"/>
            </w:pPr>
            <w:r>
              <w:rPr>
                <w:rFonts w:hint="eastAsia"/>
              </w:rPr>
              <w:t>第二十条  新建、扩建“两高”项目应采用先进适用的工艺技术和装备，单位产品物耗、能耗、水耗等达到清洁生产先进水平。</w:t>
            </w:r>
          </w:p>
          <w:p w14:paraId="3E2515BC">
            <w:pPr>
              <w:pStyle w:val="1535"/>
            </w:pPr>
            <w:r>
              <w:rPr>
                <w:rFonts w:hint="eastAsia"/>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14:paraId="2FBFA4AA">
            <w:pPr>
              <w:pStyle w:val="1535"/>
            </w:pPr>
            <w:r>
              <w:rPr>
                <w:rFonts w:hint="eastAsia"/>
              </w:rPr>
              <w:t>第二十二条  加快推进节水配套设施建设，加强再生水、雨水等非常规水多元、梯级和安全利用，逐年提高非常规水利用比例。结合现有污水处理设施提标升级扩能改造，系统规划城镇污水再生利用设施</w:t>
            </w:r>
            <w:r>
              <w:t>。</w:t>
            </w:r>
          </w:p>
        </w:tc>
        <w:tc>
          <w:tcPr>
            <w:tcW w:w="1317" w:type="pct"/>
            <w:vAlign w:val="center"/>
          </w:tcPr>
          <w:p w14:paraId="661CDFA7">
            <w:pPr>
              <w:pStyle w:val="1535"/>
            </w:pPr>
            <w:r>
              <w:rPr>
                <w:rFonts w:hint="eastAsia"/>
              </w:rPr>
              <w:t>18、</w:t>
            </w:r>
            <w:r>
              <w:t>项目积极推动节能、节水等措施</w:t>
            </w:r>
            <w:r>
              <w:rPr>
                <w:rFonts w:hint="eastAsia"/>
              </w:rPr>
              <w:t>，积极响应低碳发展</w:t>
            </w:r>
            <w:r>
              <w:t>。</w:t>
            </w:r>
          </w:p>
          <w:p w14:paraId="7CBCF7F6">
            <w:pPr>
              <w:pStyle w:val="1535"/>
            </w:pPr>
            <w:r>
              <w:rPr>
                <w:rFonts w:hint="eastAsia"/>
              </w:rPr>
              <w:t>19、企业积极对标能耗限额标准先进值，积极响应低碳发展。</w:t>
            </w:r>
          </w:p>
          <w:p w14:paraId="78818097">
            <w:pPr>
              <w:pStyle w:val="1535"/>
            </w:pPr>
            <w:r>
              <w:rPr>
                <w:rFonts w:hint="eastAsia"/>
              </w:rPr>
              <w:t>20、项目不属于“两高”项目，清洁生产水平不低于先进水平。</w:t>
            </w:r>
          </w:p>
          <w:p w14:paraId="1B2F142C">
            <w:pPr>
              <w:pStyle w:val="1535"/>
            </w:pPr>
            <w:r>
              <w:rPr>
                <w:rFonts w:hint="eastAsia"/>
              </w:rPr>
              <w:t>21、项目不属于上述行业，生产过程中冷却水循环利用。</w:t>
            </w:r>
          </w:p>
          <w:p w14:paraId="7825A470">
            <w:pPr>
              <w:pStyle w:val="1535"/>
            </w:pPr>
            <w:r>
              <w:rPr>
                <w:rFonts w:hint="eastAsia"/>
              </w:rPr>
              <w:t>22、项目用水量较少，且循环利用。</w:t>
            </w:r>
          </w:p>
        </w:tc>
        <w:tc>
          <w:tcPr>
            <w:tcW w:w="392" w:type="pct"/>
            <w:vAlign w:val="center"/>
          </w:tcPr>
          <w:p w14:paraId="57224F54">
            <w:pPr>
              <w:pStyle w:val="1535"/>
            </w:pPr>
            <w:r>
              <w:t>符合</w:t>
            </w:r>
          </w:p>
        </w:tc>
      </w:tr>
      <w:tr w14:paraId="7480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restart"/>
            <w:vAlign w:val="center"/>
          </w:tcPr>
          <w:p w14:paraId="68BCB16B">
            <w:pPr>
              <w:pStyle w:val="1535"/>
            </w:pPr>
            <w:r>
              <w:t>九龙坡区管控要求</w:t>
            </w:r>
          </w:p>
        </w:tc>
        <w:tc>
          <w:tcPr>
            <w:tcW w:w="360" w:type="pct"/>
            <w:vMerge w:val="restart"/>
            <w:vAlign w:val="center"/>
          </w:tcPr>
          <w:p w14:paraId="29EF4B23">
            <w:pPr>
              <w:pStyle w:val="1535"/>
            </w:pPr>
            <w:r>
              <w:t>空间布局约束</w:t>
            </w:r>
          </w:p>
        </w:tc>
        <w:tc>
          <w:tcPr>
            <w:tcW w:w="2530" w:type="pct"/>
          </w:tcPr>
          <w:p w14:paraId="5C223B74">
            <w:pPr>
              <w:pStyle w:val="1535"/>
            </w:pPr>
            <w:r>
              <w:rPr>
                <w:rFonts w:hint="eastAsia"/>
              </w:rPr>
              <w:t>第一条  执行重点管控单元市级总体要求第一条、第二条、第三条、第四条、第五条和第七条。</w:t>
            </w:r>
          </w:p>
        </w:tc>
        <w:tc>
          <w:tcPr>
            <w:tcW w:w="1317" w:type="pct"/>
          </w:tcPr>
          <w:p w14:paraId="284FC4C2">
            <w:pPr>
              <w:pStyle w:val="1535"/>
            </w:pPr>
            <w:r>
              <w:rPr>
                <w:rFonts w:hint="eastAsia"/>
              </w:rPr>
              <w:t>1、已在前文全市总体管控要求中进行了分析</w:t>
            </w:r>
          </w:p>
        </w:tc>
        <w:tc>
          <w:tcPr>
            <w:tcW w:w="392" w:type="pct"/>
          </w:tcPr>
          <w:p w14:paraId="173C045F">
            <w:pPr>
              <w:pStyle w:val="1535"/>
            </w:pPr>
            <w:r>
              <w:rPr>
                <w:rFonts w:hint="eastAsia"/>
              </w:rPr>
              <w:t>符合</w:t>
            </w:r>
          </w:p>
        </w:tc>
      </w:tr>
      <w:tr w14:paraId="16D2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7CBC7040">
            <w:pPr>
              <w:pStyle w:val="1535"/>
            </w:pPr>
          </w:p>
        </w:tc>
        <w:tc>
          <w:tcPr>
            <w:tcW w:w="360" w:type="pct"/>
            <w:vMerge w:val="continue"/>
            <w:vAlign w:val="center"/>
          </w:tcPr>
          <w:p w14:paraId="642B498C">
            <w:pPr>
              <w:pStyle w:val="1535"/>
            </w:pPr>
          </w:p>
        </w:tc>
        <w:tc>
          <w:tcPr>
            <w:tcW w:w="2530" w:type="pct"/>
          </w:tcPr>
          <w:p w14:paraId="6BB17B44">
            <w:pPr>
              <w:pStyle w:val="1535"/>
            </w:pPr>
            <w:r>
              <w:rPr>
                <w:rFonts w:hint="eastAsia"/>
              </w:rPr>
              <w:t>第二条  以完善优势产业链发展作为方向，科学合理优化工业用地空间布局，推进产城融合高质量发展。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1317" w:type="pct"/>
          </w:tcPr>
          <w:p w14:paraId="12D2BFC4">
            <w:pPr>
              <w:pStyle w:val="1535"/>
            </w:pPr>
            <w:r>
              <w:rPr>
                <w:rFonts w:hint="eastAsia"/>
              </w:rPr>
              <w:t>2、项目位于九龙坡区西彭工业园区D标准分区D81地块周边无居住用地、中小学用地等。</w:t>
            </w:r>
          </w:p>
        </w:tc>
        <w:tc>
          <w:tcPr>
            <w:tcW w:w="392" w:type="pct"/>
          </w:tcPr>
          <w:p w14:paraId="3A137096">
            <w:pPr>
              <w:pStyle w:val="1535"/>
            </w:pPr>
            <w:r>
              <w:rPr>
                <w:rFonts w:hint="eastAsia"/>
              </w:rPr>
              <w:t>符合</w:t>
            </w:r>
          </w:p>
        </w:tc>
      </w:tr>
      <w:tr w14:paraId="51F8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351B47ED">
            <w:pPr>
              <w:pStyle w:val="1535"/>
            </w:pPr>
          </w:p>
        </w:tc>
        <w:tc>
          <w:tcPr>
            <w:tcW w:w="360" w:type="pct"/>
            <w:vMerge w:val="restart"/>
            <w:vAlign w:val="center"/>
          </w:tcPr>
          <w:p w14:paraId="72A32A35">
            <w:pPr>
              <w:pStyle w:val="1535"/>
            </w:pPr>
            <w:r>
              <w:rPr>
                <w:rFonts w:hint="eastAsia"/>
              </w:rPr>
              <w:t>污染物排放管控</w:t>
            </w:r>
          </w:p>
        </w:tc>
        <w:tc>
          <w:tcPr>
            <w:tcW w:w="2530" w:type="pct"/>
            <w:vAlign w:val="center"/>
          </w:tcPr>
          <w:p w14:paraId="78972EA8">
            <w:pPr>
              <w:pStyle w:val="1535"/>
            </w:pPr>
            <w:r>
              <w:t>第三条  执行重点管控单元市级总体要求第八条、第九条、第十一条、第十二条、第十四条和第十五条。</w:t>
            </w:r>
          </w:p>
        </w:tc>
        <w:tc>
          <w:tcPr>
            <w:tcW w:w="1317" w:type="pct"/>
            <w:vAlign w:val="center"/>
          </w:tcPr>
          <w:p w14:paraId="5AE5E987">
            <w:pPr>
              <w:pStyle w:val="1535"/>
            </w:pPr>
            <w:r>
              <w:rPr>
                <w:rFonts w:hint="eastAsia"/>
              </w:rPr>
              <w:t>3、</w:t>
            </w:r>
            <w:r>
              <w:t>已在前文全市总体管控要求中进行了分析</w:t>
            </w:r>
          </w:p>
        </w:tc>
        <w:tc>
          <w:tcPr>
            <w:tcW w:w="392" w:type="pct"/>
            <w:vAlign w:val="center"/>
          </w:tcPr>
          <w:p w14:paraId="413CBBAE">
            <w:pPr>
              <w:pStyle w:val="1535"/>
            </w:pPr>
            <w:r>
              <w:t>符合</w:t>
            </w:r>
          </w:p>
        </w:tc>
      </w:tr>
      <w:tr w14:paraId="1DC0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53F646B2">
            <w:pPr>
              <w:pStyle w:val="1535"/>
            </w:pPr>
          </w:p>
        </w:tc>
        <w:tc>
          <w:tcPr>
            <w:tcW w:w="360" w:type="pct"/>
            <w:vMerge w:val="continue"/>
            <w:vAlign w:val="center"/>
          </w:tcPr>
          <w:p w14:paraId="2A02F1E2">
            <w:pPr>
              <w:pStyle w:val="1535"/>
            </w:pPr>
          </w:p>
        </w:tc>
        <w:tc>
          <w:tcPr>
            <w:tcW w:w="2530" w:type="pct"/>
            <w:vAlign w:val="center"/>
          </w:tcPr>
          <w:p w14:paraId="4E062F10">
            <w:pPr>
              <w:pStyle w:val="1535"/>
            </w:pPr>
            <w:r>
              <w:t>第四条  以重点行业为抓手，深化挥发性有机物治理，减缓工居混杂矛盾。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1317" w:type="pct"/>
            <w:vAlign w:val="center"/>
          </w:tcPr>
          <w:p w14:paraId="5E4848FC">
            <w:pPr>
              <w:pStyle w:val="1535"/>
            </w:pPr>
            <w:r>
              <w:rPr>
                <w:rFonts w:hint="eastAsia"/>
              </w:rPr>
              <w:t>4、</w:t>
            </w:r>
            <w:r>
              <w:t>项目不属于工业涂装、汽车维修、油品储运销</w:t>
            </w:r>
            <w:r>
              <w:rPr>
                <w:rFonts w:hint="eastAsia"/>
              </w:rPr>
              <w:t>等</w:t>
            </w:r>
            <w:r>
              <w:t>行业。</w:t>
            </w:r>
          </w:p>
        </w:tc>
        <w:tc>
          <w:tcPr>
            <w:tcW w:w="392" w:type="pct"/>
            <w:vAlign w:val="center"/>
          </w:tcPr>
          <w:p w14:paraId="1624D307">
            <w:pPr>
              <w:pStyle w:val="1535"/>
            </w:pPr>
            <w:r>
              <w:t>符合</w:t>
            </w:r>
          </w:p>
        </w:tc>
      </w:tr>
      <w:tr w14:paraId="741B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7859E6B4">
            <w:pPr>
              <w:pStyle w:val="1535"/>
            </w:pPr>
          </w:p>
        </w:tc>
        <w:tc>
          <w:tcPr>
            <w:tcW w:w="360" w:type="pct"/>
            <w:vMerge w:val="continue"/>
            <w:vAlign w:val="center"/>
          </w:tcPr>
          <w:p w14:paraId="2BF47370">
            <w:pPr>
              <w:pStyle w:val="1535"/>
            </w:pPr>
          </w:p>
        </w:tc>
        <w:tc>
          <w:tcPr>
            <w:tcW w:w="2530" w:type="pct"/>
            <w:vAlign w:val="center"/>
          </w:tcPr>
          <w:p w14:paraId="5BFD66D4">
            <w:pPr>
              <w:pStyle w:val="1535"/>
            </w:pPr>
            <w:r>
              <w:t>第五条  以餐饮油烟为重点，强化生活污染防治。加大居民生活油烟排放治理，推动具备条件的餐饮单位安装餐饮油烟在线监控设施，加强对重点区域无油烟净化设施露天摊位的管理。</w:t>
            </w:r>
          </w:p>
        </w:tc>
        <w:tc>
          <w:tcPr>
            <w:tcW w:w="1317" w:type="pct"/>
            <w:vAlign w:val="center"/>
          </w:tcPr>
          <w:p w14:paraId="235EB65F">
            <w:pPr>
              <w:pStyle w:val="1535"/>
            </w:pPr>
            <w:r>
              <w:rPr>
                <w:rFonts w:hint="eastAsia"/>
              </w:rPr>
              <w:t>5、</w:t>
            </w:r>
            <w:r>
              <w:t>项目不属于餐饮单位。</w:t>
            </w:r>
          </w:p>
        </w:tc>
        <w:tc>
          <w:tcPr>
            <w:tcW w:w="392" w:type="pct"/>
            <w:vAlign w:val="center"/>
          </w:tcPr>
          <w:p w14:paraId="03872ECF">
            <w:pPr>
              <w:pStyle w:val="1535"/>
            </w:pPr>
            <w:r>
              <w:t>符合</w:t>
            </w:r>
          </w:p>
        </w:tc>
      </w:tr>
      <w:tr w14:paraId="24D4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5D6E7DA1">
            <w:pPr>
              <w:pStyle w:val="1535"/>
            </w:pPr>
          </w:p>
        </w:tc>
        <w:tc>
          <w:tcPr>
            <w:tcW w:w="360" w:type="pct"/>
            <w:vMerge w:val="continue"/>
            <w:vAlign w:val="center"/>
          </w:tcPr>
          <w:p w14:paraId="72D6626D">
            <w:pPr>
              <w:pStyle w:val="1535"/>
            </w:pPr>
          </w:p>
        </w:tc>
        <w:tc>
          <w:tcPr>
            <w:tcW w:w="2530" w:type="pct"/>
            <w:vAlign w:val="center"/>
          </w:tcPr>
          <w:p w14:paraId="258AE0BE">
            <w:pPr>
              <w:pStyle w:val="1535"/>
            </w:pPr>
            <w:r>
              <w:t>第六条  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tc>
        <w:tc>
          <w:tcPr>
            <w:tcW w:w="1317" w:type="pct"/>
            <w:vAlign w:val="center"/>
          </w:tcPr>
          <w:p w14:paraId="5BDC974A">
            <w:pPr>
              <w:pStyle w:val="1535"/>
            </w:pPr>
            <w:r>
              <w:rPr>
                <w:rFonts w:hint="eastAsia"/>
              </w:rPr>
              <w:t>6、</w:t>
            </w:r>
            <w:r>
              <w:t>项目施工期</w:t>
            </w:r>
            <w:r>
              <w:rPr>
                <w:rFonts w:hint="eastAsia"/>
              </w:rPr>
              <w:t>不涉及基础施工，施工期短，</w:t>
            </w:r>
            <w:r>
              <w:t>采取严格的污染防治措施减少施工扬尘排放。</w:t>
            </w:r>
          </w:p>
        </w:tc>
        <w:tc>
          <w:tcPr>
            <w:tcW w:w="392" w:type="pct"/>
            <w:vAlign w:val="center"/>
          </w:tcPr>
          <w:p w14:paraId="38A4C98D">
            <w:pPr>
              <w:pStyle w:val="1535"/>
            </w:pPr>
            <w:r>
              <w:t>符合</w:t>
            </w:r>
          </w:p>
        </w:tc>
      </w:tr>
      <w:tr w14:paraId="570C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17AD174D">
            <w:pPr>
              <w:pStyle w:val="1535"/>
            </w:pPr>
          </w:p>
        </w:tc>
        <w:tc>
          <w:tcPr>
            <w:tcW w:w="360" w:type="pct"/>
            <w:vMerge w:val="continue"/>
            <w:vAlign w:val="center"/>
          </w:tcPr>
          <w:p w14:paraId="6663A855">
            <w:pPr>
              <w:pStyle w:val="1535"/>
            </w:pPr>
          </w:p>
        </w:tc>
        <w:tc>
          <w:tcPr>
            <w:tcW w:w="2530" w:type="pct"/>
            <w:vAlign w:val="center"/>
          </w:tcPr>
          <w:p w14:paraId="183DAA09">
            <w:pPr>
              <w:pStyle w:val="1535"/>
            </w:pPr>
            <w:r>
              <w:t>第七条  以“三河六溪”污染综合治理为核心，改善次级河流水质。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1317" w:type="pct"/>
            <w:vAlign w:val="center"/>
          </w:tcPr>
          <w:p w14:paraId="10B0D6FE">
            <w:pPr>
              <w:pStyle w:val="1535"/>
            </w:pPr>
            <w:r>
              <w:rPr>
                <w:rFonts w:hint="eastAsia"/>
              </w:rPr>
              <w:t>7、</w:t>
            </w:r>
            <w:r>
              <w:t>项目排水采用雨污分流制，产生的污废水</w:t>
            </w:r>
            <w:r>
              <w:rPr>
                <w:rFonts w:hint="eastAsia"/>
              </w:rPr>
              <w:t>经处理达《污水综合排放标准》（GB 8978-1996）三级标准后排入市政污水管网，进入西彭工业园区污水处理厂进一步处理</w:t>
            </w:r>
            <w:r>
              <w:t>达标后排放，对地表水环境影响小。</w:t>
            </w:r>
          </w:p>
        </w:tc>
        <w:tc>
          <w:tcPr>
            <w:tcW w:w="392" w:type="pct"/>
            <w:vAlign w:val="center"/>
          </w:tcPr>
          <w:p w14:paraId="6B3478D5">
            <w:pPr>
              <w:pStyle w:val="1535"/>
            </w:pPr>
            <w:r>
              <w:t>符合</w:t>
            </w:r>
          </w:p>
        </w:tc>
      </w:tr>
      <w:tr w14:paraId="5D65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115DF3B7">
            <w:pPr>
              <w:pStyle w:val="1535"/>
            </w:pPr>
          </w:p>
        </w:tc>
        <w:tc>
          <w:tcPr>
            <w:tcW w:w="360" w:type="pct"/>
            <w:vMerge w:val="continue"/>
            <w:vAlign w:val="center"/>
          </w:tcPr>
          <w:p w14:paraId="5C5B5C17">
            <w:pPr>
              <w:pStyle w:val="1535"/>
            </w:pPr>
          </w:p>
        </w:tc>
        <w:tc>
          <w:tcPr>
            <w:tcW w:w="2530" w:type="pct"/>
            <w:vAlign w:val="center"/>
          </w:tcPr>
          <w:p w14:paraId="37E8C96E">
            <w:pPr>
              <w:pStyle w:val="1535"/>
            </w:pPr>
            <w:r>
              <w:t>第八条  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p>
        </w:tc>
        <w:tc>
          <w:tcPr>
            <w:tcW w:w="1317" w:type="pct"/>
            <w:vAlign w:val="center"/>
          </w:tcPr>
          <w:p w14:paraId="78844A16">
            <w:pPr>
              <w:pStyle w:val="1535"/>
            </w:pPr>
            <w:r>
              <w:rPr>
                <w:rFonts w:hint="eastAsia"/>
              </w:rPr>
              <w:t>8、</w:t>
            </w:r>
            <w:r>
              <w:t>项目为工业项目不涉及农业种植和水产养殖。</w:t>
            </w:r>
          </w:p>
        </w:tc>
        <w:tc>
          <w:tcPr>
            <w:tcW w:w="392" w:type="pct"/>
            <w:vAlign w:val="center"/>
          </w:tcPr>
          <w:p w14:paraId="061B38FD">
            <w:pPr>
              <w:pStyle w:val="1535"/>
            </w:pPr>
            <w:r>
              <w:t>符合</w:t>
            </w:r>
          </w:p>
        </w:tc>
      </w:tr>
      <w:tr w14:paraId="0C52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2B332C42">
            <w:pPr>
              <w:pStyle w:val="1535"/>
            </w:pPr>
          </w:p>
        </w:tc>
        <w:tc>
          <w:tcPr>
            <w:tcW w:w="360" w:type="pct"/>
            <w:vMerge w:val="restart"/>
            <w:vAlign w:val="center"/>
          </w:tcPr>
          <w:p w14:paraId="6535B9AA">
            <w:pPr>
              <w:pStyle w:val="1535"/>
            </w:pPr>
            <w:r>
              <w:t>环境风险防控</w:t>
            </w:r>
          </w:p>
        </w:tc>
        <w:tc>
          <w:tcPr>
            <w:tcW w:w="2530" w:type="pct"/>
            <w:vAlign w:val="center"/>
          </w:tcPr>
          <w:p w14:paraId="592098DB">
            <w:pPr>
              <w:pStyle w:val="1535"/>
            </w:pPr>
            <w:r>
              <w:t>第九条  执行重点管控单元市级总体要求第十六条。</w:t>
            </w:r>
          </w:p>
        </w:tc>
        <w:tc>
          <w:tcPr>
            <w:tcW w:w="1317" w:type="pct"/>
            <w:vAlign w:val="center"/>
          </w:tcPr>
          <w:p w14:paraId="5294EB30">
            <w:pPr>
              <w:pStyle w:val="1535"/>
            </w:pPr>
            <w:r>
              <w:rPr>
                <w:rFonts w:hint="eastAsia"/>
              </w:rPr>
              <w:t>9、</w:t>
            </w:r>
            <w:r>
              <w:t>已在前文全市总体管控要求中进行了分析</w:t>
            </w:r>
          </w:p>
        </w:tc>
        <w:tc>
          <w:tcPr>
            <w:tcW w:w="392" w:type="pct"/>
            <w:vAlign w:val="center"/>
          </w:tcPr>
          <w:p w14:paraId="360F8447">
            <w:pPr>
              <w:pStyle w:val="1535"/>
            </w:pPr>
            <w:r>
              <w:t>符合</w:t>
            </w:r>
          </w:p>
        </w:tc>
      </w:tr>
      <w:tr w14:paraId="4BBF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50CFF1AE">
            <w:pPr>
              <w:pStyle w:val="1535"/>
            </w:pPr>
          </w:p>
        </w:tc>
        <w:tc>
          <w:tcPr>
            <w:tcW w:w="360" w:type="pct"/>
            <w:vMerge w:val="continue"/>
            <w:vAlign w:val="center"/>
          </w:tcPr>
          <w:p w14:paraId="54777D59">
            <w:pPr>
              <w:pStyle w:val="1535"/>
            </w:pPr>
          </w:p>
        </w:tc>
        <w:tc>
          <w:tcPr>
            <w:tcW w:w="2530" w:type="pct"/>
            <w:vAlign w:val="center"/>
          </w:tcPr>
          <w:p w14:paraId="071090B5">
            <w:pPr>
              <w:pStyle w:val="1535"/>
            </w:pPr>
            <w:r>
              <w:t>第十条  以保障饮用水源安全为目标，完善区域环境风险措施。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tc>
        <w:tc>
          <w:tcPr>
            <w:tcW w:w="1317" w:type="pct"/>
            <w:vAlign w:val="center"/>
          </w:tcPr>
          <w:p w14:paraId="218C2D46">
            <w:pPr>
              <w:pStyle w:val="1535"/>
            </w:pPr>
            <w:r>
              <w:rPr>
                <w:rFonts w:hint="eastAsia"/>
              </w:rPr>
              <w:t>10、</w:t>
            </w:r>
            <w:r>
              <w:t>项目不涉及饮用水源，不涉及重点风险源。</w:t>
            </w:r>
          </w:p>
        </w:tc>
        <w:tc>
          <w:tcPr>
            <w:tcW w:w="392" w:type="pct"/>
            <w:vAlign w:val="center"/>
          </w:tcPr>
          <w:p w14:paraId="19B18EC7">
            <w:pPr>
              <w:pStyle w:val="1535"/>
            </w:pPr>
            <w:r>
              <w:t>符合</w:t>
            </w:r>
          </w:p>
        </w:tc>
      </w:tr>
      <w:tr w14:paraId="4065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0102FEED">
            <w:pPr>
              <w:pStyle w:val="1535"/>
            </w:pPr>
          </w:p>
        </w:tc>
        <w:tc>
          <w:tcPr>
            <w:tcW w:w="360" w:type="pct"/>
            <w:vMerge w:val="continue"/>
            <w:vAlign w:val="center"/>
          </w:tcPr>
          <w:p w14:paraId="6AFA8A4F">
            <w:pPr>
              <w:pStyle w:val="1535"/>
            </w:pPr>
          </w:p>
        </w:tc>
        <w:tc>
          <w:tcPr>
            <w:tcW w:w="2530" w:type="pct"/>
            <w:vAlign w:val="center"/>
          </w:tcPr>
          <w:p w14:paraId="2898EC17">
            <w:pPr>
              <w:pStyle w:val="1535"/>
            </w:pPr>
            <w:r>
              <w:t>第十一条  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1317" w:type="pct"/>
            <w:vAlign w:val="center"/>
          </w:tcPr>
          <w:p w14:paraId="0DA6093F">
            <w:pPr>
              <w:pStyle w:val="1535"/>
            </w:pPr>
            <w:r>
              <w:rPr>
                <w:rFonts w:hint="eastAsia"/>
              </w:rPr>
              <w:t>11、</w:t>
            </w:r>
            <w:r>
              <w:t>项目所在地块用地性质为工业用地，且不涉及污染地块。</w:t>
            </w:r>
          </w:p>
        </w:tc>
        <w:tc>
          <w:tcPr>
            <w:tcW w:w="392" w:type="pct"/>
            <w:vAlign w:val="center"/>
          </w:tcPr>
          <w:p w14:paraId="35BD7607">
            <w:pPr>
              <w:pStyle w:val="1535"/>
            </w:pPr>
            <w:r>
              <w:t>符合</w:t>
            </w:r>
          </w:p>
        </w:tc>
      </w:tr>
      <w:tr w14:paraId="56D6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1834D76B">
            <w:pPr>
              <w:pStyle w:val="1535"/>
            </w:pPr>
          </w:p>
        </w:tc>
        <w:tc>
          <w:tcPr>
            <w:tcW w:w="360" w:type="pct"/>
            <w:vMerge w:val="restart"/>
            <w:vAlign w:val="center"/>
          </w:tcPr>
          <w:p w14:paraId="3E38E4AF">
            <w:pPr>
              <w:pStyle w:val="1535"/>
            </w:pPr>
            <w:r>
              <w:t>资源开发利用效率</w:t>
            </w:r>
          </w:p>
        </w:tc>
        <w:tc>
          <w:tcPr>
            <w:tcW w:w="2530" w:type="pct"/>
            <w:vAlign w:val="center"/>
          </w:tcPr>
          <w:p w14:paraId="27A9EBFC">
            <w:pPr>
              <w:pStyle w:val="1535"/>
            </w:pPr>
            <w:r>
              <w:t>第十二条  执行重点管控单元市级总体要求第十八条、第十九条、第二十条、第二十一条。</w:t>
            </w:r>
          </w:p>
        </w:tc>
        <w:tc>
          <w:tcPr>
            <w:tcW w:w="1317" w:type="pct"/>
            <w:vAlign w:val="center"/>
          </w:tcPr>
          <w:p w14:paraId="3CCEF74B">
            <w:pPr>
              <w:pStyle w:val="1535"/>
            </w:pPr>
            <w:r>
              <w:rPr>
                <w:rFonts w:hint="eastAsia"/>
              </w:rPr>
              <w:t>12、</w:t>
            </w:r>
            <w:r>
              <w:t>已在前文全市总体管控要求中进行了分析</w:t>
            </w:r>
            <w:r>
              <w:rPr>
                <w:rFonts w:hint="eastAsia"/>
              </w:rPr>
              <w:t>。</w:t>
            </w:r>
          </w:p>
        </w:tc>
        <w:tc>
          <w:tcPr>
            <w:tcW w:w="392" w:type="pct"/>
            <w:vAlign w:val="center"/>
          </w:tcPr>
          <w:p w14:paraId="6AF1BC6E">
            <w:pPr>
              <w:pStyle w:val="1535"/>
            </w:pPr>
            <w:r>
              <w:t>符合</w:t>
            </w:r>
          </w:p>
        </w:tc>
      </w:tr>
      <w:tr w14:paraId="5C4F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04B933D3">
            <w:pPr>
              <w:pStyle w:val="1535"/>
            </w:pPr>
          </w:p>
        </w:tc>
        <w:tc>
          <w:tcPr>
            <w:tcW w:w="360" w:type="pct"/>
            <w:vMerge w:val="continue"/>
            <w:vAlign w:val="center"/>
          </w:tcPr>
          <w:p w14:paraId="5005DB4D">
            <w:pPr>
              <w:pStyle w:val="1535"/>
            </w:pPr>
          </w:p>
        </w:tc>
        <w:tc>
          <w:tcPr>
            <w:tcW w:w="2530" w:type="pct"/>
            <w:vAlign w:val="center"/>
          </w:tcPr>
          <w:p w14:paraId="0BBAF4EA">
            <w:pPr>
              <w:pStyle w:val="1535"/>
            </w:pPr>
            <w:r>
              <w:t>第十三条  以促进产业绿色低碳循环发展为导向，推动减污降碳协同共治。结合九龙新城园区西部片区（原西彭工业园区）近零碳园区建设，深化有色金属冶炼及压延加工业、化学原料及化学制品制造业和汽车制造业等行业减污降碳。</w:t>
            </w:r>
          </w:p>
        </w:tc>
        <w:tc>
          <w:tcPr>
            <w:tcW w:w="1317" w:type="pct"/>
            <w:vAlign w:val="center"/>
          </w:tcPr>
          <w:p w14:paraId="1E52639E">
            <w:pPr>
              <w:pStyle w:val="1535"/>
            </w:pPr>
            <w:r>
              <w:rPr>
                <w:rFonts w:hint="eastAsia"/>
              </w:rPr>
              <w:t>13、</w:t>
            </w:r>
            <w:r>
              <w:t>项目积极响应减污降碳。</w:t>
            </w:r>
          </w:p>
        </w:tc>
        <w:tc>
          <w:tcPr>
            <w:tcW w:w="392" w:type="pct"/>
            <w:vAlign w:val="center"/>
          </w:tcPr>
          <w:p w14:paraId="59C45720">
            <w:pPr>
              <w:pStyle w:val="1535"/>
            </w:pPr>
            <w:r>
              <w:t>符合</w:t>
            </w:r>
          </w:p>
        </w:tc>
      </w:tr>
      <w:tr w14:paraId="2F8C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673DC8D7">
            <w:pPr>
              <w:pStyle w:val="1535"/>
            </w:pPr>
          </w:p>
        </w:tc>
        <w:tc>
          <w:tcPr>
            <w:tcW w:w="360" w:type="pct"/>
            <w:vMerge w:val="continue"/>
            <w:vAlign w:val="center"/>
          </w:tcPr>
          <w:p w14:paraId="484ED0F3">
            <w:pPr>
              <w:pStyle w:val="1535"/>
            </w:pPr>
          </w:p>
        </w:tc>
        <w:tc>
          <w:tcPr>
            <w:tcW w:w="2530" w:type="pct"/>
            <w:vAlign w:val="center"/>
          </w:tcPr>
          <w:p w14:paraId="12B2C2E3">
            <w:pPr>
              <w:pStyle w:val="1535"/>
            </w:pPr>
            <w:r>
              <w:t>第十四条  提升工业、城镇生活、农业节水能力，推进再生水循环利用，提高水资源利用效率。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1317" w:type="pct"/>
            <w:vAlign w:val="center"/>
          </w:tcPr>
          <w:p w14:paraId="6EEB3250">
            <w:pPr>
              <w:pStyle w:val="1535"/>
            </w:pPr>
            <w:r>
              <w:rPr>
                <w:rFonts w:hint="eastAsia"/>
              </w:rPr>
              <w:t>14、</w:t>
            </w:r>
            <w:r>
              <w:t>项目用水较少，</w:t>
            </w:r>
            <w:r>
              <w:rPr>
                <w:rFonts w:hint="eastAsia"/>
              </w:rPr>
              <w:t>循环利用，</w:t>
            </w:r>
            <w:r>
              <w:t>不属于高耗水行业，且积极推进节约用水。</w:t>
            </w:r>
          </w:p>
        </w:tc>
        <w:tc>
          <w:tcPr>
            <w:tcW w:w="392" w:type="pct"/>
            <w:vAlign w:val="center"/>
          </w:tcPr>
          <w:p w14:paraId="4FF61B93">
            <w:pPr>
              <w:pStyle w:val="1535"/>
            </w:pPr>
            <w:r>
              <w:t>符合</w:t>
            </w:r>
          </w:p>
        </w:tc>
      </w:tr>
      <w:tr w14:paraId="22C6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restart"/>
            <w:vAlign w:val="center"/>
          </w:tcPr>
          <w:p w14:paraId="45ECEE31">
            <w:pPr>
              <w:pStyle w:val="1535"/>
            </w:pPr>
            <w:r>
              <w:t>单元管控要求</w:t>
            </w:r>
          </w:p>
        </w:tc>
        <w:tc>
          <w:tcPr>
            <w:tcW w:w="360" w:type="pct"/>
            <w:vMerge w:val="restart"/>
            <w:vAlign w:val="center"/>
          </w:tcPr>
          <w:p w14:paraId="2D7AAA30">
            <w:pPr>
              <w:pStyle w:val="1535"/>
            </w:pPr>
            <w:r>
              <w:t>空间布局约束</w:t>
            </w:r>
          </w:p>
        </w:tc>
        <w:tc>
          <w:tcPr>
            <w:tcW w:w="2530" w:type="pct"/>
            <w:vAlign w:val="center"/>
          </w:tcPr>
          <w:p w14:paraId="55DFCBDA">
            <w:pPr>
              <w:pStyle w:val="1535"/>
            </w:pPr>
            <w:r>
              <w:rPr>
                <w:rFonts w:hint="eastAsia"/>
              </w:rPr>
              <w:t>1.紧邻现状及规划居住用地、中小学用地等的工业用地后续引入项目时应考虑以污染较轻的项目为主，禁止新建涉及喷漆、酸洗、熔炼等异味较大的生产工艺项目。</w:t>
            </w:r>
          </w:p>
        </w:tc>
        <w:tc>
          <w:tcPr>
            <w:tcW w:w="1317" w:type="pct"/>
            <w:vAlign w:val="center"/>
          </w:tcPr>
          <w:p w14:paraId="059C50ED">
            <w:pPr>
              <w:pStyle w:val="1535"/>
            </w:pPr>
            <w:r>
              <w:rPr>
                <w:rFonts w:hint="eastAsia"/>
              </w:rPr>
              <w:t>1、项目位于九龙坡区西彭工业园区D标准分区</w:t>
            </w:r>
            <w:r>
              <w:rPr>
                <w:rFonts w:hint="eastAsia"/>
                <w:szCs w:val="22"/>
              </w:rPr>
              <w:t>D22</w:t>
            </w:r>
            <w:r>
              <w:rPr>
                <w:rFonts w:hint="eastAsia"/>
              </w:rPr>
              <w:t>地块周边无居住用地、中小学用地等。</w:t>
            </w:r>
          </w:p>
        </w:tc>
        <w:tc>
          <w:tcPr>
            <w:tcW w:w="392" w:type="pct"/>
            <w:vAlign w:val="center"/>
          </w:tcPr>
          <w:p w14:paraId="58D948B2">
            <w:pPr>
              <w:pStyle w:val="1535"/>
            </w:pPr>
            <w:r>
              <w:t>符合</w:t>
            </w:r>
          </w:p>
        </w:tc>
      </w:tr>
      <w:tr w14:paraId="6B47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3E127AA7">
            <w:pPr>
              <w:pStyle w:val="1535"/>
            </w:pPr>
          </w:p>
        </w:tc>
        <w:tc>
          <w:tcPr>
            <w:tcW w:w="360" w:type="pct"/>
            <w:vMerge w:val="continue"/>
            <w:vAlign w:val="center"/>
          </w:tcPr>
          <w:p w14:paraId="65F82C83">
            <w:pPr>
              <w:pStyle w:val="1535"/>
            </w:pPr>
          </w:p>
        </w:tc>
        <w:tc>
          <w:tcPr>
            <w:tcW w:w="2530" w:type="pct"/>
            <w:vAlign w:val="center"/>
          </w:tcPr>
          <w:p w14:paraId="7CD0813E">
            <w:pPr>
              <w:pStyle w:val="1535"/>
            </w:pPr>
            <w:r>
              <w:rPr>
                <w:rFonts w:hint="eastAsia"/>
              </w:rPr>
              <w:t xml:space="preserve">2.推动九龙西城新能源、装备制造、新材料等产业往下游延伸；西彭工业园区禁止 新建、扩建木质家具制造、报废汽车拆解、平板玻璃制造工业项目。 </w:t>
            </w:r>
          </w:p>
        </w:tc>
        <w:tc>
          <w:tcPr>
            <w:tcW w:w="1317" w:type="pct"/>
            <w:vAlign w:val="center"/>
          </w:tcPr>
          <w:p w14:paraId="65FB17B0">
            <w:pPr>
              <w:pStyle w:val="1535"/>
            </w:pPr>
            <w:r>
              <w:rPr>
                <w:rFonts w:hint="eastAsia"/>
              </w:rPr>
              <w:t>2、</w:t>
            </w:r>
            <w:r>
              <w:t>项目</w:t>
            </w:r>
            <w:r>
              <w:rPr>
                <w:rFonts w:hint="eastAsia"/>
              </w:rPr>
              <w:t>为电子专用材料制造，不属于木制家具制造、报废汽车拆解、平板玻璃制造等工业项目</w:t>
            </w:r>
            <w:r>
              <w:t>。</w:t>
            </w:r>
          </w:p>
        </w:tc>
        <w:tc>
          <w:tcPr>
            <w:tcW w:w="392" w:type="pct"/>
            <w:vAlign w:val="center"/>
          </w:tcPr>
          <w:p w14:paraId="6CC8B7FE">
            <w:pPr>
              <w:pStyle w:val="1535"/>
            </w:pPr>
            <w:r>
              <w:t>符合</w:t>
            </w:r>
          </w:p>
        </w:tc>
      </w:tr>
      <w:tr w14:paraId="4438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2DE7B0BC">
            <w:pPr>
              <w:pStyle w:val="1535"/>
            </w:pPr>
          </w:p>
        </w:tc>
        <w:tc>
          <w:tcPr>
            <w:tcW w:w="360" w:type="pct"/>
            <w:vMerge w:val="continue"/>
            <w:vAlign w:val="center"/>
          </w:tcPr>
          <w:p w14:paraId="2C73DADD">
            <w:pPr>
              <w:pStyle w:val="1535"/>
            </w:pPr>
          </w:p>
        </w:tc>
        <w:tc>
          <w:tcPr>
            <w:tcW w:w="2530" w:type="pct"/>
            <w:vAlign w:val="center"/>
          </w:tcPr>
          <w:p w14:paraId="73A01D75">
            <w:pPr>
              <w:pStyle w:val="1535"/>
            </w:pPr>
            <w:r>
              <w:rPr>
                <w:rFonts w:hint="eastAsia"/>
              </w:rPr>
              <w:t>3.重庆奇爽 实业（集团）有限公司、红蜻蜓（重庆）植物油脂有限公司、重庆小可食品有限公司、重庆豆奇食品有限公司不再扩大用地规模、不新增污染物排放。</w:t>
            </w:r>
          </w:p>
        </w:tc>
        <w:tc>
          <w:tcPr>
            <w:tcW w:w="1317" w:type="pct"/>
            <w:vAlign w:val="center"/>
          </w:tcPr>
          <w:p w14:paraId="60971527">
            <w:pPr>
              <w:pStyle w:val="1535"/>
            </w:pPr>
            <w:r>
              <w:rPr>
                <w:rFonts w:hint="eastAsia"/>
              </w:rPr>
              <w:t>3、</w:t>
            </w:r>
            <w:r>
              <w:t>项目不属于以上企业</w:t>
            </w:r>
            <w:r>
              <w:rPr>
                <w:rFonts w:hint="eastAsia"/>
              </w:rPr>
              <w:t>。</w:t>
            </w:r>
          </w:p>
        </w:tc>
        <w:tc>
          <w:tcPr>
            <w:tcW w:w="392" w:type="pct"/>
            <w:vAlign w:val="center"/>
          </w:tcPr>
          <w:p w14:paraId="1F13588E">
            <w:pPr>
              <w:pStyle w:val="1535"/>
            </w:pPr>
            <w:r>
              <w:t>符合</w:t>
            </w:r>
          </w:p>
        </w:tc>
      </w:tr>
      <w:tr w14:paraId="6463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5921CF5A">
            <w:pPr>
              <w:pStyle w:val="1535"/>
            </w:pPr>
          </w:p>
        </w:tc>
        <w:tc>
          <w:tcPr>
            <w:tcW w:w="360" w:type="pct"/>
            <w:vMerge w:val="restart"/>
            <w:vAlign w:val="center"/>
          </w:tcPr>
          <w:p w14:paraId="011C99A6">
            <w:pPr>
              <w:pStyle w:val="1535"/>
            </w:pPr>
            <w:r>
              <w:t>污染物排放管控</w:t>
            </w:r>
          </w:p>
        </w:tc>
        <w:tc>
          <w:tcPr>
            <w:tcW w:w="2530" w:type="pct"/>
            <w:vAlign w:val="center"/>
          </w:tcPr>
          <w:p w14:paraId="413F22A3">
            <w:pPr>
              <w:pStyle w:val="1535"/>
            </w:pPr>
            <w:r>
              <w:rPr>
                <w:rFonts w:hint="eastAsia"/>
              </w:rPr>
              <w:t xml:space="preserve">1.推动重点行业持续提升低（无）VOCs含量、低反应活性的原辅材料替代比例，推进重点监管企业VOCs综合整治，加强重点排污企业污染治理设施和在线监控建设和运维。 </w:t>
            </w:r>
          </w:p>
        </w:tc>
        <w:tc>
          <w:tcPr>
            <w:tcW w:w="1317" w:type="pct"/>
            <w:vAlign w:val="center"/>
          </w:tcPr>
          <w:p w14:paraId="2E209CEF">
            <w:pPr>
              <w:pStyle w:val="1535"/>
            </w:pPr>
            <w:r>
              <w:rPr>
                <w:rFonts w:hint="eastAsia"/>
              </w:rPr>
              <w:t>1、</w:t>
            </w:r>
            <w:r>
              <w:t>项目</w:t>
            </w:r>
            <w:r>
              <w:rPr>
                <w:rFonts w:hint="eastAsia"/>
              </w:rPr>
              <w:t>不属于重点行业</w:t>
            </w:r>
            <w:r>
              <w:t>。</w:t>
            </w:r>
          </w:p>
        </w:tc>
        <w:tc>
          <w:tcPr>
            <w:tcW w:w="392" w:type="pct"/>
            <w:vAlign w:val="center"/>
          </w:tcPr>
          <w:p w14:paraId="34315A56">
            <w:pPr>
              <w:pStyle w:val="1535"/>
            </w:pPr>
            <w:r>
              <w:t>符合</w:t>
            </w:r>
          </w:p>
        </w:tc>
      </w:tr>
      <w:tr w14:paraId="48BD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53DD5EFE">
            <w:pPr>
              <w:pStyle w:val="1535"/>
            </w:pPr>
          </w:p>
        </w:tc>
        <w:tc>
          <w:tcPr>
            <w:tcW w:w="360" w:type="pct"/>
            <w:vMerge w:val="continue"/>
            <w:vAlign w:val="center"/>
          </w:tcPr>
          <w:p w14:paraId="6E9216DA">
            <w:pPr>
              <w:pStyle w:val="1535"/>
            </w:pPr>
          </w:p>
        </w:tc>
        <w:tc>
          <w:tcPr>
            <w:tcW w:w="2530" w:type="pct"/>
            <w:vAlign w:val="center"/>
          </w:tcPr>
          <w:p w14:paraId="7583AE91">
            <w:pPr>
              <w:pStyle w:val="1535"/>
            </w:pPr>
            <w:r>
              <w:rPr>
                <w:rFonts w:hint="eastAsia"/>
              </w:rPr>
              <w:t>2.推进西彭工业园区污水处理厂提标扩建工程。新改建铜罐驿沿江片区、西彭镇和陶家镇等区域污水管网，改造管网错混接点；推进铜罐驿污水处理厂配套管网建设工作。</w:t>
            </w:r>
          </w:p>
        </w:tc>
        <w:tc>
          <w:tcPr>
            <w:tcW w:w="1317" w:type="pct"/>
            <w:vAlign w:val="center"/>
          </w:tcPr>
          <w:p w14:paraId="57CCD6CD">
            <w:pPr>
              <w:pStyle w:val="1535"/>
            </w:pPr>
            <w:r>
              <w:rPr>
                <w:rFonts w:hint="eastAsia"/>
              </w:rPr>
              <w:t>2、目前西彭工业园区污水处理厂正在进行提标扩建工程。</w:t>
            </w:r>
          </w:p>
        </w:tc>
        <w:tc>
          <w:tcPr>
            <w:tcW w:w="392" w:type="pct"/>
            <w:vAlign w:val="center"/>
          </w:tcPr>
          <w:p w14:paraId="6859667D">
            <w:pPr>
              <w:pStyle w:val="1535"/>
            </w:pPr>
            <w:r>
              <w:t>符合</w:t>
            </w:r>
          </w:p>
        </w:tc>
      </w:tr>
      <w:tr w14:paraId="3B2C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315A1B53">
            <w:pPr>
              <w:pStyle w:val="1535"/>
            </w:pPr>
          </w:p>
        </w:tc>
        <w:tc>
          <w:tcPr>
            <w:tcW w:w="360" w:type="pct"/>
            <w:vMerge w:val="continue"/>
            <w:vAlign w:val="center"/>
          </w:tcPr>
          <w:p w14:paraId="68D7092E">
            <w:pPr>
              <w:pStyle w:val="1535"/>
            </w:pPr>
          </w:p>
        </w:tc>
        <w:tc>
          <w:tcPr>
            <w:tcW w:w="2530" w:type="pct"/>
            <w:vAlign w:val="center"/>
          </w:tcPr>
          <w:p w14:paraId="1C88153C">
            <w:pPr>
              <w:pStyle w:val="1535"/>
            </w:pPr>
            <w:r>
              <w:rPr>
                <w:rFonts w:hint="eastAsia"/>
              </w:rPr>
              <w:t>3.加快淘汰国三及以下排放标准柴油车、汽油车，以运输企业和用 车大户为重点，建立车辆档案并制定淘汰计划。大力推广新能源车，推广公交车、 出租车、网约车等公共领域用车纯电动化，机关单位示范带动新能源车使用，推进 充电站等新能源汽车充换电及加氢配套基础设施建设。加快发展城市轨道交通、智能交通和慢行交通，加快建设滨江步道，鼓励绿色出行。</w:t>
            </w:r>
          </w:p>
        </w:tc>
        <w:tc>
          <w:tcPr>
            <w:tcW w:w="1317" w:type="pct"/>
            <w:vAlign w:val="center"/>
          </w:tcPr>
          <w:p w14:paraId="2BA36B60">
            <w:pPr>
              <w:pStyle w:val="1535"/>
            </w:pPr>
            <w:r>
              <w:rPr>
                <w:rFonts w:hint="eastAsia"/>
              </w:rPr>
              <w:t>3、项目不涉及。</w:t>
            </w:r>
          </w:p>
        </w:tc>
        <w:tc>
          <w:tcPr>
            <w:tcW w:w="392" w:type="pct"/>
            <w:vAlign w:val="center"/>
          </w:tcPr>
          <w:p w14:paraId="375B0DC7">
            <w:pPr>
              <w:pStyle w:val="1535"/>
            </w:pPr>
            <w:r>
              <w:t>符合</w:t>
            </w:r>
          </w:p>
        </w:tc>
      </w:tr>
      <w:tr w14:paraId="2313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31337AE5">
            <w:pPr>
              <w:pStyle w:val="1535"/>
            </w:pPr>
          </w:p>
        </w:tc>
        <w:tc>
          <w:tcPr>
            <w:tcW w:w="360" w:type="pct"/>
            <w:vMerge w:val="continue"/>
            <w:vAlign w:val="center"/>
          </w:tcPr>
          <w:p w14:paraId="1EFE7876">
            <w:pPr>
              <w:pStyle w:val="1535"/>
            </w:pPr>
          </w:p>
        </w:tc>
        <w:tc>
          <w:tcPr>
            <w:tcW w:w="2530" w:type="pct"/>
            <w:vAlign w:val="center"/>
          </w:tcPr>
          <w:p w14:paraId="23601578">
            <w:pPr>
              <w:pStyle w:val="1535"/>
            </w:pPr>
            <w:r>
              <w:rPr>
                <w:rFonts w:hint="eastAsia"/>
              </w:rPr>
              <w:t>4.加强施工扬尘监管，逐步推进建筑面积2万平方米以上的工地安装在线监控系统。</w:t>
            </w:r>
          </w:p>
        </w:tc>
        <w:tc>
          <w:tcPr>
            <w:tcW w:w="1317" w:type="pct"/>
            <w:vAlign w:val="center"/>
          </w:tcPr>
          <w:p w14:paraId="382464D3">
            <w:pPr>
              <w:pStyle w:val="1535"/>
            </w:pPr>
            <w:r>
              <w:rPr>
                <w:rFonts w:hint="eastAsia"/>
              </w:rPr>
              <w:t>4、项目不涉及基础施工；</w:t>
            </w:r>
          </w:p>
        </w:tc>
        <w:tc>
          <w:tcPr>
            <w:tcW w:w="392" w:type="pct"/>
            <w:vAlign w:val="center"/>
          </w:tcPr>
          <w:p w14:paraId="673CD063">
            <w:pPr>
              <w:pStyle w:val="1535"/>
            </w:pPr>
            <w:r>
              <w:t>符合</w:t>
            </w:r>
          </w:p>
        </w:tc>
      </w:tr>
      <w:tr w14:paraId="2F7D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35D9A41E">
            <w:pPr>
              <w:pStyle w:val="1535"/>
            </w:pPr>
          </w:p>
        </w:tc>
        <w:tc>
          <w:tcPr>
            <w:tcW w:w="360" w:type="pct"/>
            <w:vMerge w:val="restart"/>
            <w:vAlign w:val="center"/>
          </w:tcPr>
          <w:p w14:paraId="7979F49A">
            <w:pPr>
              <w:pStyle w:val="1535"/>
            </w:pPr>
            <w:r>
              <w:t>环境风险防控</w:t>
            </w:r>
          </w:p>
        </w:tc>
        <w:tc>
          <w:tcPr>
            <w:tcW w:w="2530" w:type="pct"/>
            <w:vAlign w:val="center"/>
          </w:tcPr>
          <w:p w14:paraId="56A9B2C0">
            <w:pPr>
              <w:pStyle w:val="1535"/>
            </w:pPr>
            <w:r>
              <w:rPr>
                <w:rFonts w:hint="eastAsia"/>
              </w:rPr>
              <w:t>1.西彭组团和铜罐驿组团沿江1km范围内规划仓储用地禁止新引入从事危险化学品储存、运输的仓储物流项目。</w:t>
            </w:r>
          </w:p>
        </w:tc>
        <w:tc>
          <w:tcPr>
            <w:tcW w:w="1317" w:type="pct"/>
            <w:vAlign w:val="center"/>
          </w:tcPr>
          <w:p w14:paraId="473B64DD">
            <w:pPr>
              <w:pStyle w:val="1535"/>
            </w:pPr>
            <w:r>
              <w:rPr>
                <w:rFonts w:hint="eastAsia"/>
              </w:rPr>
              <w:t>1、</w:t>
            </w:r>
            <w:r>
              <w:t>项目</w:t>
            </w:r>
            <w:r>
              <w:rPr>
                <w:rFonts w:hint="eastAsia"/>
              </w:rPr>
              <w:t>位于九龙坡区西彭工业园区D标准分区</w:t>
            </w:r>
            <w:r>
              <w:rPr>
                <w:rFonts w:hint="eastAsia"/>
                <w:szCs w:val="22"/>
              </w:rPr>
              <w:t>D22</w:t>
            </w:r>
            <w:r>
              <w:rPr>
                <w:rFonts w:hint="eastAsia"/>
              </w:rPr>
              <w:t>地块不在沿长江1km范围内，且不属于从事危险化学品储存、运输的仓储物流项目。</w:t>
            </w:r>
          </w:p>
        </w:tc>
        <w:tc>
          <w:tcPr>
            <w:tcW w:w="392" w:type="pct"/>
            <w:vAlign w:val="center"/>
          </w:tcPr>
          <w:p w14:paraId="4C994874">
            <w:pPr>
              <w:pStyle w:val="1535"/>
            </w:pPr>
            <w:r>
              <w:t>符合</w:t>
            </w:r>
          </w:p>
        </w:tc>
      </w:tr>
      <w:tr w14:paraId="464D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77CAAD5A">
            <w:pPr>
              <w:pStyle w:val="1535"/>
            </w:pPr>
          </w:p>
        </w:tc>
        <w:tc>
          <w:tcPr>
            <w:tcW w:w="360" w:type="pct"/>
            <w:vMerge w:val="continue"/>
            <w:vAlign w:val="center"/>
          </w:tcPr>
          <w:p w14:paraId="35695E4A">
            <w:pPr>
              <w:pStyle w:val="1535"/>
            </w:pPr>
          </w:p>
        </w:tc>
        <w:tc>
          <w:tcPr>
            <w:tcW w:w="2530" w:type="pct"/>
            <w:vAlign w:val="center"/>
          </w:tcPr>
          <w:p w14:paraId="26531BD2">
            <w:pPr>
              <w:pStyle w:val="1535"/>
            </w:pPr>
            <w:r>
              <w:rPr>
                <w:rFonts w:hint="eastAsia"/>
              </w:rPr>
              <w:t>2.禁止新建、扩建化工项目。</w:t>
            </w:r>
          </w:p>
        </w:tc>
        <w:tc>
          <w:tcPr>
            <w:tcW w:w="1317" w:type="pct"/>
            <w:vAlign w:val="center"/>
          </w:tcPr>
          <w:p w14:paraId="5D5F0015">
            <w:pPr>
              <w:pStyle w:val="1535"/>
            </w:pPr>
            <w:r>
              <w:rPr>
                <w:rFonts w:hint="eastAsia"/>
              </w:rPr>
              <w:t>2、项目不属于化工项目。</w:t>
            </w:r>
          </w:p>
        </w:tc>
        <w:tc>
          <w:tcPr>
            <w:tcW w:w="392" w:type="pct"/>
            <w:vAlign w:val="center"/>
          </w:tcPr>
          <w:p w14:paraId="209319B2">
            <w:pPr>
              <w:pStyle w:val="1535"/>
            </w:pPr>
            <w:r>
              <w:t>符合</w:t>
            </w:r>
          </w:p>
        </w:tc>
      </w:tr>
      <w:tr w14:paraId="79B6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26A77FD4">
            <w:pPr>
              <w:pStyle w:val="1535"/>
            </w:pPr>
          </w:p>
        </w:tc>
        <w:tc>
          <w:tcPr>
            <w:tcW w:w="360" w:type="pct"/>
            <w:vMerge w:val="continue"/>
            <w:vAlign w:val="center"/>
          </w:tcPr>
          <w:p w14:paraId="02DF9FEB">
            <w:pPr>
              <w:pStyle w:val="1535"/>
            </w:pPr>
          </w:p>
        </w:tc>
        <w:tc>
          <w:tcPr>
            <w:tcW w:w="2530" w:type="pct"/>
            <w:vAlign w:val="center"/>
          </w:tcPr>
          <w:p w14:paraId="58069AD0">
            <w:pPr>
              <w:pStyle w:val="1535"/>
            </w:pPr>
            <w:r>
              <w:rPr>
                <w:rFonts w:hint="eastAsia"/>
              </w:rPr>
              <w:t>3.推进铜罐驿组团金竹沟闸坝的修建。</w:t>
            </w:r>
          </w:p>
        </w:tc>
        <w:tc>
          <w:tcPr>
            <w:tcW w:w="1317" w:type="pct"/>
            <w:vAlign w:val="center"/>
          </w:tcPr>
          <w:p w14:paraId="106E105C">
            <w:pPr>
              <w:pStyle w:val="1535"/>
            </w:pPr>
            <w:r>
              <w:rPr>
                <w:rFonts w:hint="eastAsia"/>
              </w:rPr>
              <w:t>3、项目不涉及。</w:t>
            </w:r>
          </w:p>
        </w:tc>
        <w:tc>
          <w:tcPr>
            <w:tcW w:w="392" w:type="pct"/>
            <w:vAlign w:val="center"/>
          </w:tcPr>
          <w:p w14:paraId="69764806">
            <w:pPr>
              <w:pStyle w:val="1535"/>
            </w:pPr>
            <w:r>
              <w:t>符合</w:t>
            </w:r>
          </w:p>
        </w:tc>
      </w:tr>
      <w:tr w14:paraId="3C64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5835D891">
            <w:pPr>
              <w:pStyle w:val="1535"/>
            </w:pPr>
          </w:p>
        </w:tc>
        <w:tc>
          <w:tcPr>
            <w:tcW w:w="360" w:type="pct"/>
            <w:vMerge w:val="continue"/>
            <w:vAlign w:val="center"/>
          </w:tcPr>
          <w:p w14:paraId="24C20EEA">
            <w:pPr>
              <w:pStyle w:val="1535"/>
            </w:pPr>
          </w:p>
        </w:tc>
        <w:tc>
          <w:tcPr>
            <w:tcW w:w="2530" w:type="pct"/>
            <w:vAlign w:val="center"/>
          </w:tcPr>
          <w:p w14:paraId="43C2F17D">
            <w:pPr>
              <w:pStyle w:val="1535"/>
            </w:pPr>
            <w:r>
              <w:rPr>
                <w:rFonts w:hint="eastAsia"/>
              </w:rPr>
              <w:t>4.西彭工业园区应与下游饮用水水源取水口运营单位建立水源地突发环境事件应急联动机制。</w:t>
            </w:r>
          </w:p>
        </w:tc>
        <w:tc>
          <w:tcPr>
            <w:tcW w:w="1317" w:type="pct"/>
            <w:vAlign w:val="center"/>
          </w:tcPr>
          <w:p w14:paraId="28B71104">
            <w:pPr>
              <w:pStyle w:val="1535"/>
            </w:pPr>
            <w:r>
              <w:rPr>
                <w:rFonts w:hint="eastAsia"/>
              </w:rPr>
              <w:t>4、项目不涉及。</w:t>
            </w:r>
          </w:p>
        </w:tc>
        <w:tc>
          <w:tcPr>
            <w:tcW w:w="392" w:type="pct"/>
            <w:vAlign w:val="center"/>
          </w:tcPr>
          <w:p w14:paraId="1214A0AB">
            <w:pPr>
              <w:pStyle w:val="1535"/>
            </w:pPr>
            <w:r>
              <w:t>符合</w:t>
            </w:r>
          </w:p>
        </w:tc>
      </w:tr>
      <w:tr w14:paraId="585A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78B2D836">
            <w:pPr>
              <w:pStyle w:val="1535"/>
            </w:pPr>
          </w:p>
        </w:tc>
        <w:tc>
          <w:tcPr>
            <w:tcW w:w="360" w:type="pct"/>
            <w:vMerge w:val="continue"/>
            <w:vAlign w:val="center"/>
          </w:tcPr>
          <w:p w14:paraId="001D8615">
            <w:pPr>
              <w:pStyle w:val="1535"/>
            </w:pPr>
          </w:p>
        </w:tc>
        <w:tc>
          <w:tcPr>
            <w:tcW w:w="2530" w:type="pct"/>
            <w:vAlign w:val="center"/>
          </w:tcPr>
          <w:p w14:paraId="07AD8DDA">
            <w:pPr>
              <w:pStyle w:val="1535"/>
            </w:pPr>
            <w:r>
              <w:rPr>
                <w:rFonts w:hint="eastAsia"/>
              </w:rPr>
              <w:t>5.禁止新建、扩建排放废水含有五类重金属（铬、镉、 汞、砷、铅）、剧毒物质和持久性有机污染物的工业项目。</w:t>
            </w:r>
          </w:p>
        </w:tc>
        <w:tc>
          <w:tcPr>
            <w:tcW w:w="1317" w:type="pct"/>
            <w:vAlign w:val="center"/>
          </w:tcPr>
          <w:p w14:paraId="28279CD8">
            <w:pPr>
              <w:pStyle w:val="1535"/>
            </w:pPr>
            <w:r>
              <w:rPr>
                <w:rFonts w:hint="eastAsia"/>
              </w:rPr>
              <w:t>5、项目排放废水不含五类重金属（铬、镉、 汞、砷、铅）、剧毒物质和持久性有机污染物</w:t>
            </w:r>
          </w:p>
        </w:tc>
        <w:tc>
          <w:tcPr>
            <w:tcW w:w="392" w:type="pct"/>
            <w:vAlign w:val="center"/>
          </w:tcPr>
          <w:p w14:paraId="12B8D89D">
            <w:pPr>
              <w:pStyle w:val="1535"/>
            </w:pPr>
            <w:r>
              <w:t>符合</w:t>
            </w:r>
          </w:p>
        </w:tc>
      </w:tr>
      <w:tr w14:paraId="7EF3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2ACE29B5">
            <w:pPr>
              <w:pStyle w:val="1535"/>
            </w:pPr>
          </w:p>
        </w:tc>
        <w:tc>
          <w:tcPr>
            <w:tcW w:w="360" w:type="pct"/>
            <w:vMerge w:val="restart"/>
            <w:vAlign w:val="center"/>
          </w:tcPr>
          <w:p w14:paraId="4222CCAF">
            <w:pPr>
              <w:pStyle w:val="1535"/>
            </w:pPr>
            <w:r>
              <w:t>资源开发利用效率</w:t>
            </w:r>
          </w:p>
        </w:tc>
        <w:tc>
          <w:tcPr>
            <w:tcW w:w="2530" w:type="pct"/>
            <w:vAlign w:val="center"/>
          </w:tcPr>
          <w:p w14:paraId="4C133DCD">
            <w:pPr>
              <w:pStyle w:val="1535"/>
            </w:pPr>
            <w:r>
              <w:rPr>
                <w:rFonts w:hint="eastAsia"/>
              </w:rPr>
              <w:t xml:space="preserve">1.禁止新建、扩建燃用煤、重油等高污染燃料的工业项目，重庆和友实业股份有限 </w:t>
            </w:r>
          </w:p>
          <w:p w14:paraId="1936AE5A">
            <w:pPr>
              <w:pStyle w:val="1535"/>
            </w:pPr>
            <w:r>
              <w:rPr>
                <w:rFonts w:hint="eastAsia"/>
              </w:rPr>
              <w:t>公司不再新增燃煤总量。</w:t>
            </w:r>
          </w:p>
        </w:tc>
        <w:tc>
          <w:tcPr>
            <w:tcW w:w="1317" w:type="pct"/>
            <w:vAlign w:val="center"/>
          </w:tcPr>
          <w:p w14:paraId="61CB741B">
            <w:pPr>
              <w:pStyle w:val="1535"/>
            </w:pPr>
            <w:r>
              <w:rPr>
                <w:rFonts w:hint="eastAsia"/>
              </w:rPr>
              <w:t>1、项目主要使用电、天然气等能源，不使用煤、重油等高污染燃料；</w:t>
            </w:r>
          </w:p>
        </w:tc>
        <w:tc>
          <w:tcPr>
            <w:tcW w:w="392" w:type="pct"/>
            <w:vAlign w:val="center"/>
          </w:tcPr>
          <w:p w14:paraId="55321F9A">
            <w:pPr>
              <w:pStyle w:val="1535"/>
            </w:pPr>
            <w:r>
              <w:t>符合</w:t>
            </w:r>
          </w:p>
        </w:tc>
      </w:tr>
      <w:tr w14:paraId="273A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52AEE02C">
            <w:pPr>
              <w:pStyle w:val="1535"/>
            </w:pPr>
          </w:p>
        </w:tc>
        <w:tc>
          <w:tcPr>
            <w:tcW w:w="360" w:type="pct"/>
            <w:vMerge w:val="continue"/>
            <w:vAlign w:val="center"/>
          </w:tcPr>
          <w:p w14:paraId="19DAE768">
            <w:pPr>
              <w:pStyle w:val="1535"/>
            </w:pPr>
          </w:p>
        </w:tc>
        <w:tc>
          <w:tcPr>
            <w:tcW w:w="2530" w:type="pct"/>
            <w:vAlign w:val="center"/>
          </w:tcPr>
          <w:p w14:paraId="7DEC3813">
            <w:pPr>
              <w:pStyle w:val="1535"/>
            </w:pPr>
            <w:r>
              <w:rPr>
                <w:rFonts w:hint="eastAsia"/>
              </w:rPr>
              <w:t>2.新建和改、扩建的工业项目清洁生产水平应达到国内先进水平。</w:t>
            </w:r>
          </w:p>
        </w:tc>
        <w:tc>
          <w:tcPr>
            <w:tcW w:w="1317" w:type="pct"/>
            <w:vAlign w:val="center"/>
          </w:tcPr>
          <w:p w14:paraId="6A30330D">
            <w:pPr>
              <w:pStyle w:val="1535"/>
            </w:pPr>
            <w:r>
              <w:rPr>
                <w:rFonts w:hint="eastAsia"/>
              </w:rPr>
              <w:t>2、项目清洁生产水平不低于国内先进水平。</w:t>
            </w:r>
          </w:p>
        </w:tc>
        <w:tc>
          <w:tcPr>
            <w:tcW w:w="392" w:type="pct"/>
            <w:vAlign w:val="center"/>
          </w:tcPr>
          <w:p w14:paraId="56236731">
            <w:pPr>
              <w:pStyle w:val="1535"/>
            </w:pPr>
            <w:r>
              <w:t>符合</w:t>
            </w:r>
          </w:p>
        </w:tc>
      </w:tr>
      <w:tr w14:paraId="7BAA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10C2D84B">
            <w:pPr>
              <w:pStyle w:val="1535"/>
            </w:pPr>
          </w:p>
        </w:tc>
        <w:tc>
          <w:tcPr>
            <w:tcW w:w="360" w:type="pct"/>
            <w:vMerge w:val="continue"/>
            <w:vAlign w:val="center"/>
          </w:tcPr>
          <w:p w14:paraId="1DF0728A">
            <w:pPr>
              <w:pStyle w:val="1535"/>
            </w:pPr>
          </w:p>
        </w:tc>
        <w:tc>
          <w:tcPr>
            <w:tcW w:w="2530" w:type="pct"/>
            <w:vAlign w:val="center"/>
          </w:tcPr>
          <w:p w14:paraId="2C66E1F0">
            <w:pPr>
              <w:pStyle w:val="1535"/>
            </w:pPr>
            <w:r>
              <w:rPr>
                <w:rFonts w:hint="eastAsia"/>
              </w:rPr>
              <w:t>3.提高有色金属冶炼及压延加工业、化学原料及化学制品制造业和汽车制造业等工业企业的节能水平，降低区域的能耗强度。加强重点行业能效管理，升级工艺技术，提高用能设备能效水平。</w:t>
            </w:r>
          </w:p>
        </w:tc>
        <w:tc>
          <w:tcPr>
            <w:tcW w:w="1317" w:type="pct"/>
            <w:vAlign w:val="center"/>
          </w:tcPr>
          <w:p w14:paraId="01F68ACF">
            <w:pPr>
              <w:pStyle w:val="1535"/>
            </w:pPr>
            <w:r>
              <w:rPr>
                <w:rFonts w:hint="eastAsia"/>
              </w:rPr>
              <w:t>3、项目积极推进节能减碳，升级工艺技术，提高用能设备能效水平。</w:t>
            </w:r>
          </w:p>
        </w:tc>
        <w:tc>
          <w:tcPr>
            <w:tcW w:w="392" w:type="pct"/>
            <w:vAlign w:val="center"/>
          </w:tcPr>
          <w:p w14:paraId="6A37D9C6">
            <w:pPr>
              <w:pStyle w:val="1535"/>
            </w:pPr>
            <w:r>
              <w:t>符合</w:t>
            </w:r>
          </w:p>
        </w:tc>
      </w:tr>
      <w:tr w14:paraId="2666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1" w:type="pct"/>
            <w:vMerge w:val="continue"/>
            <w:vAlign w:val="center"/>
          </w:tcPr>
          <w:p w14:paraId="54E71805">
            <w:pPr>
              <w:pStyle w:val="1535"/>
            </w:pPr>
          </w:p>
        </w:tc>
        <w:tc>
          <w:tcPr>
            <w:tcW w:w="360" w:type="pct"/>
            <w:vMerge w:val="continue"/>
            <w:vAlign w:val="center"/>
          </w:tcPr>
          <w:p w14:paraId="40915ED8">
            <w:pPr>
              <w:pStyle w:val="1535"/>
            </w:pPr>
          </w:p>
        </w:tc>
        <w:tc>
          <w:tcPr>
            <w:tcW w:w="2530" w:type="pct"/>
            <w:vAlign w:val="center"/>
          </w:tcPr>
          <w:p w14:paraId="23F054F2">
            <w:pPr>
              <w:pStyle w:val="1535"/>
            </w:pPr>
            <w:r>
              <w:rPr>
                <w:rFonts w:hint="eastAsia"/>
              </w:rPr>
              <w:t>4.加强工业节水改造，限制高耗水行业发展，加强重点监控用水单位监管。加强城镇节水，开展公共建筑节水改造、城镇供水管网漏损治理工程。</w:t>
            </w:r>
          </w:p>
        </w:tc>
        <w:tc>
          <w:tcPr>
            <w:tcW w:w="1317" w:type="pct"/>
            <w:vAlign w:val="center"/>
          </w:tcPr>
          <w:p w14:paraId="55F77E89">
            <w:pPr>
              <w:pStyle w:val="1535"/>
            </w:pPr>
            <w:r>
              <w:rPr>
                <w:rFonts w:hint="eastAsia"/>
              </w:rPr>
              <w:t>4、项目用水量较小，循环利用。</w:t>
            </w:r>
          </w:p>
        </w:tc>
        <w:tc>
          <w:tcPr>
            <w:tcW w:w="392" w:type="pct"/>
            <w:vAlign w:val="center"/>
          </w:tcPr>
          <w:p w14:paraId="12BE3792">
            <w:pPr>
              <w:pStyle w:val="1535"/>
            </w:pPr>
            <w:r>
              <w:t>符合</w:t>
            </w:r>
          </w:p>
        </w:tc>
      </w:tr>
    </w:tbl>
    <w:p w14:paraId="4A59ED1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w:t>
      </w:r>
      <w:r>
        <w:rPr>
          <w:color w:val="000000" w:themeColor="text1"/>
          <w14:textFill>
            <w14:solidFill>
              <w14:schemeClr w14:val="tx1"/>
            </w14:solidFill>
          </w14:textFill>
        </w:rPr>
        <w:t>扩建项目</w:t>
      </w:r>
      <w:r>
        <w:rPr>
          <w:rFonts w:hint="eastAsia"/>
          <w:color w:val="000000" w:themeColor="text1"/>
          <w14:textFill>
            <w14:solidFill>
              <w14:schemeClr w14:val="tx1"/>
            </w14:solidFill>
          </w14:textFill>
        </w:rPr>
        <w:t>符合重庆市、九龙坡区、九龙坡区重点管控单元-九龙西城片区“三线一单”管控要求</w:t>
      </w:r>
      <w:r>
        <w:rPr>
          <w:color w:val="000000" w:themeColor="text1"/>
          <w14:textFill>
            <w14:solidFill>
              <w14:schemeClr w14:val="tx1"/>
            </w14:solidFill>
          </w14:textFill>
        </w:rPr>
        <w:t>。</w:t>
      </w:r>
    </w:p>
    <w:p w14:paraId="76E89CD5">
      <w:pPr>
        <w:spacing w:before="31" w:line="360" w:lineRule="auto"/>
        <w:ind w:firstLine="520"/>
        <w:rPr>
          <w:color w:val="000000" w:themeColor="text1"/>
          <w14:textFill>
            <w14:solidFill>
              <w14:schemeClr w14:val="tx1"/>
            </w14:solidFill>
          </w14:textFill>
        </w:rPr>
      </w:pPr>
    </w:p>
    <w:p w14:paraId="54D59AA7">
      <w:pPr>
        <w:spacing w:before="31" w:line="360" w:lineRule="auto"/>
        <w:ind w:firstLine="520"/>
        <w:rPr>
          <w:color w:val="000000" w:themeColor="text1"/>
          <w14:textFill>
            <w14:solidFill>
              <w14:schemeClr w14:val="tx1"/>
            </w14:solidFill>
          </w14:textFill>
        </w:rPr>
      </w:pPr>
    </w:p>
    <w:p w14:paraId="219ADB80">
      <w:pPr>
        <w:spacing w:before="31" w:line="360" w:lineRule="auto"/>
        <w:ind w:firstLine="520"/>
        <w:rPr>
          <w:color w:val="000000" w:themeColor="text1"/>
          <w14:textFill>
            <w14:solidFill>
              <w14:schemeClr w14:val="tx1"/>
            </w14:solidFill>
          </w14:textFill>
        </w:rPr>
        <w:sectPr>
          <w:pgSz w:w="16838" w:h="11906" w:orient="landscape"/>
          <w:pgMar w:top="1134" w:right="1418" w:bottom="1134" w:left="1418" w:header="851" w:footer="992" w:gutter="0"/>
          <w:cols w:space="720" w:num="1"/>
          <w:docGrid w:type="lines" w:linePitch="312" w:charSpace="0"/>
        </w:sectPr>
      </w:pPr>
    </w:p>
    <w:p w14:paraId="4CE38761">
      <w:pPr>
        <w:pStyle w:val="3"/>
        <w:spacing w:after="326"/>
        <w:rPr>
          <w:color w:val="000000" w:themeColor="text1"/>
          <w14:textFill>
            <w14:solidFill>
              <w14:schemeClr w14:val="tx1"/>
            </w14:solidFill>
          </w14:textFill>
        </w:rPr>
      </w:pPr>
      <w:bookmarkStart w:id="134" w:name="_Toc3184"/>
      <w:r>
        <w:rPr>
          <w:rFonts w:hint="eastAsia"/>
          <w:color w:val="000000" w:themeColor="text1"/>
          <w14:textFill>
            <w14:solidFill>
              <w14:schemeClr w14:val="tx1"/>
            </w14:solidFill>
          </w14:textFill>
        </w:rPr>
        <w:t>现有</w:t>
      </w:r>
      <w:r>
        <w:rPr>
          <w:color w:val="000000" w:themeColor="text1"/>
          <w14:textFill>
            <w14:solidFill>
              <w14:schemeClr w14:val="tx1"/>
            </w14:solidFill>
          </w14:textFill>
        </w:rPr>
        <w:t>工程概况</w:t>
      </w:r>
      <w:bookmarkEnd w:id="134"/>
    </w:p>
    <w:p w14:paraId="4FCD71D3">
      <w:pPr>
        <w:pStyle w:val="4"/>
        <w:rPr>
          <w:color w:val="000000" w:themeColor="text1"/>
          <w14:textFill>
            <w14:solidFill>
              <w14:schemeClr w14:val="tx1"/>
            </w14:solidFill>
          </w14:textFill>
        </w:rPr>
      </w:pPr>
      <w:bookmarkStart w:id="135" w:name="_Toc12765"/>
      <w:r>
        <w:rPr>
          <w:rFonts w:hint="eastAsia"/>
          <w:color w:val="000000" w:themeColor="text1"/>
          <w14:textFill>
            <w14:solidFill>
              <w14:schemeClr w14:val="tx1"/>
            </w14:solidFill>
          </w14:textFill>
        </w:rPr>
        <w:t>现有工程环保手续情况</w:t>
      </w:r>
      <w:bookmarkEnd w:id="135"/>
    </w:p>
    <w:p w14:paraId="17948079">
      <w:pPr>
        <w:ind w:firstLine="52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截至目前</w:t>
      </w:r>
      <w:r>
        <w:rPr>
          <w:rFonts w:hint="eastAsia"/>
          <w:color w:val="000000" w:themeColor="text1"/>
          <w14:textFill>
            <w14:solidFill>
              <w14:schemeClr w14:val="tx1"/>
            </w14:solidFill>
          </w14:textFill>
        </w:rPr>
        <w:t>，重庆臻宝半导体材料有限公司已进行三次环评，主要包括：“高纯度高强度固态碳化硅陶瓷材料研发生产项目（以下简称“三期A”）”、“臻宝科技研发中心建设项目（以下简称“研发中心”）”及“半导体及泛半导体精密零部件研发生产项目（以下简称“三期B”）”，具体详见下表：</w:t>
      </w:r>
    </w:p>
    <w:p w14:paraId="37116D1C">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表2.1-1     企业环保手续情况表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012"/>
        <w:gridCol w:w="4223"/>
        <w:gridCol w:w="873"/>
        <w:gridCol w:w="728"/>
        <w:gridCol w:w="807"/>
        <w:gridCol w:w="439"/>
      </w:tblGrid>
      <w:tr w14:paraId="6749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Align w:val="center"/>
          </w:tcPr>
          <w:p w14:paraId="3293AC2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985" w:type="dxa"/>
            <w:vAlign w:val="center"/>
          </w:tcPr>
          <w:p w14:paraId="663F497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项目名称</w:t>
            </w:r>
          </w:p>
        </w:tc>
        <w:tc>
          <w:tcPr>
            <w:tcW w:w="4111" w:type="dxa"/>
            <w:vAlign w:val="center"/>
          </w:tcPr>
          <w:p w14:paraId="24F29ED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主要建设内容</w:t>
            </w:r>
          </w:p>
        </w:tc>
        <w:tc>
          <w:tcPr>
            <w:tcW w:w="850" w:type="dxa"/>
            <w:vAlign w:val="center"/>
          </w:tcPr>
          <w:p w14:paraId="0AC48FE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排污许可证</w:t>
            </w:r>
          </w:p>
        </w:tc>
        <w:tc>
          <w:tcPr>
            <w:tcW w:w="709" w:type="dxa"/>
            <w:vAlign w:val="center"/>
          </w:tcPr>
          <w:p w14:paraId="31D2273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环评批复</w:t>
            </w:r>
          </w:p>
        </w:tc>
        <w:tc>
          <w:tcPr>
            <w:tcW w:w="786" w:type="dxa"/>
            <w:vAlign w:val="center"/>
          </w:tcPr>
          <w:p w14:paraId="6636C0E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验收情况</w:t>
            </w:r>
          </w:p>
        </w:tc>
        <w:tc>
          <w:tcPr>
            <w:tcW w:w="427" w:type="dxa"/>
            <w:vAlign w:val="center"/>
          </w:tcPr>
          <w:p w14:paraId="5D92E43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14:paraId="7430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Align w:val="center"/>
          </w:tcPr>
          <w:p w14:paraId="15A45A1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985" w:type="dxa"/>
            <w:vAlign w:val="center"/>
          </w:tcPr>
          <w:p w14:paraId="5D21904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高纯度高强度固态碳化硅陶瓷材料研发生产项目（三期A）</w:t>
            </w:r>
          </w:p>
        </w:tc>
        <w:tc>
          <w:tcPr>
            <w:tcW w:w="4111" w:type="dxa"/>
            <w:vAlign w:val="center"/>
          </w:tcPr>
          <w:p w14:paraId="6BA9D9A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总投资3.8亿元，环保投资800万元。占地70亩，建筑面积30000m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购置大尺寸半导体级单晶炉、高品质陶瓷化学气相沉积系统、双介质等静压机等先进设备，以三氯甲基硅烷、氢气、氮气为原材料，采用化学气相沉积工艺，建设具有国际先进水平的固态碳化硅陶瓷材料研发生产基地。项目建成后将实现年产大直径单晶硅棒、多晶硅棒260吨，硅环24000件，硅电极3600件，氧化忆粉末40吨，陶瓷成型600吨，陶瓷板120套，陶瓷环240 0个，陶瓷盘、棒12000套，碳化硅零部件10000件的能力。</w:t>
            </w:r>
          </w:p>
        </w:tc>
        <w:tc>
          <w:tcPr>
            <w:tcW w:w="850" w:type="dxa"/>
            <w:vAlign w:val="center"/>
          </w:tcPr>
          <w:p w14:paraId="6E0FA2E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91500107MABYB3954K001V</w:t>
            </w:r>
          </w:p>
        </w:tc>
        <w:tc>
          <w:tcPr>
            <w:tcW w:w="709" w:type="dxa"/>
            <w:vAlign w:val="center"/>
          </w:tcPr>
          <w:p w14:paraId="68EA2E0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渝（九）环准[2023]44号</w:t>
            </w:r>
          </w:p>
        </w:tc>
        <w:tc>
          <w:tcPr>
            <w:tcW w:w="786" w:type="dxa"/>
            <w:vAlign w:val="center"/>
          </w:tcPr>
          <w:p w14:paraId="7AF5550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未验收</w:t>
            </w:r>
          </w:p>
        </w:tc>
        <w:tc>
          <w:tcPr>
            <w:tcW w:w="427" w:type="dxa"/>
            <w:vAlign w:val="center"/>
          </w:tcPr>
          <w:p w14:paraId="30CAEE9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4D38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Align w:val="center"/>
          </w:tcPr>
          <w:p w14:paraId="12708CE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985" w:type="dxa"/>
            <w:vAlign w:val="center"/>
          </w:tcPr>
          <w:p w14:paraId="02D929D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臻宝科技研发中心建设项目（研发中心）</w:t>
            </w:r>
          </w:p>
        </w:tc>
        <w:tc>
          <w:tcPr>
            <w:tcW w:w="4111" w:type="dxa"/>
            <w:vAlign w:val="center"/>
          </w:tcPr>
          <w:p w14:paraId="60270D5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使用现有臻宝半导体公司在建厂房及研发楼闲置地块约1100m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并租赁臻宝科技公司闲置车间约900m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，以石墨基材、氧化铝陶瓷粉末、碳化硅等为原料,采用高温化学气相沉积、真空冷喷涂、冷等静压先进工艺，进行半导体静电卡盘ESC 新品及再生品研发、石墨材料及零部件研发、炉管 SiC 材料及零部件研发、特殊涂层材料及工艺研发。</w:t>
            </w:r>
          </w:p>
        </w:tc>
        <w:tc>
          <w:tcPr>
            <w:tcW w:w="850" w:type="dxa"/>
            <w:vAlign w:val="center"/>
          </w:tcPr>
          <w:p w14:paraId="5537ECE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09" w:type="dxa"/>
            <w:vAlign w:val="center"/>
          </w:tcPr>
          <w:p w14:paraId="5D88DF3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渝(九)环准〔2024〕17号</w:t>
            </w:r>
          </w:p>
        </w:tc>
        <w:tc>
          <w:tcPr>
            <w:tcW w:w="786" w:type="dxa"/>
            <w:vAlign w:val="center"/>
          </w:tcPr>
          <w:p w14:paraId="66E7434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未验收</w:t>
            </w:r>
          </w:p>
        </w:tc>
        <w:tc>
          <w:tcPr>
            <w:tcW w:w="427" w:type="dxa"/>
            <w:vAlign w:val="center"/>
          </w:tcPr>
          <w:p w14:paraId="510BD00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6BD9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Align w:val="center"/>
          </w:tcPr>
          <w:p w14:paraId="101E7A5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985" w:type="dxa"/>
            <w:vAlign w:val="center"/>
          </w:tcPr>
          <w:p w14:paraId="7C48518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半导体及泛半导体精密零部件研发生产项目（三期B）</w:t>
            </w:r>
          </w:p>
        </w:tc>
        <w:tc>
          <w:tcPr>
            <w:tcW w:w="4111" w:type="dxa"/>
            <w:vAlign w:val="center"/>
          </w:tcPr>
          <w:p w14:paraId="7D6D179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项目租赁位于西彭工业园区D22-1/02 地块的2栋标准厂房及3栋附属厂房建设，建筑面积16843m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以硅、石英、石墨、氧化铝陶瓷粉末、碳化硅为原材料，采用高温化学气相沉积、冷等静压、真空冷喷涂先进生产工艺。在原有基础上新增了石英产品和石墨产品，减少了单晶硅、多晶硅产品，增加了硅产品、陶瓷产品及 SIC环产品等产品产能。建成后年产:石英产品 45017件，硅产品18400件，石墨产品35000件，陶瓷产品8000套，SIC环1800件。项目总投资43061.32万元，其中环保投资 1000 万元，占比2.32%。</w:t>
            </w:r>
          </w:p>
        </w:tc>
        <w:tc>
          <w:tcPr>
            <w:tcW w:w="850" w:type="dxa"/>
            <w:vAlign w:val="center"/>
          </w:tcPr>
          <w:p w14:paraId="5D2ECA7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09" w:type="dxa"/>
            <w:vAlign w:val="center"/>
          </w:tcPr>
          <w:p w14:paraId="6719B2C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渝(九)环准〔2024〕16号</w:t>
            </w:r>
          </w:p>
        </w:tc>
        <w:tc>
          <w:tcPr>
            <w:tcW w:w="786" w:type="dxa"/>
            <w:vAlign w:val="center"/>
          </w:tcPr>
          <w:p w14:paraId="5FED93E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未建设</w:t>
            </w:r>
          </w:p>
        </w:tc>
        <w:tc>
          <w:tcPr>
            <w:tcW w:w="427" w:type="dxa"/>
            <w:vAlign w:val="center"/>
          </w:tcPr>
          <w:p w14:paraId="384FE38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bl>
    <w:p w14:paraId="12582633">
      <w:pPr>
        <w:pStyle w:val="4"/>
        <w:rPr>
          <w:color w:val="000000" w:themeColor="text1"/>
          <w14:textFill>
            <w14:solidFill>
              <w14:schemeClr w14:val="tx1"/>
            </w14:solidFill>
          </w14:textFill>
        </w:rPr>
      </w:pPr>
      <w:bookmarkStart w:id="136" w:name="_Toc3848"/>
      <w:r>
        <w:rPr>
          <w:rFonts w:hint="eastAsia"/>
          <w:color w:val="000000" w:themeColor="text1"/>
          <w14:textFill>
            <w14:solidFill>
              <w14:schemeClr w14:val="tx1"/>
            </w14:solidFill>
          </w14:textFill>
        </w:rPr>
        <w:t>现有工程概况</w:t>
      </w:r>
      <w:bookmarkEnd w:id="136"/>
    </w:p>
    <w:p w14:paraId="5ABE3271">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现有工程产品方案</w:t>
      </w:r>
    </w:p>
    <w:p w14:paraId="4DA1F09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重庆臻宝半导体材料有限公司现有工程产品方案及产能情况详见下表2.2-1，研发中心项目主要研发样品方案及预估最大研发规模详见下表2.2-2：</w:t>
      </w:r>
    </w:p>
    <w:p w14:paraId="5896CA82">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现有工程（研发中心项目样品除外）产品方案及产能情况表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53"/>
        <w:gridCol w:w="1186"/>
        <w:gridCol w:w="1859"/>
        <w:gridCol w:w="1769"/>
        <w:gridCol w:w="1218"/>
        <w:gridCol w:w="1217"/>
      </w:tblGrid>
      <w:tr w14:paraId="7FD9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Align w:val="center"/>
          </w:tcPr>
          <w:p w14:paraId="2BE3C34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产品类型</w:t>
            </w:r>
          </w:p>
        </w:tc>
        <w:tc>
          <w:tcPr>
            <w:tcW w:w="324" w:type="pct"/>
            <w:vAlign w:val="center"/>
          </w:tcPr>
          <w:p w14:paraId="5BC763C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序号</w:t>
            </w:r>
          </w:p>
        </w:tc>
        <w:tc>
          <w:tcPr>
            <w:tcW w:w="696" w:type="pct"/>
            <w:vAlign w:val="center"/>
          </w:tcPr>
          <w:p w14:paraId="0B4B426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产品名称</w:t>
            </w:r>
          </w:p>
        </w:tc>
        <w:tc>
          <w:tcPr>
            <w:tcW w:w="2129" w:type="pct"/>
            <w:gridSpan w:val="2"/>
            <w:vAlign w:val="center"/>
          </w:tcPr>
          <w:p w14:paraId="613F27F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主要产品及规格</w:t>
            </w:r>
          </w:p>
        </w:tc>
        <w:tc>
          <w:tcPr>
            <w:tcW w:w="715" w:type="pct"/>
            <w:vAlign w:val="center"/>
          </w:tcPr>
          <w:p w14:paraId="4EEDBBB9">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现有工程</w:t>
            </w:r>
            <w:r>
              <w:rPr>
                <w:color w:val="000000" w:themeColor="text1"/>
                <w:sz w:val="22"/>
                <w:szCs w:val="22"/>
                <w14:textFill>
                  <w14:solidFill>
                    <w14:schemeClr w14:val="tx1"/>
                  </w14:solidFill>
                </w14:textFill>
              </w:rPr>
              <w:t>年产量</w:t>
            </w:r>
          </w:p>
        </w:tc>
        <w:tc>
          <w:tcPr>
            <w:tcW w:w="714" w:type="pct"/>
            <w:vAlign w:val="center"/>
          </w:tcPr>
          <w:p w14:paraId="1147857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备注</w:t>
            </w:r>
          </w:p>
        </w:tc>
      </w:tr>
      <w:tr w14:paraId="4B57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422" w:type="pct"/>
            <w:vMerge w:val="restart"/>
            <w:vAlign w:val="center"/>
          </w:tcPr>
          <w:p w14:paraId="45978B4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硅产品</w:t>
            </w:r>
          </w:p>
        </w:tc>
        <w:tc>
          <w:tcPr>
            <w:tcW w:w="324" w:type="pct"/>
            <w:vAlign w:val="center"/>
          </w:tcPr>
          <w:p w14:paraId="61C68F3C">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696" w:type="pct"/>
            <w:vAlign w:val="center"/>
          </w:tcPr>
          <w:p w14:paraId="1971E15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单晶硅</w:t>
            </w:r>
          </w:p>
        </w:tc>
        <w:tc>
          <w:tcPr>
            <w:tcW w:w="1091" w:type="pct"/>
            <w:vMerge w:val="restart"/>
            <w:vAlign w:val="center"/>
          </w:tcPr>
          <w:p w14:paraId="40DE99B4">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971550" cy="790575"/>
                  <wp:effectExtent l="0" t="0" r="0" b="9525"/>
                  <wp:docPr id="1797087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87577" name="图片 1"/>
                          <pic:cNvPicPr>
                            <a:picLocks noChangeAspect="1"/>
                          </pic:cNvPicPr>
                        </pic:nvPicPr>
                        <pic:blipFill>
                          <a:blip r:embed="rId22" r:link="rId23"/>
                          <a:stretch>
                            <a:fillRect/>
                          </a:stretch>
                        </pic:blipFill>
                        <pic:spPr>
                          <a:xfrm>
                            <a:off x="0" y="0"/>
                            <a:ext cx="972888" cy="791965"/>
                          </a:xfrm>
                          <a:prstGeom prst="rect">
                            <a:avLst/>
                          </a:prstGeom>
                          <a:noFill/>
                          <a:ln w="9525">
                            <a:noFill/>
                          </a:ln>
                        </pic:spPr>
                      </pic:pic>
                    </a:graphicData>
                  </a:graphic>
                </wp:inline>
              </w:drawing>
            </w:r>
          </w:p>
        </w:tc>
        <w:tc>
          <w:tcPr>
            <w:tcW w:w="1038" w:type="pct"/>
            <w:vAlign w:val="center"/>
          </w:tcPr>
          <w:p w14:paraId="36BB52B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φ450，单个重约200-500kg</w:t>
            </w:r>
          </w:p>
        </w:tc>
        <w:tc>
          <w:tcPr>
            <w:tcW w:w="715" w:type="pct"/>
            <w:vAlign w:val="center"/>
          </w:tcPr>
          <w:p w14:paraId="4B61763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220 t/a</w:t>
            </w:r>
          </w:p>
        </w:tc>
        <w:tc>
          <w:tcPr>
            <w:tcW w:w="714" w:type="pct"/>
            <w:vMerge w:val="restart"/>
            <w:vAlign w:val="center"/>
          </w:tcPr>
          <w:p w14:paraId="75013B93">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三期A</w:t>
            </w:r>
          </w:p>
        </w:tc>
      </w:tr>
      <w:tr w14:paraId="4479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74D2B109">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51DEA55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p>
        </w:tc>
        <w:tc>
          <w:tcPr>
            <w:tcW w:w="696" w:type="pct"/>
            <w:vAlign w:val="center"/>
          </w:tcPr>
          <w:p w14:paraId="657A239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多晶硅</w:t>
            </w:r>
          </w:p>
        </w:tc>
        <w:tc>
          <w:tcPr>
            <w:tcW w:w="1091" w:type="pct"/>
            <w:vMerge w:val="continue"/>
            <w:vAlign w:val="center"/>
          </w:tcPr>
          <w:p w14:paraId="19B36285">
            <w:pPr>
              <w:spacing w:line="240" w:lineRule="auto"/>
              <w:ind w:firstLine="0" w:firstLineChars="0"/>
              <w:jc w:val="center"/>
              <w:rPr>
                <w:color w:val="000000" w:themeColor="text1"/>
                <w:sz w:val="22"/>
                <w:szCs w:val="22"/>
                <w14:textFill>
                  <w14:solidFill>
                    <w14:schemeClr w14:val="tx1"/>
                  </w14:solidFill>
                </w14:textFill>
              </w:rPr>
            </w:pPr>
          </w:p>
        </w:tc>
        <w:tc>
          <w:tcPr>
            <w:tcW w:w="1038" w:type="pct"/>
            <w:vAlign w:val="center"/>
          </w:tcPr>
          <w:p w14:paraId="11D750E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φ450，单个重约200-500kg</w:t>
            </w:r>
          </w:p>
        </w:tc>
        <w:tc>
          <w:tcPr>
            <w:tcW w:w="715" w:type="pct"/>
            <w:vAlign w:val="center"/>
          </w:tcPr>
          <w:p w14:paraId="0C4847F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40t/a</w:t>
            </w:r>
          </w:p>
        </w:tc>
        <w:tc>
          <w:tcPr>
            <w:tcW w:w="714" w:type="pct"/>
            <w:vMerge w:val="continue"/>
            <w:vAlign w:val="center"/>
          </w:tcPr>
          <w:p w14:paraId="4BFD036D">
            <w:pPr>
              <w:spacing w:line="240" w:lineRule="auto"/>
              <w:ind w:firstLine="0" w:firstLineChars="0"/>
              <w:jc w:val="center"/>
              <w:rPr>
                <w:color w:val="000000" w:themeColor="text1"/>
                <w:sz w:val="22"/>
                <w:szCs w:val="22"/>
                <w14:textFill>
                  <w14:solidFill>
                    <w14:schemeClr w14:val="tx1"/>
                  </w14:solidFill>
                </w14:textFill>
              </w:rPr>
            </w:pPr>
          </w:p>
        </w:tc>
      </w:tr>
      <w:tr w14:paraId="5A81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7E280A7B">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6127178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p>
        </w:tc>
        <w:tc>
          <w:tcPr>
            <w:tcW w:w="696" w:type="pct"/>
            <w:vAlign w:val="center"/>
          </w:tcPr>
          <w:p w14:paraId="33BF7AA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硅环</w:t>
            </w:r>
          </w:p>
        </w:tc>
        <w:tc>
          <w:tcPr>
            <w:tcW w:w="1091" w:type="pct"/>
            <w:vAlign w:val="center"/>
          </w:tcPr>
          <w:p w14:paraId="53D0365F">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1051560" cy="571500"/>
                  <wp:effectExtent l="0" t="0" r="0" b="0"/>
                  <wp:docPr id="5143240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24027" name="图片 5"/>
                          <pic:cNvPicPr>
                            <a:picLocks noChangeAspect="1"/>
                          </pic:cNvPicPr>
                        </pic:nvPicPr>
                        <pic:blipFill>
                          <a:blip r:embed="rId24" r:link="rId23"/>
                          <a:stretch>
                            <a:fillRect/>
                          </a:stretch>
                        </pic:blipFill>
                        <pic:spPr>
                          <a:xfrm>
                            <a:off x="0" y="0"/>
                            <a:ext cx="1053131" cy="572127"/>
                          </a:xfrm>
                          <a:prstGeom prst="rect">
                            <a:avLst/>
                          </a:prstGeom>
                          <a:noFill/>
                          <a:ln w="9525">
                            <a:noFill/>
                          </a:ln>
                        </pic:spPr>
                      </pic:pic>
                    </a:graphicData>
                  </a:graphic>
                </wp:inline>
              </w:drawing>
            </w:r>
          </w:p>
        </w:tc>
        <w:tc>
          <w:tcPr>
            <w:tcW w:w="1038" w:type="pct"/>
            <w:vAlign w:val="center"/>
          </w:tcPr>
          <w:p w14:paraId="75C2CA1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150MM-550MM单件重约0.1kg~10kg（平均1kg）</w:t>
            </w:r>
          </w:p>
        </w:tc>
        <w:tc>
          <w:tcPr>
            <w:tcW w:w="715" w:type="pct"/>
            <w:vAlign w:val="center"/>
          </w:tcPr>
          <w:p w14:paraId="4CCF4CD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36000件/a（约30t/a）</w:t>
            </w:r>
          </w:p>
        </w:tc>
        <w:tc>
          <w:tcPr>
            <w:tcW w:w="714" w:type="pct"/>
            <w:vMerge w:val="restart"/>
            <w:vAlign w:val="center"/>
          </w:tcPr>
          <w:p w14:paraId="47C48DD4">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三期A、三期B均有</w:t>
            </w:r>
          </w:p>
        </w:tc>
      </w:tr>
      <w:tr w14:paraId="424E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454DBB2F">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5212CF3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p>
        </w:tc>
        <w:tc>
          <w:tcPr>
            <w:tcW w:w="696" w:type="pct"/>
            <w:vAlign w:val="center"/>
          </w:tcPr>
          <w:p w14:paraId="36A371D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硅电极</w:t>
            </w:r>
          </w:p>
        </w:tc>
        <w:tc>
          <w:tcPr>
            <w:tcW w:w="1091" w:type="pct"/>
            <w:vAlign w:val="center"/>
          </w:tcPr>
          <w:p w14:paraId="3752A27D">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895350" cy="514350"/>
                  <wp:effectExtent l="0" t="0" r="0" b="0"/>
                  <wp:docPr id="17634306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30664" name="图片 6"/>
                          <pic:cNvPicPr>
                            <a:picLocks noChangeAspect="1"/>
                          </pic:cNvPicPr>
                        </pic:nvPicPr>
                        <pic:blipFill>
                          <a:blip r:embed="rId25" r:link="rId23"/>
                          <a:stretch>
                            <a:fillRect/>
                          </a:stretch>
                        </pic:blipFill>
                        <pic:spPr>
                          <a:xfrm>
                            <a:off x="0" y="0"/>
                            <a:ext cx="895350" cy="514350"/>
                          </a:xfrm>
                          <a:prstGeom prst="rect">
                            <a:avLst/>
                          </a:prstGeom>
                          <a:noFill/>
                          <a:ln w="9525">
                            <a:noFill/>
                          </a:ln>
                        </pic:spPr>
                      </pic:pic>
                    </a:graphicData>
                  </a:graphic>
                </wp:inline>
              </w:drawing>
            </w:r>
          </w:p>
        </w:tc>
        <w:tc>
          <w:tcPr>
            <w:tcW w:w="1038" w:type="pct"/>
            <w:vAlign w:val="center"/>
          </w:tcPr>
          <w:p w14:paraId="7830726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150MM-550MM单件重约1kg~4kg（平均1.5kg）</w:t>
            </w:r>
          </w:p>
        </w:tc>
        <w:tc>
          <w:tcPr>
            <w:tcW w:w="715" w:type="pct"/>
            <w:vAlign w:val="center"/>
          </w:tcPr>
          <w:p w14:paraId="75A1767D">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100</w:t>
            </w:r>
            <w:r>
              <w:rPr>
                <w:color w:val="000000" w:themeColor="text1"/>
                <w:sz w:val="22"/>
                <w:szCs w:val="22"/>
                <w14:textFill>
                  <w14:solidFill>
                    <w14:schemeClr w14:val="tx1"/>
                  </w14:solidFill>
                </w14:textFill>
              </w:rPr>
              <w:t>00件/a（约</w:t>
            </w:r>
            <w:r>
              <w:rPr>
                <w:rFonts w:hint="eastAsia"/>
                <w:color w:val="000000" w:themeColor="text1"/>
                <w:sz w:val="22"/>
                <w:szCs w:val="22"/>
                <w14:textFill>
                  <w14:solidFill>
                    <w14:schemeClr w14:val="tx1"/>
                  </w14:solidFill>
                </w14:textFill>
              </w:rPr>
              <w:t>11.6</w:t>
            </w:r>
            <w:r>
              <w:rPr>
                <w:color w:val="000000" w:themeColor="text1"/>
                <w:sz w:val="22"/>
                <w:szCs w:val="22"/>
                <w14:textFill>
                  <w14:solidFill>
                    <w14:schemeClr w14:val="tx1"/>
                  </w14:solidFill>
                </w14:textFill>
              </w:rPr>
              <w:t>t/a）</w:t>
            </w:r>
          </w:p>
        </w:tc>
        <w:tc>
          <w:tcPr>
            <w:tcW w:w="714" w:type="pct"/>
            <w:vMerge w:val="continue"/>
            <w:vAlign w:val="center"/>
          </w:tcPr>
          <w:p w14:paraId="4E4B8588">
            <w:pPr>
              <w:spacing w:line="240" w:lineRule="auto"/>
              <w:ind w:firstLine="0" w:firstLineChars="0"/>
              <w:jc w:val="center"/>
              <w:rPr>
                <w:color w:val="000000" w:themeColor="text1"/>
                <w:sz w:val="22"/>
                <w:szCs w:val="22"/>
                <w14:textFill>
                  <w14:solidFill>
                    <w14:schemeClr w14:val="tx1"/>
                  </w14:solidFill>
                </w14:textFill>
              </w:rPr>
            </w:pPr>
          </w:p>
        </w:tc>
      </w:tr>
      <w:tr w14:paraId="46C7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restart"/>
            <w:vAlign w:val="center"/>
          </w:tcPr>
          <w:p w14:paraId="5B08175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石英产品</w:t>
            </w:r>
          </w:p>
        </w:tc>
        <w:tc>
          <w:tcPr>
            <w:tcW w:w="324" w:type="pct"/>
            <w:vAlign w:val="center"/>
          </w:tcPr>
          <w:p w14:paraId="6073573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696" w:type="pct"/>
            <w:vAlign w:val="center"/>
          </w:tcPr>
          <w:p w14:paraId="43E5BC3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石英环</w:t>
            </w:r>
          </w:p>
        </w:tc>
        <w:tc>
          <w:tcPr>
            <w:tcW w:w="1091" w:type="pct"/>
            <w:vAlign w:val="center"/>
          </w:tcPr>
          <w:p w14:paraId="5F7143CB">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586105"/>
                  <wp:effectExtent l="0" t="0" r="4445" b="4445"/>
                  <wp:docPr id="1860094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94554" name="图片 1"/>
                          <pic:cNvPicPr>
                            <a:picLocks noChangeAspect="1"/>
                          </pic:cNvPicPr>
                        </pic:nvPicPr>
                        <pic:blipFill>
                          <a:blip r:embed="rId22" r:link="rId23"/>
                          <a:stretch>
                            <a:fillRect/>
                          </a:stretch>
                        </pic:blipFill>
                        <pic:spPr>
                          <a:xfrm>
                            <a:off x="0" y="0"/>
                            <a:ext cx="720000" cy="586105"/>
                          </a:xfrm>
                          <a:prstGeom prst="rect">
                            <a:avLst/>
                          </a:prstGeom>
                          <a:noFill/>
                          <a:ln w="9525">
                            <a:noFill/>
                          </a:ln>
                        </pic:spPr>
                      </pic:pic>
                    </a:graphicData>
                  </a:graphic>
                </wp:inline>
              </w:drawing>
            </w:r>
          </w:p>
        </w:tc>
        <w:tc>
          <w:tcPr>
            <w:tcW w:w="1038" w:type="pct"/>
            <w:vAlign w:val="center"/>
          </w:tcPr>
          <w:p w14:paraId="1742B21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每件约0.1kg~20kg（平均</w:t>
            </w:r>
            <w:r>
              <w:rPr>
                <w:rFonts w:hint="eastAsia"/>
                <w:color w:val="000000" w:themeColor="text1"/>
                <w:sz w:val="22"/>
                <w:szCs w:val="22"/>
                <w14:textFill>
                  <w14:solidFill>
                    <w14:schemeClr w14:val="tx1"/>
                  </w14:solidFill>
                </w14:textFill>
              </w:rPr>
              <w:t>2.0</w:t>
            </w:r>
            <w:r>
              <w:rPr>
                <w:color w:val="000000" w:themeColor="text1"/>
                <w:sz w:val="22"/>
                <w:szCs w:val="22"/>
                <w14:textFill>
                  <w14:solidFill>
                    <w14:schemeClr w14:val="tx1"/>
                  </w14:solidFill>
                </w14:textFill>
              </w:rPr>
              <w:t>kg）</w:t>
            </w:r>
          </w:p>
        </w:tc>
        <w:tc>
          <w:tcPr>
            <w:tcW w:w="715" w:type="pct"/>
            <w:vAlign w:val="center"/>
          </w:tcPr>
          <w:p w14:paraId="74B6F30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5400件/a</w:t>
            </w:r>
          </w:p>
          <w:p w14:paraId="2996F34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（约10.8t/a）</w:t>
            </w:r>
          </w:p>
        </w:tc>
        <w:tc>
          <w:tcPr>
            <w:tcW w:w="714" w:type="pct"/>
            <w:vAlign w:val="center"/>
          </w:tcPr>
          <w:p w14:paraId="1EFF64B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三期B</w:t>
            </w:r>
          </w:p>
        </w:tc>
      </w:tr>
      <w:tr w14:paraId="67D9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7F9E1604">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6EBF9F3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p>
        </w:tc>
        <w:tc>
          <w:tcPr>
            <w:tcW w:w="696" w:type="pct"/>
            <w:vAlign w:val="center"/>
          </w:tcPr>
          <w:p w14:paraId="484C2CA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石英舟托</w:t>
            </w:r>
          </w:p>
        </w:tc>
        <w:tc>
          <w:tcPr>
            <w:tcW w:w="1091" w:type="pct"/>
            <w:vAlign w:val="center"/>
          </w:tcPr>
          <w:p w14:paraId="2D596ED0">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553720"/>
                  <wp:effectExtent l="0" t="0" r="4445" b="0"/>
                  <wp:docPr id="1572706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06114" name="图片 2"/>
                          <pic:cNvPicPr>
                            <a:picLocks noChangeAspect="1"/>
                          </pic:cNvPicPr>
                        </pic:nvPicPr>
                        <pic:blipFill>
                          <a:blip r:embed="rId26" r:link="rId23"/>
                          <a:stretch>
                            <a:fillRect/>
                          </a:stretch>
                        </pic:blipFill>
                        <pic:spPr>
                          <a:xfrm>
                            <a:off x="0" y="0"/>
                            <a:ext cx="720000" cy="554042"/>
                          </a:xfrm>
                          <a:prstGeom prst="rect">
                            <a:avLst/>
                          </a:prstGeom>
                          <a:noFill/>
                          <a:ln w="9525">
                            <a:noFill/>
                          </a:ln>
                        </pic:spPr>
                      </pic:pic>
                    </a:graphicData>
                  </a:graphic>
                </wp:inline>
              </w:drawing>
            </w:r>
          </w:p>
        </w:tc>
        <w:tc>
          <w:tcPr>
            <w:tcW w:w="1038" w:type="pct"/>
            <w:vAlign w:val="center"/>
          </w:tcPr>
          <w:p w14:paraId="5AFCF63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w:t>
            </w:r>
            <w:r>
              <w:rPr>
                <w:rFonts w:hint="eastAsia"/>
                <w:color w:val="000000" w:themeColor="text1"/>
                <w:sz w:val="22"/>
                <w:szCs w:val="22"/>
                <w14:textFill>
                  <w14:solidFill>
                    <w14:schemeClr w14:val="tx1"/>
                  </w14:solidFill>
                </w14:textFill>
              </w:rPr>
              <w:t>1</w:t>
            </w:r>
            <w:r>
              <w:rPr>
                <w:color w:val="000000" w:themeColor="text1"/>
                <w:sz w:val="22"/>
                <w:szCs w:val="22"/>
                <w14:textFill>
                  <w14:solidFill>
                    <w14:schemeClr w14:val="tx1"/>
                  </w14:solidFill>
                </w14:textFill>
              </w:rPr>
              <w:t>kg~</w:t>
            </w:r>
            <w:r>
              <w:rPr>
                <w:rFonts w:hint="eastAsia"/>
                <w:color w:val="000000" w:themeColor="text1"/>
                <w:sz w:val="22"/>
                <w:szCs w:val="22"/>
                <w14:textFill>
                  <w14:solidFill>
                    <w14:schemeClr w14:val="tx1"/>
                  </w14:solidFill>
                </w14:textFill>
              </w:rPr>
              <w:t>10</w:t>
            </w:r>
            <w:r>
              <w:rPr>
                <w:color w:val="000000" w:themeColor="text1"/>
                <w:sz w:val="22"/>
                <w:szCs w:val="22"/>
                <w14:textFill>
                  <w14:solidFill>
                    <w14:schemeClr w14:val="tx1"/>
                  </w14:solidFill>
                </w14:textFill>
              </w:rPr>
              <w:t>kg（平均</w:t>
            </w:r>
            <w:r>
              <w:rPr>
                <w:rFonts w:hint="eastAsia"/>
                <w:color w:val="000000" w:themeColor="text1"/>
                <w:sz w:val="22"/>
                <w:szCs w:val="22"/>
                <w14:textFill>
                  <w14:solidFill>
                    <w14:schemeClr w14:val="tx1"/>
                  </w14:solidFill>
                </w14:textFill>
              </w:rPr>
              <w:t>1.0</w:t>
            </w:r>
            <w:r>
              <w:rPr>
                <w:color w:val="000000" w:themeColor="text1"/>
                <w:sz w:val="22"/>
                <w:szCs w:val="22"/>
                <w14:textFill>
                  <w14:solidFill>
                    <w14:schemeClr w14:val="tx1"/>
                  </w14:solidFill>
                </w14:textFill>
              </w:rPr>
              <w:t>kg）</w:t>
            </w:r>
          </w:p>
        </w:tc>
        <w:tc>
          <w:tcPr>
            <w:tcW w:w="715" w:type="pct"/>
            <w:vAlign w:val="center"/>
          </w:tcPr>
          <w:p w14:paraId="357F190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2400件/a（约</w:t>
            </w:r>
            <w:r>
              <w:rPr>
                <w:rFonts w:hint="eastAsia"/>
                <w:color w:val="000000" w:themeColor="text1"/>
                <w:sz w:val="22"/>
                <w:szCs w:val="22"/>
                <w14:textFill>
                  <w14:solidFill>
                    <w14:schemeClr w14:val="tx1"/>
                  </w14:solidFill>
                </w14:textFill>
              </w:rPr>
              <w:t>2.4</w:t>
            </w:r>
            <w:r>
              <w:rPr>
                <w:color w:val="000000" w:themeColor="text1"/>
                <w:sz w:val="22"/>
                <w:szCs w:val="22"/>
                <w14:textFill>
                  <w14:solidFill>
                    <w14:schemeClr w14:val="tx1"/>
                  </w14:solidFill>
                </w14:textFill>
              </w:rPr>
              <w:t>t/a）</w:t>
            </w:r>
          </w:p>
        </w:tc>
        <w:tc>
          <w:tcPr>
            <w:tcW w:w="714" w:type="pct"/>
            <w:vMerge w:val="restart"/>
            <w:vAlign w:val="center"/>
          </w:tcPr>
          <w:p w14:paraId="67EF7149">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三期B</w:t>
            </w:r>
          </w:p>
        </w:tc>
      </w:tr>
      <w:tr w14:paraId="6CE3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3109F254">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65A24ED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p>
        </w:tc>
        <w:tc>
          <w:tcPr>
            <w:tcW w:w="696" w:type="pct"/>
            <w:vAlign w:val="center"/>
          </w:tcPr>
          <w:p w14:paraId="1EB67AA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石英舟</w:t>
            </w:r>
          </w:p>
        </w:tc>
        <w:tc>
          <w:tcPr>
            <w:tcW w:w="1091" w:type="pct"/>
            <w:vAlign w:val="center"/>
          </w:tcPr>
          <w:p w14:paraId="598BFA29">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591820"/>
                  <wp:effectExtent l="0" t="0" r="4445" b="0"/>
                  <wp:docPr id="15911093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09383" name="图片 3"/>
                          <pic:cNvPicPr>
                            <a:picLocks noChangeAspect="1"/>
                          </pic:cNvPicPr>
                        </pic:nvPicPr>
                        <pic:blipFill>
                          <a:blip r:embed="rId27" r:link="rId23"/>
                          <a:stretch>
                            <a:fillRect/>
                          </a:stretch>
                        </pic:blipFill>
                        <pic:spPr>
                          <a:xfrm>
                            <a:off x="0" y="0"/>
                            <a:ext cx="720000" cy="592340"/>
                          </a:xfrm>
                          <a:prstGeom prst="rect">
                            <a:avLst/>
                          </a:prstGeom>
                          <a:noFill/>
                          <a:ln w="9525">
                            <a:noFill/>
                          </a:ln>
                        </pic:spPr>
                      </pic:pic>
                    </a:graphicData>
                  </a:graphic>
                </wp:inline>
              </w:drawing>
            </w:r>
          </w:p>
        </w:tc>
        <w:tc>
          <w:tcPr>
            <w:tcW w:w="1038" w:type="pct"/>
            <w:vAlign w:val="center"/>
          </w:tcPr>
          <w:p w14:paraId="6A08D82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w:t>
            </w:r>
            <w:r>
              <w:rPr>
                <w:rFonts w:hint="eastAsia"/>
                <w:color w:val="000000" w:themeColor="text1"/>
                <w:sz w:val="22"/>
                <w:szCs w:val="22"/>
                <w14:textFill>
                  <w14:solidFill>
                    <w14:schemeClr w14:val="tx1"/>
                  </w14:solidFill>
                </w14:textFill>
              </w:rPr>
              <w:t>1</w:t>
            </w:r>
            <w:r>
              <w:rPr>
                <w:color w:val="000000" w:themeColor="text1"/>
                <w:sz w:val="22"/>
                <w:szCs w:val="22"/>
                <w14:textFill>
                  <w14:solidFill>
                    <w14:schemeClr w14:val="tx1"/>
                  </w14:solidFill>
                </w14:textFill>
              </w:rPr>
              <w:t>kg~</w:t>
            </w:r>
            <w:r>
              <w:rPr>
                <w:rFonts w:hint="eastAsia"/>
                <w:color w:val="000000" w:themeColor="text1"/>
                <w:sz w:val="22"/>
                <w:szCs w:val="22"/>
                <w14:textFill>
                  <w14:solidFill>
                    <w14:schemeClr w14:val="tx1"/>
                  </w14:solidFill>
                </w14:textFill>
              </w:rPr>
              <w:t>1.0</w:t>
            </w:r>
            <w:r>
              <w:rPr>
                <w:color w:val="000000" w:themeColor="text1"/>
                <w:sz w:val="22"/>
                <w:szCs w:val="22"/>
                <w14:textFill>
                  <w14:solidFill>
                    <w14:schemeClr w14:val="tx1"/>
                  </w14:solidFill>
                </w14:textFill>
              </w:rPr>
              <w:t>kg（平均</w:t>
            </w:r>
            <w:r>
              <w:rPr>
                <w:rFonts w:hint="eastAsia"/>
                <w:color w:val="000000" w:themeColor="text1"/>
                <w:sz w:val="22"/>
                <w:szCs w:val="22"/>
                <w14:textFill>
                  <w14:solidFill>
                    <w14:schemeClr w14:val="tx1"/>
                  </w14:solidFill>
                </w14:textFill>
              </w:rPr>
              <w:t>0.8</w:t>
            </w:r>
            <w:r>
              <w:rPr>
                <w:color w:val="000000" w:themeColor="text1"/>
                <w:sz w:val="22"/>
                <w:szCs w:val="22"/>
                <w14:textFill>
                  <w14:solidFill>
                    <w14:schemeClr w14:val="tx1"/>
                  </w14:solidFill>
                </w14:textFill>
              </w:rPr>
              <w:t>kg）</w:t>
            </w:r>
          </w:p>
        </w:tc>
        <w:tc>
          <w:tcPr>
            <w:tcW w:w="715" w:type="pct"/>
            <w:vAlign w:val="center"/>
          </w:tcPr>
          <w:p w14:paraId="7059212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36000件/a（约</w:t>
            </w:r>
            <w:r>
              <w:rPr>
                <w:rFonts w:hint="eastAsia"/>
                <w:color w:val="000000" w:themeColor="text1"/>
                <w:sz w:val="22"/>
                <w:szCs w:val="22"/>
                <w14:textFill>
                  <w14:solidFill>
                    <w14:schemeClr w14:val="tx1"/>
                  </w14:solidFill>
                </w14:textFill>
              </w:rPr>
              <w:t>28.8</w:t>
            </w:r>
            <w:r>
              <w:rPr>
                <w:color w:val="000000" w:themeColor="text1"/>
                <w:sz w:val="22"/>
                <w:szCs w:val="22"/>
                <w14:textFill>
                  <w14:solidFill>
                    <w14:schemeClr w14:val="tx1"/>
                  </w14:solidFill>
                </w14:textFill>
              </w:rPr>
              <w:t>t/a）</w:t>
            </w:r>
          </w:p>
        </w:tc>
        <w:tc>
          <w:tcPr>
            <w:tcW w:w="714" w:type="pct"/>
            <w:vMerge w:val="continue"/>
            <w:vAlign w:val="center"/>
          </w:tcPr>
          <w:p w14:paraId="265A2FA9">
            <w:pPr>
              <w:spacing w:line="240" w:lineRule="auto"/>
              <w:ind w:firstLine="0" w:firstLineChars="0"/>
              <w:jc w:val="center"/>
              <w:rPr>
                <w:color w:val="000000" w:themeColor="text1"/>
                <w:sz w:val="22"/>
                <w:szCs w:val="22"/>
                <w14:textFill>
                  <w14:solidFill>
                    <w14:schemeClr w14:val="tx1"/>
                  </w14:solidFill>
                </w14:textFill>
              </w:rPr>
            </w:pPr>
          </w:p>
        </w:tc>
      </w:tr>
      <w:tr w14:paraId="57C3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6335A5B6">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1C2322F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p>
        </w:tc>
        <w:tc>
          <w:tcPr>
            <w:tcW w:w="696" w:type="pct"/>
            <w:vAlign w:val="center"/>
          </w:tcPr>
          <w:p w14:paraId="0B0039A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石英管</w:t>
            </w:r>
          </w:p>
        </w:tc>
        <w:tc>
          <w:tcPr>
            <w:tcW w:w="1091" w:type="pct"/>
            <w:vAlign w:val="center"/>
          </w:tcPr>
          <w:p w14:paraId="22B00400">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484505"/>
                  <wp:effectExtent l="0" t="0" r="4445" b="0"/>
                  <wp:docPr id="17555326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32626" name="图片 4"/>
                          <pic:cNvPicPr>
                            <a:picLocks noChangeAspect="1"/>
                          </pic:cNvPicPr>
                        </pic:nvPicPr>
                        <pic:blipFill>
                          <a:blip r:embed="rId28" r:link="rId23"/>
                          <a:stretch>
                            <a:fillRect/>
                          </a:stretch>
                        </pic:blipFill>
                        <pic:spPr>
                          <a:xfrm>
                            <a:off x="0" y="0"/>
                            <a:ext cx="720000" cy="485106"/>
                          </a:xfrm>
                          <a:prstGeom prst="rect">
                            <a:avLst/>
                          </a:prstGeom>
                          <a:noFill/>
                          <a:ln w="9525">
                            <a:noFill/>
                          </a:ln>
                        </pic:spPr>
                      </pic:pic>
                    </a:graphicData>
                  </a:graphic>
                </wp:inline>
              </w:drawing>
            </w:r>
          </w:p>
        </w:tc>
        <w:tc>
          <w:tcPr>
            <w:tcW w:w="1038" w:type="pct"/>
            <w:vAlign w:val="center"/>
          </w:tcPr>
          <w:p w14:paraId="5596290C">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每件约0.5kg~</w:t>
            </w:r>
            <w:r>
              <w:rPr>
                <w:rFonts w:hint="eastAsia"/>
                <w:color w:val="000000" w:themeColor="text1"/>
                <w:sz w:val="22"/>
                <w:szCs w:val="22"/>
                <w14:textFill>
                  <w14:solidFill>
                    <w14:schemeClr w14:val="tx1"/>
                  </w14:solidFill>
                </w14:textFill>
              </w:rPr>
              <w:t>20</w:t>
            </w:r>
            <w:r>
              <w:rPr>
                <w:color w:val="000000" w:themeColor="text1"/>
                <w:sz w:val="22"/>
                <w:szCs w:val="22"/>
                <w14:textFill>
                  <w14:solidFill>
                    <w14:schemeClr w14:val="tx1"/>
                  </w14:solidFill>
                </w14:textFill>
              </w:rPr>
              <w:t>kg（平均</w:t>
            </w:r>
            <w:r>
              <w:rPr>
                <w:rFonts w:hint="eastAsia"/>
                <w:color w:val="000000" w:themeColor="text1"/>
                <w:sz w:val="22"/>
                <w:szCs w:val="22"/>
                <w14:textFill>
                  <w14:solidFill>
                    <w14:schemeClr w14:val="tx1"/>
                  </w14:solidFill>
                </w14:textFill>
              </w:rPr>
              <w:t>1.2</w:t>
            </w:r>
            <w:r>
              <w:rPr>
                <w:color w:val="000000" w:themeColor="text1"/>
                <w:sz w:val="22"/>
                <w:szCs w:val="22"/>
                <w14:textFill>
                  <w14:solidFill>
                    <w14:schemeClr w14:val="tx1"/>
                  </w14:solidFill>
                </w14:textFill>
              </w:rPr>
              <w:t>kg）</w:t>
            </w:r>
          </w:p>
        </w:tc>
        <w:tc>
          <w:tcPr>
            <w:tcW w:w="715" w:type="pct"/>
            <w:vAlign w:val="center"/>
          </w:tcPr>
          <w:p w14:paraId="7CB1A24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1217件/a（约</w:t>
            </w:r>
            <w:r>
              <w:rPr>
                <w:rFonts w:hint="eastAsia"/>
                <w:color w:val="000000" w:themeColor="text1"/>
                <w:sz w:val="22"/>
                <w:szCs w:val="22"/>
                <w14:textFill>
                  <w14:solidFill>
                    <w14:schemeClr w14:val="tx1"/>
                  </w14:solidFill>
                </w14:textFill>
              </w:rPr>
              <w:t>1.5</w:t>
            </w:r>
            <w:r>
              <w:rPr>
                <w:color w:val="000000" w:themeColor="text1"/>
                <w:sz w:val="22"/>
                <w:szCs w:val="22"/>
                <w14:textFill>
                  <w14:solidFill>
                    <w14:schemeClr w14:val="tx1"/>
                  </w14:solidFill>
                </w14:textFill>
              </w:rPr>
              <w:t>t/a）</w:t>
            </w:r>
          </w:p>
        </w:tc>
        <w:tc>
          <w:tcPr>
            <w:tcW w:w="714" w:type="pct"/>
            <w:vMerge w:val="continue"/>
            <w:vAlign w:val="center"/>
          </w:tcPr>
          <w:p w14:paraId="45AB4D5E">
            <w:pPr>
              <w:spacing w:line="240" w:lineRule="auto"/>
              <w:ind w:firstLine="0" w:firstLineChars="0"/>
              <w:jc w:val="center"/>
              <w:rPr>
                <w:color w:val="000000" w:themeColor="text1"/>
                <w:sz w:val="22"/>
                <w:szCs w:val="22"/>
                <w14:textFill>
                  <w14:solidFill>
                    <w14:schemeClr w14:val="tx1"/>
                  </w14:solidFill>
                </w14:textFill>
              </w:rPr>
            </w:pPr>
          </w:p>
        </w:tc>
      </w:tr>
      <w:tr w14:paraId="7E5F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Align w:val="center"/>
          </w:tcPr>
          <w:p w14:paraId="114409C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石墨产品</w:t>
            </w:r>
          </w:p>
        </w:tc>
        <w:tc>
          <w:tcPr>
            <w:tcW w:w="324" w:type="pct"/>
            <w:vAlign w:val="center"/>
          </w:tcPr>
          <w:p w14:paraId="7A3869C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696" w:type="pct"/>
            <w:vAlign w:val="center"/>
          </w:tcPr>
          <w:p w14:paraId="613E66C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石墨零部件</w:t>
            </w:r>
          </w:p>
        </w:tc>
        <w:tc>
          <w:tcPr>
            <w:tcW w:w="1091" w:type="pct"/>
            <w:vAlign w:val="center"/>
          </w:tcPr>
          <w:p w14:paraId="31FAEE8A">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457200"/>
                  <wp:effectExtent l="0" t="0" r="4445" b="0"/>
                  <wp:docPr id="15150711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71192" name="图片 7"/>
                          <pic:cNvPicPr>
                            <a:picLocks noChangeAspect="1"/>
                          </pic:cNvPicPr>
                        </pic:nvPicPr>
                        <pic:blipFill>
                          <a:blip r:embed="rId29" r:link="rId23"/>
                          <a:stretch>
                            <a:fillRect/>
                          </a:stretch>
                        </pic:blipFill>
                        <pic:spPr>
                          <a:xfrm>
                            <a:off x="0" y="0"/>
                            <a:ext cx="720001" cy="457547"/>
                          </a:xfrm>
                          <a:prstGeom prst="rect">
                            <a:avLst/>
                          </a:prstGeom>
                          <a:noFill/>
                          <a:ln w="9525">
                            <a:noFill/>
                          </a:ln>
                        </pic:spPr>
                      </pic:pic>
                    </a:graphicData>
                  </a:graphic>
                </wp:inline>
              </w:drawing>
            </w:r>
          </w:p>
        </w:tc>
        <w:tc>
          <w:tcPr>
            <w:tcW w:w="1038" w:type="pct"/>
            <w:vAlign w:val="center"/>
          </w:tcPr>
          <w:p w14:paraId="029DE7B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每件约0.1kg~50kg（平均2.3kg）</w:t>
            </w:r>
          </w:p>
        </w:tc>
        <w:tc>
          <w:tcPr>
            <w:tcW w:w="715" w:type="pct"/>
            <w:vAlign w:val="center"/>
          </w:tcPr>
          <w:p w14:paraId="7ECF518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35000件/a（约80.5t/a）</w:t>
            </w:r>
          </w:p>
        </w:tc>
        <w:tc>
          <w:tcPr>
            <w:tcW w:w="714" w:type="pct"/>
            <w:vAlign w:val="center"/>
          </w:tcPr>
          <w:p w14:paraId="7277F0D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三期B</w:t>
            </w:r>
          </w:p>
        </w:tc>
      </w:tr>
      <w:tr w14:paraId="6047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restart"/>
            <w:vAlign w:val="center"/>
          </w:tcPr>
          <w:p w14:paraId="3AFB51A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陶瓷产品</w:t>
            </w:r>
          </w:p>
        </w:tc>
        <w:tc>
          <w:tcPr>
            <w:tcW w:w="324" w:type="pct"/>
            <w:vAlign w:val="center"/>
          </w:tcPr>
          <w:p w14:paraId="5677979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696" w:type="pct"/>
            <w:vAlign w:val="center"/>
          </w:tcPr>
          <w:p w14:paraId="44FEFFE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陶瓷板</w:t>
            </w:r>
          </w:p>
        </w:tc>
        <w:tc>
          <w:tcPr>
            <w:tcW w:w="1091" w:type="pct"/>
            <w:vMerge w:val="restart"/>
            <w:vAlign w:val="center"/>
          </w:tcPr>
          <w:p w14:paraId="05AC136B">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rPr>
              <w:drawing>
                <wp:inline distT="0" distB="0" distL="0" distR="0">
                  <wp:extent cx="719455" cy="673735"/>
                  <wp:effectExtent l="0" t="0" r="4445" b="0"/>
                  <wp:docPr id="15026090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09023"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20000" cy="674182"/>
                          </a:xfrm>
                          <a:prstGeom prst="rect">
                            <a:avLst/>
                          </a:prstGeom>
                          <a:noFill/>
                          <a:ln>
                            <a:noFill/>
                          </a:ln>
                        </pic:spPr>
                      </pic:pic>
                    </a:graphicData>
                  </a:graphic>
                </wp:inline>
              </w:drawing>
            </w:r>
          </w:p>
        </w:tc>
        <w:tc>
          <w:tcPr>
            <w:tcW w:w="1038" w:type="pct"/>
            <w:vAlign w:val="center"/>
          </w:tcPr>
          <w:p w14:paraId="3571A2D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1套6-10块</w:t>
            </w:r>
          </w:p>
        </w:tc>
        <w:tc>
          <w:tcPr>
            <w:tcW w:w="715" w:type="pct"/>
            <w:vAlign w:val="center"/>
          </w:tcPr>
          <w:p w14:paraId="63803FE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120套</w:t>
            </w:r>
          </w:p>
        </w:tc>
        <w:tc>
          <w:tcPr>
            <w:tcW w:w="714" w:type="pct"/>
            <w:vMerge w:val="restart"/>
            <w:vAlign w:val="center"/>
          </w:tcPr>
          <w:p w14:paraId="4A209D85">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三期A</w:t>
            </w:r>
          </w:p>
        </w:tc>
      </w:tr>
      <w:tr w14:paraId="1AE6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3C0D95C7">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7037B60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p>
        </w:tc>
        <w:tc>
          <w:tcPr>
            <w:tcW w:w="696" w:type="pct"/>
            <w:vAlign w:val="center"/>
          </w:tcPr>
          <w:p w14:paraId="24500ADC">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陶瓷环</w:t>
            </w:r>
          </w:p>
        </w:tc>
        <w:tc>
          <w:tcPr>
            <w:tcW w:w="1091" w:type="pct"/>
            <w:vMerge w:val="continue"/>
            <w:vAlign w:val="center"/>
          </w:tcPr>
          <w:p w14:paraId="2DBD5065">
            <w:pPr>
              <w:spacing w:line="240" w:lineRule="auto"/>
              <w:ind w:firstLine="0" w:firstLineChars="0"/>
              <w:jc w:val="center"/>
              <w:rPr>
                <w:color w:val="000000" w:themeColor="text1"/>
                <w:sz w:val="22"/>
                <w:szCs w:val="22"/>
                <w14:textFill>
                  <w14:solidFill>
                    <w14:schemeClr w14:val="tx1"/>
                  </w14:solidFill>
                </w14:textFill>
              </w:rPr>
            </w:pPr>
          </w:p>
        </w:tc>
        <w:tc>
          <w:tcPr>
            <w:tcW w:w="1038" w:type="pct"/>
            <w:vAlign w:val="center"/>
          </w:tcPr>
          <w:p w14:paraId="52C20E8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715" w:type="pct"/>
            <w:vAlign w:val="center"/>
          </w:tcPr>
          <w:p w14:paraId="79B52B9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2400个</w:t>
            </w:r>
          </w:p>
        </w:tc>
        <w:tc>
          <w:tcPr>
            <w:tcW w:w="714" w:type="pct"/>
            <w:vMerge w:val="continue"/>
            <w:vAlign w:val="center"/>
          </w:tcPr>
          <w:p w14:paraId="3655F6B4">
            <w:pPr>
              <w:spacing w:line="240" w:lineRule="auto"/>
              <w:ind w:firstLine="0" w:firstLineChars="0"/>
              <w:jc w:val="center"/>
              <w:rPr>
                <w:color w:val="000000" w:themeColor="text1"/>
                <w:sz w:val="22"/>
                <w:szCs w:val="22"/>
                <w14:textFill>
                  <w14:solidFill>
                    <w14:schemeClr w14:val="tx1"/>
                  </w14:solidFill>
                </w14:textFill>
              </w:rPr>
            </w:pPr>
          </w:p>
        </w:tc>
      </w:tr>
      <w:tr w14:paraId="4A27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0BC1F8B2">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2B6E7D6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p>
        </w:tc>
        <w:tc>
          <w:tcPr>
            <w:tcW w:w="696" w:type="pct"/>
            <w:vAlign w:val="center"/>
          </w:tcPr>
          <w:p w14:paraId="48CD05B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陶瓷盘、棒</w:t>
            </w:r>
          </w:p>
        </w:tc>
        <w:tc>
          <w:tcPr>
            <w:tcW w:w="1091" w:type="pct"/>
            <w:vMerge w:val="continue"/>
            <w:vAlign w:val="center"/>
          </w:tcPr>
          <w:p w14:paraId="7C60697C">
            <w:pPr>
              <w:spacing w:line="240" w:lineRule="auto"/>
              <w:ind w:firstLine="0" w:firstLineChars="0"/>
              <w:jc w:val="center"/>
              <w:rPr>
                <w:color w:val="000000" w:themeColor="text1"/>
                <w:sz w:val="22"/>
                <w:szCs w:val="22"/>
                <w14:textFill>
                  <w14:solidFill>
                    <w14:schemeClr w14:val="tx1"/>
                  </w14:solidFill>
                </w14:textFill>
              </w:rPr>
            </w:pPr>
          </w:p>
        </w:tc>
        <w:tc>
          <w:tcPr>
            <w:tcW w:w="1038" w:type="pct"/>
            <w:vAlign w:val="center"/>
          </w:tcPr>
          <w:p w14:paraId="19BBA28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1套6-10块</w:t>
            </w:r>
          </w:p>
        </w:tc>
        <w:tc>
          <w:tcPr>
            <w:tcW w:w="715" w:type="pct"/>
            <w:vAlign w:val="center"/>
          </w:tcPr>
          <w:p w14:paraId="4E55C41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12000套</w:t>
            </w:r>
          </w:p>
        </w:tc>
        <w:tc>
          <w:tcPr>
            <w:tcW w:w="714" w:type="pct"/>
            <w:vMerge w:val="continue"/>
            <w:vAlign w:val="center"/>
          </w:tcPr>
          <w:p w14:paraId="4B4FA986">
            <w:pPr>
              <w:spacing w:line="240" w:lineRule="auto"/>
              <w:ind w:firstLine="0" w:firstLineChars="0"/>
              <w:jc w:val="center"/>
              <w:rPr>
                <w:color w:val="000000" w:themeColor="text1"/>
                <w:sz w:val="22"/>
                <w:szCs w:val="22"/>
                <w14:textFill>
                  <w14:solidFill>
                    <w14:schemeClr w14:val="tx1"/>
                  </w14:solidFill>
                </w14:textFill>
              </w:rPr>
            </w:pPr>
          </w:p>
        </w:tc>
      </w:tr>
      <w:tr w14:paraId="3B58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63F50D61">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4B0F37A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p>
        </w:tc>
        <w:tc>
          <w:tcPr>
            <w:tcW w:w="696" w:type="pct"/>
            <w:vAlign w:val="center"/>
          </w:tcPr>
          <w:p w14:paraId="21D6CD5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陶瓷滚筒</w:t>
            </w:r>
          </w:p>
        </w:tc>
        <w:tc>
          <w:tcPr>
            <w:tcW w:w="1091" w:type="pct"/>
            <w:vAlign w:val="center"/>
          </w:tcPr>
          <w:p w14:paraId="48909457">
            <w:pPr>
              <w:spacing w:line="240" w:lineRule="auto"/>
              <w:ind w:firstLine="0" w:firstLineChars="0"/>
              <w:jc w:val="center"/>
              <w:rPr>
                <w:snapToGrid/>
                <w:color w:val="000000" w:themeColor="text1"/>
                <w:sz w:val="22"/>
                <w:szCs w:val="22"/>
                <w14:textFill>
                  <w14:solidFill>
                    <w14:schemeClr w14:val="tx1"/>
                  </w14:solidFill>
                </w14:textFill>
                <w14:ligatures w14:val="standardContextual"/>
              </w:rPr>
            </w:pPr>
            <w:r>
              <w:rPr>
                <w:snapToGrid/>
                <w:color w:val="000000" w:themeColor="text1"/>
                <w14:textFill>
                  <w14:solidFill>
                    <w14:schemeClr w14:val="tx1"/>
                  </w14:solidFill>
                </w14:textFill>
                <w14:ligatures w14:val="standardContextual"/>
              </w:rPr>
              <w:drawing>
                <wp:inline distT="0" distB="0" distL="0" distR="0">
                  <wp:extent cx="719455" cy="568325"/>
                  <wp:effectExtent l="0" t="0" r="4445" b="3175"/>
                  <wp:docPr id="3012880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88067" name="图片 11"/>
                          <pic:cNvPicPr>
                            <a:picLocks noChangeAspect="1"/>
                          </pic:cNvPicPr>
                        </pic:nvPicPr>
                        <pic:blipFill>
                          <a:blip r:embed="rId31"/>
                          <a:stretch>
                            <a:fillRect/>
                          </a:stretch>
                        </pic:blipFill>
                        <pic:spPr>
                          <a:xfrm>
                            <a:off x="0" y="0"/>
                            <a:ext cx="720000" cy="568696"/>
                          </a:xfrm>
                          <a:prstGeom prst="rect">
                            <a:avLst/>
                          </a:prstGeom>
                          <a:noFill/>
                          <a:ln w="9525">
                            <a:noFill/>
                          </a:ln>
                        </pic:spPr>
                      </pic:pic>
                    </a:graphicData>
                  </a:graphic>
                </wp:inline>
              </w:drawing>
            </w:r>
          </w:p>
        </w:tc>
        <w:tc>
          <w:tcPr>
            <w:tcW w:w="1038" w:type="pct"/>
            <w:vAlign w:val="center"/>
          </w:tcPr>
          <w:p w14:paraId="6D97B29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直径30mm，长度180mm每件0.3kg</w:t>
            </w:r>
          </w:p>
        </w:tc>
        <w:tc>
          <w:tcPr>
            <w:tcW w:w="715" w:type="pct"/>
            <w:vAlign w:val="center"/>
          </w:tcPr>
          <w:p w14:paraId="6FABDED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4000件/a（约1.2t/a）</w:t>
            </w:r>
          </w:p>
        </w:tc>
        <w:tc>
          <w:tcPr>
            <w:tcW w:w="714" w:type="pct"/>
            <w:vMerge w:val="restart"/>
            <w:vAlign w:val="center"/>
          </w:tcPr>
          <w:p w14:paraId="2F8FD12B">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三期B</w:t>
            </w:r>
          </w:p>
        </w:tc>
      </w:tr>
      <w:tr w14:paraId="3FCE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Merge w:val="continue"/>
            <w:vAlign w:val="center"/>
          </w:tcPr>
          <w:p w14:paraId="3EA98483">
            <w:pPr>
              <w:spacing w:line="240" w:lineRule="auto"/>
              <w:ind w:firstLine="0" w:firstLineChars="0"/>
              <w:jc w:val="center"/>
              <w:rPr>
                <w:color w:val="000000" w:themeColor="text1"/>
                <w:sz w:val="22"/>
                <w:szCs w:val="22"/>
                <w14:textFill>
                  <w14:solidFill>
                    <w14:schemeClr w14:val="tx1"/>
                  </w14:solidFill>
                </w14:textFill>
              </w:rPr>
            </w:pPr>
          </w:p>
        </w:tc>
        <w:tc>
          <w:tcPr>
            <w:tcW w:w="324" w:type="pct"/>
            <w:vAlign w:val="center"/>
          </w:tcPr>
          <w:p w14:paraId="084D5CB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w:t>
            </w:r>
          </w:p>
        </w:tc>
        <w:tc>
          <w:tcPr>
            <w:tcW w:w="696" w:type="pct"/>
            <w:vAlign w:val="center"/>
          </w:tcPr>
          <w:p w14:paraId="1AEA00F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陶瓷杆</w:t>
            </w:r>
          </w:p>
        </w:tc>
        <w:tc>
          <w:tcPr>
            <w:tcW w:w="1091" w:type="pct"/>
            <w:vAlign w:val="center"/>
          </w:tcPr>
          <w:p w14:paraId="1E33D794">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577850"/>
                  <wp:effectExtent l="0" t="0" r="4445" b="0"/>
                  <wp:docPr id="3029939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93969" name="图片 12"/>
                          <pic:cNvPicPr>
                            <a:picLocks noChangeAspect="1"/>
                          </pic:cNvPicPr>
                        </pic:nvPicPr>
                        <pic:blipFill>
                          <a:blip r:embed="rId32"/>
                          <a:stretch>
                            <a:fillRect/>
                          </a:stretch>
                        </pic:blipFill>
                        <pic:spPr>
                          <a:xfrm>
                            <a:off x="0" y="0"/>
                            <a:ext cx="720000" cy="578102"/>
                          </a:xfrm>
                          <a:prstGeom prst="rect">
                            <a:avLst/>
                          </a:prstGeom>
                          <a:noFill/>
                          <a:ln w="9525">
                            <a:noFill/>
                          </a:ln>
                        </pic:spPr>
                      </pic:pic>
                    </a:graphicData>
                  </a:graphic>
                </wp:inline>
              </w:drawing>
            </w:r>
          </w:p>
        </w:tc>
        <w:tc>
          <w:tcPr>
            <w:tcW w:w="1038" w:type="pct"/>
            <w:vAlign w:val="center"/>
          </w:tcPr>
          <w:p w14:paraId="45E2060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直径8mm，长度450mm每件0.1kg</w:t>
            </w:r>
          </w:p>
        </w:tc>
        <w:tc>
          <w:tcPr>
            <w:tcW w:w="715" w:type="pct"/>
            <w:vAlign w:val="center"/>
          </w:tcPr>
          <w:p w14:paraId="0B0F374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4000件/a（约0.4t/a）</w:t>
            </w:r>
          </w:p>
        </w:tc>
        <w:tc>
          <w:tcPr>
            <w:tcW w:w="714" w:type="pct"/>
            <w:vMerge w:val="continue"/>
            <w:vAlign w:val="center"/>
          </w:tcPr>
          <w:p w14:paraId="61C78F3B">
            <w:pPr>
              <w:spacing w:line="240" w:lineRule="auto"/>
              <w:ind w:firstLine="0" w:firstLineChars="0"/>
              <w:jc w:val="center"/>
              <w:rPr>
                <w:color w:val="000000" w:themeColor="text1"/>
                <w:sz w:val="22"/>
                <w:szCs w:val="22"/>
                <w14:textFill>
                  <w14:solidFill>
                    <w14:schemeClr w14:val="tx1"/>
                  </w14:solidFill>
                </w14:textFill>
              </w:rPr>
            </w:pPr>
          </w:p>
        </w:tc>
      </w:tr>
      <w:tr w14:paraId="23FC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Align w:val="center"/>
          </w:tcPr>
          <w:p w14:paraId="755E64A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碳化硅产品</w:t>
            </w:r>
          </w:p>
        </w:tc>
        <w:tc>
          <w:tcPr>
            <w:tcW w:w="324" w:type="pct"/>
            <w:vAlign w:val="center"/>
          </w:tcPr>
          <w:p w14:paraId="41483F2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696" w:type="pct"/>
            <w:vAlign w:val="center"/>
          </w:tcPr>
          <w:p w14:paraId="0BAB5E9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SIC环</w:t>
            </w:r>
          </w:p>
        </w:tc>
        <w:tc>
          <w:tcPr>
            <w:tcW w:w="1091" w:type="pct"/>
            <w:vAlign w:val="center"/>
          </w:tcPr>
          <w:p w14:paraId="48595D4A">
            <w:pPr>
              <w:spacing w:line="240" w:lineRule="auto"/>
              <w:ind w:firstLine="0" w:firstLineChars="0"/>
              <w:jc w:val="center"/>
              <w:rPr>
                <w:snapToGrid/>
                <w:color w:val="000000" w:themeColor="text1"/>
                <w:sz w:val="22"/>
                <w:szCs w:val="22"/>
                <w14:textFill>
                  <w14:solidFill>
                    <w14:schemeClr w14:val="tx1"/>
                  </w14:solidFill>
                </w14:textFill>
                <w14:ligatures w14:val="standardContextual"/>
              </w:rPr>
            </w:pPr>
            <w:r>
              <w:rPr>
                <w:snapToGrid/>
                <w:color w:val="000000" w:themeColor="text1"/>
                <w14:textFill>
                  <w14:solidFill>
                    <w14:schemeClr w14:val="tx1"/>
                  </w14:solidFill>
                </w14:textFill>
                <w14:ligatures w14:val="standardContextual"/>
              </w:rPr>
              <w:drawing>
                <wp:inline distT="0" distB="0" distL="0" distR="0">
                  <wp:extent cx="719455" cy="646430"/>
                  <wp:effectExtent l="0" t="0" r="4445" b="1270"/>
                  <wp:docPr id="1689693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93052" name="图片 1"/>
                          <pic:cNvPicPr>
                            <a:picLocks noChangeAspect="1"/>
                          </pic:cNvPicPr>
                        </pic:nvPicPr>
                        <pic:blipFill>
                          <a:blip r:embed="rId33" r:link="rId23"/>
                          <a:stretch>
                            <a:fillRect/>
                          </a:stretch>
                        </pic:blipFill>
                        <pic:spPr>
                          <a:xfrm>
                            <a:off x="0" y="0"/>
                            <a:ext cx="720000" cy="646737"/>
                          </a:xfrm>
                          <a:prstGeom prst="rect">
                            <a:avLst/>
                          </a:prstGeom>
                          <a:noFill/>
                          <a:ln w="9525">
                            <a:noFill/>
                          </a:ln>
                        </pic:spPr>
                      </pic:pic>
                    </a:graphicData>
                  </a:graphic>
                </wp:inline>
              </w:drawing>
            </w:r>
          </w:p>
        </w:tc>
        <w:tc>
          <w:tcPr>
            <w:tcW w:w="1038" w:type="pct"/>
            <w:vAlign w:val="center"/>
          </w:tcPr>
          <w:p w14:paraId="275CB8D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每件约0.5kg~5kg</w:t>
            </w:r>
          </w:p>
        </w:tc>
        <w:tc>
          <w:tcPr>
            <w:tcW w:w="715" w:type="pct"/>
            <w:vAlign w:val="center"/>
          </w:tcPr>
          <w:p w14:paraId="2B2B416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w:t>
            </w:r>
            <w:r>
              <w:rPr>
                <w:rFonts w:hint="eastAsia"/>
                <w:color w:val="000000" w:themeColor="text1"/>
                <w:sz w:val="22"/>
                <w:szCs w:val="22"/>
                <w:lang w:val="zh-CN"/>
                <w14:textFill>
                  <w14:solidFill>
                    <w14:schemeClr w14:val="tx1"/>
                  </w14:solidFill>
                </w14:textFill>
              </w:rPr>
              <w:t>1</w:t>
            </w:r>
            <w:r>
              <w:rPr>
                <w:color w:val="000000" w:themeColor="text1"/>
                <w:sz w:val="22"/>
                <w:szCs w:val="22"/>
                <w:lang w:val="zh-CN"/>
                <w14:textFill>
                  <w14:solidFill>
                    <w14:schemeClr w14:val="tx1"/>
                  </w14:solidFill>
                </w14:textFill>
              </w:rPr>
              <w:t>800件/a（约35.4t）</w:t>
            </w:r>
          </w:p>
        </w:tc>
        <w:tc>
          <w:tcPr>
            <w:tcW w:w="714" w:type="pct"/>
            <w:vAlign w:val="center"/>
          </w:tcPr>
          <w:p w14:paraId="3579FD71">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三期A、三期B均有</w:t>
            </w:r>
          </w:p>
        </w:tc>
      </w:tr>
    </w:tbl>
    <w:p w14:paraId="2DD7454E">
      <w:pPr>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表</w:t>
      </w:r>
      <w:r>
        <w:rPr>
          <w:color w:val="000000" w:themeColor="text1"/>
          <w:sz w:val="22"/>
          <w:szCs w:val="22"/>
          <w14:textFill>
            <w14:solidFill>
              <w14:schemeClr w14:val="tx1"/>
            </w14:solidFill>
          </w14:textFill>
        </w:rPr>
        <w:fldChar w:fldCharType="begin"/>
      </w:r>
      <w:r>
        <w:rPr>
          <w:color w:val="000000" w:themeColor="text1"/>
          <w:sz w:val="22"/>
          <w:szCs w:val="22"/>
          <w14:textFill>
            <w14:solidFill>
              <w14:schemeClr w14:val="tx1"/>
            </w14:solidFill>
          </w14:textFill>
        </w:rPr>
        <w:instrText xml:space="preserve"> STYLEREF 2 \s </w:instrText>
      </w:r>
      <w:r>
        <w:rPr>
          <w:color w:val="000000" w:themeColor="text1"/>
          <w:sz w:val="22"/>
          <w:szCs w:val="22"/>
          <w14:textFill>
            <w14:solidFill>
              <w14:schemeClr w14:val="tx1"/>
            </w14:solidFill>
          </w14:textFill>
        </w:rPr>
        <w:fldChar w:fldCharType="separate"/>
      </w:r>
      <w:r>
        <w:rPr>
          <w:color w:val="000000" w:themeColor="text1"/>
          <w:sz w:val="22"/>
          <w:szCs w:val="22"/>
          <w14:textFill>
            <w14:solidFill>
              <w14:schemeClr w14:val="tx1"/>
            </w14:solidFill>
          </w14:textFill>
        </w:rPr>
        <w:t>2.2</w:t>
      </w:r>
      <w:r>
        <w:rPr>
          <w:color w:val="000000" w:themeColor="text1"/>
          <w:sz w:val="22"/>
          <w:szCs w:val="22"/>
          <w14:textFill>
            <w14:solidFill>
              <w14:schemeClr w14:val="tx1"/>
            </w14:solidFill>
          </w14:textFill>
        </w:rPr>
        <w:fldChar w:fldCharType="end"/>
      </w:r>
      <w:r>
        <w:rPr>
          <w:color w:val="000000" w:themeColor="text1"/>
          <w:sz w:val="22"/>
          <w:szCs w:val="22"/>
          <w14:textFill>
            <w14:solidFill>
              <w14:schemeClr w14:val="tx1"/>
            </w14:solidFill>
          </w14:textFill>
        </w:rPr>
        <w:noBreakHyphen/>
      </w:r>
      <w:r>
        <w:rPr>
          <w:color w:val="000000" w:themeColor="text1"/>
          <w:sz w:val="22"/>
          <w:szCs w:val="22"/>
          <w14:textFill>
            <w14:solidFill>
              <w14:schemeClr w14:val="tx1"/>
            </w14:solidFill>
          </w14:textFill>
        </w:rPr>
        <w:fldChar w:fldCharType="begin"/>
      </w:r>
      <w:r>
        <w:rPr>
          <w:color w:val="000000" w:themeColor="text1"/>
          <w:sz w:val="22"/>
          <w:szCs w:val="22"/>
          <w14:textFill>
            <w14:solidFill>
              <w14:schemeClr w14:val="tx1"/>
            </w14:solidFill>
          </w14:textFill>
        </w:rPr>
        <w:instrText xml:space="preserve"> SEQ 表格 \* ARABIC \s 2 </w:instrText>
      </w:r>
      <w:r>
        <w:rPr>
          <w:color w:val="000000" w:themeColor="text1"/>
          <w:sz w:val="22"/>
          <w:szCs w:val="22"/>
          <w14:textFill>
            <w14:solidFill>
              <w14:schemeClr w14:val="tx1"/>
            </w14:solidFill>
          </w14:textFill>
        </w:rPr>
        <w:fldChar w:fldCharType="separate"/>
      </w:r>
      <w:r>
        <w:rPr>
          <w:color w:val="000000" w:themeColor="text1"/>
          <w:sz w:val="22"/>
          <w:szCs w:val="22"/>
          <w14:textFill>
            <w14:solidFill>
              <w14:schemeClr w14:val="tx1"/>
            </w14:solidFill>
          </w14:textFill>
        </w:rPr>
        <w:t>2</w:t>
      </w:r>
      <w:r>
        <w:rPr>
          <w:color w:val="000000" w:themeColor="text1"/>
          <w:sz w:val="22"/>
          <w:szCs w:val="22"/>
          <w14:textFill>
            <w14:solidFill>
              <w14:schemeClr w14:val="tx1"/>
            </w14:solidFill>
          </w14:textFill>
        </w:rPr>
        <w:fldChar w:fldCharType="end"/>
      </w:r>
      <w:r>
        <w:rPr>
          <w:color w:val="000000" w:themeColor="text1"/>
          <w:sz w:val="22"/>
          <w:szCs w:val="22"/>
          <w14:textFill>
            <w14:solidFill>
              <w14:schemeClr w14:val="tx1"/>
            </w14:solidFill>
          </w14:textFill>
        </w:rPr>
        <w:t xml:space="preserve">  </w:t>
      </w:r>
      <w:r>
        <w:rPr>
          <w:rFonts w:hint="eastAsia"/>
          <w:color w:val="000000" w:themeColor="text1"/>
          <w:sz w:val="22"/>
          <w:szCs w:val="22"/>
          <w14:textFill>
            <w14:solidFill>
              <w14:schemeClr w14:val="tx1"/>
            </w14:solidFill>
          </w14:textFill>
        </w:rPr>
        <w:t>现有研发中心项目</w:t>
      </w:r>
      <w:r>
        <w:rPr>
          <w:color w:val="000000" w:themeColor="text1"/>
          <w:sz w:val="22"/>
          <w:szCs w:val="22"/>
          <w:lang w:bidi="ar"/>
          <w14:textFill>
            <w14:solidFill>
              <w14:schemeClr w14:val="tx1"/>
            </w14:solidFill>
          </w14:textFill>
        </w:rPr>
        <w:t>研发主要</w:t>
      </w:r>
      <w:r>
        <w:rPr>
          <w:rFonts w:hint="eastAsia"/>
          <w:color w:val="000000" w:themeColor="text1"/>
          <w:sz w:val="22"/>
          <w:szCs w:val="22"/>
          <w:lang w:bidi="ar"/>
          <w14:textFill>
            <w14:solidFill>
              <w14:schemeClr w14:val="tx1"/>
            </w14:solidFill>
          </w14:textFill>
        </w:rPr>
        <w:t>研发样品</w:t>
      </w:r>
      <w:r>
        <w:rPr>
          <w:color w:val="000000" w:themeColor="text1"/>
          <w:sz w:val="22"/>
          <w:szCs w:val="22"/>
          <w:lang w:bidi="ar"/>
          <w14:textFill>
            <w14:solidFill>
              <w14:schemeClr w14:val="tx1"/>
            </w14:solidFill>
          </w14:textFill>
        </w:rPr>
        <w:t>方案及预估最大</w:t>
      </w:r>
      <w:r>
        <w:rPr>
          <w:rFonts w:hint="eastAsia"/>
          <w:color w:val="000000" w:themeColor="text1"/>
          <w:sz w:val="22"/>
          <w:szCs w:val="22"/>
          <w:lang w:bidi="ar"/>
          <w14:textFill>
            <w14:solidFill>
              <w14:schemeClr w14:val="tx1"/>
            </w14:solidFill>
          </w14:textFill>
        </w:rPr>
        <w:t>研发</w:t>
      </w:r>
      <w:r>
        <w:rPr>
          <w:color w:val="000000" w:themeColor="text1"/>
          <w:sz w:val="22"/>
          <w:szCs w:val="22"/>
          <w:lang w:bidi="ar"/>
          <w14:textFill>
            <w14:solidFill>
              <w14:schemeClr w14:val="tx1"/>
            </w14:solidFill>
          </w14:textFill>
        </w:rPr>
        <w:t>规模一览表</w:t>
      </w:r>
    </w:p>
    <w:tbl>
      <w:tblPr>
        <w:tblStyle w:val="8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42"/>
        <w:gridCol w:w="1345"/>
        <w:gridCol w:w="1166"/>
        <w:gridCol w:w="1019"/>
        <w:gridCol w:w="1312"/>
        <w:gridCol w:w="1021"/>
        <w:gridCol w:w="2114"/>
      </w:tblGrid>
      <w:tr w14:paraId="444E0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18" w:type="pct"/>
            <w:tcBorders>
              <w:top w:val="single" w:color="000000" w:sz="4" w:space="0"/>
              <w:left w:val="single" w:color="000000" w:sz="4" w:space="0"/>
              <w:bottom w:val="single" w:color="000000" w:sz="4" w:space="0"/>
              <w:right w:val="single" w:color="000000" w:sz="4" w:space="0"/>
            </w:tcBorders>
            <w:vAlign w:val="center"/>
          </w:tcPr>
          <w:p w14:paraId="368A9E66">
            <w:pPr>
              <w:pStyle w:val="1535"/>
            </w:pPr>
            <w:r>
              <w:rPr>
                <w:lang w:bidi="ar"/>
              </w:rPr>
              <w:t>序号</w:t>
            </w:r>
          </w:p>
        </w:tc>
        <w:tc>
          <w:tcPr>
            <w:tcW w:w="1473" w:type="pct"/>
            <w:gridSpan w:val="2"/>
            <w:tcBorders>
              <w:top w:val="single" w:color="000000" w:sz="4" w:space="0"/>
              <w:left w:val="single" w:color="000000" w:sz="4" w:space="0"/>
              <w:bottom w:val="single" w:color="000000" w:sz="4" w:space="0"/>
              <w:right w:val="single" w:color="000000" w:sz="4" w:space="0"/>
            </w:tcBorders>
            <w:vAlign w:val="center"/>
          </w:tcPr>
          <w:p w14:paraId="7EEB7974">
            <w:pPr>
              <w:pStyle w:val="1535"/>
            </w:pPr>
            <w:r>
              <w:rPr>
                <w:lang w:bidi="ar"/>
              </w:rPr>
              <w:t>产品名称</w:t>
            </w:r>
          </w:p>
        </w:tc>
        <w:tc>
          <w:tcPr>
            <w:tcW w:w="598" w:type="pct"/>
            <w:tcBorders>
              <w:top w:val="single" w:color="000000" w:sz="4" w:space="0"/>
              <w:left w:val="single" w:color="000000" w:sz="4" w:space="0"/>
              <w:bottom w:val="single" w:color="000000" w:sz="4" w:space="0"/>
              <w:right w:val="single" w:color="000000" w:sz="4" w:space="0"/>
            </w:tcBorders>
            <w:vAlign w:val="center"/>
          </w:tcPr>
          <w:p w14:paraId="2A9F6582">
            <w:pPr>
              <w:pStyle w:val="1535"/>
            </w:pPr>
            <w:r>
              <w:rPr>
                <w:lang w:bidi="ar"/>
              </w:rPr>
              <w:t>规格</w:t>
            </w:r>
          </w:p>
        </w:tc>
        <w:tc>
          <w:tcPr>
            <w:tcW w:w="770" w:type="pct"/>
            <w:tcBorders>
              <w:top w:val="single" w:color="000000" w:sz="4" w:space="0"/>
              <w:left w:val="single" w:color="000000" w:sz="4" w:space="0"/>
              <w:bottom w:val="single" w:color="000000" w:sz="4" w:space="0"/>
              <w:right w:val="single" w:color="000000" w:sz="4" w:space="0"/>
            </w:tcBorders>
            <w:vAlign w:val="center"/>
          </w:tcPr>
          <w:p w14:paraId="4005E433">
            <w:pPr>
              <w:pStyle w:val="1535"/>
            </w:pPr>
            <w:r>
              <w:rPr>
                <w:rFonts w:hint="eastAsia"/>
                <w:lang w:bidi="ar"/>
              </w:rPr>
              <w:t>研发</w:t>
            </w:r>
            <w:r>
              <w:rPr>
                <w:lang w:bidi="ar"/>
              </w:rPr>
              <w:t>最大</w:t>
            </w:r>
            <w:r>
              <w:rPr>
                <w:rFonts w:hint="eastAsia"/>
                <w:lang w:bidi="ar"/>
              </w:rPr>
              <w:t>试制</w:t>
            </w:r>
            <w:r>
              <w:rPr>
                <w:lang w:bidi="ar"/>
              </w:rPr>
              <w:t>量/a</w:t>
            </w:r>
          </w:p>
        </w:tc>
        <w:tc>
          <w:tcPr>
            <w:tcW w:w="599" w:type="pct"/>
            <w:tcBorders>
              <w:top w:val="single" w:color="000000" w:sz="4" w:space="0"/>
              <w:left w:val="single" w:color="000000" w:sz="4" w:space="0"/>
              <w:bottom w:val="single" w:color="000000" w:sz="4" w:space="0"/>
              <w:right w:val="single" w:color="000000" w:sz="4" w:space="0"/>
            </w:tcBorders>
            <w:vAlign w:val="center"/>
          </w:tcPr>
          <w:p w14:paraId="3D10464E">
            <w:pPr>
              <w:pStyle w:val="1535"/>
            </w:pPr>
            <w:r>
              <w:rPr>
                <w:lang w:bidi="ar"/>
              </w:rPr>
              <w:t>材质</w:t>
            </w:r>
          </w:p>
        </w:tc>
        <w:tc>
          <w:tcPr>
            <w:tcW w:w="1240" w:type="pct"/>
            <w:tcBorders>
              <w:top w:val="single" w:color="000000" w:sz="4" w:space="0"/>
              <w:left w:val="single" w:color="000000" w:sz="4" w:space="0"/>
              <w:bottom w:val="single" w:color="000000" w:sz="4" w:space="0"/>
              <w:right w:val="single" w:color="000000" w:sz="4" w:space="0"/>
            </w:tcBorders>
            <w:vAlign w:val="center"/>
          </w:tcPr>
          <w:p w14:paraId="3465E6A5">
            <w:pPr>
              <w:pStyle w:val="1535"/>
            </w:pPr>
            <w:r>
              <w:rPr>
                <w:rFonts w:hint="eastAsia"/>
                <w:lang w:bidi="ar"/>
              </w:rPr>
              <w:t>研发</w:t>
            </w:r>
            <w:r>
              <w:rPr>
                <w:lang w:bidi="ar"/>
              </w:rPr>
              <w:t>线</w:t>
            </w:r>
          </w:p>
        </w:tc>
      </w:tr>
      <w:tr w14:paraId="5A88E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18" w:type="pct"/>
            <w:tcBorders>
              <w:top w:val="single" w:color="000000" w:sz="4" w:space="0"/>
              <w:left w:val="single" w:color="000000" w:sz="4" w:space="0"/>
              <w:bottom w:val="single" w:color="000000" w:sz="4" w:space="0"/>
              <w:right w:val="single" w:color="000000" w:sz="4" w:space="0"/>
            </w:tcBorders>
            <w:vAlign w:val="center"/>
          </w:tcPr>
          <w:p w14:paraId="0053D6CB">
            <w:pPr>
              <w:pStyle w:val="1535"/>
            </w:pPr>
            <w:r>
              <w:rPr>
                <w:lang w:bidi="ar"/>
              </w:rPr>
              <w:t>1</w:t>
            </w:r>
          </w:p>
        </w:tc>
        <w:tc>
          <w:tcPr>
            <w:tcW w:w="1473" w:type="pct"/>
            <w:gridSpan w:val="2"/>
            <w:tcBorders>
              <w:top w:val="single" w:color="000000" w:sz="4" w:space="0"/>
              <w:left w:val="single" w:color="000000" w:sz="4" w:space="0"/>
              <w:bottom w:val="single" w:color="000000" w:sz="4" w:space="0"/>
              <w:right w:val="single" w:color="000000" w:sz="4" w:space="0"/>
            </w:tcBorders>
            <w:vAlign w:val="center"/>
          </w:tcPr>
          <w:p w14:paraId="2B63ED09">
            <w:pPr>
              <w:pStyle w:val="1535"/>
            </w:pPr>
            <w:r>
              <w:rPr>
                <w:lang w:bidi="ar"/>
              </w:rPr>
              <w:t>静电卡盘ESCLAM374</w:t>
            </w:r>
          </w:p>
        </w:tc>
        <w:tc>
          <w:tcPr>
            <w:tcW w:w="598" w:type="pct"/>
            <w:tcBorders>
              <w:top w:val="single" w:color="000000" w:sz="4" w:space="0"/>
              <w:left w:val="single" w:color="000000" w:sz="4" w:space="0"/>
              <w:bottom w:val="single" w:color="000000" w:sz="4" w:space="0"/>
              <w:right w:val="single" w:color="000000" w:sz="4" w:space="0"/>
            </w:tcBorders>
            <w:vAlign w:val="center"/>
          </w:tcPr>
          <w:p w14:paraId="33892A18">
            <w:pPr>
              <w:pStyle w:val="1535"/>
            </w:pPr>
            <w:r>
              <w:rPr>
                <w:lang w:bidi="ar"/>
              </w:rPr>
              <w:t>直径300mm</w:t>
            </w:r>
          </w:p>
        </w:tc>
        <w:tc>
          <w:tcPr>
            <w:tcW w:w="770" w:type="pct"/>
            <w:tcBorders>
              <w:top w:val="single" w:color="000000" w:sz="4" w:space="0"/>
              <w:left w:val="single" w:color="000000" w:sz="4" w:space="0"/>
              <w:bottom w:val="single" w:color="000000" w:sz="4" w:space="0"/>
              <w:right w:val="single" w:color="000000" w:sz="4" w:space="0"/>
            </w:tcBorders>
            <w:vAlign w:val="center"/>
          </w:tcPr>
          <w:p w14:paraId="3020A8F2">
            <w:pPr>
              <w:pStyle w:val="1535"/>
            </w:pPr>
            <w:r>
              <w:rPr>
                <w:lang w:bidi="ar"/>
              </w:rPr>
              <w:t>200颗</w:t>
            </w:r>
          </w:p>
        </w:tc>
        <w:tc>
          <w:tcPr>
            <w:tcW w:w="599" w:type="pct"/>
            <w:tcBorders>
              <w:top w:val="single" w:color="000000" w:sz="4" w:space="0"/>
              <w:left w:val="single" w:color="000000" w:sz="4" w:space="0"/>
              <w:bottom w:val="single" w:color="000000" w:sz="4" w:space="0"/>
              <w:right w:val="single" w:color="000000" w:sz="4" w:space="0"/>
            </w:tcBorders>
            <w:vAlign w:val="center"/>
          </w:tcPr>
          <w:p w14:paraId="6FFE17AA">
            <w:pPr>
              <w:pStyle w:val="1535"/>
            </w:pPr>
            <w:r>
              <w:rPr>
                <w:lang w:bidi="ar"/>
              </w:rPr>
              <w:t>/</w:t>
            </w:r>
          </w:p>
        </w:tc>
        <w:tc>
          <w:tcPr>
            <w:tcW w:w="1240" w:type="pct"/>
            <w:tcBorders>
              <w:top w:val="single" w:color="000000" w:sz="4" w:space="0"/>
              <w:left w:val="single" w:color="000000" w:sz="4" w:space="0"/>
              <w:bottom w:val="single" w:color="000000" w:sz="4" w:space="0"/>
              <w:right w:val="single" w:color="000000" w:sz="4" w:space="0"/>
            </w:tcBorders>
            <w:vAlign w:val="center"/>
          </w:tcPr>
          <w:p w14:paraId="01DEC71A">
            <w:pPr>
              <w:pStyle w:val="1535"/>
            </w:pPr>
            <w:r>
              <w:rPr>
                <w:lang w:bidi="ar"/>
              </w:rPr>
              <w:t>半导体静电卡盘ESC研发</w:t>
            </w:r>
          </w:p>
        </w:tc>
      </w:tr>
      <w:tr w14:paraId="4F638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18" w:type="pct"/>
            <w:vMerge w:val="restart"/>
            <w:tcBorders>
              <w:top w:val="single" w:color="000000" w:sz="4" w:space="0"/>
              <w:left w:val="single" w:color="000000" w:sz="4" w:space="0"/>
              <w:right w:val="single" w:color="000000" w:sz="4" w:space="0"/>
            </w:tcBorders>
            <w:vAlign w:val="center"/>
          </w:tcPr>
          <w:p w14:paraId="51B099FE">
            <w:pPr>
              <w:pStyle w:val="1535"/>
            </w:pPr>
            <w:r>
              <w:rPr>
                <w:lang w:bidi="ar"/>
              </w:rPr>
              <w:t>2</w:t>
            </w:r>
          </w:p>
        </w:tc>
        <w:tc>
          <w:tcPr>
            <w:tcW w:w="789" w:type="pct"/>
            <w:vMerge w:val="restart"/>
            <w:tcBorders>
              <w:top w:val="single" w:color="000000" w:sz="4" w:space="0"/>
              <w:left w:val="single" w:color="000000" w:sz="4" w:space="0"/>
              <w:right w:val="single" w:color="000000" w:sz="4" w:space="0"/>
            </w:tcBorders>
            <w:vAlign w:val="center"/>
          </w:tcPr>
          <w:p w14:paraId="7F1089AC">
            <w:pPr>
              <w:pStyle w:val="1535"/>
            </w:pPr>
            <w:r>
              <w:rPr>
                <w:lang w:bidi="ar"/>
              </w:rPr>
              <w:t>石墨部件（含涂层部件）</w:t>
            </w:r>
          </w:p>
        </w:tc>
        <w:tc>
          <w:tcPr>
            <w:tcW w:w="683" w:type="pct"/>
            <w:tcBorders>
              <w:top w:val="single" w:color="000000" w:sz="4" w:space="0"/>
              <w:left w:val="single" w:color="000000" w:sz="4" w:space="0"/>
              <w:bottom w:val="single" w:color="000000" w:sz="4" w:space="0"/>
              <w:right w:val="single" w:color="000000" w:sz="4" w:space="0"/>
            </w:tcBorders>
            <w:vAlign w:val="center"/>
          </w:tcPr>
          <w:p w14:paraId="387E9AF9">
            <w:pPr>
              <w:pStyle w:val="1535"/>
            </w:pPr>
            <w:r>
              <w:t>石墨部件</w:t>
            </w:r>
          </w:p>
        </w:tc>
        <w:tc>
          <w:tcPr>
            <w:tcW w:w="598" w:type="pct"/>
            <w:vMerge w:val="restart"/>
            <w:tcBorders>
              <w:top w:val="single" w:color="000000" w:sz="4" w:space="0"/>
              <w:left w:val="single" w:color="000000" w:sz="4" w:space="0"/>
              <w:right w:val="single" w:color="000000" w:sz="4" w:space="0"/>
            </w:tcBorders>
            <w:vAlign w:val="center"/>
          </w:tcPr>
          <w:p w14:paraId="6C0C164D">
            <w:pPr>
              <w:pStyle w:val="1535"/>
            </w:pPr>
            <w:r>
              <w:rPr>
                <w:lang w:bidi="ar"/>
              </w:rPr>
              <w:t>/</w:t>
            </w:r>
          </w:p>
        </w:tc>
        <w:tc>
          <w:tcPr>
            <w:tcW w:w="770" w:type="pct"/>
            <w:tcBorders>
              <w:top w:val="single" w:color="000000" w:sz="4" w:space="0"/>
              <w:left w:val="single" w:color="000000" w:sz="4" w:space="0"/>
              <w:right w:val="single" w:color="000000" w:sz="4" w:space="0"/>
            </w:tcBorders>
            <w:vAlign w:val="center"/>
          </w:tcPr>
          <w:p w14:paraId="26C06BA1">
            <w:pPr>
              <w:pStyle w:val="1535"/>
            </w:pPr>
            <w:r>
              <w:rPr>
                <w:lang w:bidi="ar"/>
              </w:rPr>
              <w:t>2000件</w:t>
            </w:r>
          </w:p>
        </w:tc>
        <w:tc>
          <w:tcPr>
            <w:tcW w:w="599" w:type="pct"/>
            <w:tcBorders>
              <w:top w:val="single" w:color="000000" w:sz="4" w:space="0"/>
              <w:left w:val="single" w:color="000000" w:sz="4" w:space="0"/>
              <w:right w:val="single" w:color="000000" w:sz="4" w:space="0"/>
            </w:tcBorders>
            <w:vAlign w:val="center"/>
          </w:tcPr>
          <w:p w14:paraId="3EEDC971">
            <w:pPr>
              <w:pStyle w:val="1535"/>
            </w:pPr>
            <w:r>
              <w:rPr>
                <w:lang w:bidi="ar"/>
              </w:rPr>
              <w:t>石墨</w:t>
            </w:r>
          </w:p>
        </w:tc>
        <w:tc>
          <w:tcPr>
            <w:tcW w:w="1240" w:type="pct"/>
            <w:vMerge w:val="restart"/>
            <w:tcBorders>
              <w:top w:val="single" w:color="000000" w:sz="4" w:space="0"/>
              <w:left w:val="single" w:color="000000" w:sz="4" w:space="0"/>
              <w:right w:val="single" w:color="000000" w:sz="4" w:space="0"/>
            </w:tcBorders>
            <w:vAlign w:val="center"/>
          </w:tcPr>
          <w:p w14:paraId="4355D89B">
            <w:pPr>
              <w:pStyle w:val="1535"/>
            </w:pPr>
            <w:r>
              <w:rPr>
                <w:lang w:bidi="ar"/>
              </w:rPr>
              <w:t>石墨部件（含涂层部件）</w:t>
            </w:r>
            <w:r>
              <w:rPr>
                <w:rFonts w:hint="eastAsia"/>
                <w:lang w:bidi="ar"/>
              </w:rPr>
              <w:t>研发</w:t>
            </w:r>
            <w:r>
              <w:rPr>
                <w:lang w:bidi="ar"/>
              </w:rPr>
              <w:t>线研发</w:t>
            </w:r>
          </w:p>
        </w:tc>
      </w:tr>
      <w:tr w14:paraId="10D67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18" w:type="pct"/>
            <w:vMerge w:val="continue"/>
            <w:tcBorders>
              <w:left w:val="single" w:color="000000" w:sz="4" w:space="0"/>
              <w:bottom w:val="single" w:color="000000" w:sz="4" w:space="0"/>
              <w:right w:val="single" w:color="000000" w:sz="4" w:space="0"/>
            </w:tcBorders>
            <w:vAlign w:val="center"/>
          </w:tcPr>
          <w:p w14:paraId="37A5AF41">
            <w:pPr>
              <w:pStyle w:val="1535"/>
              <w:rPr>
                <w:lang w:bidi="ar"/>
              </w:rPr>
            </w:pPr>
          </w:p>
        </w:tc>
        <w:tc>
          <w:tcPr>
            <w:tcW w:w="789" w:type="pct"/>
            <w:vMerge w:val="continue"/>
            <w:tcBorders>
              <w:left w:val="single" w:color="000000" w:sz="4" w:space="0"/>
              <w:bottom w:val="single" w:color="000000" w:sz="4" w:space="0"/>
              <w:right w:val="single" w:color="000000" w:sz="4" w:space="0"/>
            </w:tcBorders>
            <w:vAlign w:val="center"/>
          </w:tcPr>
          <w:p w14:paraId="6A412E0C">
            <w:pPr>
              <w:pStyle w:val="1535"/>
              <w:rPr>
                <w:lang w:bidi="ar"/>
              </w:rPr>
            </w:pPr>
          </w:p>
        </w:tc>
        <w:tc>
          <w:tcPr>
            <w:tcW w:w="683" w:type="pct"/>
            <w:tcBorders>
              <w:top w:val="single" w:color="000000" w:sz="4" w:space="0"/>
              <w:left w:val="single" w:color="000000" w:sz="4" w:space="0"/>
              <w:bottom w:val="single" w:color="000000" w:sz="4" w:space="0"/>
              <w:right w:val="single" w:color="000000" w:sz="4" w:space="0"/>
            </w:tcBorders>
            <w:vAlign w:val="center"/>
          </w:tcPr>
          <w:p w14:paraId="61906F9A">
            <w:pPr>
              <w:pStyle w:val="1535"/>
              <w:rPr>
                <w:lang w:bidi="ar"/>
              </w:rPr>
            </w:pPr>
            <w:r>
              <w:rPr>
                <w:lang w:bidi="ar"/>
              </w:rPr>
              <w:t>碳化硅涂层部件</w:t>
            </w:r>
          </w:p>
        </w:tc>
        <w:tc>
          <w:tcPr>
            <w:tcW w:w="598" w:type="pct"/>
            <w:vMerge w:val="continue"/>
            <w:tcBorders>
              <w:left w:val="single" w:color="000000" w:sz="4" w:space="0"/>
              <w:bottom w:val="single" w:color="000000" w:sz="4" w:space="0"/>
              <w:right w:val="single" w:color="000000" w:sz="4" w:space="0"/>
            </w:tcBorders>
            <w:vAlign w:val="center"/>
          </w:tcPr>
          <w:p w14:paraId="7D1660B3">
            <w:pPr>
              <w:pStyle w:val="1535"/>
              <w:rPr>
                <w:lang w:bidi="ar"/>
              </w:rPr>
            </w:pPr>
          </w:p>
        </w:tc>
        <w:tc>
          <w:tcPr>
            <w:tcW w:w="770" w:type="pct"/>
            <w:tcBorders>
              <w:left w:val="single" w:color="000000" w:sz="4" w:space="0"/>
              <w:bottom w:val="single" w:color="000000" w:sz="4" w:space="0"/>
              <w:right w:val="single" w:color="000000" w:sz="4" w:space="0"/>
            </w:tcBorders>
            <w:vAlign w:val="center"/>
          </w:tcPr>
          <w:p w14:paraId="5E88B999">
            <w:pPr>
              <w:pStyle w:val="1535"/>
              <w:rPr>
                <w:lang w:bidi="ar"/>
              </w:rPr>
            </w:pPr>
            <w:r>
              <w:rPr>
                <w:lang w:bidi="ar"/>
              </w:rPr>
              <w:t>1000件</w:t>
            </w:r>
          </w:p>
        </w:tc>
        <w:tc>
          <w:tcPr>
            <w:tcW w:w="599" w:type="pct"/>
            <w:tcBorders>
              <w:left w:val="single" w:color="000000" w:sz="4" w:space="0"/>
              <w:bottom w:val="single" w:color="000000" w:sz="4" w:space="0"/>
              <w:right w:val="single" w:color="000000" w:sz="4" w:space="0"/>
            </w:tcBorders>
            <w:vAlign w:val="center"/>
          </w:tcPr>
          <w:p w14:paraId="3E45051D">
            <w:pPr>
              <w:pStyle w:val="1535"/>
              <w:rPr>
                <w:lang w:bidi="ar"/>
              </w:rPr>
            </w:pPr>
            <w:r>
              <w:rPr>
                <w:lang w:bidi="ar"/>
              </w:rPr>
              <w:t>石墨、碳化硅</w:t>
            </w:r>
          </w:p>
        </w:tc>
        <w:tc>
          <w:tcPr>
            <w:tcW w:w="1240" w:type="pct"/>
            <w:vMerge w:val="continue"/>
            <w:tcBorders>
              <w:left w:val="single" w:color="000000" w:sz="4" w:space="0"/>
              <w:bottom w:val="single" w:color="000000" w:sz="4" w:space="0"/>
              <w:right w:val="single" w:color="000000" w:sz="4" w:space="0"/>
            </w:tcBorders>
            <w:vAlign w:val="center"/>
          </w:tcPr>
          <w:p w14:paraId="78E1FDE7">
            <w:pPr>
              <w:pStyle w:val="1535"/>
              <w:rPr>
                <w:lang w:bidi="ar"/>
              </w:rPr>
            </w:pPr>
          </w:p>
        </w:tc>
      </w:tr>
      <w:tr w14:paraId="7BFF1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18" w:type="pct"/>
            <w:tcBorders>
              <w:top w:val="single" w:color="000000" w:sz="4" w:space="0"/>
              <w:left w:val="single" w:color="000000" w:sz="4" w:space="0"/>
              <w:bottom w:val="single" w:color="000000" w:sz="4" w:space="0"/>
              <w:right w:val="single" w:color="000000" w:sz="4" w:space="0"/>
            </w:tcBorders>
            <w:vAlign w:val="center"/>
          </w:tcPr>
          <w:p w14:paraId="0E52E14F">
            <w:pPr>
              <w:pStyle w:val="1535"/>
            </w:pPr>
            <w:r>
              <w:t>3</w:t>
            </w:r>
          </w:p>
        </w:tc>
        <w:tc>
          <w:tcPr>
            <w:tcW w:w="1473" w:type="pct"/>
            <w:gridSpan w:val="2"/>
            <w:tcBorders>
              <w:top w:val="single" w:color="000000" w:sz="4" w:space="0"/>
              <w:left w:val="single" w:color="000000" w:sz="4" w:space="0"/>
              <w:bottom w:val="single" w:color="000000" w:sz="4" w:space="0"/>
              <w:right w:val="single" w:color="000000" w:sz="4" w:space="0"/>
            </w:tcBorders>
            <w:vAlign w:val="center"/>
          </w:tcPr>
          <w:p w14:paraId="1C9A4D8C">
            <w:pPr>
              <w:pStyle w:val="1535"/>
            </w:pPr>
            <w:r>
              <w:rPr>
                <w:lang w:bidi="ar"/>
              </w:rPr>
              <w:t>碳化硅炉管</w:t>
            </w:r>
          </w:p>
        </w:tc>
        <w:tc>
          <w:tcPr>
            <w:tcW w:w="598" w:type="pct"/>
            <w:tcBorders>
              <w:top w:val="single" w:color="000000" w:sz="4" w:space="0"/>
              <w:left w:val="single" w:color="000000" w:sz="4" w:space="0"/>
              <w:bottom w:val="single" w:color="000000" w:sz="4" w:space="0"/>
              <w:right w:val="single" w:color="000000" w:sz="4" w:space="0"/>
            </w:tcBorders>
            <w:vAlign w:val="center"/>
          </w:tcPr>
          <w:p w14:paraId="669DB006">
            <w:pPr>
              <w:pStyle w:val="1535"/>
            </w:pPr>
            <w:r>
              <w:rPr>
                <w:lang w:bidi="ar"/>
              </w:rPr>
              <w:t>/</w:t>
            </w:r>
          </w:p>
        </w:tc>
        <w:tc>
          <w:tcPr>
            <w:tcW w:w="770" w:type="pct"/>
            <w:tcBorders>
              <w:top w:val="single" w:color="000000" w:sz="4" w:space="0"/>
              <w:left w:val="single" w:color="000000" w:sz="4" w:space="0"/>
              <w:bottom w:val="single" w:color="000000" w:sz="4" w:space="0"/>
              <w:right w:val="single" w:color="000000" w:sz="4" w:space="0"/>
            </w:tcBorders>
            <w:vAlign w:val="center"/>
          </w:tcPr>
          <w:p w14:paraId="4A76D0E9">
            <w:pPr>
              <w:pStyle w:val="1535"/>
            </w:pPr>
            <w:r>
              <w:rPr>
                <w:lang w:bidi="ar"/>
              </w:rPr>
              <w:t>100件</w:t>
            </w:r>
          </w:p>
        </w:tc>
        <w:tc>
          <w:tcPr>
            <w:tcW w:w="599" w:type="pct"/>
            <w:tcBorders>
              <w:top w:val="single" w:color="000000" w:sz="4" w:space="0"/>
              <w:left w:val="single" w:color="000000" w:sz="4" w:space="0"/>
              <w:bottom w:val="single" w:color="000000" w:sz="4" w:space="0"/>
              <w:right w:val="single" w:color="000000" w:sz="4" w:space="0"/>
            </w:tcBorders>
            <w:vAlign w:val="center"/>
          </w:tcPr>
          <w:p w14:paraId="4B3968B7">
            <w:pPr>
              <w:pStyle w:val="1535"/>
            </w:pPr>
            <w:r>
              <w:rPr>
                <w:lang w:bidi="ar"/>
              </w:rPr>
              <w:t>/</w:t>
            </w:r>
          </w:p>
        </w:tc>
        <w:tc>
          <w:tcPr>
            <w:tcW w:w="1240" w:type="pct"/>
            <w:tcBorders>
              <w:top w:val="single" w:color="000000" w:sz="4" w:space="0"/>
              <w:left w:val="single" w:color="000000" w:sz="4" w:space="0"/>
              <w:bottom w:val="single" w:color="000000" w:sz="4" w:space="0"/>
              <w:right w:val="single" w:color="000000" w:sz="4" w:space="0"/>
            </w:tcBorders>
            <w:vAlign w:val="center"/>
          </w:tcPr>
          <w:p w14:paraId="747307CC">
            <w:pPr>
              <w:pStyle w:val="1535"/>
            </w:pPr>
            <w:r>
              <w:rPr>
                <w:lang w:bidi="ar"/>
              </w:rPr>
              <w:t>碳化硅炉管研发</w:t>
            </w:r>
          </w:p>
        </w:tc>
      </w:tr>
      <w:tr w14:paraId="22E6E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18" w:type="pct"/>
            <w:tcBorders>
              <w:top w:val="single" w:color="000000" w:sz="4" w:space="0"/>
              <w:left w:val="single" w:color="000000" w:sz="4" w:space="0"/>
              <w:bottom w:val="single" w:color="000000" w:sz="4" w:space="0"/>
              <w:right w:val="single" w:color="000000" w:sz="4" w:space="0"/>
            </w:tcBorders>
            <w:vAlign w:val="center"/>
          </w:tcPr>
          <w:p w14:paraId="04FD58D9">
            <w:pPr>
              <w:pStyle w:val="1535"/>
            </w:pPr>
            <w:r>
              <w:rPr>
                <w:lang w:bidi="ar"/>
              </w:rPr>
              <w:t>4</w:t>
            </w:r>
          </w:p>
        </w:tc>
        <w:tc>
          <w:tcPr>
            <w:tcW w:w="1473" w:type="pct"/>
            <w:gridSpan w:val="2"/>
            <w:tcBorders>
              <w:top w:val="single" w:color="000000" w:sz="4" w:space="0"/>
              <w:left w:val="single" w:color="000000" w:sz="4" w:space="0"/>
              <w:bottom w:val="single" w:color="000000" w:sz="4" w:space="0"/>
              <w:right w:val="single" w:color="000000" w:sz="4" w:space="0"/>
            </w:tcBorders>
            <w:vAlign w:val="center"/>
          </w:tcPr>
          <w:p w14:paraId="06463183">
            <w:pPr>
              <w:pStyle w:val="1535"/>
            </w:pPr>
            <w:r>
              <w:rPr>
                <w:lang w:bidi="ar"/>
              </w:rPr>
              <w:t>特殊涂层</w:t>
            </w:r>
          </w:p>
        </w:tc>
        <w:tc>
          <w:tcPr>
            <w:tcW w:w="598" w:type="pct"/>
            <w:tcBorders>
              <w:top w:val="single" w:color="000000" w:sz="4" w:space="0"/>
              <w:left w:val="single" w:color="000000" w:sz="4" w:space="0"/>
              <w:bottom w:val="single" w:color="000000" w:sz="4" w:space="0"/>
              <w:right w:val="single" w:color="000000" w:sz="4" w:space="0"/>
            </w:tcBorders>
            <w:vAlign w:val="center"/>
          </w:tcPr>
          <w:p w14:paraId="4DE6164D">
            <w:pPr>
              <w:pStyle w:val="1535"/>
            </w:pPr>
            <w:r>
              <w:rPr>
                <w:lang w:bidi="ar"/>
              </w:rPr>
              <w:t>/</w:t>
            </w:r>
          </w:p>
        </w:tc>
        <w:tc>
          <w:tcPr>
            <w:tcW w:w="770" w:type="pct"/>
            <w:tcBorders>
              <w:top w:val="single" w:color="000000" w:sz="4" w:space="0"/>
              <w:left w:val="single" w:color="000000" w:sz="4" w:space="0"/>
              <w:bottom w:val="single" w:color="000000" w:sz="4" w:space="0"/>
              <w:right w:val="single" w:color="000000" w:sz="4" w:space="0"/>
            </w:tcBorders>
            <w:vAlign w:val="center"/>
          </w:tcPr>
          <w:p w14:paraId="0EF26C28">
            <w:pPr>
              <w:pStyle w:val="1535"/>
            </w:pPr>
            <w:r>
              <w:rPr>
                <w:lang w:bidi="ar"/>
              </w:rPr>
              <w:t>600片</w:t>
            </w:r>
          </w:p>
        </w:tc>
        <w:tc>
          <w:tcPr>
            <w:tcW w:w="599" w:type="pct"/>
            <w:tcBorders>
              <w:top w:val="single" w:color="000000" w:sz="4" w:space="0"/>
              <w:left w:val="single" w:color="000000" w:sz="4" w:space="0"/>
              <w:bottom w:val="single" w:color="000000" w:sz="4" w:space="0"/>
              <w:right w:val="single" w:color="000000" w:sz="4" w:space="0"/>
            </w:tcBorders>
            <w:vAlign w:val="center"/>
          </w:tcPr>
          <w:p w14:paraId="052BE864">
            <w:pPr>
              <w:pStyle w:val="1535"/>
            </w:pPr>
            <w:r>
              <w:rPr>
                <w:lang w:bidi="ar"/>
              </w:rPr>
              <w:t>/</w:t>
            </w:r>
          </w:p>
        </w:tc>
        <w:tc>
          <w:tcPr>
            <w:tcW w:w="1240" w:type="pct"/>
            <w:tcBorders>
              <w:top w:val="single" w:color="000000" w:sz="4" w:space="0"/>
              <w:left w:val="single" w:color="000000" w:sz="4" w:space="0"/>
              <w:bottom w:val="single" w:color="000000" w:sz="4" w:space="0"/>
              <w:right w:val="single" w:color="000000" w:sz="4" w:space="0"/>
            </w:tcBorders>
            <w:vAlign w:val="center"/>
          </w:tcPr>
          <w:p w14:paraId="007EFE1A">
            <w:pPr>
              <w:pStyle w:val="1535"/>
            </w:pPr>
            <w:r>
              <w:t>特殊涂层研发</w:t>
            </w:r>
          </w:p>
        </w:tc>
      </w:tr>
    </w:tbl>
    <w:p w14:paraId="0E44F270">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现有工程项目组成</w:t>
      </w:r>
    </w:p>
    <w:p w14:paraId="06155F2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在建项目组成一览表详见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_Ref160698373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表2.2</w:t>
      </w:r>
      <w:r>
        <w:rPr>
          <w:color w:val="000000" w:themeColor="text1"/>
          <w14:textFill>
            <w14:solidFill>
              <w14:schemeClr w14:val="tx1"/>
            </w14:solidFill>
          </w14:textFill>
        </w:rPr>
        <w:noBreakHyphen/>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p>
    <w:p w14:paraId="7CF06705">
      <w:pPr>
        <w:ind w:firstLine="0" w:firstLineChars="0"/>
        <w:jc w:val="center"/>
        <w:rPr>
          <w:color w:val="000000" w:themeColor="text1"/>
          <w14:textFill>
            <w14:solidFill>
              <w14:schemeClr w14:val="tx1"/>
            </w14:solidFill>
          </w14:textFill>
        </w:rPr>
      </w:pPr>
      <w:bookmarkStart w:id="137" w:name="_Ref160698373"/>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bookmarkEnd w:id="137"/>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现有工程项目组成一览表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009"/>
        <w:gridCol w:w="5505"/>
        <w:gridCol w:w="1275"/>
      </w:tblGrid>
      <w:tr w14:paraId="0050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0" w:type="pct"/>
            <w:vAlign w:val="center"/>
          </w:tcPr>
          <w:p w14:paraId="2DAD1913">
            <w:pPr>
              <w:pStyle w:val="1535"/>
            </w:pPr>
            <w:r>
              <w:t>类别</w:t>
            </w:r>
          </w:p>
        </w:tc>
        <w:tc>
          <w:tcPr>
            <w:tcW w:w="592" w:type="pct"/>
            <w:vAlign w:val="center"/>
          </w:tcPr>
          <w:p w14:paraId="64A7BF7F">
            <w:pPr>
              <w:pStyle w:val="1535"/>
            </w:pPr>
            <w:r>
              <w:t>名称</w:t>
            </w:r>
          </w:p>
        </w:tc>
        <w:tc>
          <w:tcPr>
            <w:tcW w:w="3230" w:type="pct"/>
            <w:vAlign w:val="center"/>
          </w:tcPr>
          <w:p w14:paraId="126A63ED">
            <w:pPr>
              <w:pStyle w:val="1535"/>
            </w:pPr>
            <w:r>
              <w:rPr>
                <w:rFonts w:hint="eastAsia"/>
              </w:rPr>
              <w:t>现有工程</w:t>
            </w:r>
            <w:r>
              <w:t>规模和内容</w:t>
            </w:r>
          </w:p>
        </w:tc>
        <w:tc>
          <w:tcPr>
            <w:tcW w:w="748" w:type="pct"/>
            <w:vAlign w:val="center"/>
          </w:tcPr>
          <w:p w14:paraId="16882715">
            <w:pPr>
              <w:pStyle w:val="1535"/>
            </w:pPr>
            <w:r>
              <w:rPr>
                <w:rFonts w:hint="eastAsia"/>
              </w:rPr>
              <w:t>备注</w:t>
            </w:r>
          </w:p>
        </w:tc>
      </w:tr>
      <w:tr w14:paraId="7C0A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 w:type="pct"/>
            <w:vMerge w:val="restart"/>
            <w:vAlign w:val="center"/>
          </w:tcPr>
          <w:p w14:paraId="1C4F483A">
            <w:pPr>
              <w:pStyle w:val="1535"/>
            </w:pPr>
            <w:r>
              <w:t>主体工程</w:t>
            </w:r>
          </w:p>
        </w:tc>
        <w:tc>
          <w:tcPr>
            <w:tcW w:w="592" w:type="pct"/>
            <w:vAlign w:val="center"/>
          </w:tcPr>
          <w:p w14:paraId="2892A833">
            <w:pPr>
              <w:pStyle w:val="1535"/>
            </w:pPr>
            <w:r>
              <w:t>1</w:t>
            </w:r>
            <w:r>
              <w:rPr>
                <w:vertAlign w:val="superscript"/>
              </w:rPr>
              <w:t>#</w:t>
            </w:r>
            <w:r>
              <w:t>厂房</w:t>
            </w:r>
          </w:p>
        </w:tc>
        <w:tc>
          <w:tcPr>
            <w:tcW w:w="3230" w:type="pct"/>
            <w:vAlign w:val="center"/>
          </w:tcPr>
          <w:p w14:paraId="1D4B6733">
            <w:pPr>
              <w:pStyle w:val="1535"/>
            </w:pPr>
            <w:r>
              <w:t>位于地块南侧，</w:t>
            </w:r>
            <w:r>
              <w:rPr>
                <w:rFonts w:hint="eastAsia"/>
              </w:rPr>
              <w:t>建筑面积7</w:t>
            </w:r>
            <w:r>
              <w:t>878.23</w:t>
            </w:r>
            <w:r>
              <w:rPr>
                <w:rFonts w:hint="eastAsia"/>
              </w:rPr>
              <w:t>m</w:t>
            </w:r>
            <w:r>
              <w:rPr>
                <w:vertAlign w:val="superscript"/>
              </w:rPr>
              <w:t>2</w:t>
            </w:r>
            <w:r>
              <w:rPr>
                <w:rFonts w:hint="eastAsia"/>
              </w:rPr>
              <w:t>，钢混结构，</w:t>
            </w:r>
            <w:r>
              <w:t>厂房西侧大部分为生产厂房，东侧小部分为附属用房。生产厂房建设2层结构，1层分设单晶硅、多晶硅生产线、陶瓷成型加工生产线、粉末烧结造粒生产线</w:t>
            </w:r>
            <w:r>
              <w:rPr>
                <w:rFonts w:hint="eastAsia"/>
              </w:rPr>
              <w:t>、</w:t>
            </w:r>
            <w:r>
              <w:t>高纯度高强度固态碳化硅生产线</w:t>
            </w:r>
            <w:r>
              <w:rPr>
                <w:rFonts w:hint="eastAsia"/>
              </w:rPr>
              <w:t>及石墨纯化及碳化硅涂层研发车间</w:t>
            </w:r>
            <w:r>
              <w:t>，其中仅单晶硅、多晶硅生产线区域建设为2层；附属用房为1层结构，自北向南设置氮气使用区、气站、设备维修间、危险废物贮存库、化学品储存间。</w:t>
            </w:r>
          </w:p>
        </w:tc>
        <w:tc>
          <w:tcPr>
            <w:tcW w:w="748" w:type="pct"/>
            <w:vAlign w:val="center"/>
          </w:tcPr>
          <w:p w14:paraId="70C2CB9E">
            <w:pPr>
              <w:pStyle w:val="1535"/>
            </w:pPr>
            <w:r>
              <w:rPr>
                <w:rFonts w:hint="eastAsia"/>
              </w:rPr>
              <w:t>厂房已建成，生产线部分建成，附属用房已建成。</w:t>
            </w:r>
          </w:p>
        </w:tc>
      </w:tr>
      <w:tr w14:paraId="5D0D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 w:type="pct"/>
            <w:vMerge w:val="continue"/>
            <w:vAlign w:val="center"/>
          </w:tcPr>
          <w:p w14:paraId="3517F729">
            <w:pPr>
              <w:pStyle w:val="1535"/>
            </w:pPr>
          </w:p>
        </w:tc>
        <w:tc>
          <w:tcPr>
            <w:tcW w:w="592" w:type="pct"/>
            <w:vAlign w:val="center"/>
          </w:tcPr>
          <w:p w14:paraId="7371B9E1">
            <w:pPr>
              <w:pStyle w:val="1535"/>
            </w:pPr>
            <w:r>
              <w:t>2</w:t>
            </w:r>
            <w:r>
              <w:rPr>
                <w:vertAlign w:val="superscript"/>
              </w:rPr>
              <w:t>#</w:t>
            </w:r>
            <w:r>
              <w:t>厂房</w:t>
            </w:r>
          </w:p>
        </w:tc>
        <w:tc>
          <w:tcPr>
            <w:tcW w:w="3230" w:type="pct"/>
            <w:vAlign w:val="center"/>
          </w:tcPr>
          <w:p w14:paraId="6CF4F2B5">
            <w:pPr>
              <w:pStyle w:val="1535"/>
            </w:pPr>
            <w:r>
              <w:t>位于地块中东侧，</w:t>
            </w:r>
            <w:r>
              <w:rPr>
                <w:rFonts w:hint="eastAsia"/>
              </w:rPr>
              <w:t>建筑面积1</w:t>
            </w:r>
            <w:r>
              <w:t>3636.30</w:t>
            </w:r>
            <w:r>
              <w:rPr>
                <w:rFonts w:hint="eastAsia"/>
              </w:rPr>
              <w:t>m</w:t>
            </w:r>
            <w:r>
              <w:rPr>
                <w:vertAlign w:val="superscript"/>
              </w:rPr>
              <w:t>2</w:t>
            </w:r>
            <w:r>
              <w:rPr>
                <w:rFonts w:hint="eastAsia"/>
              </w:rPr>
              <w:t>，</w:t>
            </w:r>
            <w:r>
              <w:t>厂房西侧大部分为生产厂房，东侧小部分为附属用房。生产厂房建设2层结构，1层主要布设半导体硅产品生产线</w:t>
            </w:r>
            <w:r>
              <w:rPr>
                <w:rFonts w:hint="eastAsia"/>
              </w:rPr>
              <w:t>及石墨部件研发加工车间</w:t>
            </w:r>
            <w:r>
              <w:t>，西南侧设办公室、会议室，2层主要设置为清洗及包装区域；附属用房自北向南设污水处理站、纯水制备站、空压机房、切削液回收操作间、配电房、柴油发电机房，其余辅助用房屋顶预留中央空调外机机位。</w:t>
            </w:r>
          </w:p>
        </w:tc>
        <w:tc>
          <w:tcPr>
            <w:tcW w:w="748" w:type="pct"/>
            <w:vAlign w:val="center"/>
          </w:tcPr>
          <w:p w14:paraId="0C100145">
            <w:pPr>
              <w:pStyle w:val="1535"/>
            </w:pPr>
            <w:r>
              <w:rPr>
                <w:rFonts w:hint="eastAsia"/>
              </w:rPr>
              <w:t>厂房已建成，生产线部分建成，附属用房及设施已建成。</w:t>
            </w:r>
          </w:p>
        </w:tc>
      </w:tr>
      <w:tr w14:paraId="4CC3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 w:type="pct"/>
            <w:vMerge w:val="continue"/>
            <w:vAlign w:val="center"/>
          </w:tcPr>
          <w:p w14:paraId="64AC23CA">
            <w:pPr>
              <w:pStyle w:val="1535"/>
            </w:pPr>
          </w:p>
        </w:tc>
        <w:tc>
          <w:tcPr>
            <w:tcW w:w="592" w:type="pct"/>
            <w:vAlign w:val="center"/>
          </w:tcPr>
          <w:p w14:paraId="3AE5E7C1">
            <w:pPr>
              <w:pStyle w:val="1535"/>
            </w:pPr>
            <w:r>
              <w:rPr>
                <w:rFonts w:hint="eastAsia"/>
              </w:rPr>
              <w:t>3</w:t>
            </w:r>
            <w:r>
              <w:rPr>
                <w:rFonts w:hint="eastAsia"/>
                <w:vertAlign w:val="superscript"/>
              </w:rPr>
              <w:t>#</w:t>
            </w:r>
            <w:r>
              <w:rPr>
                <w:rFonts w:hint="eastAsia"/>
              </w:rPr>
              <w:t>厂房</w:t>
            </w:r>
          </w:p>
        </w:tc>
        <w:tc>
          <w:tcPr>
            <w:tcW w:w="3230" w:type="pct"/>
            <w:vAlign w:val="center"/>
          </w:tcPr>
          <w:p w14:paraId="20F8BC1E">
            <w:pPr>
              <w:pStyle w:val="1535"/>
            </w:pPr>
            <w:r>
              <w:t>位于</w:t>
            </w:r>
            <w:r>
              <w:rPr>
                <w:rFonts w:hint="eastAsia"/>
              </w:rPr>
              <w:t>厂区北侧预留</w:t>
            </w:r>
            <w:r>
              <w:t>地块南侧，</w:t>
            </w:r>
            <w:r>
              <w:rPr>
                <w:rFonts w:hint="eastAsia"/>
              </w:rPr>
              <w:t>建筑面积5300m</w:t>
            </w:r>
            <w:r>
              <w:rPr>
                <w:rFonts w:hint="eastAsia"/>
                <w:vertAlign w:val="superscript"/>
              </w:rPr>
              <w:t>2</w:t>
            </w:r>
            <w:r>
              <w:rPr>
                <w:rFonts w:hint="eastAsia"/>
              </w:rPr>
              <w:t>，钢混结构，1F，层高11m</w:t>
            </w:r>
            <w:r>
              <w:t>。</w:t>
            </w:r>
            <w:r>
              <w:rPr>
                <w:rFonts w:hint="eastAsia"/>
              </w:rPr>
              <w:t>主要布置石英产品生产线</w:t>
            </w:r>
            <w:r>
              <w:t>。</w:t>
            </w:r>
          </w:p>
        </w:tc>
        <w:tc>
          <w:tcPr>
            <w:tcW w:w="748" w:type="pct"/>
            <w:vAlign w:val="center"/>
          </w:tcPr>
          <w:p w14:paraId="01559F0C">
            <w:pPr>
              <w:pStyle w:val="1535"/>
            </w:pPr>
            <w:r>
              <w:rPr>
                <w:rFonts w:hint="eastAsia"/>
              </w:rPr>
              <w:t>未建</w:t>
            </w:r>
          </w:p>
        </w:tc>
      </w:tr>
      <w:tr w14:paraId="71F6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 w:type="pct"/>
            <w:vMerge w:val="continue"/>
            <w:vAlign w:val="center"/>
          </w:tcPr>
          <w:p w14:paraId="79CDFE93">
            <w:pPr>
              <w:pStyle w:val="1535"/>
            </w:pPr>
          </w:p>
        </w:tc>
        <w:tc>
          <w:tcPr>
            <w:tcW w:w="592" w:type="pct"/>
            <w:vAlign w:val="center"/>
          </w:tcPr>
          <w:p w14:paraId="6EAC5758">
            <w:pPr>
              <w:pStyle w:val="1535"/>
            </w:pPr>
            <w:r>
              <w:rPr>
                <w:rFonts w:hint="eastAsia"/>
              </w:rPr>
              <w:t>4</w:t>
            </w:r>
            <w:r>
              <w:rPr>
                <w:rFonts w:hint="eastAsia"/>
                <w:vertAlign w:val="superscript"/>
              </w:rPr>
              <w:t>#</w:t>
            </w:r>
            <w:r>
              <w:rPr>
                <w:rFonts w:hint="eastAsia"/>
              </w:rPr>
              <w:t>厂房</w:t>
            </w:r>
          </w:p>
        </w:tc>
        <w:tc>
          <w:tcPr>
            <w:tcW w:w="3230" w:type="pct"/>
            <w:vAlign w:val="center"/>
          </w:tcPr>
          <w:p w14:paraId="649FB43E">
            <w:pPr>
              <w:pStyle w:val="1535"/>
            </w:pPr>
            <w:r>
              <w:t>位于</w:t>
            </w:r>
            <w:r>
              <w:rPr>
                <w:rFonts w:hint="eastAsia"/>
              </w:rPr>
              <w:t>厂区北侧预留</w:t>
            </w:r>
            <w:r>
              <w:t>地块南侧，</w:t>
            </w:r>
            <w:r>
              <w:rPr>
                <w:rFonts w:hint="eastAsia"/>
              </w:rPr>
              <w:t>建筑面积7300m</w:t>
            </w:r>
            <w:r>
              <w:rPr>
                <w:rFonts w:hint="eastAsia"/>
                <w:vertAlign w:val="superscript"/>
              </w:rPr>
              <w:t>2</w:t>
            </w:r>
            <w:r>
              <w:rPr>
                <w:rFonts w:hint="eastAsia"/>
              </w:rPr>
              <w:t>，钢混结构，1F，层高11m</w:t>
            </w:r>
            <w:r>
              <w:t>。</w:t>
            </w:r>
            <w:r>
              <w:rPr>
                <w:rFonts w:hint="eastAsia"/>
              </w:rPr>
              <w:t>主要布置石墨产品生产线、库房等</w:t>
            </w:r>
            <w:r>
              <w:t>。</w:t>
            </w:r>
          </w:p>
        </w:tc>
        <w:tc>
          <w:tcPr>
            <w:tcW w:w="748" w:type="pct"/>
            <w:vAlign w:val="center"/>
          </w:tcPr>
          <w:p w14:paraId="5DD2904E">
            <w:pPr>
              <w:pStyle w:val="1535"/>
            </w:pPr>
            <w:r>
              <w:rPr>
                <w:rFonts w:hint="eastAsia"/>
              </w:rPr>
              <w:t>未建</w:t>
            </w:r>
          </w:p>
        </w:tc>
      </w:tr>
      <w:tr w14:paraId="5262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vAlign w:val="center"/>
          </w:tcPr>
          <w:p w14:paraId="26591F4E">
            <w:pPr>
              <w:pStyle w:val="1535"/>
            </w:pPr>
            <w:r>
              <w:t>辅助工程</w:t>
            </w:r>
          </w:p>
        </w:tc>
        <w:tc>
          <w:tcPr>
            <w:tcW w:w="592" w:type="pct"/>
            <w:vAlign w:val="center"/>
          </w:tcPr>
          <w:p w14:paraId="4412C2FC">
            <w:pPr>
              <w:pStyle w:val="1535"/>
            </w:pPr>
            <w:r>
              <w:rPr>
                <w:rFonts w:hint="eastAsia"/>
              </w:rPr>
              <w:t>1</w:t>
            </w:r>
            <w:r>
              <w:rPr>
                <w:rFonts w:hint="eastAsia"/>
                <w:vertAlign w:val="superscript"/>
              </w:rPr>
              <w:t>#</w:t>
            </w:r>
            <w:r>
              <w:rPr>
                <w:rFonts w:hint="eastAsia"/>
              </w:rPr>
              <w:t>附属用房</w:t>
            </w:r>
          </w:p>
        </w:tc>
        <w:tc>
          <w:tcPr>
            <w:tcW w:w="3230" w:type="pct"/>
            <w:vAlign w:val="center"/>
          </w:tcPr>
          <w:p w14:paraId="1ECF1A9C">
            <w:pPr>
              <w:pStyle w:val="1535"/>
            </w:pPr>
            <w:r>
              <w:t>位于</w:t>
            </w:r>
            <w:r>
              <w:rPr>
                <w:rFonts w:hint="eastAsia"/>
              </w:rPr>
              <w:t>4#厂房东侧，建筑面积2380m</w:t>
            </w:r>
            <w:r>
              <w:rPr>
                <w:rFonts w:hint="eastAsia"/>
                <w:vertAlign w:val="superscript"/>
              </w:rPr>
              <w:t>2</w:t>
            </w:r>
            <w:r>
              <w:rPr>
                <w:rFonts w:hint="eastAsia"/>
              </w:rPr>
              <w:t>，钢混结构，1F，层高9m</w:t>
            </w:r>
            <w:r>
              <w:t>。</w:t>
            </w:r>
            <w:r>
              <w:rPr>
                <w:rFonts w:hint="eastAsia"/>
              </w:rPr>
              <w:t>内部由北至南主要布置，一般固废贮存区、纯水制备区、空压机房。</w:t>
            </w:r>
          </w:p>
        </w:tc>
        <w:tc>
          <w:tcPr>
            <w:tcW w:w="748" w:type="pct"/>
            <w:vAlign w:val="center"/>
          </w:tcPr>
          <w:p w14:paraId="0A3C9D14">
            <w:pPr>
              <w:pStyle w:val="1535"/>
            </w:pPr>
            <w:r>
              <w:rPr>
                <w:rFonts w:hint="eastAsia"/>
              </w:rPr>
              <w:t>未建</w:t>
            </w:r>
          </w:p>
        </w:tc>
      </w:tr>
      <w:tr w14:paraId="7146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32E88141">
            <w:pPr>
              <w:pStyle w:val="1535"/>
            </w:pPr>
          </w:p>
        </w:tc>
        <w:tc>
          <w:tcPr>
            <w:tcW w:w="592" w:type="pct"/>
            <w:vAlign w:val="center"/>
          </w:tcPr>
          <w:p w14:paraId="1CB36864">
            <w:pPr>
              <w:pStyle w:val="1535"/>
            </w:pPr>
            <w:r>
              <w:rPr>
                <w:rFonts w:hint="eastAsia"/>
              </w:rPr>
              <w:t>2</w:t>
            </w:r>
            <w:r>
              <w:rPr>
                <w:rFonts w:hint="eastAsia"/>
                <w:vertAlign w:val="superscript"/>
              </w:rPr>
              <w:t>#</w:t>
            </w:r>
            <w:r>
              <w:rPr>
                <w:rFonts w:hint="eastAsia"/>
              </w:rPr>
              <w:t>附属用房</w:t>
            </w:r>
          </w:p>
        </w:tc>
        <w:tc>
          <w:tcPr>
            <w:tcW w:w="3230" w:type="pct"/>
            <w:vAlign w:val="center"/>
          </w:tcPr>
          <w:p w14:paraId="29B88CA3">
            <w:pPr>
              <w:pStyle w:val="1535"/>
            </w:pPr>
            <w:r>
              <w:t>位于</w:t>
            </w:r>
            <w:r>
              <w:rPr>
                <w:rFonts w:hint="eastAsia"/>
              </w:rPr>
              <w:t>3#厂房东北侧，建筑面积750m</w:t>
            </w:r>
            <w:r>
              <w:rPr>
                <w:rFonts w:hint="eastAsia"/>
                <w:vertAlign w:val="superscript"/>
              </w:rPr>
              <w:t>2</w:t>
            </w:r>
            <w:r>
              <w:rPr>
                <w:rFonts w:hint="eastAsia"/>
              </w:rPr>
              <w:t>，钢混结构，1F，层高9m</w:t>
            </w:r>
            <w:r>
              <w:t>。</w:t>
            </w:r>
            <w:r>
              <w:rPr>
                <w:rFonts w:hint="eastAsia"/>
              </w:rPr>
              <w:t>主要布置配电房和备用柴油发电机房。</w:t>
            </w:r>
          </w:p>
        </w:tc>
        <w:tc>
          <w:tcPr>
            <w:tcW w:w="748" w:type="pct"/>
            <w:vAlign w:val="center"/>
          </w:tcPr>
          <w:p w14:paraId="27F8078F">
            <w:pPr>
              <w:pStyle w:val="1535"/>
            </w:pPr>
            <w:r>
              <w:rPr>
                <w:rFonts w:hint="eastAsia"/>
              </w:rPr>
              <w:t>未建</w:t>
            </w:r>
          </w:p>
        </w:tc>
      </w:tr>
      <w:tr w14:paraId="21A8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40099AFE">
            <w:pPr>
              <w:pStyle w:val="1535"/>
            </w:pPr>
          </w:p>
        </w:tc>
        <w:tc>
          <w:tcPr>
            <w:tcW w:w="592" w:type="pct"/>
            <w:vAlign w:val="center"/>
          </w:tcPr>
          <w:p w14:paraId="4B8BE09C">
            <w:pPr>
              <w:pStyle w:val="1535"/>
            </w:pPr>
            <w:r>
              <w:rPr>
                <w:rFonts w:hint="eastAsia"/>
              </w:rPr>
              <w:t>3</w:t>
            </w:r>
            <w:r>
              <w:rPr>
                <w:rFonts w:hint="eastAsia"/>
                <w:vertAlign w:val="superscript"/>
              </w:rPr>
              <w:t>#</w:t>
            </w:r>
            <w:r>
              <w:rPr>
                <w:rFonts w:hint="eastAsia"/>
              </w:rPr>
              <w:t>附属用房</w:t>
            </w:r>
          </w:p>
        </w:tc>
        <w:tc>
          <w:tcPr>
            <w:tcW w:w="3230" w:type="pct"/>
            <w:vAlign w:val="center"/>
          </w:tcPr>
          <w:p w14:paraId="50348E72">
            <w:pPr>
              <w:pStyle w:val="1535"/>
            </w:pPr>
            <w:r>
              <w:t>位于</w:t>
            </w:r>
            <w:r>
              <w:rPr>
                <w:rFonts w:hint="eastAsia"/>
              </w:rPr>
              <w:t>北侧预留地块东侧，建筑面积1150m</w:t>
            </w:r>
            <w:r>
              <w:rPr>
                <w:rFonts w:hint="eastAsia"/>
                <w:vertAlign w:val="superscript"/>
              </w:rPr>
              <w:t>2</w:t>
            </w:r>
            <w:r>
              <w:rPr>
                <w:rFonts w:hint="eastAsia"/>
              </w:rPr>
              <w:t>，钢混结构，1F，层高9m</w:t>
            </w:r>
            <w:r>
              <w:t>。</w:t>
            </w:r>
            <w:r>
              <w:rPr>
                <w:rFonts w:hint="eastAsia"/>
              </w:rPr>
              <w:t>由南至北主要布置污水处理站、危险化学品库、危废贮存设施等</w:t>
            </w:r>
          </w:p>
        </w:tc>
        <w:tc>
          <w:tcPr>
            <w:tcW w:w="748" w:type="pct"/>
            <w:vAlign w:val="center"/>
          </w:tcPr>
          <w:p w14:paraId="0B499A16">
            <w:pPr>
              <w:pStyle w:val="1535"/>
            </w:pPr>
            <w:r>
              <w:rPr>
                <w:rFonts w:hint="eastAsia"/>
              </w:rPr>
              <w:t>未建</w:t>
            </w:r>
          </w:p>
        </w:tc>
      </w:tr>
      <w:tr w14:paraId="0E23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6AE52783">
            <w:pPr>
              <w:pStyle w:val="1535"/>
            </w:pPr>
          </w:p>
        </w:tc>
        <w:tc>
          <w:tcPr>
            <w:tcW w:w="592" w:type="pct"/>
            <w:vAlign w:val="center"/>
          </w:tcPr>
          <w:p w14:paraId="7429B63C">
            <w:pPr>
              <w:pStyle w:val="1535"/>
            </w:pPr>
            <w:r>
              <w:rPr>
                <w:rFonts w:hint="eastAsia"/>
              </w:rPr>
              <w:t>办公楼</w:t>
            </w:r>
          </w:p>
        </w:tc>
        <w:tc>
          <w:tcPr>
            <w:tcW w:w="3230" w:type="pct"/>
            <w:vAlign w:val="center"/>
          </w:tcPr>
          <w:p w14:paraId="7F41207E">
            <w:pPr>
              <w:pStyle w:val="1535"/>
            </w:pPr>
            <w:r>
              <w:t>位于地块中部</w:t>
            </w:r>
            <w:r>
              <w:rPr>
                <w:rFonts w:hint="eastAsia"/>
              </w:rPr>
              <w:t>西侧</w:t>
            </w:r>
            <w:r>
              <w:t>，</w:t>
            </w:r>
            <w:r>
              <w:rPr>
                <w:rFonts w:hint="eastAsia"/>
              </w:rPr>
              <w:t>建筑面积6</w:t>
            </w:r>
            <w:r>
              <w:t>300.44</w:t>
            </w:r>
            <w:r>
              <w:rPr>
                <w:rFonts w:hint="eastAsia"/>
              </w:rPr>
              <w:t>m</w:t>
            </w:r>
            <w:r>
              <w:rPr>
                <w:vertAlign w:val="superscript"/>
              </w:rPr>
              <w:t>2</w:t>
            </w:r>
            <w:r>
              <w:rPr>
                <w:rFonts w:hint="eastAsia"/>
              </w:rPr>
              <w:t>，</w:t>
            </w:r>
            <w:r>
              <w:t>用于办公及</w:t>
            </w:r>
            <w:r>
              <w:rPr>
                <w:rFonts w:hint="eastAsia"/>
              </w:rPr>
              <w:t>产品研发，研发主要包括：炉管SiC材料及零部件研发、特殊涂层材料及工艺研发。</w:t>
            </w:r>
          </w:p>
        </w:tc>
        <w:tc>
          <w:tcPr>
            <w:tcW w:w="748" w:type="pct"/>
            <w:vAlign w:val="center"/>
          </w:tcPr>
          <w:p w14:paraId="008875FE">
            <w:pPr>
              <w:pStyle w:val="1535"/>
            </w:pPr>
            <w:r>
              <w:rPr>
                <w:rFonts w:hint="eastAsia"/>
              </w:rPr>
              <w:t>主体已建成，正在装修</w:t>
            </w:r>
          </w:p>
        </w:tc>
      </w:tr>
      <w:tr w14:paraId="1CBE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vAlign w:val="center"/>
          </w:tcPr>
          <w:p w14:paraId="787EDD87">
            <w:pPr>
              <w:pStyle w:val="1535"/>
            </w:pPr>
            <w:r>
              <w:t>公用工程</w:t>
            </w:r>
          </w:p>
        </w:tc>
        <w:tc>
          <w:tcPr>
            <w:tcW w:w="592" w:type="pct"/>
            <w:vAlign w:val="center"/>
          </w:tcPr>
          <w:p w14:paraId="36056A6F">
            <w:pPr>
              <w:pStyle w:val="1535"/>
            </w:pPr>
            <w:r>
              <w:t>供水</w:t>
            </w:r>
          </w:p>
        </w:tc>
        <w:tc>
          <w:tcPr>
            <w:tcW w:w="3230" w:type="pct"/>
            <w:vAlign w:val="center"/>
          </w:tcPr>
          <w:p w14:paraId="08D0F33A">
            <w:pPr>
              <w:pStyle w:val="1535"/>
            </w:pPr>
            <w:r>
              <w:t>市政给水管网引入自来水，市政供水压力0.30MPa</w:t>
            </w:r>
          </w:p>
        </w:tc>
        <w:tc>
          <w:tcPr>
            <w:tcW w:w="748" w:type="pct"/>
            <w:vAlign w:val="center"/>
          </w:tcPr>
          <w:p w14:paraId="530FB5CF">
            <w:pPr>
              <w:pStyle w:val="1535"/>
            </w:pPr>
            <w:r>
              <w:rPr>
                <w:rFonts w:hint="eastAsia"/>
              </w:rPr>
              <w:t>已建成</w:t>
            </w:r>
          </w:p>
        </w:tc>
      </w:tr>
      <w:tr w14:paraId="1193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5BEB44D1">
            <w:pPr>
              <w:pStyle w:val="1535"/>
            </w:pPr>
          </w:p>
        </w:tc>
        <w:tc>
          <w:tcPr>
            <w:tcW w:w="592" w:type="pct"/>
            <w:vAlign w:val="center"/>
          </w:tcPr>
          <w:p w14:paraId="6BBBE11C">
            <w:pPr>
              <w:pStyle w:val="1535"/>
            </w:pPr>
            <w:r>
              <w:t>排水</w:t>
            </w:r>
          </w:p>
        </w:tc>
        <w:tc>
          <w:tcPr>
            <w:tcW w:w="3230" w:type="pct"/>
            <w:vAlign w:val="center"/>
          </w:tcPr>
          <w:p w14:paraId="21B7F18D">
            <w:pPr>
              <w:pStyle w:val="1535"/>
            </w:pPr>
            <w:r>
              <w:t>厂区排水采用雨、污分流和清、污分流排水制。</w:t>
            </w:r>
          </w:p>
        </w:tc>
        <w:tc>
          <w:tcPr>
            <w:tcW w:w="748" w:type="pct"/>
            <w:vAlign w:val="center"/>
          </w:tcPr>
          <w:p w14:paraId="28BA63CC">
            <w:pPr>
              <w:pStyle w:val="1535"/>
            </w:pPr>
            <w:r>
              <w:rPr>
                <w:rFonts w:hint="eastAsia"/>
              </w:rPr>
              <w:t>已建成</w:t>
            </w:r>
          </w:p>
        </w:tc>
      </w:tr>
      <w:tr w14:paraId="71AC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5D8CFE5B">
            <w:pPr>
              <w:pStyle w:val="1535"/>
            </w:pPr>
          </w:p>
        </w:tc>
        <w:tc>
          <w:tcPr>
            <w:tcW w:w="592" w:type="pct"/>
            <w:vAlign w:val="center"/>
          </w:tcPr>
          <w:p w14:paraId="0506C1C7">
            <w:pPr>
              <w:pStyle w:val="1535"/>
            </w:pPr>
            <w:r>
              <w:t>纯水制备装置</w:t>
            </w:r>
          </w:p>
        </w:tc>
        <w:tc>
          <w:tcPr>
            <w:tcW w:w="3230" w:type="pct"/>
            <w:vAlign w:val="center"/>
          </w:tcPr>
          <w:p w14:paraId="6F44A52A">
            <w:pPr>
              <w:pStyle w:val="1535"/>
            </w:pPr>
            <w:r>
              <w:rPr>
                <w:rFonts w:hint="eastAsia"/>
              </w:rPr>
              <w:t>共设置2套，其中</w:t>
            </w:r>
            <w:r>
              <w:t>纯水制备装置</w:t>
            </w:r>
            <w:r>
              <w:rPr>
                <w:rFonts w:hint="eastAsia"/>
              </w:rPr>
              <w:t>1</w:t>
            </w:r>
            <w:r>
              <w:t>设在</w:t>
            </w:r>
            <w:r>
              <w:rPr>
                <w:rFonts w:hint="eastAsia"/>
              </w:rPr>
              <w:t>2#厂房</w:t>
            </w:r>
            <w:r>
              <w:t>附属用房内，为半导体硅产品生产线清洗工序提供纯水，采用多介质+活性炭过滤+保安过滤器+二级RO反渗透+EDI工艺，纯水制备总能力约5</w:t>
            </w:r>
            <w:r>
              <w:rPr>
                <w:rFonts w:hint="eastAsia"/>
              </w:rPr>
              <w:t>m</w:t>
            </w:r>
            <w:r>
              <w:rPr>
                <w:rFonts w:hint="eastAsia"/>
                <w:vertAlign w:val="superscript"/>
              </w:rPr>
              <w:t>3</w:t>
            </w:r>
            <w:r>
              <w:t>/h</w:t>
            </w:r>
            <w:r>
              <w:rPr>
                <w:rFonts w:hint="eastAsia"/>
              </w:rPr>
              <w:t>。</w:t>
            </w:r>
            <w:r>
              <w:t>纯水制备装置</w:t>
            </w:r>
            <w:r>
              <w:rPr>
                <w:rFonts w:hint="eastAsia"/>
              </w:rPr>
              <w:t>2</w:t>
            </w:r>
            <w:r>
              <w:t>设在</w:t>
            </w:r>
            <w:r>
              <w:rPr>
                <w:rFonts w:hint="eastAsia"/>
              </w:rPr>
              <w:t>1#</w:t>
            </w:r>
            <w:r>
              <w:t>附属用房内，为清洗工序提供纯水，采用多介质+活性炭过滤+保安过滤器+二级RO反渗透+EDI工艺，</w:t>
            </w:r>
            <w:r>
              <w:rPr>
                <w:rFonts w:hint="eastAsia"/>
              </w:rPr>
              <w:t>拟布置3台制备能力为10m</w:t>
            </w:r>
            <w:r>
              <w:rPr>
                <w:rFonts w:hint="eastAsia"/>
                <w:vertAlign w:val="superscript"/>
              </w:rPr>
              <w:t>3</w:t>
            </w:r>
            <w:r>
              <w:rPr>
                <w:rFonts w:hint="eastAsia"/>
              </w:rPr>
              <w:t>/h的纯水设备，</w:t>
            </w:r>
            <w:r>
              <w:t>纯水制备总能力约</w:t>
            </w:r>
            <w:r>
              <w:rPr>
                <w:rFonts w:hint="eastAsia"/>
              </w:rPr>
              <w:t>30m</w:t>
            </w:r>
            <w:r>
              <w:rPr>
                <w:rFonts w:hint="eastAsia"/>
                <w:vertAlign w:val="superscript"/>
              </w:rPr>
              <w:t>3</w:t>
            </w:r>
            <w:r>
              <w:t>/h</w:t>
            </w:r>
            <w:r>
              <w:rPr>
                <w:rFonts w:hint="eastAsia"/>
              </w:rPr>
              <w:t>，纯水设备的产水率为75%。</w:t>
            </w:r>
          </w:p>
        </w:tc>
        <w:tc>
          <w:tcPr>
            <w:tcW w:w="748" w:type="pct"/>
            <w:vAlign w:val="center"/>
          </w:tcPr>
          <w:p w14:paraId="37812D1A">
            <w:pPr>
              <w:pStyle w:val="1535"/>
            </w:pPr>
            <w:r>
              <w:t>纯水制备装置</w:t>
            </w:r>
            <w:r>
              <w:rPr>
                <w:rFonts w:hint="eastAsia"/>
              </w:rPr>
              <w:t>1已建成，</w:t>
            </w:r>
            <w:r>
              <w:t>纯水制备装置</w:t>
            </w:r>
            <w:r>
              <w:rPr>
                <w:rFonts w:hint="eastAsia"/>
              </w:rPr>
              <w:t>2未建</w:t>
            </w:r>
          </w:p>
        </w:tc>
      </w:tr>
      <w:tr w14:paraId="7FF0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30" w:type="pct"/>
            <w:vMerge w:val="continue"/>
            <w:vAlign w:val="center"/>
          </w:tcPr>
          <w:p w14:paraId="6F9D17AD">
            <w:pPr>
              <w:pStyle w:val="1535"/>
            </w:pPr>
          </w:p>
        </w:tc>
        <w:tc>
          <w:tcPr>
            <w:tcW w:w="592" w:type="pct"/>
            <w:vAlign w:val="center"/>
          </w:tcPr>
          <w:p w14:paraId="78A23444">
            <w:pPr>
              <w:pStyle w:val="1535"/>
            </w:pPr>
            <w:r>
              <w:t>空压机房</w:t>
            </w:r>
          </w:p>
        </w:tc>
        <w:tc>
          <w:tcPr>
            <w:tcW w:w="3230" w:type="pct"/>
            <w:vAlign w:val="center"/>
          </w:tcPr>
          <w:p w14:paraId="01BC0E9E">
            <w:pPr>
              <w:pStyle w:val="1535"/>
            </w:pPr>
            <w:r>
              <w:rPr>
                <w:rFonts w:hint="eastAsia"/>
              </w:rPr>
              <w:t>现有工程共设置2个空压站，其中空压站1位于</w:t>
            </w:r>
            <w:r>
              <w:t>2</w:t>
            </w:r>
            <w:r>
              <w:rPr>
                <w:vertAlign w:val="superscript"/>
              </w:rPr>
              <w:t>#</w:t>
            </w:r>
            <w:r>
              <w:t>厂房</w:t>
            </w:r>
            <w:r>
              <w:rPr>
                <w:rFonts w:hint="eastAsia"/>
              </w:rPr>
              <w:t>，主要</w:t>
            </w:r>
            <w:r>
              <w:t>为</w:t>
            </w:r>
            <w:r>
              <w:rPr>
                <w:rFonts w:hint="eastAsia"/>
              </w:rPr>
              <w:t>三期A项目</w:t>
            </w:r>
            <w:r>
              <w:t>提供压缩空气</w:t>
            </w:r>
            <w:r>
              <w:rPr>
                <w:rFonts w:hint="eastAsia"/>
              </w:rPr>
              <w:t>，</w:t>
            </w:r>
            <w:r>
              <w:t>设3台无油螺杆机，单台45</w:t>
            </w:r>
            <w:r>
              <w:rPr>
                <w:rFonts w:hint="eastAsia"/>
              </w:rPr>
              <w:t xml:space="preserve"> m</w:t>
            </w:r>
            <w:r>
              <w:rPr>
                <w:rFonts w:hint="eastAsia"/>
                <w:vertAlign w:val="superscript"/>
              </w:rPr>
              <w:t>3</w:t>
            </w:r>
            <w:r>
              <w:t>/min，为生产车间提供压缩空气。</w:t>
            </w:r>
            <w:r>
              <w:rPr>
                <w:rFonts w:hint="eastAsia"/>
              </w:rPr>
              <w:t>空压站2位于1</w:t>
            </w:r>
            <w:r>
              <w:rPr>
                <w:rFonts w:hint="eastAsia"/>
                <w:vertAlign w:val="superscript"/>
              </w:rPr>
              <w:t>#</w:t>
            </w:r>
            <w:r>
              <w:rPr>
                <w:rFonts w:hint="eastAsia"/>
              </w:rPr>
              <w:t>附属用房内</w:t>
            </w:r>
            <w:r>
              <w:t>设空压站，</w:t>
            </w:r>
            <w:r>
              <w:rPr>
                <w:rFonts w:hint="eastAsia"/>
              </w:rPr>
              <w:t>布置</w:t>
            </w:r>
            <w:r>
              <w:t>3台无油螺杆机，单台45</w:t>
            </w:r>
            <w:r>
              <w:rPr>
                <w:rFonts w:hint="eastAsia"/>
              </w:rPr>
              <w:t xml:space="preserve"> m</w:t>
            </w:r>
            <w:r>
              <w:rPr>
                <w:rFonts w:hint="eastAsia"/>
                <w:vertAlign w:val="superscript"/>
              </w:rPr>
              <w:t>3</w:t>
            </w:r>
            <w:r>
              <w:t>/min</w:t>
            </w:r>
            <w:r>
              <w:rPr>
                <w:rFonts w:hint="eastAsia"/>
              </w:rPr>
              <w:t>，</w:t>
            </w:r>
            <w:r>
              <w:t>为</w:t>
            </w:r>
            <w:r>
              <w:rPr>
                <w:rFonts w:hint="eastAsia"/>
              </w:rPr>
              <w:t>现有项目</w:t>
            </w:r>
            <w:r>
              <w:t>提供压缩空气。</w:t>
            </w:r>
          </w:p>
        </w:tc>
        <w:tc>
          <w:tcPr>
            <w:tcW w:w="748" w:type="pct"/>
            <w:vAlign w:val="center"/>
          </w:tcPr>
          <w:p w14:paraId="268964E5">
            <w:pPr>
              <w:pStyle w:val="1535"/>
            </w:pPr>
            <w:r>
              <w:rPr>
                <w:rFonts w:hint="eastAsia"/>
              </w:rPr>
              <w:t>空压站1已建成，空压站2未建</w:t>
            </w:r>
          </w:p>
        </w:tc>
      </w:tr>
      <w:tr w14:paraId="71A3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30" w:type="pct"/>
            <w:vMerge w:val="continue"/>
            <w:vAlign w:val="center"/>
          </w:tcPr>
          <w:p w14:paraId="43A313FE">
            <w:pPr>
              <w:pStyle w:val="1535"/>
            </w:pPr>
          </w:p>
        </w:tc>
        <w:tc>
          <w:tcPr>
            <w:tcW w:w="592" w:type="pct"/>
            <w:vAlign w:val="center"/>
          </w:tcPr>
          <w:p w14:paraId="6242D59B">
            <w:pPr>
              <w:pStyle w:val="1535"/>
            </w:pPr>
            <w:r>
              <w:t>气站</w:t>
            </w:r>
          </w:p>
        </w:tc>
        <w:tc>
          <w:tcPr>
            <w:tcW w:w="3230" w:type="pct"/>
            <w:vAlign w:val="center"/>
          </w:tcPr>
          <w:p w14:paraId="39098F73">
            <w:pPr>
              <w:pStyle w:val="1535"/>
            </w:pPr>
            <w:r>
              <w:rPr>
                <w:rFonts w:hint="eastAsia"/>
              </w:rPr>
              <w:t>共设置2个，其中气站1</w:t>
            </w:r>
            <w:r>
              <w:t>位于1</w:t>
            </w:r>
            <w:r>
              <w:rPr>
                <w:vertAlign w:val="superscript"/>
              </w:rPr>
              <w:t>#</w:t>
            </w:r>
            <w:r>
              <w:t>厂房辅房，分别设氩气、氮气、氢气储存区域</w:t>
            </w:r>
            <w:r>
              <w:rPr>
                <w:rFonts w:hint="eastAsia"/>
              </w:rPr>
              <w:t>。气站2</w:t>
            </w:r>
            <w:r>
              <w:t>位于</w:t>
            </w:r>
            <w:r>
              <w:rPr>
                <w:rFonts w:hint="eastAsia"/>
              </w:rPr>
              <w:t>3</w:t>
            </w:r>
            <w:r>
              <w:t>#</w:t>
            </w:r>
            <w:r>
              <w:rPr>
                <w:rFonts w:hint="eastAsia"/>
              </w:rPr>
              <w:t>附属用房内</w:t>
            </w:r>
            <w:r>
              <w:t>，分别设氩气、氮气、氢气储存区域。</w:t>
            </w:r>
          </w:p>
        </w:tc>
        <w:tc>
          <w:tcPr>
            <w:tcW w:w="748" w:type="pct"/>
            <w:vAlign w:val="center"/>
          </w:tcPr>
          <w:p w14:paraId="3ED0F715">
            <w:pPr>
              <w:pStyle w:val="1535"/>
            </w:pPr>
            <w:r>
              <w:rPr>
                <w:rFonts w:hint="eastAsia"/>
              </w:rPr>
              <w:t>气站1已建成，气站2未建</w:t>
            </w:r>
          </w:p>
        </w:tc>
      </w:tr>
      <w:tr w14:paraId="09A7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32D62C84">
            <w:pPr>
              <w:pStyle w:val="1535"/>
            </w:pPr>
          </w:p>
        </w:tc>
        <w:tc>
          <w:tcPr>
            <w:tcW w:w="592" w:type="pct"/>
            <w:vAlign w:val="center"/>
          </w:tcPr>
          <w:p w14:paraId="5D768750">
            <w:pPr>
              <w:pStyle w:val="1535"/>
            </w:pPr>
            <w:r>
              <w:t>供电</w:t>
            </w:r>
          </w:p>
        </w:tc>
        <w:tc>
          <w:tcPr>
            <w:tcW w:w="3230" w:type="pct"/>
            <w:vAlign w:val="center"/>
          </w:tcPr>
          <w:p w14:paraId="2731ED38">
            <w:pPr>
              <w:pStyle w:val="1535"/>
            </w:pPr>
            <w:r>
              <w:t>电源采用10kV进线，市政供电。</w:t>
            </w:r>
          </w:p>
        </w:tc>
        <w:tc>
          <w:tcPr>
            <w:tcW w:w="748" w:type="pct"/>
            <w:vAlign w:val="center"/>
          </w:tcPr>
          <w:p w14:paraId="41663910">
            <w:pPr>
              <w:pStyle w:val="1535"/>
            </w:pPr>
            <w:r>
              <w:rPr>
                <w:rFonts w:hint="eastAsia"/>
              </w:rPr>
              <w:t>已建成</w:t>
            </w:r>
          </w:p>
        </w:tc>
      </w:tr>
      <w:tr w14:paraId="2E7F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0A0B6BBC">
            <w:pPr>
              <w:pStyle w:val="1535"/>
            </w:pPr>
          </w:p>
        </w:tc>
        <w:tc>
          <w:tcPr>
            <w:tcW w:w="592" w:type="pct"/>
            <w:vAlign w:val="center"/>
          </w:tcPr>
          <w:p w14:paraId="7330B601">
            <w:pPr>
              <w:pStyle w:val="1535"/>
            </w:pPr>
            <w:r>
              <w:t>供热</w:t>
            </w:r>
          </w:p>
        </w:tc>
        <w:tc>
          <w:tcPr>
            <w:tcW w:w="3230" w:type="pct"/>
            <w:vAlign w:val="center"/>
          </w:tcPr>
          <w:p w14:paraId="2EC332BC">
            <w:pPr>
              <w:pStyle w:val="1535"/>
            </w:pPr>
            <w:r>
              <w:t>使用电加热</w:t>
            </w:r>
          </w:p>
        </w:tc>
        <w:tc>
          <w:tcPr>
            <w:tcW w:w="748" w:type="pct"/>
            <w:vAlign w:val="center"/>
          </w:tcPr>
          <w:p w14:paraId="117E1F35">
            <w:pPr>
              <w:pStyle w:val="1535"/>
            </w:pPr>
            <w:r>
              <w:rPr>
                <w:rFonts w:hint="eastAsia"/>
              </w:rPr>
              <w:t>已建成</w:t>
            </w:r>
          </w:p>
        </w:tc>
      </w:tr>
      <w:tr w14:paraId="02AC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vAlign w:val="center"/>
          </w:tcPr>
          <w:p w14:paraId="7A65B410">
            <w:pPr>
              <w:pStyle w:val="1535"/>
            </w:pPr>
            <w:r>
              <w:t>储运工程</w:t>
            </w:r>
          </w:p>
        </w:tc>
        <w:tc>
          <w:tcPr>
            <w:tcW w:w="592" w:type="pct"/>
            <w:vAlign w:val="center"/>
          </w:tcPr>
          <w:p w14:paraId="2AB9B676">
            <w:pPr>
              <w:pStyle w:val="1535"/>
            </w:pPr>
            <w:r>
              <w:t>化学品库</w:t>
            </w:r>
          </w:p>
        </w:tc>
        <w:tc>
          <w:tcPr>
            <w:tcW w:w="3230" w:type="pct"/>
            <w:vAlign w:val="center"/>
          </w:tcPr>
          <w:p w14:paraId="31998F08">
            <w:pPr>
              <w:pStyle w:val="1535"/>
            </w:pPr>
            <w:r>
              <w:rPr>
                <w:rFonts w:hint="eastAsia"/>
              </w:rPr>
              <w:t>共设置2个，其中</w:t>
            </w:r>
            <w:r>
              <w:t>化学品库</w:t>
            </w:r>
            <w:r>
              <w:rPr>
                <w:rFonts w:hint="eastAsia"/>
              </w:rPr>
              <w:t>1位于1</w:t>
            </w:r>
            <w:r>
              <w:rPr>
                <w:rFonts w:hint="eastAsia"/>
                <w:vertAlign w:val="superscript"/>
              </w:rPr>
              <w:t>#</w:t>
            </w:r>
            <w:r>
              <w:rPr>
                <w:rFonts w:hint="eastAsia"/>
              </w:rPr>
              <w:t>厂房，面积200m</w:t>
            </w:r>
            <w:r>
              <w:rPr>
                <w:rFonts w:hint="eastAsia"/>
                <w:vertAlign w:val="superscript"/>
              </w:rPr>
              <w:t>2</w:t>
            </w:r>
            <w:r>
              <w:rPr>
                <w:rFonts w:hint="eastAsia"/>
              </w:rPr>
              <w:t>，</w:t>
            </w:r>
            <w:r>
              <w:t>采用汽车运输进厂，酸、清洗剂等化学品存放</w:t>
            </w:r>
            <w:r>
              <w:rPr>
                <w:rFonts w:hint="eastAsia"/>
              </w:rPr>
              <w:t>。</w:t>
            </w:r>
            <w:r>
              <w:t>化学品库</w:t>
            </w:r>
            <w:r>
              <w:rPr>
                <w:rFonts w:hint="eastAsia"/>
              </w:rPr>
              <w:t>2位于3</w:t>
            </w:r>
            <w:r>
              <w:rPr>
                <w:rFonts w:hint="eastAsia"/>
                <w:vertAlign w:val="superscript"/>
              </w:rPr>
              <w:t>#</w:t>
            </w:r>
            <w:r>
              <w:rPr>
                <w:rFonts w:hint="eastAsia"/>
              </w:rPr>
              <w:t>附属厂房，面积200m</w:t>
            </w:r>
            <w:r>
              <w:rPr>
                <w:rFonts w:hint="eastAsia"/>
                <w:vertAlign w:val="superscript"/>
              </w:rPr>
              <w:t>2</w:t>
            </w:r>
            <w:r>
              <w:rPr>
                <w:rFonts w:hint="eastAsia"/>
              </w:rPr>
              <w:t>，</w:t>
            </w:r>
            <w:r>
              <w:t>采用汽车运输进厂，酸、清洗剂等化学品存放</w:t>
            </w:r>
            <w:r>
              <w:rPr>
                <w:rFonts w:hint="eastAsia"/>
              </w:rPr>
              <w:t>。</w:t>
            </w:r>
          </w:p>
        </w:tc>
        <w:tc>
          <w:tcPr>
            <w:tcW w:w="748" w:type="pct"/>
            <w:vAlign w:val="center"/>
          </w:tcPr>
          <w:p w14:paraId="6B10E84A">
            <w:pPr>
              <w:pStyle w:val="1535"/>
            </w:pPr>
            <w:r>
              <w:t>化学品库</w:t>
            </w:r>
            <w:r>
              <w:rPr>
                <w:rFonts w:hint="eastAsia"/>
              </w:rPr>
              <w:t>1已建成，</w:t>
            </w:r>
            <w:r>
              <w:t>化学品库</w:t>
            </w:r>
            <w:r>
              <w:rPr>
                <w:rFonts w:hint="eastAsia"/>
              </w:rPr>
              <w:t>2未建</w:t>
            </w:r>
          </w:p>
        </w:tc>
      </w:tr>
      <w:tr w14:paraId="4B3A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2966E523">
            <w:pPr>
              <w:pStyle w:val="1535"/>
            </w:pPr>
          </w:p>
        </w:tc>
        <w:tc>
          <w:tcPr>
            <w:tcW w:w="592" w:type="pct"/>
            <w:vAlign w:val="center"/>
          </w:tcPr>
          <w:p w14:paraId="6B7142BC">
            <w:pPr>
              <w:pStyle w:val="1535"/>
            </w:pPr>
            <w:r>
              <w:rPr>
                <w:rFonts w:hint="eastAsia"/>
              </w:rPr>
              <w:t>仓库1</w:t>
            </w:r>
          </w:p>
        </w:tc>
        <w:tc>
          <w:tcPr>
            <w:tcW w:w="3230" w:type="pct"/>
            <w:vAlign w:val="center"/>
          </w:tcPr>
          <w:p w14:paraId="731A2107">
            <w:pPr>
              <w:pStyle w:val="1535"/>
            </w:pPr>
            <w:r>
              <w:rPr>
                <w:rFonts w:hint="eastAsia"/>
              </w:rPr>
              <w:t>位于3#厂房内石英产品生产区南侧，面积约780m</w:t>
            </w:r>
            <w:r>
              <w:rPr>
                <w:rFonts w:hint="eastAsia"/>
                <w:vertAlign w:val="superscript"/>
              </w:rPr>
              <w:t>2</w:t>
            </w:r>
            <w:r>
              <w:rPr>
                <w:rFonts w:hint="eastAsia"/>
              </w:rPr>
              <w:t>，主要用于原辅材料和成品的贮存。</w:t>
            </w:r>
          </w:p>
        </w:tc>
        <w:tc>
          <w:tcPr>
            <w:tcW w:w="748" w:type="pct"/>
            <w:vAlign w:val="center"/>
          </w:tcPr>
          <w:p w14:paraId="4C71F7C3">
            <w:pPr>
              <w:pStyle w:val="1535"/>
            </w:pPr>
            <w:r>
              <w:rPr>
                <w:rFonts w:hint="eastAsia"/>
              </w:rPr>
              <w:t>未建</w:t>
            </w:r>
          </w:p>
        </w:tc>
      </w:tr>
      <w:tr w14:paraId="740E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2B10D0F4">
            <w:pPr>
              <w:pStyle w:val="1535"/>
            </w:pPr>
          </w:p>
        </w:tc>
        <w:tc>
          <w:tcPr>
            <w:tcW w:w="592" w:type="pct"/>
            <w:vAlign w:val="center"/>
          </w:tcPr>
          <w:p w14:paraId="3F2CDD8F">
            <w:pPr>
              <w:pStyle w:val="1535"/>
            </w:pPr>
            <w:r>
              <w:rPr>
                <w:rFonts w:hint="eastAsia"/>
              </w:rPr>
              <w:t>仓库2</w:t>
            </w:r>
          </w:p>
        </w:tc>
        <w:tc>
          <w:tcPr>
            <w:tcW w:w="3230" w:type="pct"/>
            <w:vAlign w:val="center"/>
          </w:tcPr>
          <w:p w14:paraId="373C8447">
            <w:pPr>
              <w:pStyle w:val="1535"/>
            </w:pPr>
            <w:r>
              <w:rPr>
                <w:rFonts w:hint="eastAsia"/>
              </w:rPr>
              <w:t>位于4#厂房内石墨产品生产区南侧，面积约2263m</w:t>
            </w:r>
            <w:r>
              <w:rPr>
                <w:rFonts w:hint="eastAsia"/>
                <w:vertAlign w:val="superscript"/>
              </w:rPr>
              <w:t>2</w:t>
            </w:r>
            <w:r>
              <w:rPr>
                <w:rFonts w:hint="eastAsia"/>
              </w:rPr>
              <w:t>，主要用于原辅材料和成品的贮存。</w:t>
            </w:r>
          </w:p>
        </w:tc>
        <w:tc>
          <w:tcPr>
            <w:tcW w:w="748" w:type="pct"/>
            <w:vAlign w:val="center"/>
          </w:tcPr>
          <w:p w14:paraId="27AB5CA7">
            <w:pPr>
              <w:pStyle w:val="1535"/>
            </w:pPr>
            <w:r>
              <w:rPr>
                <w:rFonts w:hint="eastAsia"/>
              </w:rPr>
              <w:t>未建</w:t>
            </w:r>
          </w:p>
        </w:tc>
      </w:tr>
      <w:tr w14:paraId="3390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vAlign w:val="center"/>
          </w:tcPr>
          <w:p w14:paraId="632F8DAF">
            <w:pPr>
              <w:pStyle w:val="1535"/>
            </w:pPr>
            <w:r>
              <w:t>环保</w:t>
            </w:r>
          </w:p>
          <w:p w14:paraId="325B4B11">
            <w:pPr>
              <w:pStyle w:val="1535"/>
            </w:pPr>
            <w:r>
              <w:t>工程</w:t>
            </w:r>
          </w:p>
        </w:tc>
        <w:tc>
          <w:tcPr>
            <w:tcW w:w="592" w:type="pct"/>
            <w:vMerge w:val="restart"/>
            <w:vAlign w:val="center"/>
          </w:tcPr>
          <w:p w14:paraId="735B9281">
            <w:pPr>
              <w:pStyle w:val="1535"/>
            </w:pPr>
            <w:r>
              <w:t>废气处理工程</w:t>
            </w:r>
          </w:p>
        </w:tc>
        <w:tc>
          <w:tcPr>
            <w:tcW w:w="3230" w:type="pct"/>
            <w:vAlign w:val="center"/>
          </w:tcPr>
          <w:p w14:paraId="1B105C12">
            <w:pPr>
              <w:pStyle w:val="1535"/>
            </w:pPr>
            <w:r>
              <w:rPr>
                <w:rFonts w:hint="eastAsia"/>
              </w:rPr>
              <w:t>硅料炉内粉尘密闭收集，经滤筒式除尘器处理后经DA001排气筒排放；</w:t>
            </w:r>
          </w:p>
        </w:tc>
        <w:tc>
          <w:tcPr>
            <w:tcW w:w="748" w:type="pct"/>
            <w:vAlign w:val="center"/>
          </w:tcPr>
          <w:p w14:paraId="5DA8E618">
            <w:pPr>
              <w:pStyle w:val="1535"/>
            </w:pPr>
            <w:r>
              <w:rPr>
                <w:rFonts w:hint="eastAsia"/>
              </w:rPr>
              <w:t>已建成</w:t>
            </w:r>
          </w:p>
        </w:tc>
      </w:tr>
      <w:tr w14:paraId="21BF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392140B7">
            <w:pPr>
              <w:pStyle w:val="1535"/>
            </w:pPr>
          </w:p>
        </w:tc>
        <w:tc>
          <w:tcPr>
            <w:tcW w:w="592" w:type="pct"/>
            <w:vMerge w:val="continue"/>
            <w:vAlign w:val="center"/>
          </w:tcPr>
          <w:p w14:paraId="4BBC6C05">
            <w:pPr>
              <w:pStyle w:val="1535"/>
            </w:pPr>
          </w:p>
        </w:tc>
        <w:tc>
          <w:tcPr>
            <w:tcW w:w="3230" w:type="pct"/>
            <w:vAlign w:val="center"/>
          </w:tcPr>
          <w:p w14:paraId="1688D6DB">
            <w:pPr>
              <w:pStyle w:val="1535"/>
            </w:pPr>
            <w:r>
              <w:rPr>
                <w:rFonts w:hint="eastAsia"/>
                <w:snapToGrid/>
              </w:rPr>
              <w:t>硅晶测试蚀刻</w:t>
            </w:r>
            <w:r>
              <w:rPr>
                <w:snapToGrid/>
              </w:rPr>
              <w:t>废气收集</w:t>
            </w:r>
            <w:r>
              <w:rPr>
                <w:rFonts w:hint="eastAsia"/>
                <w:snapToGrid/>
              </w:rPr>
              <w:t>后经</w:t>
            </w:r>
            <w:r>
              <w:rPr>
                <w:snapToGrid/>
              </w:rPr>
              <w:t>酸碱雾净化塔处理</w:t>
            </w:r>
            <w:r>
              <w:rPr>
                <w:rFonts w:hint="eastAsia"/>
                <w:snapToGrid/>
              </w:rPr>
              <w:t>后</w:t>
            </w:r>
            <w:r>
              <w:rPr>
                <w:snapToGrid/>
              </w:rPr>
              <w:t>经</w:t>
            </w:r>
            <w:r>
              <w:rPr>
                <w:rFonts w:hint="eastAsia"/>
                <w:snapToGrid/>
              </w:rPr>
              <w:t>DA002</w:t>
            </w:r>
            <w:r>
              <w:rPr>
                <w:snapToGrid/>
              </w:rPr>
              <w:t>排气筒排放</w:t>
            </w:r>
            <w:r>
              <w:rPr>
                <w:rFonts w:hint="eastAsia"/>
                <w:snapToGrid/>
              </w:rPr>
              <w:t>；</w:t>
            </w:r>
          </w:p>
        </w:tc>
        <w:tc>
          <w:tcPr>
            <w:tcW w:w="748" w:type="pct"/>
            <w:vAlign w:val="center"/>
          </w:tcPr>
          <w:p w14:paraId="1AA75DA3">
            <w:pPr>
              <w:pStyle w:val="1535"/>
            </w:pPr>
            <w:r>
              <w:rPr>
                <w:rFonts w:hint="eastAsia"/>
              </w:rPr>
              <w:t>已建成</w:t>
            </w:r>
          </w:p>
        </w:tc>
      </w:tr>
      <w:tr w14:paraId="5A13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5C01AB20">
            <w:pPr>
              <w:pStyle w:val="1535"/>
            </w:pPr>
          </w:p>
        </w:tc>
        <w:tc>
          <w:tcPr>
            <w:tcW w:w="592" w:type="pct"/>
            <w:vMerge w:val="continue"/>
            <w:vAlign w:val="center"/>
          </w:tcPr>
          <w:p w14:paraId="470ECAC2">
            <w:pPr>
              <w:pStyle w:val="1535"/>
            </w:pPr>
          </w:p>
        </w:tc>
        <w:tc>
          <w:tcPr>
            <w:tcW w:w="3230" w:type="pct"/>
            <w:vAlign w:val="center"/>
          </w:tcPr>
          <w:p w14:paraId="1D85500B">
            <w:pPr>
              <w:pStyle w:val="1535"/>
              <w:rPr>
                <w:snapToGrid/>
              </w:rPr>
            </w:pPr>
            <w:r>
              <w:t>陶瓷烧结废气炉内密闭收集</w:t>
            </w:r>
            <w:r>
              <w:rPr>
                <w:rFonts w:hint="eastAsia"/>
              </w:rPr>
              <w:t>后</w:t>
            </w:r>
            <w:r>
              <w:t>，经活性炭吸附装置处理后经</w:t>
            </w:r>
            <w:r>
              <w:rPr>
                <w:rFonts w:hint="eastAsia"/>
              </w:rPr>
              <w:t>DA003</w:t>
            </w:r>
            <w:r>
              <w:t>排气筒排放；</w:t>
            </w:r>
          </w:p>
        </w:tc>
        <w:tc>
          <w:tcPr>
            <w:tcW w:w="748" w:type="pct"/>
            <w:vAlign w:val="center"/>
          </w:tcPr>
          <w:p w14:paraId="1E5C6820">
            <w:pPr>
              <w:pStyle w:val="1535"/>
            </w:pPr>
            <w:r>
              <w:rPr>
                <w:rFonts w:hint="eastAsia"/>
              </w:rPr>
              <w:t>已建成</w:t>
            </w:r>
          </w:p>
        </w:tc>
      </w:tr>
      <w:tr w14:paraId="48F6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33953FD9">
            <w:pPr>
              <w:pStyle w:val="1535"/>
            </w:pPr>
          </w:p>
        </w:tc>
        <w:tc>
          <w:tcPr>
            <w:tcW w:w="592" w:type="pct"/>
            <w:vMerge w:val="continue"/>
            <w:vAlign w:val="center"/>
          </w:tcPr>
          <w:p w14:paraId="7FBF2F4F">
            <w:pPr>
              <w:pStyle w:val="1535"/>
            </w:pPr>
          </w:p>
        </w:tc>
        <w:tc>
          <w:tcPr>
            <w:tcW w:w="3230" w:type="pct"/>
            <w:vAlign w:val="center"/>
          </w:tcPr>
          <w:p w14:paraId="6486F4D7">
            <w:pPr>
              <w:pStyle w:val="1535"/>
            </w:pPr>
            <w:r>
              <w:rPr>
                <w:rFonts w:hint="eastAsia"/>
              </w:rPr>
              <w:t>碳化硅生产线2台再生炉废气排入1#四级酸雾喷淋塔处理后经DA004排气筒排放；</w:t>
            </w:r>
          </w:p>
        </w:tc>
        <w:tc>
          <w:tcPr>
            <w:tcW w:w="748" w:type="pct"/>
            <w:vAlign w:val="center"/>
          </w:tcPr>
          <w:p w14:paraId="286BC1C9">
            <w:pPr>
              <w:pStyle w:val="1535"/>
            </w:pPr>
            <w:r>
              <w:rPr>
                <w:rFonts w:hint="eastAsia"/>
              </w:rPr>
              <w:t>已建成</w:t>
            </w:r>
          </w:p>
        </w:tc>
      </w:tr>
      <w:tr w14:paraId="77B5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20BD6C9C">
            <w:pPr>
              <w:pStyle w:val="1535"/>
            </w:pPr>
          </w:p>
        </w:tc>
        <w:tc>
          <w:tcPr>
            <w:tcW w:w="592" w:type="pct"/>
            <w:vMerge w:val="continue"/>
            <w:vAlign w:val="center"/>
          </w:tcPr>
          <w:p w14:paraId="1DFC595E">
            <w:pPr>
              <w:pStyle w:val="1535"/>
            </w:pPr>
          </w:p>
        </w:tc>
        <w:tc>
          <w:tcPr>
            <w:tcW w:w="3230" w:type="pct"/>
            <w:vAlign w:val="center"/>
          </w:tcPr>
          <w:p w14:paraId="74FD2391">
            <w:pPr>
              <w:pStyle w:val="1535"/>
            </w:pPr>
            <w:r>
              <w:rPr>
                <w:rFonts w:hint="eastAsia"/>
                <w:snapToGrid/>
              </w:rPr>
              <w:t>硅</w:t>
            </w:r>
            <w:r>
              <w:rPr>
                <w:snapToGrid/>
              </w:rPr>
              <w:t>蚀刻废气+清洗线废气通风柜内密闭抽风收集</w:t>
            </w:r>
            <w:r>
              <w:rPr>
                <w:rFonts w:hint="eastAsia"/>
                <w:snapToGrid/>
              </w:rPr>
              <w:t>送入</w:t>
            </w:r>
            <w:r>
              <w:rPr>
                <w:snapToGrid/>
              </w:rPr>
              <w:t>酸碱雾净化塔处理</w:t>
            </w:r>
            <w:r>
              <w:rPr>
                <w:rFonts w:hint="eastAsia"/>
                <w:snapToGrid/>
              </w:rPr>
              <w:t>后</w:t>
            </w:r>
            <w:r>
              <w:rPr>
                <w:snapToGrid/>
              </w:rPr>
              <w:t>，经</w:t>
            </w:r>
            <w:r>
              <w:rPr>
                <w:rFonts w:hint="eastAsia"/>
                <w:snapToGrid/>
              </w:rPr>
              <w:t>DA005</w:t>
            </w:r>
            <w:r>
              <w:rPr>
                <w:snapToGrid/>
              </w:rPr>
              <w:t>排气筒排放</w:t>
            </w:r>
            <w:r>
              <w:rPr>
                <w:rFonts w:hint="eastAsia"/>
                <w:snapToGrid/>
              </w:rPr>
              <w:t>；</w:t>
            </w:r>
          </w:p>
        </w:tc>
        <w:tc>
          <w:tcPr>
            <w:tcW w:w="748" w:type="pct"/>
            <w:vAlign w:val="center"/>
          </w:tcPr>
          <w:p w14:paraId="2E4A6943">
            <w:pPr>
              <w:pStyle w:val="1535"/>
            </w:pPr>
            <w:r>
              <w:rPr>
                <w:rFonts w:hint="eastAsia"/>
              </w:rPr>
              <w:t>已建成</w:t>
            </w:r>
          </w:p>
        </w:tc>
      </w:tr>
      <w:tr w14:paraId="4E10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7698821B">
            <w:pPr>
              <w:pStyle w:val="1535"/>
            </w:pPr>
          </w:p>
        </w:tc>
        <w:tc>
          <w:tcPr>
            <w:tcW w:w="592" w:type="pct"/>
            <w:vMerge w:val="continue"/>
            <w:vAlign w:val="center"/>
          </w:tcPr>
          <w:p w14:paraId="53C435D3">
            <w:pPr>
              <w:pStyle w:val="1535"/>
            </w:pPr>
          </w:p>
        </w:tc>
        <w:tc>
          <w:tcPr>
            <w:tcW w:w="3230" w:type="pct"/>
            <w:vAlign w:val="center"/>
          </w:tcPr>
          <w:p w14:paraId="2951CEC6">
            <w:pPr>
              <w:pStyle w:val="1535"/>
            </w:pPr>
            <w:r>
              <w:rPr>
                <w:rFonts w:hint="eastAsia"/>
              </w:rPr>
              <w:t>碳化硅生产线2台新品炉废气排入2#四级酸雾喷淋塔处理后经DA007排气筒排放；</w:t>
            </w:r>
          </w:p>
        </w:tc>
        <w:tc>
          <w:tcPr>
            <w:tcW w:w="748" w:type="pct"/>
            <w:vAlign w:val="center"/>
          </w:tcPr>
          <w:p w14:paraId="427643B8">
            <w:pPr>
              <w:pStyle w:val="1535"/>
            </w:pPr>
            <w:r>
              <w:rPr>
                <w:rFonts w:hint="eastAsia"/>
              </w:rPr>
              <w:t>已建成</w:t>
            </w:r>
          </w:p>
        </w:tc>
      </w:tr>
      <w:tr w14:paraId="168C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713344A5">
            <w:pPr>
              <w:pStyle w:val="1535"/>
            </w:pPr>
          </w:p>
        </w:tc>
        <w:tc>
          <w:tcPr>
            <w:tcW w:w="592" w:type="pct"/>
            <w:vMerge w:val="continue"/>
            <w:vAlign w:val="center"/>
          </w:tcPr>
          <w:p w14:paraId="56DD5D5C">
            <w:pPr>
              <w:pStyle w:val="1535"/>
            </w:pPr>
          </w:p>
        </w:tc>
        <w:tc>
          <w:tcPr>
            <w:tcW w:w="3230" w:type="pct"/>
            <w:vAlign w:val="center"/>
          </w:tcPr>
          <w:p w14:paraId="05537029">
            <w:pPr>
              <w:pStyle w:val="1535"/>
            </w:pPr>
            <w:r>
              <w:rPr>
                <w:rFonts w:hint="eastAsia"/>
              </w:rPr>
              <w:t>陶瓷造型粉尘密闭收集，经滤筒式除尘器处理后经DA008排气筒排放；</w:t>
            </w:r>
          </w:p>
        </w:tc>
        <w:tc>
          <w:tcPr>
            <w:tcW w:w="748" w:type="pct"/>
            <w:vAlign w:val="center"/>
          </w:tcPr>
          <w:p w14:paraId="6D029149">
            <w:pPr>
              <w:pStyle w:val="1535"/>
            </w:pPr>
            <w:r>
              <w:rPr>
                <w:rFonts w:hint="eastAsia"/>
              </w:rPr>
              <w:t>已建成</w:t>
            </w:r>
          </w:p>
        </w:tc>
      </w:tr>
      <w:tr w14:paraId="2A80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281BFB88">
            <w:pPr>
              <w:pStyle w:val="1535"/>
            </w:pPr>
          </w:p>
        </w:tc>
        <w:tc>
          <w:tcPr>
            <w:tcW w:w="592" w:type="pct"/>
            <w:vMerge w:val="continue"/>
            <w:vAlign w:val="center"/>
          </w:tcPr>
          <w:p w14:paraId="548D4574">
            <w:pPr>
              <w:pStyle w:val="1535"/>
            </w:pPr>
          </w:p>
        </w:tc>
        <w:tc>
          <w:tcPr>
            <w:tcW w:w="3230" w:type="pct"/>
            <w:vAlign w:val="center"/>
          </w:tcPr>
          <w:p w14:paraId="4AAE640F">
            <w:pPr>
              <w:pStyle w:val="1535"/>
            </w:pPr>
            <w:r>
              <w:rPr>
                <w:rFonts w:hint="eastAsia"/>
              </w:rPr>
              <w:t>氧化钇粉末搅拌粉尘密闭收集，经滤筒式除尘器处理后经DA009排气筒排放；</w:t>
            </w:r>
          </w:p>
        </w:tc>
        <w:tc>
          <w:tcPr>
            <w:tcW w:w="748" w:type="pct"/>
            <w:vAlign w:val="center"/>
          </w:tcPr>
          <w:p w14:paraId="1F416306">
            <w:pPr>
              <w:pStyle w:val="1535"/>
            </w:pPr>
            <w:r>
              <w:rPr>
                <w:rFonts w:hint="eastAsia"/>
              </w:rPr>
              <w:t>已建成</w:t>
            </w:r>
          </w:p>
        </w:tc>
      </w:tr>
      <w:tr w14:paraId="4359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266A52F5">
            <w:pPr>
              <w:pStyle w:val="1535"/>
            </w:pPr>
          </w:p>
        </w:tc>
        <w:tc>
          <w:tcPr>
            <w:tcW w:w="592" w:type="pct"/>
            <w:vMerge w:val="continue"/>
            <w:vAlign w:val="center"/>
          </w:tcPr>
          <w:p w14:paraId="57FD4244">
            <w:pPr>
              <w:pStyle w:val="1535"/>
            </w:pPr>
          </w:p>
        </w:tc>
        <w:tc>
          <w:tcPr>
            <w:tcW w:w="3230" w:type="pct"/>
            <w:vAlign w:val="center"/>
          </w:tcPr>
          <w:p w14:paraId="29E40C90">
            <w:pPr>
              <w:pStyle w:val="1535"/>
            </w:pPr>
            <w:r>
              <w:rPr>
                <w:snapToGrid/>
              </w:rPr>
              <w:t>石英产品清洗废气通风柜内密闭抽风收集</w:t>
            </w:r>
            <w:r>
              <w:rPr>
                <w:rFonts w:hint="eastAsia"/>
                <w:snapToGrid/>
              </w:rPr>
              <w:t>送入</w:t>
            </w:r>
            <w:r>
              <w:rPr>
                <w:snapToGrid/>
              </w:rPr>
              <w:t>酸碱雾净化塔处理</w:t>
            </w:r>
            <w:r>
              <w:rPr>
                <w:rFonts w:hint="eastAsia"/>
                <w:snapToGrid/>
              </w:rPr>
              <w:t>后</w:t>
            </w:r>
            <w:r>
              <w:rPr>
                <w:snapToGrid/>
              </w:rPr>
              <w:t>，经</w:t>
            </w:r>
            <w:r>
              <w:rPr>
                <w:rFonts w:hint="eastAsia"/>
                <w:snapToGrid/>
              </w:rPr>
              <w:t>DA010</w:t>
            </w:r>
            <w:r>
              <w:rPr>
                <w:snapToGrid/>
              </w:rPr>
              <w:t>排气筒排放</w:t>
            </w:r>
            <w:r>
              <w:rPr>
                <w:rFonts w:hint="eastAsia"/>
                <w:snapToGrid/>
              </w:rPr>
              <w:t>；</w:t>
            </w:r>
          </w:p>
        </w:tc>
        <w:tc>
          <w:tcPr>
            <w:tcW w:w="748" w:type="pct"/>
            <w:vMerge w:val="restart"/>
            <w:vAlign w:val="center"/>
          </w:tcPr>
          <w:p w14:paraId="2CC2AC55">
            <w:pPr>
              <w:pStyle w:val="1535"/>
            </w:pPr>
            <w:r>
              <w:rPr>
                <w:rFonts w:hint="eastAsia"/>
              </w:rPr>
              <w:t>未建（三期B）</w:t>
            </w:r>
          </w:p>
        </w:tc>
      </w:tr>
      <w:tr w14:paraId="6BA5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6EA47002">
            <w:pPr>
              <w:pStyle w:val="1535"/>
            </w:pPr>
          </w:p>
        </w:tc>
        <w:tc>
          <w:tcPr>
            <w:tcW w:w="592" w:type="pct"/>
            <w:vMerge w:val="continue"/>
            <w:vAlign w:val="center"/>
          </w:tcPr>
          <w:p w14:paraId="3569F5A9">
            <w:pPr>
              <w:pStyle w:val="1535"/>
            </w:pPr>
          </w:p>
        </w:tc>
        <w:tc>
          <w:tcPr>
            <w:tcW w:w="3230" w:type="pct"/>
            <w:vAlign w:val="center"/>
          </w:tcPr>
          <w:p w14:paraId="3D0234D4">
            <w:pPr>
              <w:pStyle w:val="1535"/>
            </w:pPr>
            <w:r>
              <w:rPr>
                <w:rFonts w:hint="eastAsia"/>
                <w:snapToGrid/>
              </w:rPr>
              <w:t>石墨加工生产线废气收集后，经布袋除尘器处理后经DA011排气筒排放；</w:t>
            </w:r>
          </w:p>
        </w:tc>
        <w:tc>
          <w:tcPr>
            <w:tcW w:w="748" w:type="pct"/>
            <w:vMerge w:val="continue"/>
            <w:vAlign w:val="center"/>
          </w:tcPr>
          <w:p w14:paraId="18B17A17">
            <w:pPr>
              <w:pStyle w:val="1535"/>
            </w:pPr>
          </w:p>
        </w:tc>
      </w:tr>
      <w:tr w14:paraId="0EC5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4906949D">
            <w:pPr>
              <w:pStyle w:val="1535"/>
            </w:pPr>
          </w:p>
        </w:tc>
        <w:tc>
          <w:tcPr>
            <w:tcW w:w="592" w:type="pct"/>
            <w:vMerge w:val="continue"/>
            <w:vAlign w:val="center"/>
          </w:tcPr>
          <w:p w14:paraId="1C803A28">
            <w:pPr>
              <w:pStyle w:val="1535"/>
            </w:pPr>
          </w:p>
        </w:tc>
        <w:tc>
          <w:tcPr>
            <w:tcW w:w="3230" w:type="pct"/>
            <w:vAlign w:val="center"/>
          </w:tcPr>
          <w:p w14:paraId="7E43D251">
            <w:pPr>
              <w:pStyle w:val="1535"/>
            </w:pPr>
            <w:r>
              <w:rPr>
                <w:rFonts w:hint="eastAsia"/>
                <w:snapToGrid/>
              </w:rPr>
              <w:t>石墨纯化废气炉内排气口接入酸雾喷淋塔处理后经DA012排气筒排放；</w:t>
            </w:r>
          </w:p>
        </w:tc>
        <w:tc>
          <w:tcPr>
            <w:tcW w:w="748" w:type="pct"/>
            <w:vMerge w:val="continue"/>
            <w:vAlign w:val="center"/>
          </w:tcPr>
          <w:p w14:paraId="0AE859B3">
            <w:pPr>
              <w:pStyle w:val="1535"/>
            </w:pPr>
          </w:p>
        </w:tc>
      </w:tr>
      <w:tr w14:paraId="3B14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5A3A563D">
            <w:pPr>
              <w:pStyle w:val="1535"/>
            </w:pPr>
          </w:p>
        </w:tc>
        <w:tc>
          <w:tcPr>
            <w:tcW w:w="592" w:type="pct"/>
            <w:vMerge w:val="continue"/>
            <w:vAlign w:val="center"/>
          </w:tcPr>
          <w:p w14:paraId="0B0B3BB4">
            <w:pPr>
              <w:pStyle w:val="1535"/>
            </w:pPr>
          </w:p>
        </w:tc>
        <w:tc>
          <w:tcPr>
            <w:tcW w:w="3230" w:type="pct"/>
            <w:vAlign w:val="center"/>
          </w:tcPr>
          <w:p w14:paraId="48FE1E30">
            <w:pPr>
              <w:pStyle w:val="1535"/>
            </w:pPr>
            <w:r>
              <w:rPr>
                <w:snapToGrid/>
              </w:rPr>
              <w:t>石墨碳化硅涂层废气</w:t>
            </w:r>
            <w:r>
              <w:t>排入</w:t>
            </w:r>
            <w:r>
              <w:rPr>
                <w:rFonts w:hint="eastAsia"/>
              </w:rPr>
              <w:t>3#</w:t>
            </w:r>
            <w:r>
              <w:t>四级酸雾喷淋塔处理后经</w:t>
            </w:r>
            <w:r>
              <w:rPr>
                <w:rFonts w:hint="eastAsia"/>
              </w:rPr>
              <w:t>DA013</w:t>
            </w:r>
            <w:r>
              <w:t>排气筒排放；</w:t>
            </w:r>
          </w:p>
        </w:tc>
        <w:tc>
          <w:tcPr>
            <w:tcW w:w="748" w:type="pct"/>
            <w:vMerge w:val="continue"/>
            <w:vAlign w:val="center"/>
          </w:tcPr>
          <w:p w14:paraId="57D9014F">
            <w:pPr>
              <w:pStyle w:val="1535"/>
            </w:pPr>
          </w:p>
        </w:tc>
      </w:tr>
      <w:tr w14:paraId="554A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0F20ED3A">
            <w:pPr>
              <w:pStyle w:val="1535"/>
            </w:pPr>
            <w:bookmarkStart w:id="138" w:name="OLE_LINK1"/>
          </w:p>
        </w:tc>
        <w:tc>
          <w:tcPr>
            <w:tcW w:w="592" w:type="pct"/>
            <w:vMerge w:val="continue"/>
            <w:vAlign w:val="center"/>
          </w:tcPr>
          <w:p w14:paraId="7D397560">
            <w:pPr>
              <w:pStyle w:val="1535"/>
            </w:pPr>
          </w:p>
          <w:bookmarkEnd w:id="138"/>
        </w:tc>
        <w:tc>
          <w:tcPr>
            <w:tcW w:w="3230" w:type="pct"/>
            <w:vAlign w:val="center"/>
          </w:tcPr>
          <w:p w14:paraId="2058E3A1">
            <w:pPr>
              <w:pStyle w:val="1535"/>
            </w:pPr>
            <w:r>
              <w:t>炉管研发配料、造粒、成型工艺产生的含尘废气经滤筒除尘器处理后</w:t>
            </w:r>
            <w:r>
              <w:rPr>
                <w:rFonts w:hint="eastAsia"/>
              </w:rPr>
              <w:t>，经DA</w:t>
            </w:r>
            <w:r>
              <w:t>01</w:t>
            </w:r>
            <w:r>
              <w:rPr>
                <w:rFonts w:hint="eastAsia"/>
              </w:rPr>
              <w:t>4排气筒</w:t>
            </w:r>
            <w:r>
              <w:t>排放。</w:t>
            </w:r>
          </w:p>
        </w:tc>
        <w:tc>
          <w:tcPr>
            <w:tcW w:w="748" w:type="pct"/>
            <w:vMerge w:val="restart"/>
            <w:vAlign w:val="center"/>
          </w:tcPr>
          <w:p w14:paraId="0D2165CB">
            <w:pPr>
              <w:pStyle w:val="1535"/>
            </w:pPr>
            <w:r>
              <w:rPr>
                <w:rFonts w:hint="eastAsia"/>
              </w:rPr>
              <w:t>未建（三期研发）</w:t>
            </w:r>
          </w:p>
        </w:tc>
      </w:tr>
      <w:tr w14:paraId="6653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3111D8AB">
            <w:pPr>
              <w:pStyle w:val="1535"/>
            </w:pPr>
          </w:p>
        </w:tc>
        <w:tc>
          <w:tcPr>
            <w:tcW w:w="592" w:type="pct"/>
            <w:vMerge w:val="continue"/>
            <w:vAlign w:val="center"/>
          </w:tcPr>
          <w:p w14:paraId="14B1D305">
            <w:pPr>
              <w:pStyle w:val="1535"/>
            </w:pPr>
          </w:p>
        </w:tc>
        <w:tc>
          <w:tcPr>
            <w:tcW w:w="3230" w:type="pct"/>
            <w:vAlign w:val="center"/>
          </w:tcPr>
          <w:p w14:paraId="04F91174">
            <w:pPr>
              <w:pStyle w:val="1535"/>
            </w:pPr>
            <w:r>
              <w:rPr>
                <w:rFonts w:hint="eastAsia"/>
              </w:rPr>
              <w:t>石墨零部件下料加工工序产生的含尘废气收集后经脉冲式布袋除尘处理后，经DA0015排气筒排放。</w:t>
            </w:r>
          </w:p>
        </w:tc>
        <w:tc>
          <w:tcPr>
            <w:tcW w:w="748" w:type="pct"/>
            <w:vMerge w:val="continue"/>
            <w:vAlign w:val="center"/>
          </w:tcPr>
          <w:p w14:paraId="621F502D">
            <w:pPr>
              <w:pStyle w:val="1535"/>
            </w:pPr>
          </w:p>
        </w:tc>
      </w:tr>
      <w:tr w14:paraId="30C2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36395F24">
            <w:pPr>
              <w:pStyle w:val="1535"/>
            </w:pPr>
          </w:p>
        </w:tc>
        <w:tc>
          <w:tcPr>
            <w:tcW w:w="592" w:type="pct"/>
            <w:vMerge w:val="restart"/>
            <w:vAlign w:val="center"/>
          </w:tcPr>
          <w:p w14:paraId="5203AD63">
            <w:pPr>
              <w:pStyle w:val="1535"/>
            </w:pPr>
            <w:r>
              <w:t>废水处理工程</w:t>
            </w:r>
          </w:p>
        </w:tc>
        <w:tc>
          <w:tcPr>
            <w:tcW w:w="3230" w:type="pct"/>
            <w:vAlign w:val="center"/>
          </w:tcPr>
          <w:p w14:paraId="721F897A">
            <w:pPr>
              <w:pStyle w:val="1535"/>
            </w:pPr>
            <w:r>
              <w:t>生活污水经生化池（20</w:t>
            </w:r>
            <w:r>
              <w:rPr>
                <w:rFonts w:hint="eastAsia"/>
              </w:rPr>
              <w:t xml:space="preserve"> m</w:t>
            </w:r>
            <w:r>
              <w:rPr>
                <w:rFonts w:hint="eastAsia"/>
                <w:vertAlign w:val="superscript"/>
              </w:rPr>
              <w:t>3</w:t>
            </w:r>
            <w:r>
              <w:t>/d）处理达《电子工业水污染物排放标准》（GB39731-2020）间接排放标准（动植物油执行《污水综合排放标准》（GB8978-1996）三级标准）后与处理后的生产废水</w:t>
            </w:r>
            <w:r>
              <w:rPr>
                <w:rFonts w:hint="eastAsia"/>
              </w:rPr>
              <w:t>一并</w:t>
            </w:r>
            <w:r>
              <w:t>排入市政污水管网系统。</w:t>
            </w:r>
          </w:p>
        </w:tc>
        <w:tc>
          <w:tcPr>
            <w:tcW w:w="748" w:type="pct"/>
            <w:vAlign w:val="center"/>
          </w:tcPr>
          <w:p w14:paraId="3EE9F758">
            <w:pPr>
              <w:pStyle w:val="1535"/>
            </w:pPr>
            <w:r>
              <w:rPr>
                <w:rFonts w:hint="eastAsia"/>
              </w:rPr>
              <w:t>已建成</w:t>
            </w:r>
          </w:p>
        </w:tc>
      </w:tr>
      <w:tr w14:paraId="42B1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3B278952">
            <w:pPr>
              <w:pStyle w:val="1535"/>
            </w:pPr>
          </w:p>
        </w:tc>
        <w:tc>
          <w:tcPr>
            <w:tcW w:w="592" w:type="pct"/>
            <w:vMerge w:val="continue"/>
            <w:vAlign w:val="center"/>
          </w:tcPr>
          <w:p w14:paraId="76CBDD16">
            <w:pPr>
              <w:pStyle w:val="1535"/>
            </w:pPr>
          </w:p>
        </w:tc>
        <w:tc>
          <w:tcPr>
            <w:tcW w:w="3230" w:type="pct"/>
            <w:vAlign w:val="center"/>
          </w:tcPr>
          <w:p w14:paraId="05ED8E15">
            <w:pPr>
              <w:pStyle w:val="1535"/>
            </w:pPr>
            <w:r>
              <w:rPr>
                <w:rFonts w:hint="eastAsia"/>
              </w:rPr>
              <w:t>厂区共设置2套</w:t>
            </w:r>
            <w:r>
              <w:t>综合废水处理站</w:t>
            </w:r>
            <w:r>
              <w:rPr>
                <w:rFonts w:hint="eastAsia"/>
              </w:rPr>
              <w:t>处理生产废水，设计处理能力均为</w:t>
            </w:r>
            <w:r>
              <w:t>150</w:t>
            </w:r>
            <w:r>
              <w:rPr>
                <w:rFonts w:hint="eastAsia"/>
              </w:rPr>
              <w:t xml:space="preserve"> m</w:t>
            </w:r>
            <w:r>
              <w:rPr>
                <w:rFonts w:hint="eastAsia"/>
                <w:vertAlign w:val="superscript"/>
              </w:rPr>
              <w:t>3</w:t>
            </w:r>
            <w:r>
              <w:t>/d，</w:t>
            </w:r>
            <w:r>
              <w:rPr>
                <w:rFonts w:hint="eastAsia"/>
              </w:rPr>
              <w:t>均采用“调节+气浮+三级絮凝沉淀”处理工艺，其中</w:t>
            </w:r>
            <w:r>
              <w:t>综合废水处理站</w:t>
            </w:r>
            <w:r>
              <w:rPr>
                <w:rFonts w:hint="eastAsia"/>
              </w:rPr>
              <w:t>1位于2#厂房东北角，</w:t>
            </w:r>
            <w:r>
              <w:t>综合废水处理站</w:t>
            </w:r>
            <w:r>
              <w:rPr>
                <w:rFonts w:hint="eastAsia"/>
              </w:rPr>
              <w:t>2位于3#附属厂房南侧。生产废水</w:t>
            </w:r>
            <w:r>
              <w:t>处理达《电子工业水污染物排放标准》（GB39731-2020）间接排放标准后与生活污水</w:t>
            </w:r>
            <w:r>
              <w:rPr>
                <w:rFonts w:hint="eastAsia"/>
              </w:rPr>
              <w:t>一并</w:t>
            </w:r>
            <w:r>
              <w:t>接入市政污水管网</w:t>
            </w:r>
            <w:r>
              <w:rPr>
                <w:rFonts w:hint="eastAsia"/>
              </w:rPr>
              <w:t>，经市政污水管网送至西彭工业园污水处理厂处理达标后排放</w:t>
            </w:r>
            <w:r>
              <w:t>。</w:t>
            </w:r>
          </w:p>
        </w:tc>
        <w:tc>
          <w:tcPr>
            <w:tcW w:w="748" w:type="pct"/>
            <w:vAlign w:val="center"/>
          </w:tcPr>
          <w:p w14:paraId="05705D20">
            <w:pPr>
              <w:pStyle w:val="1535"/>
            </w:pPr>
            <w:r>
              <w:rPr>
                <w:rFonts w:hint="eastAsia"/>
              </w:rPr>
              <w:t>综合废水处理站1已建成，其余未建</w:t>
            </w:r>
          </w:p>
        </w:tc>
      </w:tr>
      <w:tr w14:paraId="67A6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27447251">
            <w:pPr>
              <w:pStyle w:val="1535"/>
            </w:pPr>
          </w:p>
        </w:tc>
        <w:tc>
          <w:tcPr>
            <w:tcW w:w="592" w:type="pct"/>
            <w:vMerge w:val="restart"/>
            <w:vAlign w:val="center"/>
          </w:tcPr>
          <w:p w14:paraId="07E24E78">
            <w:pPr>
              <w:pStyle w:val="1535"/>
            </w:pPr>
            <w:r>
              <w:t>固体废物处理工程</w:t>
            </w:r>
          </w:p>
        </w:tc>
        <w:tc>
          <w:tcPr>
            <w:tcW w:w="3230" w:type="pct"/>
            <w:vAlign w:val="center"/>
          </w:tcPr>
          <w:p w14:paraId="0FE8F82F">
            <w:pPr>
              <w:pStyle w:val="1535"/>
            </w:pPr>
            <w:r>
              <w:rPr>
                <w:rFonts w:hint="eastAsia"/>
              </w:rPr>
              <w:t>共设置2个一般固废贮存点，其中一般固废贮存点1位于1#厂房附属厂房南侧，一般固废贮存点2位于1#附属用房北侧，用均于报废的包材等一般工业固废存放，定期交于物资回收公司回收处置</w:t>
            </w:r>
            <w:r>
              <w:t>。</w:t>
            </w:r>
          </w:p>
        </w:tc>
        <w:tc>
          <w:tcPr>
            <w:tcW w:w="748" w:type="pct"/>
            <w:vAlign w:val="center"/>
          </w:tcPr>
          <w:p w14:paraId="7785EB74">
            <w:pPr>
              <w:pStyle w:val="1535"/>
            </w:pPr>
            <w:r>
              <w:rPr>
                <w:rFonts w:hint="eastAsia"/>
              </w:rPr>
              <w:t>一般固废贮存点1已建成，其余未建</w:t>
            </w:r>
          </w:p>
        </w:tc>
      </w:tr>
      <w:tr w14:paraId="15DE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00408228">
            <w:pPr>
              <w:pStyle w:val="1535"/>
            </w:pPr>
          </w:p>
        </w:tc>
        <w:tc>
          <w:tcPr>
            <w:tcW w:w="592" w:type="pct"/>
            <w:vMerge w:val="continue"/>
            <w:vAlign w:val="center"/>
          </w:tcPr>
          <w:p w14:paraId="45CDDCCC">
            <w:pPr>
              <w:pStyle w:val="1535"/>
            </w:pPr>
          </w:p>
        </w:tc>
        <w:tc>
          <w:tcPr>
            <w:tcW w:w="3230" w:type="pct"/>
            <w:vAlign w:val="center"/>
          </w:tcPr>
          <w:p w14:paraId="059C54A8">
            <w:pPr>
              <w:pStyle w:val="1535"/>
            </w:pPr>
            <w:r>
              <w:t>在2</w:t>
            </w:r>
            <w:r>
              <w:rPr>
                <w:vertAlign w:val="superscript"/>
              </w:rPr>
              <w:t>#</w:t>
            </w:r>
            <w:r>
              <w:t>厂房的附属用房内建设1座切削液回收车间，占地面积约255</w:t>
            </w:r>
            <w:r>
              <w:rPr>
                <w:rFonts w:hint="eastAsia"/>
              </w:rPr>
              <w:t xml:space="preserve"> m</w:t>
            </w:r>
            <w:r>
              <w:rPr>
                <w:rFonts w:hint="eastAsia"/>
                <w:vertAlign w:val="superscript"/>
              </w:rPr>
              <w:t>2</w:t>
            </w:r>
            <w:r>
              <w:t>，含废屑的切削液收集后在切削液回收车间内经压滤、三级过滤处理后回用于生产，压滤产生的含切削液的污泥作为危险废物处置。</w:t>
            </w:r>
          </w:p>
        </w:tc>
        <w:tc>
          <w:tcPr>
            <w:tcW w:w="748" w:type="pct"/>
            <w:vAlign w:val="center"/>
          </w:tcPr>
          <w:p w14:paraId="59686B06">
            <w:pPr>
              <w:pStyle w:val="1535"/>
            </w:pPr>
            <w:r>
              <w:rPr>
                <w:rFonts w:hint="eastAsia"/>
              </w:rPr>
              <w:t>已建成</w:t>
            </w:r>
          </w:p>
        </w:tc>
      </w:tr>
      <w:tr w14:paraId="5C45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1BEB6D6F">
            <w:pPr>
              <w:pStyle w:val="1535"/>
            </w:pPr>
          </w:p>
        </w:tc>
        <w:tc>
          <w:tcPr>
            <w:tcW w:w="592" w:type="pct"/>
            <w:vMerge w:val="continue"/>
            <w:vAlign w:val="center"/>
          </w:tcPr>
          <w:p w14:paraId="31D203C8">
            <w:pPr>
              <w:pStyle w:val="1535"/>
            </w:pPr>
          </w:p>
        </w:tc>
        <w:tc>
          <w:tcPr>
            <w:tcW w:w="3230" w:type="pct"/>
            <w:vAlign w:val="center"/>
          </w:tcPr>
          <w:p w14:paraId="60E7DBEE">
            <w:pPr>
              <w:pStyle w:val="1535"/>
            </w:pPr>
            <w:r>
              <w:rPr>
                <w:rFonts w:hint="eastAsia"/>
              </w:rPr>
              <w:t>共设置2个危险废物贮存库，其中危险废物贮存库1位于1#厂房附属厂房，危险废物贮存库2位于3#附属用房。占地面积均为100 m</w:t>
            </w:r>
            <w:r>
              <w:rPr>
                <w:rFonts w:hint="eastAsia"/>
                <w:vertAlign w:val="superscript"/>
              </w:rPr>
              <w:t>2</w:t>
            </w:r>
            <w:r>
              <w:rPr>
                <w:rFonts w:hint="eastAsia"/>
              </w:rPr>
              <w:t>，均用于危险废物临时贮存，定期由有资质的第三方单位运走进行处理</w:t>
            </w:r>
            <w:r>
              <w:t>。</w:t>
            </w:r>
          </w:p>
        </w:tc>
        <w:tc>
          <w:tcPr>
            <w:tcW w:w="748" w:type="pct"/>
            <w:vAlign w:val="center"/>
          </w:tcPr>
          <w:p w14:paraId="39ED3638">
            <w:pPr>
              <w:pStyle w:val="1535"/>
            </w:pPr>
            <w:r>
              <w:rPr>
                <w:rFonts w:hint="eastAsia"/>
              </w:rPr>
              <w:t>危险废物贮存库1已建成，其余未建</w:t>
            </w:r>
          </w:p>
        </w:tc>
      </w:tr>
      <w:tr w14:paraId="3EFC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7BD84E60">
            <w:pPr>
              <w:pStyle w:val="1535"/>
            </w:pPr>
          </w:p>
        </w:tc>
        <w:tc>
          <w:tcPr>
            <w:tcW w:w="592" w:type="pct"/>
            <w:vAlign w:val="center"/>
          </w:tcPr>
          <w:p w14:paraId="3443C298">
            <w:pPr>
              <w:pStyle w:val="1535"/>
            </w:pPr>
            <w:r>
              <w:t>噪声治理工程</w:t>
            </w:r>
          </w:p>
        </w:tc>
        <w:tc>
          <w:tcPr>
            <w:tcW w:w="3230" w:type="pct"/>
            <w:vAlign w:val="center"/>
          </w:tcPr>
          <w:p w14:paraId="268D15AA">
            <w:pPr>
              <w:pStyle w:val="1535"/>
            </w:pPr>
            <w:r>
              <w:t>高噪声设备采取减振、隔声、消声等措施。</w:t>
            </w:r>
          </w:p>
        </w:tc>
        <w:tc>
          <w:tcPr>
            <w:tcW w:w="748" w:type="pct"/>
            <w:vAlign w:val="center"/>
          </w:tcPr>
          <w:p w14:paraId="0D84E970">
            <w:pPr>
              <w:pStyle w:val="1535"/>
            </w:pPr>
            <w:r>
              <w:rPr>
                <w:rFonts w:hint="eastAsia"/>
              </w:rPr>
              <w:t>部分建成</w:t>
            </w:r>
          </w:p>
        </w:tc>
      </w:tr>
      <w:tr w14:paraId="60F4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vAlign w:val="center"/>
          </w:tcPr>
          <w:p w14:paraId="67F8EC4B">
            <w:pPr>
              <w:pStyle w:val="1535"/>
            </w:pPr>
          </w:p>
        </w:tc>
        <w:tc>
          <w:tcPr>
            <w:tcW w:w="592" w:type="pct"/>
            <w:vAlign w:val="center"/>
          </w:tcPr>
          <w:p w14:paraId="538DDC60">
            <w:pPr>
              <w:pStyle w:val="1535"/>
            </w:pPr>
            <w:r>
              <w:t>风险防范工程</w:t>
            </w:r>
          </w:p>
        </w:tc>
        <w:tc>
          <w:tcPr>
            <w:tcW w:w="3230" w:type="pct"/>
            <w:vAlign w:val="center"/>
          </w:tcPr>
          <w:p w14:paraId="044C34A2">
            <w:pPr>
              <w:pStyle w:val="1535"/>
            </w:pPr>
            <w:r>
              <w:t>切削液回收车间及危废贮存设施四周设置收集沟；设置容积为270</w:t>
            </w:r>
            <w:r>
              <w:rPr>
                <w:rFonts w:hint="eastAsia"/>
              </w:rPr>
              <w:t xml:space="preserve"> m</w:t>
            </w:r>
            <w:r>
              <w:rPr>
                <w:rFonts w:hint="eastAsia"/>
                <w:vertAlign w:val="superscript"/>
              </w:rPr>
              <w:t>3</w:t>
            </w:r>
            <w:r>
              <w:t>事故水池，收集</w:t>
            </w:r>
            <w:r>
              <w:rPr>
                <w:rFonts w:hint="eastAsia"/>
              </w:rPr>
              <w:t>厂区</w:t>
            </w:r>
            <w:r>
              <w:t>事故废水</w:t>
            </w:r>
            <w:r>
              <w:rPr>
                <w:rFonts w:hint="eastAsia"/>
              </w:rPr>
              <w:t>。</w:t>
            </w:r>
          </w:p>
        </w:tc>
        <w:tc>
          <w:tcPr>
            <w:tcW w:w="748" w:type="pct"/>
            <w:vAlign w:val="center"/>
          </w:tcPr>
          <w:p w14:paraId="7A8BD196">
            <w:pPr>
              <w:pStyle w:val="1535"/>
            </w:pPr>
            <w:r>
              <w:rPr>
                <w:rFonts w:hint="eastAsia"/>
              </w:rPr>
              <w:t>建设中</w:t>
            </w:r>
          </w:p>
        </w:tc>
      </w:tr>
    </w:tbl>
    <w:p w14:paraId="1AB3CF6B">
      <w:pPr>
        <w:ind w:firstLine="44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表</w:t>
      </w:r>
      <w:r>
        <w:rPr>
          <w:color w:val="000000" w:themeColor="text1"/>
          <w:sz w:val="22"/>
          <w:szCs w:val="22"/>
          <w14:textFill>
            <w14:solidFill>
              <w14:schemeClr w14:val="tx1"/>
            </w14:solidFill>
          </w14:textFill>
        </w:rPr>
        <w:fldChar w:fldCharType="begin"/>
      </w:r>
      <w:r>
        <w:rPr>
          <w:color w:val="000000" w:themeColor="text1"/>
          <w:sz w:val="22"/>
          <w:szCs w:val="22"/>
          <w14:textFill>
            <w14:solidFill>
              <w14:schemeClr w14:val="tx1"/>
            </w14:solidFill>
          </w14:textFill>
        </w:rPr>
        <w:instrText xml:space="preserve"> STYLEREF 2 \s </w:instrText>
      </w:r>
      <w:r>
        <w:rPr>
          <w:color w:val="000000" w:themeColor="text1"/>
          <w:sz w:val="22"/>
          <w:szCs w:val="22"/>
          <w14:textFill>
            <w14:solidFill>
              <w14:schemeClr w14:val="tx1"/>
            </w14:solidFill>
          </w14:textFill>
        </w:rPr>
        <w:fldChar w:fldCharType="separate"/>
      </w:r>
      <w:r>
        <w:rPr>
          <w:color w:val="000000" w:themeColor="text1"/>
          <w:sz w:val="22"/>
          <w:szCs w:val="22"/>
          <w14:textFill>
            <w14:solidFill>
              <w14:schemeClr w14:val="tx1"/>
            </w14:solidFill>
          </w14:textFill>
        </w:rPr>
        <w:t>2.2</w:t>
      </w:r>
      <w:r>
        <w:rPr>
          <w:color w:val="000000" w:themeColor="text1"/>
          <w:sz w:val="22"/>
          <w:szCs w:val="22"/>
          <w14:textFill>
            <w14:solidFill>
              <w14:schemeClr w14:val="tx1"/>
            </w14:solidFill>
          </w14:textFill>
        </w:rPr>
        <w:fldChar w:fldCharType="end"/>
      </w:r>
      <w:r>
        <w:rPr>
          <w:color w:val="000000" w:themeColor="text1"/>
          <w:sz w:val="22"/>
          <w:szCs w:val="22"/>
          <w14:textFill>
            <w14:solidFill>
              <w14:schemeClr w14:val="tx1"/>
            </w14:solidFill>
          </w14:textFill>
        </w:rPr>
        <w:noBreakHyphen/>
      </w:r>
      <w:r>
        <w:rPr>
          <w:rFonts w:hint="eastAsia"/>
          <w:color w:val="000000" w:themeColor="text1"/>
          <w:sz w:val="22"/>
          <w:szCs w:val="22"/>
          <w14:textFill>
            <w14:solidFill>
              <w14:schemeClr w14:val="tx1"/>
            </w14:solidFill>
          </w14:textFill>
        </w:rPr>
        <w:t>4</w:t>
      </w:r>
      <w:r>
        <w:rPr>
          <w:color w:val="000000" w:themeColor="text1"/>
          <w:sz w:val="22"/>
          <w:szCs w:val="22"/>
          <w14:textFill>
            <w14:solidFill>
              <w14:schemeClr w14:val="tx1"/>
            </w14:solidFill>
          </w14:textFill>
        </w:rPr>
        <w:t>研发</w:t>
      </w:r>
      <w:r>
        <w:rPr>
          <w:rFonts w:hint="eastAsia"/>
          <w:color w:val="000000" w:themeColor="text1"/>
          <w:sz w:val="22"/>
          <w:szCs w:val="22"/>
          <w14:textFill>
            <w14:solidFill>
              <w14:schemeClr w14:val="tx1"/>
            </w14:solidFill>
          </w14:textFill>
        </w:rPr>
        <w:t>中心项目</w:t>
      </w:r>
      <w:r>
        <w:rPr>
          <w:color w:val="000000" w:themeColor="text1"/>
          <w:sz w:val="22"/>
          <w:szCs w:val="22"/>
          <w14:textFill>
            <w14:solidFill>
              <w14:schemeClr w14:val="tx1"/>
            </w14:solidFill>
          </w14:textFill>
        </w:rPr>
        <w:t>（静电卡盘</w:t>
      </w:r>
      <w:r>
        <w:rPr>
          <w:rFonts w:hint="eastAsia"/>
          <w:color w:val="000000" w:themeColor="text1"/>
          <w:sz w:val="22"/>
          <w:szCs w:val="22"/>
          <w14:textFill>
            <w14:solidFill>
              <w14:schemeClr w14:val="tx1"/>
            </w14:solidFill>
          </w14:textFill>
        </w:rPr>
        <w:t>部分</w:t>
      </w:r>
      <w:r>
        <w:rPr>
          <w:color w:val="000000" w:themeColor="text1"/>
          <w:sz w:val="22"/>
          <w:szCs w:val="22"/>
          <w14:textFill>
            <w14:solidFill>
              <w14:schemeClr w14:val="tx1"/>
            </w14:solidFill>
          </w14:textFill>
        </w:rPr>
        <w:t>租赁臻宝科技公司车间</w:t>
      </w:r>
      <w:r>
        <w:rPr>
          <w:rFonts w:hint="eastAsia"/>
          <w:color w:val="000000" w:themeColor="text1"/>
          <w:sz w:val="22"/>
          <w:szCs w:val="22"/>
          <w14:textFill>
            <w14:solidFill>
              <w14:schemeClr w14:val="tx1"/>
            </w14:solidFill>
          </w14:textFill>
        </w:rPr>
        <w:t>建设</w:t>
      </w:r>
      <w:r>
        <w:rPr>
          <w:color w:val="000000" w:themeColor="text1"/>
          <w:sz w:val="22"/>
          <w:szCs w:val="22"/>
          <w14:textFill>
            <w14:solidFill>
              <w14:schemeClr w14:val="tx1"/>
            </w14:solidFill>
          </w14:textFill>
        </w:rPr>
        <w:t>）组成一览表</w:t>
      </w:r>
    </w:p>
    <w:tbl>
      <w:tblPr>
        <w:tblStyle w:val="88"/>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71"/>
        <w:gridCol w:w="1126"/>
        <w:gridCol w:w="5800"/>
        <w:gridCol w:w="708"/>
      </w:tblGrid>
      <w:tr w14:paraId="44E2EB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12" w:type="pct"/>
            <w:vAlign w:val="center"/>
          </w:tcPr>
          <w:p w14:paraId="7F28F0C4">
            <w:pPr>
              <w:pStyle w:val="1535"/>
            </w:pPr>
            <w:r>
              <w:t>工程类别</w:t>
            </w:r>
          </w:p>
        </w:tc>
        <w:tc>
          <w:tcPr>
            <w:tcW w:w="662" w:type="pct"/>
            <w:vAlign w:val="center"/>
          </w:tcPr>
          <w:p w14:paraId="60A9988C">
            <w:pPr>
              <w:pStyle w:val="1535"/>
            </w:pPr>
            <w:r>
              <w:t>项目名称</w:t>
            </w:r>
          </w:p>
        </w:tc>
        <w:tc>
          <w:tcPr>
            <w:tcW w:w="3410" w:type="pct"/>
            <w:vAlign w:val="center"/>
          </w:tcPr>
          <w:p w14:paraId="654E0AC0">
            <w:pPr>
              <w:pStyle w:val="1535"/>
            </w:pPr>
            <w:r>
              <w:t>内容及规模</w:t>
            </w:r>
          </w:p>
        </w:tc>
        <w:tc>
          <w:tcPr>
            <w:tcW w:w="416" w:type="pct"/>
            <w:vAlign w:val="center"/>
          </w:tcPr>
          <w:p w14:paraId="7DFF440F">
            <w:pPr>
              <w:pStyle w:val="1535"/>
            </w:pPr>
            <w:r>
              <w:t>备注</w:t>
            </w:r>
          </w:p>
        </w:tc>
      </w:tr>
      <w:tr w14:paraId="6509B5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5" w:hRule="atLeast"/>
          <w:jc w:val="center"/>
        </w:trPr>
        <w:tc>
          <w:tcPr>
            <w:tcW w:w="512" w:type="pct"/>
            <w:vAlign w:val="center"/>
          </w:tcPr>
          <w:p w14:paraId="50682DE6">
            <w:pPr>
              <w:pStyle w:val="1535"/>
            </w:pPr>
            <w:r>
              <w:t>主体</w:t>
            </w:r>
          </w:p>
          <w:p w14:paraId="47B5B21C">
            <w:pPr>
              <w:pStyle w:val="1535"/>
            </w:pPr>
            <w:r>
              <w:t>工程</w:t>
            </w:r>
          </w:p>
        </w:tc>
        <w:tc>
          <w:tcPr>
            <w:tcW w:w="662" w:type="pct"/>
            <w:vAlign w:val="center"/>
          </w:tcPr>
          <w:p w14:paraId="207EC90C">
            <w:pPr>
              <w:pStyle w:val="1535"/>
            </w:pPr>
            <w:r>
              <w:t>半导体静电卡盘ESC新品及再生品研发</w:t>
            </w:r>
          </w:p>
        </w:tc>
        <w:tc>
          <w:tcPr>
            <w:tcW w:w="3410" w:type="pct"/>
            <w:vAlign w:val="center"/>
          </w:tcPr>
          <w:p w14:paraId="3AF381EA">
            <w:pPr>
              <w:pStyle w:val="1535"/>
            </w:pPr>
            <w:r>
              <w:t>租赁臻宝科技公司</w:t>
            </w:r>
            <w:r>
              <w:rPr>
                <w:rFonts w:hint="eastAsia"/>
              </w:rPr>
              <w:t>研发</w:t>
            </w:r>
            <w:r>
              <w:t>车间2F约900</w:t>
            </w:r>
            <w:r>
              <w:rPr>
                <w:rFonts w:hint="eastAsia"/>
              </w:rPr>
              <w:t xml:space="preserve"> m</w:t>
            </w:r>
            <w:r>
              <w:rPr>
                <w:rFonts w:hint="eastAsia"/>
                <w:vertAlign w:val="superscript"/>
              </w:rPr>
              <w:t>2</w:t>
            </w:r>
            <w:r>
              <w:t>，购买球磨机、脱泡机、叠层机、流延机、温等静压机、丝网印刷机、烧结炉、排胶炉等设备，建设半导体静电卡盘ESC新品及再生品</w:t>
            </w:r>
            <w:r>
              <w:rPr>
                <w:rFonts w:hint="eastAsia"/>
              </w:rPr>
              <w:t>研发</w:t>
            </w:r>
            <w:r>
              <w:t>线。</w:t>
            </w:r>
          </w:p>
        </w:tc>
        <w:tc>
          <w:tcPr>
            <w:tcW w:w="416" w:type="pct"/>
            <w:vAlign w:val="center"/>
          </w:tcPr>
          <w:p w14:paraId="2ACBBC76">
            <w:pPr>
              <w:pStyle w:val="1535"/>
            </w:pPr>
            <w:r>
              <w:rPr>
                <w:rFonts w:hint="eastAsia"/>
              </w:rPr>
              <w:t>已建成</w:t>
            </w:r>
          </w:p>
        </w:tc>
      </w:tr>
      <w:tr w14:paraId="1784C4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12" w:type="pct"/>
            <w:vAlign w:val="center"/>
          </w:tcPr>
          <w:p w14:paraId="4077CBDF">
            <w:pPr>
              <w:pStyle w:val="1535"/>
            </w:pPr>
            <w:r>
              <w:t>储运工程</w:t>
            </w:r>
          </w:p>
        </w:tc>
        <w:tc>
          <w:tcPr>
            <w:tcW w:w="662" w:type="pct"/>
            <w:vAlign w:val="center"/>
          </w:tcPr>
          <w:p w14:paraId="4ED50C04">
            <w:pPr>
              <w:pStyle w:val="1535"/>
            </w:pPr>
            <w:r>
              <w:t>化学品储存点</w:t>
            </w:r>
          </w:p>
        </w:tc>
        <w:tc>
          <w:tcPr>
            <w:tcW w:w="3410" w:type="pct"/>
            <w:vAlign w:val="center"/>
          </w:tcPr>
          <w:p w14:paraId="5E3AE5C5">
            <w:pPr>
              <w:pStyle w:val="1535"/>
            </w:pPr>
            <w:r>
              <w:t>在租赁的</w:t>
            </w:r>
            <w:r>
              <w:rPr>
                <w:rFonts w:hint="eastAsia"/>
              </w:rPr>
              <w:t>研发</w:t>
            </w:r>
            <w:r>
              <w:t>车间内放置化学品柜，地面进行防腐防渗设置，用于存放化学品。</w:t>
            </w:r>
          </w:p>
        </w:tc>
        <w:tc>
          <w:tcPr>
            <w:tcW w:w="416" w:type="pct"/>
            <w:vAlign w:val="center"/>
          </w:tcPr>
          <w:p w14:paraId="148D9B20">
            <w:pPr>
              <w:pStyle w:val="1535"/>
            </w:pPr>
            <w:r>
              <w:rPr>
                <w:rFonts w:hint="eastAsia"/>
              </w:rPr>
              <w:t>已建成</w:t>
            </w:r>
          </w:p>
        </w:tc>
      </w:tr>
      <w:tr w14:paraId="02DEB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512" w:type="pct"/>
            <w:vMerge w:val="restart"/>
            <w:vAlign w:val="center"/>
          </w:tcPr>
          <w:p w14:paraId="5B84DCE5">
            <w:pPr>
              <w:pStyle w:val="1535"/>
            </w:pPr>
            <w:r>
              <w:t>辅助</w:t>
            </w:r>
          </w:p>
          <w:p w14:paraId="131B1AA1">
            <w:pPr>
              <w:pStyle w:val="1535"/>
            </w:pPr>
            <w:r>
              <w:t>工程</w:t>
            </w:r>
          </w:p>
        </w:tc>
        <w:tc>
          <w:tcPr>
            <w:tcW w:w="662" w:type="pct"/>
            <w:vAlign w:val="center"/>
          </w:tcPr>
          <w:p w14:paraId="11D95960">
            <w:pPr>
              <w:pStyle w:val="1535"/>
            </w:pPr>
            <w:r>
              <w:t>办公楼</w:t>
            </w:r>
          </w:p>
        </w:tc>
        <w:tc>
          <w:tcPr>
            <w:tcW w:w="3410" w:type="pct"/>
            <w:vAlign w:val="center"/>
          </w:tcPr>
          <w:p w14:paraId="5A4664E8">
            <w:pPr>
              <w:pStyle w:val="1535"/>
            </w:pPr>
            <w:r>
              <w:t>依托臻宝科技公司现有办公楼。</w:t>
            </w:r>
          </w:p>
        </w:tc>
        <w:tc>
          <w:tcPr>
            <w:tcW w:w="416" w:type="pct"/>
            <w:vAlign w:val="center"/>
          </w:tcPr>
          <w:p w14:paraId="5999F87D">
            <w:pPr>
              <w:pStyle w:val="1535"/>
            </w:pPr>
            <w:r>
              <w:t>依托</w:t>
            </w:r>
          </w:p>
        </w:tc>
      </w:tr>
      <w:tr w14:paraId="1B0786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512" w:type="pct"/>
            <w:vMerge w:val="continue"/>
            <w:vAlign w:val="center"/>
          </w:tcPr>
          <w:p w14:paraId="34F6B2EC">
            <w:pPr>
              <w:pStyle w:val="1535"/>
            </w:pPr>
          </w:p>
        </w:tc>
        <w:tc>
          <w:tcPr>
            <w:tcW w:w="662" w:type="pct"/>
            <w:vAlign w:val="center"/>
          </w:tcPr>
          <w:p w14:paraId="773ACF71">
            <w:pPr>
              <w:pStyle w:val="1535"/>
            </w:pPr>
            <w:r>
              <w:t>食堂宿舍</w:t>
            </w:r>
          </w:p>
        </w:tc>
        <w:tc>
          <w:tcPr>
            <w:tcW w:w="3410" w:type="pct"/>
            <w:vAlign w:val="center"/>
          </w:tcPr>
          <w:p w14:paraId="26350C60">
            <w:pPr>
              <w:pStyle w:val="1535"/>
            </w:pPr>
            <w:r>
              <w:t>项目不设置食堂宿舍，员工住宿依托附近公租房，员工餐饮依托重庆臻宝科技股份有限公司食堂；</w:t>
            </w:r>
          </w:p>
        </w:tc>
        <w:tc>
          <w:tcPr>
            <w:tcW w:w="416" w:type="pct"/>
            <w:vAlign w:val="center"/>
          </w:tcPr>
          <w:p w14:paraId="5C288F1F">
            <w:pPr>
              <w:pStyle w:val="1535"/>
            </w:pPr>
            <w:r>
              <w:t>依托</w:t>
            </w:r>
          </w:p>
        </w:tc>
      </w:tr>
      <w:tr w14:paraId="131477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jc w:val="center"/>
        </w:trPr>
        <w:tc>
          <w:tcPr>
            <w:tcW w:w="512" w:type="pct"/>
            <w:vMerge w:val="restart"/>
            <w:vAlign w:val="center"/>
          </w:tcPr>
          <w:p w14:paraId="0AC79D8E">
            <w:pPr>
              <w:pStyle w:val="1535"/>
            </w:pPr>
            <w:r>
              <w:t>公用</w:t>
            </w:r>
          </w:p>
          <w:p w14:paraId="26F41539">
            <w:pPr>
              <w:pStyle w:val="1535"/>
            </w:pPr>
            <w:r>
              <w:t>工程</w:t>
            </w:r>
          </w:p>
        </w:tc>
        <w:tc>
          <w:tcPr>
            <w:tcW w:w="662" w:type="pct"/>
            <w:vAlign w:val="center"/>
          </w:tcPr>
          <w:p w14:paraId="7CDEEDDE">
            <w:pPr>
              <w:pStyle w:val="1535"/>
            </w:pPr>
            <w:r>
              <w:t>供水</w:t>
            </w:r>
          </w:p>
        </w:tc>
        <w:tc>
          <w:tcPr>
            <w:tcW w:w="3410" w:type="pct"/>
            <w:vAlign w:val="center"/>
          </w:tcPr>
          <w:p w14:paraId="0F584667">
            <w:pPr>
              <w:pStyle w:val="1535"/>
            </w:pPr>
            <w:r>
              <w:t>依托臻宝科技公司现有市政给水管网引入自来水，市政供水压力0.30MPa</w:t>
            </w:r>
          </w:p>
        </w:tc>
        <w:tc>
          <w:tcPr>
            <w:tcW w:w="416" w:type="pct"/>
            <w:tcBorders>
              <w:bottom w:val="single" w:color="auto" w:sz="4" w:space="0"/>
            </w:tcBorders>
            <w:vAlign w:val="center"/>
          </w:tcPr>
          <w:p w14:paraId="48918E7F">
            <w:pPr>
              <w:pStyle w:val="1535"/>
            </w:pPr>
            <w:r>
              <w:t>依托</w:t>
            </w:r>
          </w:p>
        </w:tc>
      </w:tr>
      <w:tr w14:paraId="682539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512" w:type="pct"/>
            <w:vMerge w:val="continue"/>
            <w:vAlign w:val="center"/>
          </w:tcPr>
          <w:p w14:paraId="1326252D">
            <w:pPr>
              <w:pStyle w:val="1535"/>
            </w:pPr>
          </w:p>
        </w:tc>
        <w:tc>
          <w:tcPr>
            <w:tcW w:w="662" w:type="pct"/>
            <w:vAlign w:val="center"/>
          </w:tcPr>
          <w:p w14:paraId="396CF196">
            <w:pPr>
              <w:pStyle w:val="1535"/>
            </w:pPr>
            <w:r>
              <w:t>排水</w:t>
            </w:r>
          </w:p>
        </w:tc>
        <w:tc>
          <w:tcPr>
            <w:tcW w:w="3410" w:type="pct"/>
            <w:vAlign w:val="center"/>
          </w:tcPr>
          <w:p w14:paraId="237CD0D9">
            <w:pPr>
              <w:pStyle w:val="1535"/>
            </w:pPr>
            <w:r>
              <w:t>依托臻宝科技公司废水管网，废水通过臻宝科技公司生化池及污水处理站处理。</w:t>
            </w:r>
          </w:p>
        </w:tc>
        <w:tc>
          <w:tcPr>
            <w:tcW w:w="416" w:type="pct"/>
            <w:tcBorders>
              <w:top w:val="single" w:color="auto" w:sz="4" w:space="0"/>
              <w:bottom w:val="single" w:color="auto" w:sz="4" w:space="0"/>
            </w:tcBorders>
            <w:vAlign w:val="center"/>
          </w:tcPr>
          <w:p w14:paraId="0664E802">
            <w:pPr>
              <w:pStyle w:val="1535"/>
            </w:pPr>
            <w:r>
              <w:t>依托</w:t>
            </w:r>
          </w:p>
        </w:tc>
      </w:tr>
      <w:tr w14:paraId="01089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512" w:type="pct"/>
            <w:vMerge w:val="continue"/>
            <w:vAlign w:val="center"/>
          </w:tcPr>
          <w:p w14:paraId="77221DA6">
            <w:pPr>
              <w:pStyle w:val="1535"/>
            </w:pPr>
          </w:p>
        </w:tc>
        <w:tc>
          <w:tcPr>
            <w:tcW w:w="662" w:type="pct"/>
            <w:vAlign w:val="center"/>
          </w:tcPr>
          <w:p w14:paraId="72D862E9">
            <w:pPr>
              <w:pStyle w:val="1535"/>
            </w:pPr>
            <w:r>
              <w:t>空压机房</w:t>
            </w:r>
          </w:p>
        </w:tc>
        <w:tc>
          <w:tcPr>
            <w:tcW w:w="3410" w:type="pct"/>
            <w:vAlign w:val="center"/>
          </w:tcPr>
          <w:p w14:paraId="72577D5A">
            <w:pPr>
              <w:pStyle w:val="1535"/>
            </w:pPr>
            <w:r>
              <w:t>依托臻宝科技公司现有空压站，为研发项目提供压缩空气。</w:t>
            </w:r>
          </w:p>
        </w:tc>
        <w:tc>
          <w:tcPr>
            <w:tcW w:w="416" w:type="pct"/>
            <w:tcBorders>
              <w:top w:val="single" w:color="auto" w:sz="4" w:space="0"/>
              <w:bottom w:val="single" w:color="auto" w:sz="4" w:space="0"/>
            </w:tcBorders>
            <w:vAlign w:val="center"/>
          </w:tcPr>
          <w:p w14:paraId="2170D783">
            <w:pPr>
              <w:pStyle w:val="1535"/>
            </w:pPr>
            <w:r>
              <w:t>依托</w:t>
            </w:r>
          </w:p>
        </w:tc>
      </w:tr>
      <w:tr w14:paraId="440DCA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512" w:type="pct"/>
            <w:vMerge w:val="continue"/>
            <w:vAlign w:val="center"/>
          </w:tcPr>
          <w:p w14:paraId="41015153">
            <w:pPr>
              <w:pStyle w:val="1535"/>
            </w:pPr>
          </w:p>
        </w:tc>
        <w:tc>
          <w:tcPr>
            <w:tcW w:w="662" w:type="pct"/>
            <w:vAlign w:val="center"/>
          </w:tcPr>
          <w:p w14:paraId="6A99AC0D">
            <w:pPr>
              <w:pStyle w:val="1535"/>
            </w:pPr>
            <w:r>
              <w:t>纯水制备装置</w:t>
            </w:r>
          </w:p>
        </w:tc>
        <w:tc>
          <w:tcPr>
            <w:tcW w:w="3410" w:type="pct"/>
            <w:vAlign w:val="center"/>
          </w:tcPr>
          <w:p w14:paraId="246A5E4B">
            <w:pPr>
              <w:pStyle w:val="1535"/>
            </w:pPr>
            <w:r>
              <w:t>依托臻宝科技公司现有纯水站</w:t>
            </w:r>
          </w:p>
        </w:tc>
        <w:tc>
          <w:tcPr>
            <w:tcW w:w="416" w:type="pct"/>
            <w:tcBorders>
              <w:top w:val="single" w:color="auto" w:sz="4" w:space="0"/>
              <w:bottom w:val="single" w:color="auto" w:sz="4" w:space="0"/>
            </w:tcBorders>
            <w:vAlign w:val="center"/>
          </w:tcPr>
          <w:p w14:paraId="1FB0287B">
            <w:pPr>
              <w:pStyle w:val="1535"/>
            </w:pPr>
            <w:r>
              <w:t>依托</w:t>
            </w:r>
          </w:p>
        </w:tc>
      </w:tr>
      <w:tr w14:paraId="02CE74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12" w:type="pct"/>
            <w:vMerge w:val="continue"/>
            <w:vAlign w:val="center"/>
          </w:tcPr>
          <w:p w14:paraId="60140137">
            <w:pPr>
              <w:pStyle w:val="1535"/>
            </w:pPr>
          </w:p>
        </w:tc>
        <w:tc>
          <w:tcPr>
            <w:tcW w:w="662" w:type="pct"/>
            <w:vAlign w:val="center"/>
          </w:tcPr>
          <w:p w14:paraId="7A7F7544">
            <w:pPr>
              <w:pStyle w:val="1535"/>
            </w:pPr>
            <w:r>
              <w:t>供电</w:t>
            </w:r>
          </w:p>
        </w:tc>
        <w:tc>
          <w:tcPr>
            <w:tcW w:w="3410" w:type="pct"/>
            <w:vAlign w:val="center"/>
          </w:tcPr>
          <w:p w14:paraId="06C2AD30">
            <w:pPr>
              <w:pStyle w:val="1535"/>
            </w:pPr>
            <w:r>
              <w:t>依托园区电网供电</w:t>
            </w:r>
          </w:p>
        </w:tc>
        <w:tc>
          <w:tcPr>
            <w:tcW w:w="416" w:type="pct"/>
            <w:vAlign w:val="center"/>
          </w:tcPr>
          <w:p w14:paraId="757ACB19">
            <w:pPr>
              <w:pStyle w:val="1535"/>
            </w:pPr>
            <w:r>
              <w:t>依托</w:t>
            </w:r>
          </w:p>
        </w:tc>
      </w:tr>
      <w:tr w14:paraId="6CB76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512" w:type="pct"/>
            <w:vMerge w:val="restart"/>
            <w:vAlign w:val="center"/>
          </w:tcPr>
          <w:p w14:paraId="45683882">
            <w:pPr>
              <w:pStyle w:val="1535"/>
            </w:pPr>
            <w:r>
              <w:t>环保</w:t>
            </w:r>
          </w:p>
          <w:p w14:paraId="4A4CA49A">
            <w:pPr>
              <w:pStyle w:val="1535"/>
            </w:pPr>
            <w:r>
              <w:t>工程</w:t>
            </w:r>
          </w:p>
        </w:tc>
        <w:tc>
          <w:tcPr>
            <w:tcW w:w="662" w:type="pct"/>
            <w:vAlign w:val="center"/>
          </w:tcPr>
          <w:p w14:paraId="79537C76">
            <w:pPr>
              <w:pStyle w:val="1535"/>
            </w:pPr>
            <w:r>
              <w:t>废气</w:t>
            </w:r>
          </w:p>
        </w:tc>
        <w:tc>
          <w:tcPr>
            <w:tcW w:w="3410" w:type="pct"/>
            <w:vAlign w:val="center"/>
          </w:tcPr>
          <w:p w14:paraId="12DAB6E0">
            <w:pPr>
              <w:pStyle w:val="1535"/>
            </w:pPr>
            <w:bookmarkStart w:id="139" w:name="OLE_LINK7"/>
            <w:r>
              <w:t>静电卡盘ESC研发项目工艺产生的废气</w:t>
            </w:r>
            <w:bookmarkEnd w:id="139"/>
            <w:r>
              <w:t>采用</w:t>
            </w:r>
            <w:r>
              <w:rPr>
                <w:rFonts w:hint="eastAsia"/>
              </w:rPr>
              <w:t>集气罩</w:t>
            </w:r>
            <w:r>
              <w:t>收集后，通入滤筒除尘器+两级活性炭处理后经25m排气筒</w:t>
            </w:r>
            <w:r>
              <w:rPr>
                <w:rFonts w:hint="eastAsia"/>
              </w:rPr>
              <w:t>DA006</w:t>
            </w:r>
            <w:r>
              <w:t>排放</w:t>
            </w:r>
            <w:r>
              <w:rPr>
                <w:szCs w:val="22"/>
              </w:rPr>
              <w:t>。</w:t>
            </w:r>
          </w:p>
        </w:tc>
        <w:tc>
          <w:tcPr>
            <w:tcW w:w="416" w:type="pct"/>
            <w:vAlign w:val="center"/>
          </w:tcPr>
          <w:p w14:paraId="6BA67A87">
            <w:pPr>
              <w:pStyle w:val="1535"/>
            </w:pPr>
            <w:r>
              <w:rPr>
                <w:rFonts w:hint="eastAsia"/>
              </w:rPr>
              <w:t>已建成</w:t>
            </w:r>
          </w:p>
        </w:tc>
      </w:tr>
      <w:tr w14:paraId="70D0FF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12" w:type="pct"/>
            <w:vMerge w:val="continue"/>
            <w:vAlign w:val="center"/>
          </w:tcPr>
          <w:p w14:paraId="5403D1A3">
            <w:pPr>
              <w:pStyle w:val="1535"/>
            </w:pPr>
          </w:p>
        </w:tc>
        <w:tc>
          <w:tcPr>
            <w:tcW w:w="662" w:type="pct"/>
            <w:vAlign w:val="center"/>
          </w:tcPr>
          <w:p w14:paraId="318E39C0">
            <w:pPr>
              <w:pStyle w:val="1535"/>
            </w:pPr>
            <w:r>
              <w:t>废水</w:t>
            </w:r>
          </w:p>
        </w:tc>
        <w:tc>
          <w:tcPr>
            <w:tcW w:w="3410" w:type="pct"/>
            <w:vAlign w:val="center"/>
          </w:tcPr>
          <w:p w14:paraId="384A44EE">
            <w:pPr>
              <w:pStyle w:val="1535"/>
            </w:pPr>
            <w:r>
              <w:t>生活污水依托臻宝科技公司现有生化池处理达《电子工业水污染物排放标准》（GB39731-2020）间接排放标准；研发废水依托臻宝科技公司现有综合废水处理站，处理达《电子工业水污染物排放标准》（GB39731-2020）间接排放标准后与厂区生化池尾水一起接入市政污水管网。</w:t>
            </w:r>
          </w:p>
        </w:tc>
        <w:tc>
          <w:tcPr>
            <w:tcW w:w="416" w:type="pct"/>
            <w:tcBorders>
              <w:top w:val="single" w:color="auto" w:sz="4" w:space="0"/>
              <w:bottom w:val="single" w:color="auto" w:sz="4" w:space="0"/>
            </w:tcBorders>
            <w:vAlign w:val="center"/>
          </w:tcPr>
          <w:p w14:paraId="1443318F">
            <w:pPr>
              <w:pStyle w:val="1535"/>
            </w:pPr>
            <w:r>
              <w:t>依托</w:t>
            </w:r>
          </w:p>
        </w:tc>
      </w:tr>
      <w:tr w14:paraId="1E23DA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8" w:hRule="atLeast"/>
          <w:jc w:val="center"/>
        </w:trPr>
        <w:tc>
          <w:tcPr>
            <w:tcW w:w="512" w:type="pct"/>
            <w:vMerge w:val="continue"/>
            <w:vAlign w:val="center"/>
          </w:tcPr>
          <w:p w14:paraId="1CDE602C">
            <w:pPr>
              <w:pStyle w:val="1535"/>
            </w:pPr>
          </w:p>
        </w:tc>
        <w:tc>
          <w:tcPr>
            <w:tcW w:w="662" w:type="pct"/>
            <w:vAlign w:val="center"/>
          </w:tcPr>
          <w:p w14:paraId="1A1C4AEF">
            <w:pPr>
              <w:pStyle w:val="1535"/>
            </w:pPr>
            <w:r>
              <w:t>噪声</w:t>
            </w:r>
          </w:p>
        </w:tc>
        <w:tc>
          <w:tcPr>
            <w:tcW w:w="3410" w:type="pct"/>
            <w:tcBorders>
              <w:bottom w:val="single" w:color="auto" w:sz="4" w:space="0"/>
            </w:tcBorders>
            <w:vAlign w:val="center"/>
          </w:tcPr>
          <w:p w14:paraId="4A736939">
            <w:pPr>
              <w:pStyle w:val="1535"/>
            </w:pPr>
            <w:r>
              <w:t>厂房隔声，</w:t>
            </w:r>
            <w:r>
              <w:rPr>
                <w:rFonts w:hint="eastAsia"/>
              </w:rPr>
              <w:t>研发</w:t>
            </w:r>
            <w:r>
              <w:t>过程中加强设备的保养和维护</w:t>
            </w:r>
          </w:p>
        </w:tc>
        <w:tc>
          <w:tcPr>
            <w:tcW w:w="416" w:type="pct"/>
            <w:tcBorders>
              <w:bottom w:val="single" w:color="auto" w:sz="4" w:space="0"/>
            </w:tcBorders>
            <w:vAlign w:val="center"/>
          </w:tcPr>
          <w:p w14:paraId="4898849A">
            <w:pPr>
              <w:pStyle w:val="1535"/>
            </w:pPr>
            <w:r>
              <w:rPr>
                <w:rFonts w:hint="eastAsia"/>
              </w:rPr>
              <w:t>已建成</w:t>
            </w:r>
          </w:p>
        </w:tc>
      </w:tr>
      <w:tr w14:paraId="7CDCB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7" w:hRule="atLeast"/>
          <w:jc w:val="center"/>
        </w:trPr>
        <w:tc>
          <w:tcPr>
            <w:tcW w:w="512" w:type="pct"/>
            <w:vMerge w:val="continue"/>
            <w:vAlign w:val="center"/>
          </w:tcPr>
          <w:p w14:paraId="60719B03">
            <w:pPr>
              <w:pStyle w:val="1535"/>
            </w:pPr>
          </w:p>
        </w:tc>
        <w:tc>
          <w:tcPr>
            <w:tcW w:w="662" w:type="pct"/>
            <w:vAlign w:val="center"/>
          </w:tcPr>
          <w:p w14:paraId="01549DF5">
            <w:pPr>
              <w:pStyle w:val="1535"/>
            </w:pPr>
            <w:r>
              <w:t>一般固废</w:t>
            </w:r>
          </w:p>
        </w:tc>
        <w:tc>
          <w:tcPr>
            <w:tcW w:w="3410" w:type="pct"/>
            <w:tcBorders>
              <w:bottom w:val="single" w:color="auto" w:sz="4" w:space="0"/>
            </w:tcBorders>
            <w:vAlign w:val="center"/>
          </w:tcPr>
          <w:p w14:paraId="263C67A5">
            <w:pPr>
              <w:pStyle w:val="1535"/>
            </w:pPr>
            <w:r>
              <w:t>依托臻宝科技公司现有一般固废贮存点，臻宝科技公司一般固废贮存点划分出部分区域用于臻宝半导体公司静电卡盘ESC研发项目固废存放，定期由物资回收公司进行处理。</w:t>
            </w:r>
          </w:p>
        </w:tc>
        <w:tc>
          <w:tcPr>
            <w:tcW w:w="416" w:type="pct"/>
            <w:tcBorders>
              <w:bottom w:val="single" w:color="auto" w:sz="4" w:space="0"/>
            </w:tcBorders>
            <w:vAlign w:val="center"/>
          </w:tcPr>
          <w:p w14:paraId="7660DBC9">
            <w:pPr>
              <w:pStyle w:val="1535"/>
            </w:pPr>
            <w:r>
              <w:t>依托</w:t>
            </w:r>
          </w:p>
        </w:tc>
      </w:tr>
      <w:tr w14:paraId="37EA93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12" w:type="pct"/>
            <w:vMerge w:val="continue"/>
            <w:vAlign w:val="center"/>
          </w:tcPr>
          <w:p w14:paraId="3A94513A">
            <w:pPr>
              <w:pStyle w:val="1535"/>
            </w:pPr>
          </w:p>
        </w:tc>
        <w:tc>
          <w:tcPr>
            <w:tcW w:w="662" w:type="pct"/>
            <w:vAlign w:val="center"/>
          </w:tcPr>
          <w:p w14:paraId="66FCF4E9">
            <w:pPr>
              <w:pStyle w:val="1535"/>
            </w:pPr>
            <w:r>
              <w:t>危险废物</w:t>
            </w:r>
          </w:p>
        </w:tc>
        <w:tc>
          <w:tcPr>
            <w:tcW w:w="3410" w:type="pct"/>
            <w:vAlign w:val="center"/>
          </w:tcPr>
          <w:p w14:paraId="114C7C7E">
            <w:pPr>
              <w:pStyle w:val="1535"/>
            </w:pPr>
            <w:r>
              <w:t>静电卡盘ESC研发工艺的使用切削液加工工序委外加工，交由臻宝科技公司加工，因此静电卡盘ESC研发项目不产生危险废物。</w:t>
            </w:r>
          </w:p>
        </w:tc>
        <w:tc>
          <w:tcPr>
            <w:tcW w:w="416" w:type="pct"/>
            <w:vAlign w:val="center"/>
          </w:tcPr>
          <w:p w14:paraId="3E50AC30">
            <w:pPr>
              <w:pStyle w:val="1535"/>
            </w:pPr>
            <w:r>
              <w:rPr>
                <w:rFonts w:hint="eastAsia"/>
              </w:rPr>
              <w:t>/</w:t>
            </w:r>
          </w:p>
        </w:tc>
      </w:tr>
    </w:tbl>
    <w:p w14:paraId="3D17CC2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现有工程主要生产设备</w:t>
      </w:r>
    </w:p>
    <w:p w14:paraId="55001F7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现有工程主要生产设备详见下表：</w:t>
      </w:r>
    </w:p>
    <w:p w14:paraId="00C387D3">
      <w:pPr>
        <w:ind w:firstLine="0" w:firstLineChars="0"/>
        <w:jc w:val="center"/>
        <w:rPr>
          <w:color w:val="000000" w:themeColor="text1"/>
          <w14:textFill>
            <w14:solidFill>
              <w14:schemeClr w14:val="tx1"/>
            </w14:solidFill>
          </w14:textFill>
        </w:rPr>
      </w:pPr>
      <w:bookmarkStart w:id="140" w:name="_Ref160698481"/>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bookmarkEnd w:id="140"/>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现有工程生产设施一览表</w:t>
      </w:r>
    </w:p>
    <w:tbl>
      <w:tblPr>
        <w:tblStyle w:val="88"/>
        <w:tblW w:w="5000" w:type="pct"/>
        <w:jc w:val="center"/>
        <w:tblLayout w:type="autofit"/>
        <w:tblCellMar>
          <w:top w:w="0" w:type="dxa"/>
          <w:left w:w="108" w:type="dxa"/>
          <w:bottom w:w="0" w:type="dxa"/>
          <w:right w:w="108" w:type="dxa"/>
        </w:tblCellMar>
      </w:tblPr>
      <w:tblGrid>
        <w:gridCol w:w="439"/>
        <w:gridCol w:w="1429"/>
        <w:gridCol w:w="2994"/>
        <w:gridCol w:w="2580"/>
        <w:gridCol w:w="1080"/>
      </w:tblGrid>
      <w:tr w14:paraId="46A9E00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83E65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序号</w:t>
            </w:r>
          </w:p>
        </w:tc>
        <w:tc>
          <w:tcPr>
            <w:tcW w:w="1260" w:type="dxa"/>
            <w:tcBorders>
              <w:top w:val="single" w:color="000000" w:sz="4" w:space="0"/>
              <w:left w:val="single" w:color="000000" w:sz="4" w:space="0"/>
              <w:bottom w:val="single" w:color="000000" w:sz="4" w:space="0"/>
              <w:right w:val="single" w:color="000000" w:sz="4" w:space="0"/>
            </w:tcBorders>
            <w:vAlign w:val="center"/>
          </w:tcPr>
          <w:p w14:paraId="3CCC5E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生产线</w:t>
            </w:r>
          </w:p>
        </w:tc>
        <w:tc>
          <w:tcPr>
            <w:tcW w:w="2970" w:type="dxa"/>
            <w:tcBorders>
              <w:top w:val="single" w:color="000000" w:sz="4" w:space="0"/>
              <w:left w:val="single" w:color="000000" w:sz="4" w:space="0"/>
              <w:bottom w:val="single" w:color="000000" w:sz="4" w:space="0"/>
              <w:right w:val="single" w:color="000000" w:sz="4" w:space="0"/>
            </w:tcBorders>
            <w:vAlign w:val="center"/>
          </w:tcPr>
          <w:p w14:paraId="0740D1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设备名称</w:t>
            </w:r>
          </w:p>
        </w:tc>
        <w:tc>
          <w:tcPr>
            <w:tcW w:w="2559" w:type="dxa"/>
            <w:tcBorders>
              <w:top w:val="single" w:color="000000" w:sz="4" w:space="0"/>
              <w:left w:val="single" w:color="000000" w:sz="4" w:space="0"/>
              <w:bottom w:val="single" w:color="000000" w:sz="4" w:space="0"/>
              <w:right w:val="single" w:color="000000" w:sz="4" w:space="0"/>
            </w:tcBorders>
            <w:vAlign w:val="center"/>
          </w:tcPr>
          <w:p w14:paraId="5CC108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设备型号及规格尺寸</w:t>
            </w:r>
          </w:p>
        </w:tc>
        <w:tc>
          <w:tcPr>
            <w:tcW w:w="1071" w:type="dxa"/>
            <w:tcBorders>
              <w:top w:val="single" w:color="000000" w:sz="4" w:space="0"/>
              <w:left w:val="single" w:color="000000" w:sz="4" w:space="0"/>
              <w:bottom w:val="single" w:color="000000" w:sz="4" w:space="0"/>
              <w:right w:val="single" w:color="000000" w:sz="4" w:space="0"/>
            </w:tcBorders>
            <w:vAlign w:val="center"/>
          </w:tcPr>
          <w:p w14:paraId="746AF7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现有数量/台/套</w:t>
            </w:r>
          </w:p>
        </w:tc>
      </w:tr>
      <w:tr w14:paraId="254AA63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E0379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14:paraId="665451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石英产品（除石英环）</w:t>
            </w:r>
          </w:p>
        </w:tc>
        <w:tc>
          <w:tcPr>
            <w:tcW w:w="2970" w:type="dxa"/>
            <w:tcBorders>
              <w:top w:val="single" w:color="000000" w:sz="4" w:space="0"/>
              <w:left w:val="single" w:color="000000" w:sz="4" w:space="0"/>
              <w:bottom w:val="single" w:color="000000" w:sz="4" w:space="0"/>
              <w:right w:val="single" w:color="000000" w:sz="4" w:space="0"/>
            </w:tcBorders>
            <w:vAlign w:val="center"/>
          </w:tcPr>
          <w:p w14:paraId="4BB875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大璇盘机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7E71C0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主轴通孔620mm，床身长度8000mm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6CF244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4A41AD7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BD66FE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C8FE3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713FB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退火炉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44A80F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2000mm*1000mm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7E5CD4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r>
      <w:tr w14:paraId="0187675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4A91E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71068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B72E9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喷砂房</w:t>
            </w:r>
          </w:p>
        </w:tc>
        <w:tc>
          <w:tcPr>
            <w:tcW w:w="2559" w:type="dxa"/>
            <w:tcBorders>
              <w:top w:val="single" w:color="000000" w:sz="4" w:space="0"/>
              <w:left w:val="single" w:color="000000" w:sz="4" w:space="0"/>
              <w:bottom w:val="single" w:color="000000" w:sz="4" w:space="0"/>
              <w:right w:val="single" w:color="000000" w:sz="4" w:space="0"/>
            </w:tcBorders>
            <w:vAlign w:val="center"/>
          </w:tcPr>
          <w:p w14:paraId="12624B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100平方米</w:t>
            </w:r>
          </w:p>
        </w:tc>
        <w:tc>
          <w:tcPr>
            <w:tcW w:w="1071" w:type="dxa"/>
            <w:tcBorders>
              <w:top w:val="single" w:color="000000" w:sz="4" w:space="0"/>
              <w:left w:val="single" w:color="000000" w:sz="4" w:space="0"/>
              <w:bottom w:val="single" w:color="000000" w:sz="4" w:space="0"/>
              <w:right w:val="single" w:color="000000" w:sz="4" w:space="0"/>
            </w:tcBorders>
            <w:vAlign w:val="center"/>
          </w:tcPr>
          <w:p w14:paraId="600A2D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C4DA31D">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29378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E94CD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1D9DE7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切割机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4DC10E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6000mm*600mm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0250AE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8205BEA">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97790C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AFA6C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42234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圆筒机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5F35F1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6000mm*600mm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337EF2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1D5DF3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C72F1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0AB99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32356D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脱脂清洗</w:t>
            </w:r>
          </w:p>
        </w:tc>
        <w:tc>
          <w:tcPr>
            <w:tcW w:w="2559" w:type="dxa"/>
            <w:tcBorders>
              <w:top w:val="single" w:color="000000" w:sz="4" w:space="0"/>
              <w:left w:val="single" w:color="000000" w:sz="4" w:space="0"/>
              <w:bottom w:val="single" w:color="000000" w:sz="4" w:space="0"/>
              <w:right w:val="single" w:color="000000" w:sz="4" w:space="0"/>
            </w:tcBorders>
            <w:vAlign w:val="center"/>
          </w:tcPr>
          <w:p w14:paraId="46AE2E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6000X1000X800mm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233C0D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AFA73B5">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14E02D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73C55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60AF40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纯水冲淋</w:t>
            </w:r>
          </w:p>
        </w:tc>
        <w:tc>
          <w:tcPr>
            <w:tcW w:w="2559" w:type="dxa"/>
            <w:tcBorders>
              <w:top w:val="single" w:color="000000" w:sz="4" w:space="0"/>
              <w:left w:val="single" w:color="000000" w:sz="4" w:space="0"/>
              <w:bottom w:val="single" w:color="000000" w:sz="4" w:space="0"/>
              <w:right w:val="single" w:color="000000" w:sz="4" w:space="0"/>
            </w:tcBorders>
            <w:vAlign w:val="center"/>
          </w:tcPr>
          <w:p w14:paraId="3E3C4F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6000X1000X800mm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2ABF61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BCEC26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535AD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75319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A0A55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酸洗</w:t>
            </w:r>
          </w:p>
        </w:tc>
        <w:tc>
          <w:tcPr>
            <w:tcW w:w="2559" w:type="dxa"/>
            <w:tcBorders>
              <w:top w:val="single" w:color="000000" w:sz="4" w:space="0"/>
              <w:left w:val="single" w:color="000000" w:sz="4" w:space="0"/>
              <w:bottom w:val="single" w:color="000000" w:sz="4" w:space="0"/>
              <w:right w:val="single" w:color="000000" w:sz="4" w:space="0"/>
            </w:tcBorders>
            <w:vAlign w:val="center"/>
          </w:tcPr>
          <w:p w14:paraId="498D7B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6000X1000X800mm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53BEDA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438D40D">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60470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349FC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186209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纯水超声</w:t>
            </w:r>
          </w:p>
        </w:tc>
        <w:tc>
          <w:tcPr>
            <w:tcW w:w="2559" w:type="dxa"/>
            <w:tcBorders>
              <w:top w:val="single" w:color="000000" w:sz="4" w:space="0"/>
              <w:left w:val="single" w:color="000000" w:sz="4" w:space="0"/>
              <w:bottom w:val="single" w:color="000000" w:sz="4" w:space="0"/>
              <w:right w:val="single" w:color="000000" w:sz="4" w:space="0"/>
            </w:tcBorders>
            <w:vAlign w:val="center"/>
          </w:tcPr>
          <w:p w14:paraId="04068A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6000X1000X800mm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0A009A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6C735F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32BCE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14:paraId="628E1A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硅产品生产线（包括石英环）</w:t>
            </w: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091F7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掏芯机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7AD277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沈阳华腾数控立式钻铣床 HT-ZK5460</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747C1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5D4C67CA">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36D4D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33E01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CD778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单线切割</w:t>
            </w:r>
          </w:p>
        </w:tc>
        <w:tc>
          <w:tcPr>
            <w:tcW w:w="2559" w:type="dxa"/>
            <w:tcBorders>
              <w:top w:val="single" w:color="000000" w:sz="4" w:space="0"/>
              <w:left w:val="single" w:color="000000" w:sz="4" w:space="0"/>
              <w:bottom w:val="single" w:color="000000" w:sz="4" w:space="0"/>
              <w:right w:val="single" w:color="000000" w:sz="4" w:space="0"/>
            </w:tcBorders>
            <w:vAlign w:val="center"/>
          </w:tcPr>
          <w:p w14:paraId="3146EE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上海日进 单线裁断机    NWD-600JD</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927F7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r>
      <w:tr w14:paraId="5D83AF9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736A3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63E51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FD873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多线切割</w:t>
            </w:r>
          </w:p>
        </w:tc>
        <w:tc>
          <w:tcPr>
            <w:tcW w:w="2559" w:type="dxa"/>
            <w:tcBorders>
              <w:top w:val="single" w:color="000000" w:sz="4" w:space="0"/>
              <w:left w:val="single" w:color="000000" w:sz="4" w:space="0"/>
              <w:bottom w:val="single" w:color="000000" w:sz="4" w:space="0"/>
              <w:right w:val="single" w:color="000000" w:sz="4" w:space="0"/>
            </w:tcBorders>
            <w:vAlign w:val="center"/>
          </w:tcPr>
          <w:p w14:paraId="2DC13C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唐山晶玉 多线切割机  YBDX5056</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9397D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r>
      <w:tr w14:paraId="47A2077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1FF40C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0A178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D9D94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车床切割</w:t>
            </w:r>
          </w:p>
        </w:tc>
        <w:tc>
          <w:tcPr>
            <w:tcW w:w="2559" w:type="dxa"/>
            <w:tcBorders>
              <w:top w:val="single" w:color="000000" w:sz="4" w:space="0"/>
              <w:left w:val="single" w:color="000000" w:sz="4" w:space="0"/>
              <w:bottom w:val="single" w:color="000000" w:sz="4" w:space="0"/>
              <w:right w:val="single" w:color="000000" w:sz="4" w:space="0"/>
            </w:tcBorders>
            <w:vAlign w:val="center"/>
          </w:tcPr>
          <w:p w14:paraId="215F6E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宝鸡/You Ji</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51091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2E72C9A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E0637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F7FA1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1E5DB1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平磨机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0B75BA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台湾佳和新机CRG-H6/日进磨床NVG-1000DNVG-750/OD磨床TGUA-35A</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E8FD1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r>
      <w:tr w14:paraId="2615EFC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04ADDD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D2145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065BA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转台</w:t>
            </w:r>
          </w:p>
        </w:tc>
        <w:tc>
          <w:tcPr>
            <w:tcW w:w="2559" w:type="dxa"/>
            <w:tcBorders>
              <w:top w:val="single" w:color="000000" w:sz="4" w:space="0"/>
              <w:left w:val="single" w:color="000000" w:sz="4" w:space="0"/>
              <w:bottom w:val="single" w:color="000000" w:sz="4" w:space="0"/>
              <w:right w:val="single" w:color="000000" w:sz="4" w:space="0"/>
            </w:tcBorders>
            <w:vAlign w:val="center"/>
          </w:tcPr>
          <w:p w14:paraId="79BC7D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常州/华驰</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F23A8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r>
      <w:tr w14:paraId="2E60086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29BD2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ED8D7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FD563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MCT</w:t>
            </w:r>
          </w:p>
        </w:tc>
        <w:tc>
          <w:tcPr>
            <w:tcW w:w="2559" w:type="dxa"/>
            <w:tcBorders>
              <w:top w:val="single" w:color="000000" w:sz="4" w:space="0"/>
              <w:left w:val="single" w:color="000000" w:sz="4" w:space="0"/>
              <w:bottom w:val="single" w:color="000000" w:sz="4" w:space="0"/>
              <w:right w:val="single" w:color="000000" w:sz="4" w:space="0"/>
            </w:tcBorders>
            <w:vAlign w:val="center"/>
          </w:tcPr>
          <w:p w14:paraId="3844E3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捷甬达/纽威/颖元/马扎克/澳柯玛</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5C840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150</w:t>
            </w:r>
          </w:p>
        </w:tc>
      </w:tr>
      <w:tr w14:paraId="47DA949D">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52E57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DEBB9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74994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抛光机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0CE595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SINGLE SIDE POLISHNG MACHNE/台克立</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EA3AA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1117694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78437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65056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32575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研磨机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F1EA6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名正</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5DD2D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177C4E9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A2DA8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49E42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66DE3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刻蚀线</w:t>
            </w:r>
          </w:p>
        </w:tc>
        <w:tc>
          <w:tcPr>
            <w:tcW w:w="2559" w:type="dxa"/>
            <w:tcBorders>
              <w:top w:val="single" w:color="000000" w:sz="4" w:space="0"/>
              <w:left w:val="single" w:color="000000" w:sz="4" w:space="0"/>
              <w:bottom w:val="single" w:color="000000" w:sz="4" w:space="0"/>
              <w:right w:val="single" w:color="000000" w:sz="4" w:space="0"/>
            </w:tcBorders>
            <w:vAlign w:val="center"/>
          </w:tcPr>
          <w:p w14:paraId="50B843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科本</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7FB87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49AF8D8D">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16DEC6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B5FBA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286B1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光学显微镜</w:t>
            </w:r>
          </w:p>
        </w:tc>
        <w:tc>
          <w:tcPr>
            <w:tcW w:w="2559" w:type="dxa"/>
            <w:tcBorders>
              <w:top w:val="single" w:color="000000" w:sz="4" w:space="0"/>
              <w:left w:val="single" w:color="000000" w:sz="4" w:space="0"/>
              <w:bottom w:val="single" w:color="000000" w:sz="4" w:space="0"/>
              <w:right w:val="single" w:color="000000" w:sz="4" w:space="0"/>
            </w:tcBorders>
            <w:vAlign w:val="center"/>
          </w:tcPr>
          <w:p w14:paraId="245E5D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基恩士710</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338EB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1CC0EEB8">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ED644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D07DF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212FF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粗糙度仪</w:t>
            </w:r>
          </w:p>
        </w:tc>
        <w:tc>
          <w:tcPr>
            <w:tcW w:w="2559" w:type="dxa"/>
            <w:tcBorders>
              <w:top w:val="single" w:color="000000" w:sz="4" w:space="0"/>
              <w:left w:val="single" w:color="000000" w:sz="4" w:space="0"/>
              <w:bottom w:val="single" w:color="000000" w:sz="4" w:space="0"/>
              <w:right w:val="single" w:color="000000" w:sz="4" w:space="0"/>
            </w:tcBorders>
            <w:vAlign w:val="center"/>
          </w:tcPr>
          <w:p w14:paraId="4DEB9B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SJ410</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2C438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75D883FC">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092D6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C4339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A128C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影像仪</w:t>
            </w:r>
          </w:p>
        </w:tc>
        <w:tc>
          <w:tcPr>
            <w:tcW w:w="2559" w:type="dxa"/>
            <w:tcBorders>
              <w:top w:val="single" w:color="000000" w:sz="4" w:space="0"/>
              <w:left w:val="single" w:color="000000" w:sz="4" w:space="0"/>
              <w:bottom w:val="single" w:color="000000" w:sz="4" w:space="0"/>
              <w:right w:val="single" w:color="000000" w:sz="4" w:space="0"/>
            </w:tcBorders>
            <w:vAlign w:val="center"/>
          </w:tcPr>
          <w:p w14:paraId="04AF40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德仁652</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24D2D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1131A84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0E4C42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EA4B3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F793C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三坐标</w:t>
            </w:r>
          </w:p>
        </w:tc>
        <w:tc>
          <w:tcPr>
            <w:tcW w:w="2559" w:type="dxa"/>
            <w:tcBorders>
              <w:top w:val="single" w:color="000000" w:sz="4" w:space="0"/>
              <w:left w:val="single" w:color="000000" w:sz="4" w:space="0"/>
              <w:bottom w:val="single" w:color="000000" w:sz="4" w:space="0"/>
              <w:right w:val="single" w:color="000000" w:sz="4" w:space="0"/>
            </w:tcBorders>
            <w:vAlign w:val="center"/>
          </w:tcPr>
          <w:p w14:paraId="591A89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德仁81206/海克斯康8106/海克斯康102108</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A2B10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r>
      <w:tr w14:paraId="6796C1F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91076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7921E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B9879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千级清洗线（含洁净室装修）</w:t>
            </w:r>
          </w:p>
        </w:tc>
        <w:tc>
          <w:tcPr>
            <w:tcW w:w="2559" w:type="dxa"/>
            <w:tcBorders>
              <w:top w:val="single" w:color="000000" w:sz="4" w:space="0"/>
              <w:left w:val="single" w:color="000000" w:sz="4" w:space="0"/>
              <w:bottom w:val="single" w:color="000000" w:sz="4" w:space="0"/>
              <w:right w:val="single" w:color="000000" w:sz="4" w:space="0"/>
            </w:tcBorders>
            <w:vAlign w:val="center"/>
          </w:tcPr>
          <w:p w14:paraId="336E59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科本</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B5E9C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2684754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1D9B45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8C4DD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36A51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烘箱</w:t>
            </w:r>
          </w:p>
        </w:tc>
        <w:tc>
          <w:tcPr>
            <w:tcW w:w="2559" w:type="dxa"/>
            <w:tcBorders>
              <w:top w:val="single" w:color="000000" w:sz="4" w:space="0"/>
              <w:left w:val="single" w:color="000000" w:sz="4" w:space="0"/>
              <w:bottom w:val="single" w:color="000000" w:sz="4" w:space="0"/>
              <w:right w:val="single" w:color="000000" w:sz="4" w:space="0"/>
            </w:tcBorders>
            <w:vAlign w:val="center"/>
          </w:tcPr>
          <w:p w14:paraId="00CFF65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阿泰可</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52B3B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7DAEBD4C">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294F6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7C6F2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65036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百级清洗线（含洁净室装修）</w:t>
            </w:r>
          </w:p>
        </w:tc>
        <w:tc>
          <w:tcPr>
            <w:tcW w:w="2559" w:type="dxa"/>
            <w:tcBorders>
              <w:top w:val="single" w:color="000000" w:sz="4" w:space="0"/>
              <w:left w:val="single" w:color="000000" w:sz="4" w:space="0"/>
              <w:bottom w:val="single" w:color="000000" w:sz="4" w:space="0"/>
              <w:right w:val="single" w:color="000000" w:sz="4" w:space="0"/>
            </w:tcBorders>
            <w:vAlign w:val="center"/>
          </w:tcPr>
          <w:p w14:paraId="5E3AC3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科本、苏州尚纯</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F7B06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32EC464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3A105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355E6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16EAE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LPC</w:t>
            </w:r>
          </w:p>
        </w:tc>
        <w:tc>
          <w:tcPr>
            <w:tcW w:w="2559" w:type="dxa"/>
            <w:tcBorders>
              <w:top w:val="single" w:color="000000" w:sz="4" w:space="0"/>
              <w:left w:val="single" w:color="000000" w:sz="4" w:space="0"/>
              <w:bottom w:val="single" w:color="000000" w:sz="4" w:space="0"/>
              <w:right w:val="single" w:color="000000" w:sz="4" w:space="0"/>
            </w:tcBorders>
            <w:vAlign w:val="center"/>
          </w:tcPr>
          <w:p w14:paraId="1E3C11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日本理音KS-42B</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16FA3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7BA145C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D517C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A0FA9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5F278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真空包装机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32069A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迩杰罗包装机</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26A1B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5382A75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4FE67C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EE086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68E05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激光打标机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716986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ALF-N20/ALC-N10W</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84D96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2BB0D26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659E7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14:paraId="52245C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石墨产品生产线</w:t>
            </w: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7FB75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立式数控砂线切割机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4D0F1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EC521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765D87D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985BA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A441F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27DF7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立式带锯床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3586C9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EFF61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67514C2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D31E1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DB54D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F6E63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立式带锯床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38EC61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F5F55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2CFC19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4E3F9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8E82C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DFB16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立式加工中心</w:t>
            </w:r>
          </w:p>
        </w:tc>
        <w:tc>
          <w:tcPr>
            <w:tcW w:w="2559" w:type="dxa"/>
            <w:tcBorders>
              <w:top w:val="single" w:color="000000" w:sz="4" w:space="0"/>
              <w:left w:val="single" w:color="000000" w:sz="4" w:space="0"/>
              <w:bottom w:val="single" w:color="000000" w:sz="4" w:space="0"/>
              <w:right w:val="single" w:color="000000" w:sz="4" w:space="0"/>
            </w:tcBorders>
            <w:vAlign w:val="center"/>
          </w:tcPr>
          <w:p w14:paraId="548E71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7AF80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7BD323C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1741D1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31DAE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4C612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高速精雕机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2DB82A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D4DC6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66A8680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E10E0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88F48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BCD71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卧式数控车削中心</w:t>
            </w:r>
          </w:p>
        </w:tc>
        <w:tc>
          <w:tcPr>
            <w:tcW w:w="2559" w:type="dxa"/>
            <w:tcBorders>
              <w:top w:val="single" w:color="000000" w:sz="4" w:space="0"/>
              <w:left w:val="single" w:color="000000" w:sz="4" w:space="0"/>
              <w:bottom w:val="single" w:color="000000" w:sz="4" w:space="0"/>
              <w:right w:val="single" w:color="000000" w:sz="4" w:space="0"/>
            </w:tcBorders>
            <w:vAlign w:val="center"/>
          </w:tcPr>
          <w:p w14:paraId="2376B9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1CAE52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1204352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5ACF4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71A45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5DE7A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卧式数控车床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4313C4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86F54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09EF2A5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676CF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6F35D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14D4D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卧式普通车床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1D9FF4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1C79DB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0E126C9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73909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2350E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86D0C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立式砂光机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3A7F50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13E4C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13343FA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3DBA6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C9CF1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BEABD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立式炮塔铣床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3772FD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167B9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7BF97EFA">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679FD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111F8C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982B0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纯化炉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35ACC6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04D99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7C869A8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D8928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1EEC3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FDC15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石墨化炉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7943EF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E55CC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698EC1C">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2E453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C5DFF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D311B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CVDSIC炉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3FED01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266A3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79D631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3A6C1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F5FAE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4C01D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立式碳化硅沉积炉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7944D6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0F37A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0A67521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BEF4F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6CBF1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8FC79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38C12CE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5E482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0A479568">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8C3E8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ECDD5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98D13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洁净防爆干燥箱（小）</w:t>
            </w:r>
          </w:p>
        </w:tc>
        <w:tc>
          <w:tcPr>
            <w:tcW w:w="2559" w:type="dxa"/>
            <w:tcBorders>
              <w:top w:val="single" w:color="000000" w:sz="4" w:space="0"/>
              <w:left w:val="single" w:color="000000" w:sz="4" w:space="0"/>
              <w:bottom w:val="single" w:color="000000" w:sz="4" w:space="0"/>
              <w:right w:val="single" w:color="000000" w:sz="4" w:space="0"/>
            </w:tcBorders>
            <w:vAlign w:val="center"/>
          </w:tcPr>
          <w:p w14:paraId="44384B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200L</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EB394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16AFAF2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73B66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CCCFE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1F515E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洁净防爆干燥箱（大）</w:t>
            </w:r>
          </w:p>
        </w:tc>
        <w:tc>
          <w:tcPr>
            <w:tcW w:w="2559" w:type="dxa"/>
            <w:tcBorders>
              <w:top w:val="single" w:color="000000" w:sz="4" w:space="0"/>
              <w:left w:val="single" w:color="000000" w:sz="4" w:space="0"/>
              <w:bottom w:val="single" w:color="000000" w:sz="4" w:space="0"/>
              <w:right w:val="single" w:color="000000" w:sz="4" w:space="0"/>
            </w:tcBorders>
            <w:vAlign w:val="center"/>
          </w:tcPr>
          <w:p w14:paraId="0FA6F3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1000L</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12E92E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0B0FEE2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CDF80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14:paraId="554BC8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陶瓷产品生产线</w:t>
            </w: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769CF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CIP</w:t>
            </w:r>
          </w:p>
        </w:tc>
        <w:tc>
          <w:tcPr>
            <w:tcW w:w="2559" w:type="dxa"/>
            <w:tcBorders>
              <w:top w:val="single" w:color="000000" w:sz="4" w:space="0"/>
              <w:left w:val="single" w:color="000000" w:sz="4" w:space="0"/>
              <w:bottom w:val="single" w:color="000000" w:sz="4" w:space="0"/>
              <w:right w:val="single" w:color="000000" w:sz="4" w:space="0"/>
            </w:tcBorders>
            <w:vAlign w:val="center"/>
          </w:tcPr>
          <w:p w14:paraId="113704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5000×5000/30kw/380v</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6C693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3CBC9F4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D308E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AD7F5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9F14B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车床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18D7E8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斗山 LYNX220</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E097A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3B4B2E8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B3712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ACCA8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185D19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精雕机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46A511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德夫曼 DFM-G400-Z4</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5ADE5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4172B0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E43E9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E5337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98269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烧结炉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1B1FCF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韩国烧结炉 KF2017-1001/费舍罗烧结炉 FZL-320117</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E5814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0A41280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07D950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6FEA6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25347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成型磨床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2FDA43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普创  PGS-618M</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35D38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0FB9F94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00A8B2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2DEBB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15BCD3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数控外圆磨床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080E83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上海机床MKA1320C/H</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FCE12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1C03325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C9CDC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8B3C9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44427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平面磨床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459B1B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普创自动平面磨床 PGC-50150AHD/韩国 Youji YGS-2512SCYZ</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A7EC2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2B47048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1AF42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BA803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7A49B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手动外圆磨床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00E73F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豪特曼 FX32-60</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282B4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AB5F6E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E84AC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2CFB4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1551B8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工具磨床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7B18D2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豪特曼万能工具磨床 FX-40/营口万能工具磨床 2M91256</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25E67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114E289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1CE3F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05AC6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574F0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无心磨床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323C2C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富信成 HX80-518S</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9710E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B7AD1A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E7920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7E82A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0BAED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MCT</w:t>
            </w:r>
          </w:p>
        </w:tc>
        <w:tc>
          <w:tcPr>
            <w:tcW w:w="2559" w:type="dxa"/>
            <w:tcBorders>
              <w:top w:val="single" w:color="000000" w:sz="4" w:space="0"/>
              <w:left w:val="single" w:color="000000" w:sz="4" w:space="0"/>
              <w:bottom w:val="single" w:color="000000" w:sz="4" w:space="0"/>
              <w:right w:val="single" w:color="000000" w:sz="4" w:space="0"/>
            </w:tcBorders>
            <w:vAlign w:val="center"/>
          </w:tcPr>
          <w:p w14:paraId="4E310EE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颖元/捷甬达</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B15B9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5836330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1C8A4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95586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12167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激光打标机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798F4A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ALF-N20/ALC-N10W</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93BDA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4711CCC">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25061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0B24F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39130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影像仪</w:t>
            </w:r>
          </w:p>
        </w:tc>
        <w:tc>
          <w:tcPr>
            <w:tcW w:w="2559" w:type="dxa"/>
            <w:tcBorders>
              <w:top w:val="single" w:color="000000" w:sz="4" w:space="0"/>
              <w:left w:val="single" w:color="000000" w:sz="4" w:space="0"/>
              <w:bottom w:val="single" w:color="000000" w:sz="4" w:space="0"/>
              <w:right w:val="single" w:color="000000" w:sz="4" w:space="0"/>
            </w:tcBorders>
            <w:vAlign w:val="center"/>
          </w:tcPr>
          <w:p w14:paraId="53FB7D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德仁652</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21897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FDDF11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26A7E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A7183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FD623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三坐标</w:t>
            </w:r>
          </w:p>
        </w:tc>
        <w:tc>
          <w:tcPr>
            <w:tcW w:w="2559" w:type="dxa"/>
            <w:tcBorders>
              <w:top w:val="single" w:color="000000" w:sz="4" w:space="0"/>
              <w:left w:val="single" w:color="000000" w:sz="4" w:space="0"/>
              <w:bottom w:val="single" w:color="000000" w:sz="4" w:space="0"/>
              <w:right w:val="single" w:color="000000" w:sz="4" w:space="0"/>
            </w:tcBorders>
            <w:vAlign w:val="center"/>
          </w:tcPr>
          <w:p w14:paraId="051CA5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德仁81206/海克斯康8106/海克斯康102108</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6FCEB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19C8D2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07753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CD011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53CE0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气氛炉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3B7C74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4000×5000/75kw/380V</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09D67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489719B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0DE02E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C5CC9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EA1FD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500T油压机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77DB8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5000×5000/25kw/380v</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D2752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D91755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7C2F6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D717E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61D9A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DIP</w:t>
            </w:r>
          </w:p>
        </w:tc>
        <w:tc>
          <w:tcPr>
            <w:tcW w:w="2559" w:type="dxa"/>
            <w:tcBorders>
              <w:top w:val="single" w:color="000000" w:sz="4" w:space="0"/>
              <w:left w:val="single" w:color="000000" w:sz="4" w:space="0"/>
              <w:bottom w:val="single" w:color="000000" w:sz="4" w:space="0"/>
              <w:right w:val="single" w:color="000000" w:sz="4" w:space="0"/>
            </w:tcBorders>
            <w:vAlign w:val="center"/>
          </w:tcPr>
          <w:p w14:paraId="78AB47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2000×4000/20kw/380V</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DEB79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B5F71A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04F92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7C08B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0A29E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震动台</w:t>
            </w:r>
          </w:p>
        </w:tc>
        <w:tc>
          <w:tcPr>
            <w:tcW w:w="2559" w:type="dxa"/>
            <w:tcBorders>
              <w:top w:val="single" w:color="000000" w:sz="4" w:space="0"/>
              <w:left w:val="single" w:color="000000" w:sz="4" w:space="0"/>
              <w:bottom w:val="single" w:color="000000" w:sz="4" w:space="0"/>
              <w:right w:val="single" w:color="000000" w:sz="4" w:space="0"/>
            </w:tcBorders>
            <w:vAlign w:val="center"/>
          </w:tcPr>
          <w:p w14:paraId="39AF2F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3000×3000/5kw/380V</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10B7EF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826ED2A">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179716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A59B8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EFAC4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真空包装机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75637A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3000×3000/20kw/380V</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463EA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4D4EEE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86529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BF59A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82E03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CNC</w:t>
            </w:r>
          </w:p>
        </w:tc>
        <w:tc>
          <w:tcPr>
            <w:tcW w:w="2559" w:type="dxa"/>
            <w:tcBorders>
              <w:top w:val="single" w:color="000000" w:sz="4" w:space="0"/>
              <w:left w:val="single" w:color="000000" w:sz="4" w:space="0"/>
              <w:bottom w:val="single" w:color="000000" w:sz="4" w:space="0"/>
              <w:right w:val="single" w:color="000000" w:sz="4" w:space="0"/>
            </w:tcBorders>
            <w:vAlign w:val="center"/>
          </w:tcPr>
          <w:p w14:paraId="784BD2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3000×4000/20kw/380V</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FD0B5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735FDB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07DCFE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4113A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4020F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加热台</w:t>
            </w:r>
          </w:p>
        </w:tc>
        <w:tc>
          <w:tcPr>
            <w:tcW w:w="2559" w:type="dxa"/>
            <w:tcBorders>
              <w:top w:val="single" w:color="000000" w:sz="4" w:space="0"/>
              <w:left w:val="single" w:color="000000" w:sz="4" w:space="0"/>
              <w:bottom w:val="single" w:color="000000" w:sz="4" w:space="0"/>
              <w:right w:val="single" w:color="000000" w:sz="4" w:space="0"/>
            </w:tcBorders>
            <w:vAlign w:val="center"/>
          </w:tcPr>
          <w:p w14:paraId="3E22D8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2000×1300</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9CAE1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E3BB31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D5332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BC109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78933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平面磨床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359410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YGS-2512SCYZ</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C4A6C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BDB366A">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3520D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DE00E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7AB84C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龙门加工中心</w:t>
            </w:r>
          </w:p>
        </w:tc>
        <w:tc>
          <w:tcPr>
            <w:tcW w:w="2559" w:type="dxa"/>
            <w:tcBorders>
              <w:top w:val="single" w:color="000000" w:sz="4" w:space="0"/>
              <w:left w:val="single" w:color="000000" w:sz="4" w:space="0"/>
              <w:bottom w:val="single" w:color="000000" w:sz="4" w:space="0"/>
              <w:right w:val="single" w:color="000000" w:sz="4" w:space="0"/>
            </w:tcBorders>
            <w:vAlign w:val="center"/>
          </w:tcPr>
          <w:p w14:paraId="5A11BF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BTMC-0814</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5DC34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ABA6A2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3C350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6E6EB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3E8F0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加工中心</w:t>
            </w:r>
          </w:p>
        </w:tc>
        <w:tc>
          <w:tcPr>
            <w:tcW w:w="2559" w:type="dxa"/>
            <w:tcBorders>
              <w:top w:val="single" w:color="000000" w:sz="4" w:space="0"/>
              <w:left w:val="single" w:color="000000" w:sz="4" w:space="0"/>
              <w:bottom w:val="single" w:color="000000" w:sz="4" w:space="0"/>
              <w:right w:val="single" w:color="000000" w:sz="4" w:space="0"/>
            </w:tcBorders>
            <w:vAlign w:val="center"/>
          </w:tcPr>
          <w:p w14:paraId="2A63EB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VMC-FU2101AF</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65876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06F2BA1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C8615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F0430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1EB899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龙门加工中心</w:t>
            </w:r>
          </w:p>
        </w:tc>
        <w:tc>
          <w:tcPr>
            <w:tcW w:w="2559" w:type="dxa"/>
            <w:tcBorders>
              <w:top w:val="single" w:color="000000" w:sz="4" w:space="0"/>
              <w:left w:val="single" w:color="000000" w:sz="4" w:space="0"/>
              <w:bottom w:val="single" w:color="000000" w:sz="4" w:space="0"/>
              <w:right w:val="single" w:color="000000" w:sz="4" w:space="0"/>
            </w:tcBorders>
            <w:vAlign w:val="center"/>
          </w:tcPr>
          <w:p w14:paraId="2AF4A9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BTMC(L)-0812</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7168B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98C185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8D8EE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54B13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C2AF1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平面磨床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26825A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PGC-50150AHD</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1D814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04A242A">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E8D6D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2B3BF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4B3A3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加工中心</w:t>
            </w:r>
          </w:p>
        </w:tc>
        <w:tc>
          <w:tcPr>
            <w:tcW w:w="2559" w:type="dxa"/>
            <w:tcBorders>
              <w:top w:val="single" w:color="000000" w:sz="4" w:space="0"/>
              <w:left w:val="single" w:color="000000" w:sz="4" w:space="0"/>
              <w:bottom w:val="single" w:color="000000" w:sz="4" w:space="0"/>
              <w:right w:val="single" w:color="000000" w:sz="4" w:space="0"/>
            </w:tcBorders>
            <w:vAlign w:val="center"/>
          </w:tcPr>
          <w:p w14:paraId="2A9F64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VMC-AP1000AF</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FD242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59BE08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75A22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7E36D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ADC26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数控外圆磨床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3AAF8A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MKA132C/H</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B65A5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5464F95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80143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39028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C72D4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众肯高精密外圆磨床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5C3D8F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FX32-60</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0A6A7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8DB909C">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0BF67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9E28B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32035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众肯高精密无心磨床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15AFA2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FX-18S</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DEF1A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5BFB1B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0A4779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30473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CBCE1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推板试自动送/推料机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453239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无心磨床用</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2D879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CD3B81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1610AB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89872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B6236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精雕机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71C6C9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DFM-G400-Z4</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22B29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78896C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14AED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29587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D8643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斗山数控车床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72DECC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Lynx220B-NT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85107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58217AC">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1E0E13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D1BB8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B87DC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曦华干袋式等静压机DIP</w:t>
            </w:r>
          </w:p>
        </w:tc>
        <w:tc>
          <w:tcPr>
            <w:tcW w:w="2559" w:type="dxa"/>
            <w:tcBorders>
              <w:top w:val="single" w:color="000000" w:sz="4" w:space="0"/>
              <w:left w:val="single" w:color="000000" w:sz="4" w:space="0"/>
              <w:bottom w:val="single" w:color="000000" w:sz="4" w:space="0"/>
              <w:right w:val="single" w:color="000000" w:sz="4" w:space="0"/>
            </w:tcBorders>
            <w:vAlign w:val="center"/>
          </w:tcPr>
          <w:p w14:paraId="3624C6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XH-850A</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BE75A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601CCD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AD2E7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800F3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784B7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冷等静压机CIP</w:t>
            </w:r>
          </w:p>
        </w:tc>
        <w:tc>
          <w:tcPr>
            <w:tcW w:w="2559" w:type="dxa"/>
            <w:tcBorders>
              <w:top w:val="single" w:color="000000" w:sz="4" w:space="0"/>
              <w:left w:val="single" w:color="000000" w:sz="4" w:space="0"/>
              <w:bottom w:val="single" w:color="000000" w:sz="4" w:space="0"/>
              <w:right w:val="single" w:color="000000" w:sz="4" w:space="0"/>
            </w:tcBorders>
            <w:vAlign w:val="center"/>
          </w:tcPr>
          <w:p w14:paraId="097656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ZA-CIP-001</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1BD142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F8A8FA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E1B9A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3F40D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14C02F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万能工具磨床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2BEF11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2M9125C</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D7654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4BA565C">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1B534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F9DE6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57B2CA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万能工具磨床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010F8D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FX-40</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CC1DF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CD485F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B8FD2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799B1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E4876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普创（手动）平面磨床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3CF5D2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PGS-618M</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DABA4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2C6505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00255A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3FFA3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1397E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可控气氛任务处理炉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45AD37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TM-EA808060F</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132BE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02F8160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D05F1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81837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408BC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钟罩式烧结炉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5E2C5D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FZL-320/17</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6F93F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7A73250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0270FA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14:paraId="434AE8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碳化硅产品生产线</w:t>
            </w: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BD0C3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CVD SIC 再生设备</w:t>
            </w:r>
          </w:p>
        </w:tc>
        <w:tc>
          <w:tcPr>
            <w:tcW w:w="2559" w:type="dxa"/>
            <w:tcBorders>
              <w:top w:val="single" w:color="000000" w:sz="4" w:space="0"/>
              <w:left w:val="single" w:color="000000" w:sz="4" w:space="0"/>
              <w:bottom w:val="single" w:color="000000" w:sz="4" w:space="0"/>
              <w:right w:val="single" w:color="000000" w:sz="4" w:space="0"/>
            </w:tcBorders>
            <w:vAlign w:val="center"/>
          </w:tcPr>
          <w:p w14:paraId="02FA13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定制设备</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EBE6D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26710F5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E6014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706CF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1B5140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真空泵</w:t>
            </w:r>
          </w:p>
        </w:tc>
        <w:tc>
          <w:tcPr>
            <w:tcW w:w="2559" w:type="dxa"/>
            <w:tcBorders>
              <w:top w:val="single" w:color="000000" w:sz="4" w:space="0"/>
              <w:left w:val="single" w:color="000000" w:sz="4" w:space="0"/>
              <w:bottom w:val="single" w:color="000000" w:sz="4" w:space="0"/>
              <w:right w:val="single" w:color="000000" w:sz="4" w:space="0"/>
            </w:tcBorders>
            <w:vAlign w:val="center"/>
          </w:tcPr>
          <w:p w14:paraId="171115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583A5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F79BF2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A676A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C6429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9872D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叉车</w:t>
            </w:r>
          </w:p>
        </w:tc>
        <w:tc>
          <w:tcPr>
            <w:tcW w:w="2559" w:type="dxa"/>
            <w:tcBorders>
              <w:top w:val="single" w:color="000000" w:sz="4" w:space="0"/>
              <w:left w:val="single" w:color="000000" w:sz="4" w:space="0"/>
              <w:bottom w:val="single" w:color="000000" w:sz="4" w:space="0"/>
              <w:right w:val="single" w:color="000000" w:sz="4" w:space="0"/>
            </w:tcBorders>
            <w:vAlign w:val="center"/>
          </w:tcPr>
          <w:p w14:paraId="11F936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合力</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0A185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5B4D76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CA711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067E4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CC34F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防爆吸尘器</w:t>
            </w:r>
          </w:p>
        </w:tc>
        <w:tc>
          <w:tcPr>
            <w:tcW w:w="2559" w:type="dxa"/>
            <w:tcBorders>
              <w:top w:val="single" w:color="000000" w:sz="4" w:space="0"/>
              <w:left w:val="single" w:color="000000" w:sz="4" w:space="0"/>
              <w:bottom w:val="single" w:color="000000" w:sz="4" w:space="0"/>
              <w:right w:val="single" w:color="000000" w:sz="4" w:space="0"/>
            </w:tcBorders>
            <w:vAlign w:val="center"/>
          </w:tcPr>
          <w:p w14:paraId="7BD430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164665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F2E4EA5">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5B974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6C753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7C936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氦气质谱仪</w:t>
            </w:r>
          </w:p>
        </w:tc>
        <w:tc>
          <w:tcPr>
            <w:tcW w:w="2559" w:type="dxa"/>
            <w:tcBorders>
              <w:top w:val="single" w:color="000000" w:sz="4" w:space="0"/>
              <w:left w:val="single" w:color="000000" w:sz="4" w:space="0"/>
              <w:bottom w:val="single" w:color="000000" w:sz="4" w:space="0"/>
              <w:right w:val="single" w:color="000000" w:sz="4" w:space="0"/>
            </w:tcBorders>
            <w:vAlign w:val="center"/>
          </w:tcPr>
          <w:p w14:paraId="3D48D2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DCA26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30B10A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E8BE4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7D3D7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65120C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测电阻仪器-高电阻(四探针）</w:t>
            </w:r>
          </w:p>
        </w:tc>
        <w:tc>
          <w:tcPr>
            <w:tcW w:w="2559" w:type="dxa"/>
            <w:tcBorders>
              <w:top w:val="single" w:color="000000" w:sz="4" w:space="0"/>
              <w:left w:val="single" w:color="000000" w:sz="4" w:space="0"/>
              <w:bottom w:val="single" w:color="000000" w:sz="4" w:space="0"/>
              <w:right w:val="single" w:color="000000" w:sz="4" w:space="0"/>
            </w:tcBorders>
            <w:vAlign w:val="center"/>
          </w:tcPr>
          <w:p w14:paraId="006EEE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ACBAF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57DCD2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A89F5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992E0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02AB70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行车</w:t>
            </w:r>
          </w:p>
        </w:tc>
        <w:tc>
          <w:tcPr>
            <w:tcW w:w="2559" w:type="dxa"/>
            <w:tcBorders>
              <w:top w:val="single" w:color="000000" w:sz="4" w:space="0"/>
              <w:left w:val="single" w:color="000000" w:sz="4" w:space="0"/>
              <w:bottom w:val="single" w:color="000000" w:sz="4" w:space="0"/>
              <w:right w:val="single" w:color="000000" w:sz="4" w:space="0"/>
            </w:tcBorders>
            <w:vAlign w:val="center"/>
          </w:tcPr>
          <w:p w14:paraId="05FB53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15BC57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F43ABE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6343F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D6C4A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4E711E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H2，N2，Ar，CDA管道及设备</w:t>
            </w:r>
          </w:p>
        </w:tc>
        <w:tc>
          <w:tcPr>
            <w:tcW w:w="2559" w:type="dxa"/>
            <w:tcBorders>
              <w:top w:val="single" w:color="000000" w:sz="4" w:space="0"/>
              <w:left w:val="single" w:color="000000" w:sz="4" w:space="0"/>
              <w:bottom w:val="single" w:color="000000" w:sz="4" w:space="0"/>
              <w:right w:val="single" w:color="000000" w:sz="4" w:space="0"/>
            </w:tcBorders>
            <w:vAlign w:val="center"/>
          </w:tcPr>
          <w:p w14:paraId="64BA76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定制</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0595C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C7D95F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227DE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E7E2D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199AE7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CVD炉新品设备</w:t>
            </w:r>
          </w:p>
        </w:tc>
        <w:tc>
          <w:tcPr>
            <w:tcW w:w="2559" w:type="dxa"/>
            <w:tcBorders>
              <w:top w:val="single" w:color="000000" w:sz="4" w:space="0"/>
              <w:left w:val="single" w:color="000000" w:sz="4" w:space="0"/>
              <w:bottom w:val="single" w:color="000000" w:sz="4" w:space="0"/>
              <w:right w:val="single" w:color="000000" w:sz="4" w:space="0"/>
            </w:tcBorders>
            <w:vAlign w:val="center"/>
          </w:tcPr>
          <w:p w14:paraId="66B433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A182C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302384C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78EE03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E16E9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00911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CDA空压机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6E947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1E72AB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79F225A">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DAA19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1B2F7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9D6F3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冷却机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365355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615A6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4774136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2EF5C6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5D523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7CB59C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冷却水箱</w:t>
            </w:r>
          </w:p>
        </w:tc>
        <w:tc>
          <w:tcPr>
            <w:tcW w:w="2559" w:type="dxa"/>
            <w:tcBorders>
              <w:top w:val="single" w:color="000000" w:sz="4" w:space="0"/>
              <w:left w:val="single" w:color="000000" w:sz="4" w:space="0"/>
              <w:bottom w:val="single" w:color="000000" w:sz="4" w:space="0"/>
              <w:right w:val="single" w:color="000000" w:sz="4" w:space="0"/>
            </w:tcBorders>
            <w:vAlign w:val="center"/>
          </w:tcPr>
          <w:p w14:paraId="5E52DC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BD5E3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1C3FDF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4B1870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392F1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73D9B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冷却水循环泵</w:t>
            </w:r>
          </w:p>
        </w:tc>
        <w:tc>
          <w:tcPr>
            <w:tcW w:w="2559" w:type="dxa"/>
            <w:tcBorders>
              <w:top w:val="single" w:color="000000" w:sz="4" w:space="0"/>
              <w:left w:val="single" w:color="000000" w:sz="4" w:space="0"/>
              <w:bottom w:val="single" w:color="000000" w:sz="4" w:space="0"/>
              <w:right w:val="single" w:color="000000" w:sz="4" w:space="0"/>
            </w:tcBorders>
            <w:vAlign w:val="center"/>
          </w:tcPr>
          <w:p w14:paraId="517174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8A234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6470216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66F3D2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2E591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2C1E3C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压滤机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1EFC21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1250液压隔膜250平</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9AF48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570AF8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3CBEB5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B3864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D6A9E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测厚仪</w:t>
            </w:r>
          </w:p>
        </w:tc>
        <w:tc>
          <w:tcPr>
            <w:tcW w:w="2559" w:type="dxa"/>
            <w:tcBorders>
              <w:top w:val="single" w:color="000000" w:sz="4" w:space="0"/>
              <w:left w:val="single" w:color="000000" w:sz="4" w:space="0"/>
              <w:bottom w:val="single" w:color="000000" w:sz="4" w:space="0"/>
              <w:right w:val="single" w:color="000000" w:sz="4" w:space="0"/>
            </w:tcBorders>
            <w:vAlign w:val="center"/>
          </w:tcPr>
          <w:p w14:paraId="3E5DD7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Niton™ XL3t XRF</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11032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0FEC44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noWrap/>
            <w:vAlign w:val="center"/>
          </w:tcPr>
          <w:p w14:paraId="5F0AB9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97ADC6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noWrap/>
            <w:vAlign w:val="center"/>
          </w:tcPr>
          <w:p w14:paraId="39656B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测阻仪</w:t>
            </w:r>
          </w:p>
        </w:tc>
        <w:tc>
          <w:tcPr>
            <w:tcW w:w="2559" w:type="dxa"/>
            <w:tcBorders>
              <w:top w:val="single" w:color="000000" w:sz="4" w:space="0"/>
              <w:left w:val="single" w:color="000000" w:sz="4" w:space="0"/>
              <w:bottom w:val="single" w:color="000000" w:sz="4" w:space="0"/>
              <w:right w:val="single" w:color="000000" w:sz="4" w:space="0"/>
            </w:tcBorders>
            <w:vAlign w:val="center"/>
          </w:tcPr>
          <w:p w14:paraId="02DEB2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478FF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36DC8B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8BB88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14:paraId="7D74E6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静电卡盘ESC（LAM374）</w:t>
            </w:r>
          </w:p>
        </w:tc>
        <w:tc>
          <w:tcPr>
            <w:tcW w:w="2970" w:type="dxa"/>
            <w:tcBorders>
              <w:top w:val="single" w:color="000000" w:sz="4" w:space="0"/>
              <w:left w:val="single" w:color="000000" w:sz="4" w:space="0"/>
              <w:bottom w:val="single" w:color="000000" w:sz="4" w:space="0"/>
              <w:right w:val="single" w:color="000000" w:sz="4" w:space="0"/>
            </w:tcBorders>
            <w:vAlign w:val="center"/>
          </w:tcPr>
          <w:p w14:paraId="08AEF8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流延机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3B7F60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23140*1370*2100</w:t>
            </w:r>
          </w:p>
        </w:tc>
        <w:tc>
          <w:tcPr>
            <w:tcW w:w="1071" w:type="dxa"/>
            <w:tcBorders>
              <w:top w:val="single" w:color="000000" w:sz="4" w:space="0"/>
              <w:left w:val="single" w:color="000000" w:sz="4" w:space="0"/>
              <w:bottom w:val="single" w:color="000000" w:sz="4" w:space="0"/>
              <w:right w:val="single" w:color="000000" w:sz="4" w:space="0"/>
            </w:tcBorders>
            <w:vAlign w:val="center"/>
          </w:tcPr>
          <w:p w14:paraId="209587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90305C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5BAED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F22F9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6BD927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叠层机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04D1D4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1800*1700*2720</w:t>
            </w:r>
          </w:p>
        </w:tc>
        <w:tc>
          <w:tcPr>
            <w:tcW w:w="1071" w:type="dxa"/>
            <w:tcBorders>
              <w:top w:val="single" w:color="000000" w:sz="4" w:space="0"/>
              <w:left w:val="single" w:color="000000" w:sz="4" w:space="0"/>
              <w:bottom w:val="single" w:color="000000" w:sz="4" w:space="0"/>
              <w:right w:val="single" w:color="000000" w:sz="4" w:space="0"/>
            </w:tcBorders>
            <w:vAlign w:val="center"/>
          </w:tcPr>
          <w:p w14:paraId="00CE64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6DB306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401A5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E2959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35A04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温等静压机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5F6397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2100*1320*2600</w:t>
            </w:r>
          </w:p>
        </w:tc>
        <w:tc>
          <w:tcPr>
            <w:tcW w:w="1071" w:type="dxa"/>
            <w:tcBorders>
              <w:top w:val="single" w:color="000000" w:sz="4" w:space="0"/>
              <w:left w:val="single" w:color="000000" w:sz="4" w:space="0"/>
              <w:bottom w:val="single" w:color="000000" w:sz="4" w:space="0"/>
              <w:right w:val="single" w:color="000000" w:sz="4" w:space="0"/>
            </w:tcBorders>
            <w:vAlign w:val="center"/>
          </w:tcPr>
          <w:p w14:paraId="0AC446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4AC8C1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1DDCF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56A0A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02525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丝网印刷机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2C295A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2546*1385*1906</w:t>
            </w:r>
          </w:p>
        </w:tc>
        <w:tc>
          <w:tcPr>
            <w:tcW w:w="1071" w:type="dxa"/>
            <w:tcBorders>
              <w:top w:val="single" w:color="000000" w:sz="4" w:space="0"/>
              <w:left w:val="single" w:color="000000" w:sz="4" w:space="0"/>
              <w:bottom w:val="single" w:color="000000" w:sz="4" w:space="0"/>
              <w:right w:val="single" w:color="000000" w:sz="4" w:space="0"/>
            </w:tcBorders>
            <w:vAlign w:val="center"/>
          </w:tcPr>
          <w:p w14:paraId="4986D5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E65D8B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A8734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FF262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0C372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激光打孔机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50805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1690*1740*1665</w:t>
            </w:r>
          </w:p>
        </w:tc>
        <w:tc>
          <w:tcPr>
            <w:tcW w:w="1071" w:type="dxa"/>
            <w:tcBorders>
              <w:top w:val="single" w:color="000000" w:sz="4" w:space="0"/>
              <w:left w:val="single" w:color="000000" w:sz="4" w:space="0"/>
              <w:bottom w:val="single" w:color="000000" w:sz="4" w:space="0"/>
              <w:right w:val="single" w:color="000000" w:sz="4" w:space="0"/>
            </w:tcBorders>
            <w:vAlign w:val="center"/>
          </w:tcPr>
          <w:p w14:paraId="7FC7C8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5FCA64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43791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2E76E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374A5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烘箱</w:t>
            </w:r>
          </w:p>
        </w:tc>
        <w:tc>
          <w:tcPr>
            <w:tcW w:w="2559" w:type="dxa"/>
            <w:tcBorders>
              <w:top w:val="single" w:color="000000" w:sz="4" w:space="0"/>
              <w:left w:val="single" w:color="000000" w:sz="4" w:space="0"/>
              <w:bottom w:val="single" w:color="000000" w:sz="4" w:space="0"/>
              <w:right w:val="single" w:color="000000" w:sz="4" w:space="0"/>
            </w:tcBorders>
            <w:vAlign w:val="center"/>
          </w:tcPr>
          <w:p w14:paraId="5D108B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5EB7A3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41B1892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884E2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CFE35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6F5D3D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自动裁切机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71419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620*930*500</w:t>
            </w:r>
          </w:p>
        </w:tc>
        <w:tc>
          <w:tcPr>
            <w:tcW w:w="1071" w:type="dxa"/>
            <w:tcBorders>
              <w:top w:val="single" w:color="000000" w:sz="4" w:space="0"/>
              <w:left w:val="single" w:color="000000" w:sz="4" w:space="0"/>
              <w:bottom w:val="single" w:color="000000" w:sz="4" w:space="0"/>
              <w:right w:val="single" w:color="000000" w:sz="4" w:space="0"/>
            </w:tcBorders>
            <w:vAlign w:val="center"/>
          </w:tcPr>
          <w:p w14:paraId="091D3C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CD3C6A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2E704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3AADE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D3042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离心脱泡机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4F6C09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380*300*340</w:t>
            </w:r>
          </w:p>
        </w:tc>
        <w:tc>
          <w:tcPr>
            <w:tcW w:w="1071" w:type="dxa"/>
            <w:tcBorders>
              <w:top w:val="single" w:color="000000" w:sz="4" w:space="0"/>
              <w:left w:val="single" w:color="000000" w:sz="4" w:space="0"/>
              <w:bottom w:val="single" w:color="000000" w:sz="4" w:space="0"/>
              <w:right w:val="single" w:color="000000" w:sz="4" w:space="0"/>
            </w:tcBorders>
            <w:vAlign w:val="center"/>
          </w:tcPr>
          <w:p w14:paraId="7EAA78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F257DA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377DB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835C5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1F95D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真空包装机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16742D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1000*1000*800</w:t>
            </w:r>
          </w:p>
        </w:tc>
        <w:tc>
          <w:tcPr>
            <w:tcW w:w="1071" w:type="dxa"/>
            <w:tcBorders>
              <w:top w:val="single" w:color="000000" w:sz="4" w:space="0"/>
              <w:left w:val="single" w:color="000000" w:sz="4" w:space="0"/>
              <w:bottom w:val="single" w:color="000000" w:sz="4" w:space="0"/>
              <w:right w:val="single" w:color="000000" w:sz="4" w:space="0"/>
            </w:tcBorders>
            <w:vAlign w:val="center"/>
          </w:tcPr>
          <w:p w14:paraId="01F781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358711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C51C1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78533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C069E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烧结炉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14F1D8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5270*3000*4100</w:t>
            </w:r>
          </w:p>
        </w:tc>
        <w:tc>
          <w:tcPr>
            <w:tcW w:w="1071" w:type="dxa"/>
            <w:tcBorders>
              <w:top w:val="single" w:color="000000" w:sz="4" w:space="0"/>
              <w:left w:val="single" w:color="000000" w:sz="4" w:space="0"/>
              <w:bottom w:val="single" w:color="000000" w:sz="4" w:space="0"/>
              <w:right w:val="single" w:color="000000" w:sz="4" w:space="0"/>
            </w:tcBorders>
            <w:vAlign w:val="center"/>
          </w:tcPr>
          <w:p w14:paraId="1D063C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5C8B48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2F6BA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E5D76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32A16A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排胶炉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75877C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4000*2000*4013</w:t>
            </w:r>
          </w:p>
        </w:tc>
        <w:tc>
          <w:tcPr>
            <w:tcW w:w="1071" w:type="dxa"/>
            <w:tcBorders>
              <w:top w:val="single" w:color="000000" w:sz="4" w:space="0"/>
              <w:left w:val="single" w:color="000000" w:sz="4" w:space="0"/>
              <w:bottom w:val="single" w:color="000000" w:sz="4" w:space="0"/>
              <w:right w:val="single" w:color="000000" w:sz="4" w:space="0"/>
            </w:tcBorders>
            <w:vAlign w:val="center"/>
          </w:tcPr>
          <w:p w14:paraId="69B166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DFEC7C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FC276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256AB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1F525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三坐标</w:t>
            </w:r>
          </w:p>
        </w:tc>
        <w:tc>
          <w:tcPr>
            <w:tcW w:w="2559" w:type="dxa"/>
            <w:tcBorders>
              <w:top w:val="single" w:color="000000" w:sz="4" w:space="0"/>
              <w:left w:val="single" w:color="000000" w:sz="4" w:space="0"/>
              <w:bottom w:val="single" w:color="000000" w:sz="4" w:space="0"/>
              <w:right w:val="single" w:color="000000" w:sz="4" w:space="0"/>
            </w:tcBorders>
            <w:vAlign w:val="center"/>
          </w:tcPr>
          <w:p w14:paraId="74A3B2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1277*1908*2777</w:t>
            </w:r>
          </w:p>
        </w:tc>
        <w:tc>
          <w:tcPr>
            <w:tcW w:w="1071" w:type="dxa"/>
            <w:tcBorders>
              <w:top w:val="single" w:color="000000" w:sz="4" w:space="0"/>
              <w:left w:val="single" w:color="000000" w:sz="4" w:space="0"/>
              <w:bottom w:val="single" w:color="000000" w:sz="4" w:space="0"/>
              <w:right w:val="single" w:color="000000" w:sz="4" w:space="0"/>
            </w:tcBorders>
            <w:vAlign w:val="center"/>
          </w:tcPr>
          <w:p w14:paraId="470536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BC69E7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24232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08A99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01D3E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非接触式三坐标</w:t>
            </w:r>
          </w:p>
        </w:tc>
        <w:tc>
          <w:tcPr>
            <w:tcW w:w="2559" w:type="dxa"/>
            <w:tcBorders>
              <w:top w:val="single" w:color="000000" w:sz="4" w:space="0"/>
              <w:left w:val="single" w:color="000000" w:sz="4" w:space="0"/>
              <w:bottom w:val="single" w:color="000000" w:sz="4" w:space="0"/>
              <w:right w:val="single" w:color="000000" w:sz="4" w:space="0"/>
            </w:tcBorders>
            <w:vAlign w:val="center"/>
          </w:tcPr>
          <w:p w14:paraId="3CE0FA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1110*1480*1750</w:t>
            </w:r>
          </w:p>
        </w:tc>
        <w:tc>
          <w:tcPr>
            <w:tcW w:w="1071" w:type="dxa"/>
            <w:tcBorders>
              <w:top w:val="single" w:color="000000" w:sz="4" w:space="0"/>
              <w:left w:val="single" w:color="000000" w:sz="4" w:space="0"/>
              <w:bottom w:val="single" w:color="000000" w:sz="4" w:space="0"/>
              <w:right w:val="single" w:color="000000" w:sz="4" w:space="0"/>
            </w:tcBorders>
            <w:vAlign w:val="center"/>
          </w:tcPr>
          <w:p w14:paraId="1DEB02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FDF5468">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DB974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EB71A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517AF6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Testchamber</w:t>
            </w:r>
          </w:p>
        </w:tc>
        <w:tc>
          <w:tcPr>
            <w:tcW w:w="2559" w:type="dxa"/>
            <w:tcBorders>
              <w:top w:val="single" w:color="000000" w:sz="4" w:space="0"/>
              <w:left w:val="single" w:color="000000" w:sz="4" w:space="0"/>
              <w:bottom w:val="single" w:color="000000" w:sz="4" w:space="0"/>
              <w:right w:val="single" w:color="000000" w:sz="4" w:space="0"/>
            </w:tcBorders>
            <w:vAlign w:val="center"/>
          </w:tcPr>
          <w:p w14:paraId="754B32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2180*910*1715</w:t>
            </w:r>
          </w:p>
        </w:tc>
        <w:tc>
          <w:tcPr>
            <w:tcW w:w="1071" w:type="dxa"/>
            <w:tcBorders>
              <w:top w:val="single" w:color="000000" w:sz="4" w:space="0"/>
              <w:left w:val="single" w:color="000000" w:sz="4" w:space="0"/>
              <w:bottom w:val="single" w:color="000000" w:sz="4" w:space="0"/>
              <w:right w:val="single" w:color="000000" w:sz="4" w:space="0"/>
            </w:tcBorders>
            <w:vAlign w:val="center"/>
          </w:tcPr>
          <w:p w14:paraId="60D82A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BC1D0A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5B613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50FD5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B872F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耐电压</w:t>
            </w:r>
          </w:p>
        </w:tc>
        <w:tc>
          <w:tcPr>
            <w:tcW w:w="2559" w:type="dxa"/>
            <w:tcBorders>
              <w:top w:val="single" w:color="000000" w:sz="4" w:space="0"/>
              <w:left w:val="single" w:color="000000" w:sz="4" w:space="0"/>
              <w:bottom w:val="single" w:color="000000" w:sz="4" w:space="0"/>
              <w:right w:val="single" w:color="000000" w:sz="4" w:space="0"/>
            </w:tcBorders>
            <w:vAlign w:val="center"/>
          </w:tcPr>
          <w:p w14:paraId="1C34BB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2E0909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54B0388">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56D84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571F4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FCDD7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清洗槽</w:t>
            </w:r>
          </w:p>
        </w:tc>
        <w:tc>
          <w:tcPr>
            <w:tcW w:w="2559" w:type="dxa"/>
            <w:tcBorders>
              <w:top w:val="single" w:color="000000" w:sz="4" w:space="0"/>
              <w:left w:val="single" w:color="000000" w:sz="4" w:space="0"/>
              <w:bottom w:val="single" w:color="000000" w:sz="4" w:space="0"/>
              <w:right w:val="single" w:color="000000" w:sz="4" w:space="0"/>
            </w:tcBorders>
            <w:vAlign w:val="center"/>
          </w:tcPr>
          <w:p w14:paraId="26E08E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0FC435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8C25EE5">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9D37D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18761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61C0E1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超声扫描显微镜</w:t>
            </w:r>
          </w:p>
        </w:tc>
        <w:tc>
          <w:tcPr>
            <w:tcW w:w="2559" w:type="dxa"/>
            <w:tcBorders>
              <w:top w:val="single" w:color="000000" w:sz="4" w:space="0"/>
              <w:left w:val="single" w:color="000000" w:sz="4" w:space="0"/>
              <w:bottom w:val="single" w:color="000000" w:sz="4" w:space="0"/>
              <w:right w:val="single" w:color="000000" w:sz="4" w:space="0"/>
            </w:tcBorders>
            <w:vAlign w:val="center"/>
          </w:tcPr>
          <w:p w14:paraId="3FA248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1900*1550*1650</w:t>
            </w:r>
          </w:p>
        </w:tc>
        <w:tc>
          <w:tcPr>
            <w:tcW w:w="1071" w:type="dxa"/>
            <w:tcBorders>
              <w:top w:val="single" w:color="000000" w:sz="4" w:space="0"/>
              <w:left w:val="single" w:color="000000" w:sz="4" w:space="0"/>
              <w:bottom w:val="single" w:color="000000" w:sz="4" w:space="0"/>
              <w:right w:val="single" w:color="000000" w:sz="4" w:space="0"/>
            </w:tcBorders>
            <w:vAlign w:val="center"/>
          </w:tcPr>
          <w:p w14:paraId="4FB188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650D02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3BF5F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FC4F8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278BC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平面裁切机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0CF128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1AA3BB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C6A5261">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54ED0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B9403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684685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加热平台</w:t>
            </w:r>
          </w:p>
        </w:tc>
        <w:tc>
          <w:tcPr>
            <w:tcW w:w="2559" w:type="dxa"/>
            <w:tcBorders>
              <w:top w:val="single" w:color="000000" w:sz="4" w:space="0"/>
              <w:left w:val="single" w:color="000000" w:sz="4" w:space="0"/>
              <w:bottom w:val="single" w:color="000000" w:sz="4" w:space="0"/>
              <w:right w:val="single" w:color="000000" w:sz="4" w:space="0"/>
            </w:tcBorders>
            <w:vAlign w:val="center"/>
          </w:tcPr>
          <w:p w14:paraId="746A66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30E2EB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75CE367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5E6FF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9E298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3508CE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2DD9F1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870*760*925</w:t>
            </w:r>
          </w:p>
        </w:tc>
        <w:tc>
          <w:tcPr>
            <w:tcW w:w="1071" w:type="dxa"/>
            <w:tcBorders>
              <w:top w:val="single" w:color="000000" w:sz="4" w:space="0"/>
              <w:left w:val="single" w:color="000000" w:sz="4" w:space="0"/>
              <w:bottom w:val="single" w:color="000000" w:sz="4" w:space="0"/>
              <w:right w:val="single" w:color="000000" w:sz="4" w:space="0"/>
            </w:tcBorders>
            <w:vAlign w:val="center"/>
          </w:tcPr>
          <w:p w14:paraId="1D12D0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2ADDD7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30D91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A85AD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356C53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曝光机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17BDE0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6A6A7F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A5CD21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315B9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371C8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1F28FC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清洗槽</w:t>
            </w:r>
          </w:p>
        </w:tc>
        <w:tc>
          <w:tcPr>
            <w:tcW w:w="2559" w:type="dxa"/>
            <w:tcBorders>
              <w:top w:val="single" w:color="000000" w:sz="4" w:space="0"/>
              <w:left w:val="single" w:color="000000" w:sz="4" w:space="0"/>
              <w:bottom w:val="single" w:color="000000" w:sz="4" w:space="0"/>
              <w:right w:val="single" w:color="000000" w:sz="4" w:space="0"/>
            </w:tcBorders>
            <w:vAlign w:val="center"/>
          </w:tcPr>
          <w:p w14:paraId="02709A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34D214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EAE361A">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5F3F7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B6D7F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2CB79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脱泡机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52FAD1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7B34AB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E0D1B7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C5E4A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8592B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FF173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球磨机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3CF7E2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2600*1000*1250</w:t>
            </w:r>
          </w:p>
        </w:tc>
        <w:tc>
          <w:tcPr>
            <w:tcW w:w="1071" w:type="dxa"/>
            <w:tcBorders>
              <w:top w:val="single" w:color="000000" w:sz="4" w:space="0"/>
              <w:left w:val="single" w:color="000000" w:sz="4" w:space="0"/>
              <w:bottom w:val="single" w:color="000000" w:sz="4" w:space="0"/>
              <w:right w:val="single" w:color="000000" w:sz="4" w:space="0"/>
            </w:tcBorders>
            <w:vAlign w:val="center"/>
          </w:tcPr>
          <w:p w14:paraId="0CC288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03DECE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7E34C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5F67F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3C9795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1E51EB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870*760*925</w:t>
            </w:r>
          </w:p>
        </w:tc>
        <w:tc>
          <w:tcPr>
            <w:tcW w:w="1071" w:type="dxa"/>
            <w:tcBorders>
              <w:top w:val="single" w:color="000000" w:sz="4" w:space="0"/>
              <w:left w:val="single" w:color="000000" w:sz="4" w:space="0"/>
              <w:bottom w:val="single" w:color="000000" w:sz="4" w:space="0"/>
              <w:right w:val="single" w:color="000000" w:sz="4" w:space="0"/>
            </w:tcBorders>
            <w:vAlign w:val="center"/>
          </w:tcPr>
          <w:p w14:paraId="47C01D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462B51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2B628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14E7D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B3BD9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清洗槽</w:t>
            </w:r>
          </w:p>
        </w:tc>
        <w:tc>
          <w:tcPr>
            <w:tcW w:w="2559" w:type="dxa"/>
            <w:tcBorders>
              <w:top w:val="single" w:color="000000" w:sz="4" w:space="0"/>
              <w:left w:val="single" w:color="000000" w:sz="4" w:space="0"/>
              <w:bottom w:val="single" w:color="000000" w:sz="4" w:space="0"/>
              <w:right w:val="single" w:color="000000" w:sz="4" w:space="0"/>
            </w:tcBorders>
            <w:vAlign w:val="center"/>
          </w:tcPr>
          <w:p w14:paraId="3224B1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44AE78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9518DF2">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9C99F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70A05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6809E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研磨机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3F4A2F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1C19EA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CF7B6ED">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8BF3D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BAFE6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63CFF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喷砂机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2D3311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1B38CC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A322FDA">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6319D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14:paraId="68743D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石墨部件（含涂层部件）</w:t>
            </w:r>
          </w:p>
        </w:tc>
        <w:tc>
          <w:tcPr>
            <w:tcW w:w="2970" w:type="dxa"/>
            <w:tcBorders>
              <w:top w:val="single" w:color="000000" w:sz="4" w:space="0"/>
              <w:left w:val="single" w:color="000000" w:sz="4" w:space="0"/>
              <w:bottom w:val="single" w:color="000000" w:sz="4" w:space="0"/>
              <w:right w:val="single" w:color="000000" w:sz="4" w:space="0"/>
            </w:tcBorders>
            <w:vAlign w:val="center"/>
          </w:tcPr>
          <w:p w14:paraId="4E7B3B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立式数控砂线切割机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89DCB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08A3AD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4C300A8">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26282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82808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12E2C8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立式带锯床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2140C0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4C2865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F0B270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7FD04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0902F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67EDD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立式带锯床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4BF5AE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2B2AAB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64BDC8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9E45E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8FCE3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38B522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立式加工中心</w:t>
            </w:r>
          </w:p>
        </w:tc>
        <w:tc>
          <w:tcPr>
            <w:tcW w:w="2559" w:type="dxa"/>
            <w:tcBorders>
              <w:top w:val="single" w:color="000000" w:sz="4" w:space="0"/>
              <w:left w:val="single" w:color="000000" w:sz="4" w:space="0"/>
              <w:bottom w:val="single" w:color="000000" w:sz="4" w:space="0"/>
              <w:right w:val="single" w:color="000000" w:sz="4" w:space="0"/>
            </w:tcBorders>
            <w:vAlign w:val="center"/>
          </w:tcPr>
          <w:p w14:paraId="17F3BD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7CB993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0160AC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757E9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2A5D8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F63EA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高速精雕机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07207A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040DCA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983D82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8A8D1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F67FE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638B9E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卧式数控车床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7E4EA4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2A0980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A8F91B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20957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B60F8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22F69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卧式普通车床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1FDCBC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723A88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A0FFABC">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0D5D9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6FC0F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EEA30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立式砂光机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94C11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263A6A6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75193D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212BC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3D8B7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C16DF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立式炮塔铣床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648C81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7D5740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15E1A78">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FA15A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C2BE1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1A6FB8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纯化炉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4B0A57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vAlign w:val="center"/>
          </w:tcPr>
          <w:p w14:paraId="66C0E6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04D156C">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22A3A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90396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699EF5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高温处理炉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123C94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vAlign w:val="center"/>
          </w:tcPr>
          <w:p w14:paraId="392089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18C68ED">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83B96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10D0E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CE691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碳化硅沉积炉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245DF1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vAlign w:val="center"/>
          </w:tcPr>
          <w:p w14:paraId="42FD11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118254D">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2A1EB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8E55D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32526A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1ECA21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vAlign w:val="center"/>
          </w:tcPr>
          <w:p w14:paraId="4B73B5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F6D6BF8">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65BBA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7FDCF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F0A89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洁净防爆干燥箱（小）</w:t>
            </w:r>
          </w:p>
        </w:tc>
        <w:tc>
          <w:tcPr>
            <w:tcW w:w="2559" w:type="dxa"/>
            <w:tcBorders>
              <w:top w:val="single" w:color="000000" w:sz="4" w:space="0"/>
              <w:left w:val="single" w:color="000000" w:sz="4" w:space="0"/>
              <w:bottom w:val="single" w:color="000000" w:sz="4" w:space="0"/>
              <w:right w:val="single" w:color="000000" w:sz="4" w:space="0"/>
            </w:tcBorders>
            <w:vAlign w:val="center"/>
          </w:tcPr>
          <w:p w14:paraId="423F0B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200L</w:t>
            </w:r>
          </w:p>
        </w:tc>
        <w:tc>
          <w:tcPr>
            <w:tcW w:w="1071" w:type="dxa"/>
            <w:tcBorders>
              <w:top w:val="single" w:color="000000" w:sz="4" w:space="0"/>
              <w:left w:val="single" w:color="000000" w:sz="4" w:space="0"/>
              <w:bottom w:val="single" w:color="000000" w:sz="4" w:space="0"/>
              <w:right w:val="single" w:color="000000" w:sz="4" w:space="0"/>
            </w:tcBorders>
            <w:vAlign w:val="center"/>
          </w:tcPr>
          <w:p w14:paraId="07A065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5E35F26">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3D3D9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148AC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1C1EA5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洁净防爆干燥箱（大）</w:t>
            </w:r>
          </w:p>
        </w:tc>
        <w:tc>
          <w:tcPr>
            <w:tcW w:w="2559" w:type="dxa"/>
            <w:tcBorders>
              <w:top w:val="single" w:color="000000" w:sz="4" w:space="0"/>
              <w:left w:val="single" w:color="000000" w:sz="4" w:space="0"/>
              <w:bottom w:val="single" w:color="000000" w:sz="4" w:space="0"/>
              <w:right w:val="single" w:color="000000" w:sz="4" w:space="0"/>
            </w:tcBorders>
            <w:vAlign w:val="center"/>
          </w:tcPr>
          <w:p w14:paraId="5EBC98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1000L</w:t>
            </w:r>
          </w:p>
        </w:tc>
        <w:tc>
          <w:tcPr>
            <w:tcW w:w="1071" w:type="dxa"/>
            <w:tcBorders>
              <w:top w:val="single" w:color="000000" w:sz="4" w:space="0"/>
              <w:left w:val="single" w:color="000000" w:sz="4" w:space="0"/>
              <w:bottom w:val="single" w:color="000000" w:sz="4" w:space="0"/>
              <w:right w:val="single" w:color="000000" w:sz="4" w:space="0"/>
            </w:tcBorders>
            <w:vAlign w:val="center"/>
          </w:tcPr>
          <w:p w14:paraId="0433E4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B09357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EC60D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14:paraId="5F12C2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碳化硅炉管</w:t>
            </w:r>
          </w:p>
        </w:tc>
        <w:tc>
          <w:tcPr>
            <w:tcW w:w="2970" w:type="dxa"/>
            <w:tcBorders>
              <w:top w:val="single" w:color="000000" w:sz="4" w:space="0"/>
              <w:left w:val="single" w:color="000000" w:sz="4" w:space="0"/>
              <w:bottom w:val="single" w:color="000000" w:sz="4" w:space="0"/>
              <w:right w:val="single" w:color="000000" w:sz="4" w:space="0"/>
            </w:tcBorders>
            <w:vAlign w:val="center"/>
          </w:tcPr>
          <w:p w14:paraId="6DC724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球磨机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0BCC9B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50L</w:t>
            </w:r>
          </w:p>
        </w:tc>
        <w:tc>
          <w:tcPr>
            <w:tcW w:w="1071" w:type="dxa"/>
            <w:tcBorders>
              <w:top w:val="single" w:color="000000" w:sz="4" w:space="0"/>
              <w:left w:val="single" w:color="000000" w:sz="4" w:space="0"/>
              <w:bottom w:val="single" w:color="000000" w:sz="4" w:space="0"/>
              <w:right w:val="single" w:color="000000" w:sz="4" w:space="0"/>
            </w:tcBorders>
            <w:vAlign w:val="center"/>
          </w:tcPr>
          <w:p w14:paraId="436314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846714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B552E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DF387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12AEF5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搅拌机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5D0885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100L</w:t>
            </w:r>
          </w:p>
        </w:tc>
        <w:tc>
          <w:tcPr>
            <w:tcW w:w="1071" w:type="dxa"/>
            <w:tcBorders>
              <w:top w:val="single" w:color="000000" w:sz="4" w:space="0"/>
              <w:left w:val="single" w:color="000000" w:sz="4" w:space="0"/>
              <w:bottom w:val="single" w:color="000000" w:sz="4" w:space="0"/>
              <w:right w:val="single" w:color="000000" w:sz="4" w:space="0"/>
            </w:tcBorders>
            <w:vAlign w:val="center"/>
          </w:tcPr>
          <w:p w14:paraId="2B048A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2DF80C3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1741B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E4D7A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D5F2A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混料机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56ED53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100L</w:t>
            </w:r>
          </w:p>
        </w:tc>
        <w:tc>
          <w:tcPr>
            <w:tcW w:w="1071" w:type="dxa"/>
            <w:tcBorders>
              <w:top w:val="single" w:color="000000" w:sz="4" w:space="0"/>
              <w:left w:val="single" w:color="000000" w:sz="4" w:space="0"/>
              <w:bottom w:val="single" w:color="000000" w:sz="4" w:space="0"/>
              <w:right w:val="single" w:color="000000" w:sz="4" w:space="0"/>
            </w:tcBorders>
            <w:vAlign w:val="center"/>
          </w:tcPr>
          <w:p w14:paraId="69AD07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6E7F8F7">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FF9FB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5435A6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94608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喷雾造粒机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7EC63E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30Kg/h</w:t>
            </w:r>
          </w:p>
        </w:tc>
        <w:tc>
          <w:tcPr>
            <w:tcW w:w="1071" w:type="dxa"/>
            <w:tcBorders>
              <w:top w:val="single" w:color="000000" w:sz="4" w:space="0"/>
              <w:left w:val="single" w:color="000000" w:sz="4" w:space="0"/>
              <w:bottom w:val="single" w:color="000000" w:sz="4" w:space="0"/>
              <w:right w:val="single" w:color="000000" w:sz="4" w:space="0"/>
            </w:tcBorders>
            <w:vAlign w:val="center"/>
          </w:tcPr>
          <w:p w14:paraId="1649C3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A4559C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C46EF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85EDE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A7EA5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烘干机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579AB7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656C64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408ECA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190D6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4C94A9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E3BAF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冷等静压机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52CD3A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vAlign w:val="center"/>
          </w:tcPr>
          <w:p w14:paraId="264870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BECDF1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56A87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2EB56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195D44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立式加工中心</w:t>
            </w:r>
          </w:p>
        </w:tc>
        <w:tc>
          <w:tcPr>
            <w:tcW w:w="2559" w:type="dxa"/>
            <w:tcBorders>
              <w:top w:val="single" w:color="000000" w:sz="4" w:space="0"/>
              <w:left w:val="single" w:color="000000" w:sz="4" w:space="0"/>
              <w:bottom w:val="single" w:color="000000" w:sz="4" w:space="0"/>
              <w:right w:val="single" w:color="000000" w:sz="4" w:space="0"/>
            </w:tcBorders>
            <w:vAlign w:val="center"/>
          </w:tcPr>
          <w:p w14:paraId="2A1E2D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62C573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1A2A3A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936B3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28270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1180A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精雕机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126641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77E0AE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A7EDEBF">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76E1E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69AE1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6ED1B7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数控车床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7E7655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1CB9AF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20CF33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03413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8E139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3372C6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数控砂线切割机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553098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444FBC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B8E0890">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5DADC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385BF0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3A1635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端面研磨机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010536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400143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FCBA99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2EB2A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2CBF3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153A40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内外圆磨床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76BB0C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00D894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6DF5685">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33658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6DEDD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4ED18C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真空烧结炉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57F79E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vAlign w:val="center"/>
          </w:tcPr>
          <w:p w14:paraId="517A96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75707B4">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1070B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266154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EE9C3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90BB9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071" w:type="dxa"/>
            <w:tcBorders>
              <w:top w:val="single" w:color="000000" w:sz="4" w:space="0"/>
              <w:left w:val="single" w:color="000000" w:sz="4" w:space="0"/>
              <w:bottom w:val="single" w:color="000000" w:sz="4" w:space="0"/>
              <w:right w:val="single" w:color="000000" w:sz="4" w:space="0"/>
            </w:tcBorders>
            <w:vAlign w:val="center"/>
          </w:tcPr>
          <w:p w14:paraId="01EB34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EFAB7A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0CF57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14:paraId="4D6D70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特殊涂层</w:t>
            </w:r>
          </w:p>
        </w:tc>
        <w:tc>
          <w:tcPr>
            <w:tcW w:w="2970" w:type="dxa"/>
            <w:tcBorders>
              <w:top w:val="single" w:color="000000" w:sz="4" w:space="0"/>
              <w:left w:val="single" w:color="000000" w:sz="4" w:space="0"/>
              <w:bottom w:val="single" w:color="000000" w:sz="4" w:space="0"/>
              <w:right w:val="single" w:color="000000" w:sz="4" w:space="0"/>
            </w:tcBorders>
            <w:vAlign w:val="center"/>
          </w:tcPr>
          <w:p w14:paraId="7A93D1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精密平面磨床</w:t>
            </w:r>
          </w:p>
        </w:tc>
        <w:tc>
          <w:tcPr>
            <w:tcW w:w="2559" w:type="dxa"/>
            <w:tcBorders>
              <w:top w:val="single" w:color="000000" w:sz="4" w:space="0"/>
              <w:left w:val="single" w:color="000000" w:sz="4" w:space="0"/>
              <w:bottom w:val="single" w:color="000000" w:sz="4" w:space="0"/>
              <w:right w:val="single" w:color="000000" w:sz="4" w:space="0"/>
            </w:tcBorders>
            <w:vAlign w:val="center"/>
          </w:tcPr>
          <w:p w14:paraId="13DFD6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D-600</w:t>
            </w:r>
          </w:p>
        </w:tc>
        <w:tc>
          <w:tcPr>
            <w:tcW w:w="1071" w:type="dxa"/>
            <w:tcBorders>
              <w:top w:val="single" w:color="000000" w:sz="4" w:space="0"/>
              <w:left w:val="single" w:color="000000" w:sz="4" w:space="0"/>
              <w:bottom w:val="single" w:color="000000" w:sz="4" w:space="0"/>
              <w:right w:val="single" w:color="000000" w:sz="4" w:space="0"/>
            </w:tcBorders>
            <w:vAlign w:val="center"/>
          </w:tcPr>
          <w:p w14:paraId="0D277D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7899DDB">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363C5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5911F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B6B9F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单面抛光机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ACA1E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D-600</w:t>
            </w:r>
          </w:p>
        </w:tc>
        <w:tc>
          <w:tcPr>
            <w:tcW w:w="1071" w:type="dxa"/>
            <w:tcBorders>
              <w:top w:val="single" w:color="000000" w:sz="4" w:space="0"/>
              <w:left w:val="single" w:color="000000" w:sz="4" w:space="0"/>
              <w:bottom w:val="single" w:color="000000" w:sz="4" w:space="0"/>
              <w:right w:val="single" w:color="000000" w:sz="4" w:space="0"/>
            </w:tcBorders>
            <w:vAlign w:val="center"/>
          </w:tcPr>
          <w:p w14:paraId="66FCB3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6775FAD9">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57995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6472D3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242D51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烘箱</w:t>
            </w:r>
          </w:p>
        </w:tc>
        <w:tc>
          <w:tcPr>
            <w:tcW w:w="2559" w:type="dxa"/>
            <w:tcBorders>
              <w:top w:val="single" w:color="000000" w:sz="4" w:space="0"/>
              <w:left w:val="single" w:color="000000" w:sz="4" w:space="0"/>
              <w:bottom w:val="single" w:color="000000" w:sz="4" w:space="0"/>
              <w:right w:val="single" w:color="000000" w:sz="4" w:space="0"/>
            </w:tcBorders>
            <w:vAlign w:val="center"/>
          </w:tcPr>
          <w:p w14:paraId="79A34E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50L</w:t>
            </w:r>
          </w:p>
        </w:tc>
        <w:tc>
          <w:tcPr>
            <w:tcW w:w="1071" w:type="dxa"/>
            <w:tcBorders>
              <w:top w:val="single" w:color="000000" w:sz="4" w:space="0"/>
              <w:left w:val="single" w:color="000000" w:sz="4" w:space="0"/>
              <w:bottom w:val="single" w:color="000000" w:sz="4" w:space="0"/>
              <w:right w:val="single" w:color="000000" w:sz="4" w:space="0"/>
            </w:tcBorders>
            <w:vAlign w:val="center"/>
          </w:tcPr>
          <w:p w14:paraId="090D8A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24A4D8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42546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151902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B6EC5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ADCoating机</w:t>
            </w:r>
          </w:p>
        </w:tc>
        <w:tc>
          <w:tcPr>
            <w:tcW w:w="2559" w:type="dxa"/>
            <w:tcBorders>
              <w:top w:val="single" w:color="000000" w:sz="4" w:space="0"/>
              <w:left w:val="single" w:color="000000" w:sz="4" w:space="0"/>
              <w:bottom w:val="single" w:color="000000" w:sz="4" w:space="0"/>
              <w:right w:val="single" w:color="000000" w:sz="4" w:space="0"/>
            </w:tcBorders>
            <w:vAlign w:val="center"/>
          </w:tcPr>
          <w:p w14:paraId="63A1FA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有效喷涂面积580mm*580mm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581E6D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4B04B7E">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78C60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7F5ED4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73F926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电加热窑炉</w:t>
            </w:r>
          </w:p>
        </w:tc>
        <w:tc>
          <w:tcPr>
            <w:tcW w:w="2559" w:type="dxa"/>
            <w:tcBorders>
              <w:top w:val="single" w:color="000000" w:sz="4" w:space="0"/>
              <w:left w:val="single" w:color="000000" w:sz="4" w:space="0"/>
              <w:bottom w:val="single" w:color="000000" w:sz="4" w:space="0"/>
              <w:right w:val="single" w:color="000000" w:sz="4" w:space="0"/>
            </w:tcBorders>
            <w:vAlign w:val="center"/>
          </w:tcPr>
          <w:p w14:paraId="38401B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有效温区600*600*500mm</w:t>
            </w:r>
          </w:p>
        </w:tc>
        <w:tc>
          <w:tcPr>
            <w:tcW w:w="1071" w:type="dxa"/>
            <w:tcBorders>
              <w:top w:val="single" w:color="000000" w:sz="4" w:space="0"/>
              <w:left w:val="single" w:color="000000" w:sz="4" w:space="0"/>
              <w:bottom w:val="single" w:color="000000" w:sz="4" w:space="0"/>
              <w:right w:val="single" w:color="000000" w:sz="4" w:space="0"/>
            </w:tcBorders>
            <w:vAlign w:val="center"/>
          </w:tcPr>
          <w:p w14:paraId="0E7AB6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B8DC1C3">
        <w:tblPrEx>
          <w:tblCellMar>
            <w:top w:w="0" w:type="dxa"/>
            <w:left w:w="108" w:type="dxa"/>
            <w:bottom w:w="0" w:type="dxa"/>
            <w:right w:w="108" w:type="dxa"/>
          </w:tblCellMar>
        </w:tblPrEx>
        <w:trPr>
          <w:trHeight w:val="20" w:hRule="atLeast"/>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A4CD7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260" w:type="dxa"/>
            <w:vMerge w:val="continue"/>
            <w:tcBorders>
              <w:top w:val="single" w:color="000000" w:sz="4" w:space="0"/>
              <w:left w:val="single" w:color="000000" w:sz="4" w:space="0"/>
              <w:bottom w:val="single" w:color="000000" w:sz="4" w:space="0"/>
              <w:right w:val="single" w:color="000000" w:sz="4" w:space="0"/>
            </w:tcBorders>
            <w:vAlign w:val="center"/>
          </w:tcPr>
          <w:p w14:paraId="010726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970" w:type="dxa"/>
            <w:tcBorders>
              <w:top w:val="single" w:color="000000" w:sz="4" w:space="0"/>
              <w:left w:val="single" w:color="000000" w:sz="4" w:space="0"/>
              <w:bottom w:val="single" w:color="000000" w:sz="4" w:space="0"/>
              <w:right w:val="single" w:color="000000" w:sz="4" w:space="0"/>
            </w:tcBorders>
            <w:vAlign w:val="center"/>
          </w:tcPr>
          <w:p w14:paraId="0A5B21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气体回收循环系统</w:t>
            </w:r>
          </w:p>
        </w:tc>
        <w:tc>
          <w:tcPr>
            <w:tcW w:w="2559" w:type="dxa"/>
            <w:tcBorders>
              <w:top w:val="single" w:color="000000" w:sz="4" w:space="0"/>
              <w:left w:val="single" w:color="000000" w:sz="4" w:space="0"/>
              <w:bottom w:val="single" w:color="000000" w:sz="4" w:space="0"/>
              <w:right w:val="single" w:color="000000" w:sz="4" w:space="0"/>
            </w:tcBorders>
            <w:vAlign w:val="center"/>
          </w:tcPr>
          <w:p w14:paraId="65270A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1" w:type="dxa"/>
            <w:tcBorders>
              <w:top w:val="single" w:color="000000" w:sz="4" w:space="0"/>
              <w:left w:val="single" w:color="000000" w:sz="4" w:space="0"/>
              <w:bottom w:val="single" w:color="000000" w:sz="4" w:space="0"/>
              <w:right w:val="single" w:color="000000" w:sz="4" w:space="0"/>
            </w:tcBorders>
            <w:vAlign w:val="center"/>
          </w:tcPr>
          <w:p w14:paraId="25DD72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bl>
    <w:p w14:paraId="484F385F">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现有工程主要原辅材料及能耗</w:t>
      </w:r>
    </w:p>
    <w:p w14:paraId="223268E2">
      <w:pPr>
        <w:ind w:firstLine="52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r>
        <w:rPr>
          <w:rFonts w:hint="eastAsia"/>
          <w:color w:val="000000" w:themeColor="text1"/>
          <w14:textFill>
            <w14:solidFill>
              <w14:schemeClr w14:val="tx1"/>
            </w14:solidFill>
          </w14:textFill>
        </w:rPr>
        <w:t>现有项目主要原辅材料及能耗情况详见下表：</w:t>
      </w:r>
    </w:p>
    <w:p w14:paraId="02EE6DD0">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现有工程主要原辅材料及能耗一览表</w:t>
      </w:r>
    </w:p>
    <w:tbl>
      <w:tblPr>
        <w:tblStyle w:val="88"/>
        <w:tblW w:w="5000" w:type="pct"/>
        <w:jc w:val="center"/>
        <w:tblLayout w:type="autofit"/>
        <w:tblCellMar>
          <w:top w:w="0" w:type="dxa"/>
          <w:left w:w="108" w:type="dxa"/>
          <w:bottom w:w="0" w:type="dxa"/>
          <w:right w:w="108" w:type="dxa"/>
        </w:tblCellMar>
      </w:tblPr>
      <w:tblGrid>
        <w:gridCol w:w="547"/>
        <w:gridCol w:w="717"/>
        <w:gridCol w:w="1000"/>
        <w:gridCol w:w="1511"/>
        <w:gridCol w:w="5375"/>
        <w:gridCol w:w="1366"/>
        <w:gridCol w:w="1147"/>
        <w:gridCol w:w="1152"/>
        <w:gridCol w:w="1359"/>
      </w:tblGrid>
      <w:tr w14:paraId="09C009B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0FF771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序号</w:t>
            </w:r>
          </w:p>
        </w:tc>
        <w:tc>
          <w:tcPr>
            <w:tcW w:w="706" w:type="dxa"/>
            <w:tcBorders>
              <w:top w:val="single" w:color="000000" w:sz="4" w:space="0"/>
              <w:left w:val="single" w:color="000000" w:sz="4" w:space="0"/>
              <w:bottom w:val="single" w:color="000000" w:sz="4" w:space="0"/>
              <w:right w:val="single" w:color="000000" w:sz="4" w:space="0"/>
            </w:tcBorders>
            <w:vAlign w:val="center"/>
          </w:tcPr>
          <w:p w14:paraId="22CAD4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产品</w:t>
            </w: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5A4949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原料名称</w:t>
            </w:r>
          </w:p>
        </w:tc>
        <w:tc>
          <w:tcPr>
            <w:tcW w:w="5289" w:type="dxa"/>
            <w:tcBorders>
              <w:top w:val="single" w:color="000000" w:sz="4" w:space="0"/>
              <w:left w:val="single" w:color="000000" w:sz="4" w:space="0"/>
              <w:bottom w:val="single" w:color="000000" w:sz="4" w:space="0"/>
              <w:right w:val="single" w:color="000000" w:sz="4" w:space="0"/>
            </w:tcBorders>
            <w:vAlign w:val="center"/>
          </w:tcPr>
          <w:p w14:paraId="488B9A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原料主要成分</w:t>
            </w:r>
          </w:p>
        </w:tc>
        <w:tc>
          <w:tcPr>
            <w:tcW w:w="1344" w:type="dxa"/>
            <w:tcBorders>
              <w:top w:val="single" w:color="000000" w:sz="4" w:space="0"/>
              <w:left w:val="single" w:color="000000" w:sz="4" w:space="0"/>
              <w:bottom w:val="single" w:color="000000" w:sz="4" w:space="0"/>
              <w:right w:val="single" w:color="000000" w:sz="4" w:space="0"/>
            </w:tcBorders>
            <w:vAlign w:val="center"/>
          </w:tcPr>
          <w:p w14:paraId="2EB120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现有工程年用量t/a</w:t>
            </w:r>
          </w:p>
        </w:tc>
        <w:tc>
          <w:tcPr>
            <w:tcW w:w="1129" w:type="dxa"/>
            <w:tcBorders>
              <w:top w:val="single" w:color="000000" w:sz="4" w:space="0"/>
              <w:left w:val="single" w:color="000000" w:sz="4" w:space="0"/>
              <w:bottom w:val="single" w:color="000000" w:sz="4" w:space="0"/>
              <w:right w:val="single" w:color="000000" w:sz="4" w:space="0"/>
            </w:tcBorders>
            <w:vAlign w:val="center"/>
          </w:tcPr>
          <w:p w14:paraId="5C2CDF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最大储存量t</w:t>
            </w:r>
          </w:p>
        </w:tc>
        <w:tc>
          <w:tcPr>
            <w:tcW w:w="1134" w:type="dxa"/>
            <w:tcBorders>
              <w:top w:val="single" w:color="000000" w:sz="4" w:space="0"/>
              <w:left w:val="single" w:color="000000" w:sz="4" w:space="0"/>
              <w:bottom w:val="single" w:color="000000" w:sz="4" w:space="0"/>
              <w:right w:val="single" w:color="000000" w:sz="4" w:space="0"/>
            </w:tcBorders>
            <w:vAlign w:val="center"/>
          </w:tcPr>
          <w:p w14:paraId="408CDA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储存规格</w:t>
            </w:r>
          </w:p>
        </w:tc>
        <w:tc>
          <w:tcPr>
            <w:tcW w:w="1337" w:type="dxa"/>
            <w:tcBorders>
              <w:top w:val="single" w:color="000000" w:sz="4" w:space="0"/>
              <w:left w:val="single" w:color="000000" w:sz="4" w:space="0"/>
              <w:bottom w:val="single" w:color="000000" w:sz="4" w:space="0"/>
              <w:right w:val="single" w:color="000000" w:sz="4" w:space="0"/>
            </w:tcBorders>
            <w:vAlign w:val="center"/>
          </w:tcPr>
          <w:p w14:paraId="769694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贮存位置</w:t>
            </w:r>
          </w:p>
        </w:tc>
      </w:tr>
      <w:tr w14:paraId="5A359AF6">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741C3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20FC39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石英产品</w:t>
            </w: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072B88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石英锭</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2C0E9C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SiO2,99.5~99.9%</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479DB0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077AB1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8FAB7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50kg/锭</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155ADF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43C0F320">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586B1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B49BA1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4674CA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脱脂液</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099477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4-壬基酚聚氧乙烯醚5%以内</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1FB2CA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0.8</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290D7E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5A9EE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6340B0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6D67D0EE">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C3BE2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06A343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0562A3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3438D6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氢氟酸49%</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03938CE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4E914B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717C8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267EE6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24F35B8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2C731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EC68D3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5224D1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w:t>
            </w:r>
          </w:p>
        </w:tc>
        <w:tc>
          <w:tcPr>
            <w:tcW w:w="5289" w:type="dxa"/>
            <w:tcBorders>
              <w:top w:val="single" w:color="000000" w:sz="4" w:space="0"/>
              <w:left w:val="single" w:color="000000" w:sz="4" w:space="0"/>
              <w:bottom w:val="single" w:color="000000" w:sz="4" w:space="0"/>
              <w:right w:val="single" w:color="000000" w:sz="4" w:space="0"/>
            </w:tcBorders>
            <w:vAlign w:val="center"/>
          </w:tcPr>
          <w:p w14:paraId="697F1C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4C6E2D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39E6FF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DDA36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6764E6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5238225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70B6F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CD2038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1FDD6A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0C457C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氢气99.999%</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60D26F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2.0万m</w:t>
            </w:r>
            <w:r>
              <w:rPr>
                <w:snapToGrid/>
                <w:color w:val="000000" w:themeColor="text1"/>
                <w:sz w:val="21"/>
                <w:szCs w:val="21"/>
                <w:vertAlign w:val="superscript"/>
                <w14:textFill>
                  <w14:solidFill>
                    <w14:schemeClr w14:val="tx1"/>
                  </w14:solidFill>
                </w14:textFill>
              </w:rPr>
              <w:t>3</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04156B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50瓶</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4C106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3C1379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39C22A0F">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E8AC0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C0A6DC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7721D2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6783C1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氧气99.999%</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44A996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2.0万m</w:t>
            </w:r>
            <w:r>
              <w:rPr>
                <w:snapToGrid/>
                <w:color w:val="000000" w:themeColor="text1"/>
                <w:sz w:val="21"/>
                <w:szCs w:val="21"/>
                <w:vertAlign w:val="superscript"/>
                <w14:textFill>
                  <w14:solidFill>
                    <w14:schemeClr w14:val="tx1"/>
                  </w14:solidFill>
                </w14:textFill>
              </w:rPr>
              <w:t>3</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3905AD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50瓶</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9E00A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12FE1D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5BCAC613">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68D453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3485A5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硅产品</w:t>
            </w: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0630C5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单晶硅、多晶硅</w:t>
            </w:r>
          </w:p>
        </w:tc>
        <w:tc>
          <w:tcPr>
            <w:tcW w:w="5289" w:type="dxa"/>
            <w:tcBorders>
              <w:top w:val="single" w:color="000000" w:sz="4" w:space="0"/>
              <w:left w:val="single" w:color="000000" w:sz="4" w:space="0"/>
              <w:bottom w:val="single" w:color="000000" w:sz="4" w:space="0"/>
              <w:right w:val="single" w:color="000000" w:sz="4" w:space="0"/>
            </w:tcBorders>
            <w:vAlign w:val="center"/>
          </w:tcPr>
          <w:p w14:paraId="1824AD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5231E8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5FC053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05841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04DADF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0A1ADC9B">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0D1DA7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45BD7E6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11A753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导轨油</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5B4192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机油70-80%、溶剂脱蜡重石蜡馏分20-30%、添加剂1-5%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7DA0E7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43</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20EC21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DBB69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208L/桶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39CD0A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18A0FE97">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38DD2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2DD71B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84" w:type="dxa"/>
            <w:vMerge w:val="restart"/>
            <w:tcBorders>
              <w:top w:val="single" w:color="000000" w:sz="4" w:space="0"/>
              <w:left w:val="single" w:color="000000" w:sz="4" w:space="0"/>
              <w:bottom w:val="single" w:color="000000" w:sz="4" w:space="0"/>
              <w:right w:val="single" w:color="000000" w:sz="4" w:space="0"/>
            </w:tcBorders>
            <w:noWrap/>
            <w:vAlign w:val="center"/>
          </w:tcPr>
          <w:p w14:paraId="746078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蚀刻液</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340961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TE-300S</w:t>
            </w:r>
          </w:p>
        </w:tc>
        <w:tc>
          <w:tcPr>
            <w:tcW w:w="5289" w:type="dxa"/>
            <w:tcBorders>
              <w:top w:val="single" w:color="000000" w:sz="4" w:space="0"/>
              <w:left w:val="single" w:color="000000" w:sz="4" w:space="0"/>
              <w:bottom w:val="single" w:color="000000" w:sz="4" w:space="0"/>
              <w:right w:val="single" w:color="000000" w:sz="4" w:space="0"/>
            </w:tcBorders>
            <w:vAlign w:val="center"/>
          </w:tcPr>
          <w:p w14:paraId="66F4BD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硫酸50.0~60.0%、氟化氢铵8.0~13.0%、硝酸钾0.5~1.5%、过硫酸铵1.0~3.0%、水22.5~40.5%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5618C1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0ECA38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EE290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54C4B0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013574B3">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353B3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D22F4B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84" w:type="dxa"/>
            <w:vMerge w:val="continue"/>
            <w:tcBorders>
              <w:top w:val="single" w:color="000000" w:sz="4" w:space="0"/>
              <w:left w:val="single" w:color="000000" w:sz="4" w:space="0"/>
              <w:bottom w:val="single" w:color="000000" w:sz="4" w:space="0"/>
              <w:right w:val="single" w:color="000000" w:sz="4" w:space="0"/>
            </w:tcBorders>
            <w:vAlign w:val="center"/>
          </w:tcPr>
          <w:p w14:paraId="7112B39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7581BB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TE-500L</w:t>
            </w:r>
          </w:p>
        </w:tc>
        <w:tc>
          <w:tcPr>
            <w:tcW w:w="5289" w:type="dxa"/>
            <w:tcBorders>
              <w:top w:val="single" w:color="000000" w:sz="4" w:space="0"/>
              <w:left w:val="single" w:color="000000" w:sz="4" w:space="0"/>
              <w:bottom w:val="single" w:color="000000" w:sz="4" w:space="0"/>
              <w:right w:val="single" w:color="000000" w:sz="4" w:space="0"/>
            </w:tcBorders>
            <w:vAlign w:val="center"/>
          </w:tcPr>
          <w:p w14:paraId="0D13FD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硫酸50.0~60.0%、氟化氢铵5.0~10.0%、硝酸钾1.5~3.5%、过硫酸铵0.5~1.0%、水25.5~47.0%</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52DE75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3B3C10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A47E2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02D003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324FB96E">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ACAB9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4E3DC58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84" w:type="dxa"/>
            <w:vMerge w:val="restart"/>
            <w:tcBorders>
              <w:top w:val="single" w:color="000000" w:sz="4" w:space="0"/>
              <w:left w:val="single" w:color="000000" w:sz="4" w:space="0"/>
              <w:bottom w:val="single" w:color="000000" w:sz="4" w:space="0"/>
              <w:right w:val="single" w:color="000000" w:sz="4" w:space="0"/>
            </w:tcBorders>
            <w:noWrap/>
            <w:vAlign w:val="center"/>
          </w:tcPr>
          <w:p w14:paraId="32D00C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清洗液</w:t>
            </w:r>
          </w:p>
        </w:tc>
        <w:tc>
          <w:tcPr>
            <w:tcW w:w="1487" w:type="dxa"/>
            <w:tcBorders>
              <w:top w:val="single" w:color="000000" w:sz="4" w:space="0"/>
              <w:left w:val="single" w:color="000000" w:sz="4" w:space="0"/>
              <w:bottom w:val="single" w:color="000000" w:sz="4" w:space="0"/>
              <w:right w:val="single" w:color="000000" w:sz="4" w:space="0"/>
            </w:tcBorders>
            <w:vAlign w:val="center"/>
          </w:tcPr>
          <w:p w14:paraId="726C705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TC-300N</w:t>
            </w:r>
          </w:p>
        </w:tc>
        <w:tc>
          <w:tcPr>
            <w:tcW w:w="5289" w:type="dxa"/>
            <w:tcBorders>
              <w:top w:val="single" w:color="000000" w:sz="4" w:space="0"/>
              <w:left w:val="single" w:color="000000" w:sz="4" w:space="0"/>
              <w:bottom w:val="single" w:color="000000" w:sz="4" w:space="0"/>
              <w:right w:val="single" w:color="000000" w:sz="4" w:space="0"/>
            </w:tcBorders>
            <w:vAlign w:val="center"/>
          </w:tcPr>
          <w:p w14:paraId="451FD8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硫酸50.0~60.0%、氟化氢铵5.0~10.0%、硝酸钾1.5~3.5%、过硫酸铵0.5~1.0%、水25.5~47.0%</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71B55D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14.22</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55D70D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vAlign w:val="center"/>
          </w:tcPr>
          <w:p w14:paraId="362965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6D27FE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59EF9EDB">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7896E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E6B9C8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84" w:type="dxa"/>
            <w:vMerge w:val="continue"/>
            <w:tcBorders>
              <w:top w:val="single" w:color="000000" w:sz="4" w:space="0"/>
              <w:left w:val="single" w:color="000000" w:sz="4" w:space="0"/>
              <w:bottom w:val="single" w:color="000000" w:sz="4" w:space="0"/>
              <w:right w:val="single" w:color="000000" w:sz="4" w:space="0"/>
            </w:tcBorders>
            <w:vAlign w:val="center"/>
          </w:tcPr>
          <w:p w14:paraId="71602DB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487" w:type="dxa"/>
            <w:tcBorders>
              <w:top w:val="single" w:color="000000" w:sz="4" w:space="0"/>
              <w:left w:val="single" w:color="000000" w:sz="4" w:space="0"/>
              <w:bottom w:val="single" w:color="000000" w:sz="4" w:space="0"/>
              <w:right w:val="single" w:color="000000" w:sz="4" w:space="0"/>
            </w:tcBorders>
            <w:vAlign w:val="center"/>
          </w:tcPr>
          <w:p w14:paraId="11C6ED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TC-100A</w:t>
            </w:r>
          </w:p>
        </w:tc>
        <w:tc>
          <w:tcPr>
            <w:tcW w:w="5289" w:type="dxa"/>
            <w:tcBorders>
              <w:top w:val="single" w:color="000000" w:sz="4" w:space="0"/>
              <w:left w:val="single" w:color="000000" w:sz="4" w:space="0"/>
              <w:bottom w:val="single" w:color="000000" w:sz="4" w:space="0"/>
              <w:right w:val="single" w:color="000000" w:sz="4" w:space="0"/>
            </w:tcBorders>
            <w:vAlign w:val="center"/>
          </w:tcPr>
          <w:p w14:paraId="179C77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乙二醇单叔丁基醚15.0~20.0%、添加剂26.0~37.0%、水43~59%</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689601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4.74</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5DC540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0.4</w:t>
            </w:r>
          </w:p>
        </w:tc>
        <w:tc>
          <w:tcPr>
            <w:tcW w:w="1134" w:type="dxa"/>
            <w:tcBorders>
              <w:top w:val="single" w:color="000000" w:sz="4" w:space="0"/>
              <w:left w:val="single" w:color="000000" w:sz="4" w:space="0"/>
              <w:bottom w:val="single" w:color="000000" w:sz="4" w:space="0"/>
              <w:right w:val="single" w:color="000000" w:sz="4" w:space="0"/>
            </w:tcBorders>
            <w:vAlign w:val="center"/>
          </w:tcPr>
          <w:p w14:paraId="733FD26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7276FD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5CE7021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8AE27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C3CA0E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84" w:type="dxa"/>
            <w:vMerge w:val="continue"/>
            <w:tcBorders>
              <w:top w:val="single" w:color="000000" w:sz="4" w:space="0"/>
              <w:left w:val="single" w:color="000000" w:sz="4" w:space="0"/>
              <w:bottom w:val="single" w:color="000000" w:sz="4" w:space="0"/>
              <w:right w:val="single" w:color="000000" w:sz="4" w:space="0"/>
            </w:tcBorders>
            <w:vAlign w:val="center"/>
          </w:tcPr>
          <w:p w14:paraId="2CF69B2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487" w:type="dxa"/>
            <w:tcBorders>
              <w:top w:val="single" w:color="000000" w:sz="4" w:space="0"/>
              <w:left w:val="single" w:color="000000" w:sz="4" w:space="0"/>
              <w:bottom w:val="single" w:color="000000" w:sz="4" w:space="0"/>
              <w:right w:val="single" w:color="000000" w:sz="4" w:space="0"/>
            </w:tcBorders>
            <w:vAlign w:val="center"/>
          </w:tcPr>
          <w:p w14:paraId="0BAB3F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TC-230A</w:t>
            </w:r>
          </w:p>
        </w:tc>
        <w:tc>
          <w:tcPr>
            <w:tcW w:w="5289" w:type="dxa"/>
            <w:tcBorders>
              <w:top w:val="single" w:color="000000" w:sz="4" w:space="0"/>
              <w:left w:val="single" w:color="000000" w:sz="4" w:space="0"/>
              <w:bottom w:val="single" w:color="000000" w:sz="4" w:space="0"/>
              <w:right w:val="single" w:color="000000" w:sz="4" w:space="0"/>
            </w:tcBorders>
            <w:vAlign w:val="center"/>
          </w:tcPr>
          <w:p w14:paraId="43ACEF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氟化氢铵28~30%、添加剂1.5~2.0、水68~70.5%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5C7360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9.48</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5144C9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vAlign w:val="center"/>
          </w:tcPr>
          <w:p w14:paraId="56F4B9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058510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02B643A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5488D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B69D44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56015A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w:t>
            </w:r>
          </w:p>
        </w:tc>
        <w:tc>
          <w:tcPr>
            <w:tcW w:w="5289" w:type="dxa"/>
            <w:tcBorders>
              <w:top w:val="single" w:color="000000" w:sz="4" w:space="0"/>
              <w:left w:val="single" w:color="000000" w:sz="4" w:space="0"/>
              <w:bottom w:val="single" w:color="000000" w:sz="4" w:space="0"/>
              <w:right w:val="single" w:color="000000" w:sz="4" w:space="0"/>
            </w:tcBorders>
            <w:vAlign w:val="center"/>
          </w:tcPr>
          <w:p w14:paraId="0D0038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氢氟酸49%</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5C91B7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2.37</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5D44D4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w:t>
            </w:r>
          </w:p>
        </w:tc>
        <w:tc>
          <w:tcPr>
            <w:tcW w:w="1134" w:type="dxa"/>
            <w:tcBorders>
              <w:top w:val="single" w:color="000000" w:sz="4" w:space="0"/>
              <w:left w:val="single" w:color="000000" w:sz="4" w:space="0"/>
              <w:bottom w:val="single" w:color="000000" w:sz="4" w:space="0"/>
              <w:right w:val="single" w:color="000000" w:sz="4" w:space="0"/>
            </w:tcBorders>
            <w:vAlign w:val="center"/>
          </w:tcPr>
          <w:p w14:paraId="348E2A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4CF8E0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63494C5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54E4D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480CE15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12E76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硝酸</w:t>
            </w:r>
          </w:p>
        </w:tc>
        <w:tc>
          <w:tcPr>
            <w:tcW w:w="5289" w:type="dxa"/>
            <w:tcBorders>
              <w:top w:val="single" w:color="000000" w:sz="4" w:space="0"/>
              <w:left w:val="single" w:color="000000" w:sz="4" w:space="0"/>
              <w:bottom w:val="single" w:color="000000" w:sz="4" w:space="0"/>
              <w:right w:val="single" w:color="000000" w:sz="4" w:space="0"/>
            </w:tcBorders>
            <w:vAlign w:val="center"/>
          </w:tcPr>
          <w:p w14:paraId="5E7FB5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硝酸68%</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64709E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5.925</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4F72E0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0.5</w:t>
            </w:r>
          </w:p>
        </w:tc>
        <w:tc>
          <w:tcPr>
            <w:tcW w:w="1134" w:type="dxa"/>
            <w:tcBorders>
              <w:top w:val="single" w:color="000000" w:sz="4" w:space="0"/>
              <w:left w:val="single" w:color="000000" w:sz="4" w:space="0"/>
              <w:bottom w:val="single" w:color="000000" w:sz="4" w:space="0"/>
              <w:right w:val="single" w:color="000000" w:sz="4" w:space="0"/>
            </w:tcBorders>
            <w:vAlign w:val="center"/>
          </w:tcPr>
          <w:p w14:paraId="052408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525D60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18CDBCE0">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0E0304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4C5A4E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4D54BD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双氧水</w:t>
            </w:r>
          </w:p>
        </w:tc>
        <w:tc>
          <w:tcPr>
            <w:tcW w:w="5289" w:type="dxa"/>
            <w:tcBorders>
              <w:top w:val="single" w:color="000000" w:sz="4" w:space="0"/>
              <w:left w:val="single" w:color="000000" w:sz="4" w:space="0"/>
              <w:bottom w:val="single" w:color="000000" w:sz="4" w:space="0"/>
              <w:right w:val="single" w:color="000000" w:sz="4" w:space="0"/>
            </w:tcBorders>
            <w:vAlign w:val="center"/>
          </w:tcPr>
          <w:p w14:paraId="46FBF0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过氧化氢30.0~35.0%</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4A37FA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1.422</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6096C7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w:t>
            </w:r>
          </w:p>
        </w:tc>
        <w:tc>
          <w:tcPr>
            <w:tcW w:w="1134" w:type="dxa"/>
            <w:tcBorders>
              <w:top w:val="single" w:color="000000" w:sz="4" w:space="0"/>
              <w:left w:val="single" w:color="000000" w:sz="4" w:space="0"/>
              <w:bottom w:val="single" w:color="000000" w:sz="4" w:space="0"/>
              <w:right w:val="single" w:color="000000" w:sz="4" w:space="0"/>
            </w:tcBorders>
            <w:vAlign w:val="center"/>
          </w:tcPr>
          <w:p w14:paraId="137A2C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50F9C3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11499F78">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7D399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BBEDD7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644373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盐酸</w:t>
            </w:r>
          </w:p>
        </w:tc>
        <w:tc>
          <w:tcPr>
            <w:tcW w:w="5289" w:type="dxa"/>
            <w:tcBorders>
              <w:top w:val="single" w:color="000000" w:sz="4" w:space="0"/>
              <w:left w:val="single" w:color="000000" w:sz="4" w:space="0"/>
              <w:bottom w:val="single" w:color="000000" w:sz="4" w:space="0"/>
              <w:right w:val="single" w:color="000000" w:sz="4" w:space="0"/>
            </w:tcBorders>
            <w:vAlign w:val="center"/>
          </w:tcPr>
          <w:p w14:paraId="0AA0A7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盐酸37%</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505963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1.422</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104E40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w:t>
            </w:r>
          </w:p>
        </w:tc>
        <w:tc>
          <w:tcPr>
            <w:tcW w:w="1134" w:type="dxa"/>
            <w:tcBorders>
              <w:top w:val="single" w:color="000000" w:sz="4" w:space="0"/>
              <w:left w:val="single" w:color="000000" w:sz="4" w:space="0"/>
              <w:bottom w:val="single" w:color="000000" w:sz="4" w:space="0"/>
              <w:right w:val="single" w:color="000000" w:sz="4" w:space="0"/>
            </w:tcBorders>
            <w:vAlign w:val="center"/>
          </w:tcPr>
          <w:p w14:paraId="25149F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2347B7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4453AF9E">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0778B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153701F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7A53DD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醋酸</w:t>
            </w:r>
          </w:p>
        </w:tc>
        <w:tc>
          <w:tcPr>
            <w:tcW w:w="5289" w:type="dxa"/>
            <w:tcBorders>
              <w:top w:val="single" w:color="000000" w:sz="4" w:space="0"/>
              <w:left w:val="single" w:color="000000" w:sz="4" w:space="0"/>
              <w:bottom w:val="single" w:color="000000" w:sz="4" w:space="0"/>
              <w:right w:val="single" w:color="000000" w:sz="4" w:space="0"/>
            </w:tcBorders>
            <w:vAlign w:val="center"/>
          </w:tcPr>
          <w:p w14:paraId="7E69AB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醋酸99.85%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36DD65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0.948</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6694E9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134" w:type="dxa"/>
            <w:tcBorders>
              <w:top w:val="single" w:color="000000" w:sz="4" w:space="0"/>
              <w:left w:val="single" w:color="000000" w:sz="4" w:space="0"/>
              <w:bottom w:val="single" w:color="000000" w:sz="4" w:space="0"/>
              <w:right w:val="single" w:color="000000" w:sz="4" w:space="0"/>
            </w:tcBorders>
            <w:vAlign w:val="center"/>
          </w:tcPr>
          <w:p w14:paraId="79CE34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76C024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530EDB50">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9851F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30A1F4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165F7C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KOH</w:t>
            </w:r>
          </w:p>
        </w:tc>
        <w:tc>
          <w:tcPr>
            <w:tcW w:w="5289" w:type="dxa"/>
            <w:tcBorders>
              <w:top w:val="single" w:color="000000" w:sz="4" w:space="0"/>
              <w:left w:val="single" w:color="000000" w:sz="4" w:space="0"/>
              <w:bottom w:val="single" w:color="000000" w:sz="4" w:space="0"/>
              <w:right w:val="single" w:color="000000" w:sz="4" w:space="0"/>
            </w:tcBorders>
            <w:vAlign w:val="center"/>
          </w:tcPr>
          <w:p w14:paraId="683A14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KOH90.0%</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1724CB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2.844</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79AD4B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0.25</w:t>
            </w:r>
          </w:p>
        </w:tc>
        <w:tc>
          <w:tcPr>
            <w:tcW w:w="1134" w:type="dxa"/>
            <w:tcBorders>
              <w:top w:val="single" w:color="000000" w:sz="4" w:space="0"/>
              <w:left w:val="single" w:color="000000" w:sz="4" w:space="0"/>
              <w:bottom w:val="single" w:color="000000" w:sz="4" w:space="0"/>
              <w:right w:val="single" w:color="000000" w:sz="4" w:space="0"/>
            </w:tcBorders>
            <w:vAlign w:val="center"/>
          </w:tcPr>
          <w:p w14:paraId="082EB2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027EBC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417D7E82">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C007D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9E44E7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84" w:type="dxa"/>
            <w:vMerge w:val="restart"/>
            <w:tcBorders>
              <w:top w:val="single" w:color="000000" w:sz="4" w:space="0"/>
              <w:left w:val="single" w:color="000000" w:sz="4" w:space="0"/>
              <w:bottom w:val="single" w:color="000000" w:sz="4" w:space="0"/>
              <w:right w:val="single" w:color="000000" w:sz="4" w:space="0"/>
            </w:tcBorders>
            <w:noWrap/>
            <w:vAlign w:val="center"/>
          </w:tcPr>
          <w:p w14:paraId="06A31B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w:t>
            </w: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3A702D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285S-1</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7C9D90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43C7A2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118.5</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5CB570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7AC52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68DB55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2D4CD1EF">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066B07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53034EF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84" w:type="dxa"/>
            <w:vMerge w:val="continue"/>
            <w:tcBorders>
              <w:top w:val="single" w:color="000000" w:sz="4" w:space="0"/>
              <w:left w:val="single" w:color="000000" w:sz="4" w:space="0"/>
              <w:bottom w:val="single" w:color="000000" w:sz="4" w:space="0"/>
              <w:right w:val="single" w:color="000000" w:sz="4" w:space="0"/>
            </w:tcBorders>
            <w:vAlign w:val="center"/>
          </w:tcPr>
          <w:p w14:paraId="40FA271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487" w:type="dxa"/>
            <w:tcBorders>
              <w:top w:val="single" w:color="000000" w:sz="4" w:space="0"/>
              <w:left w:val="single" w:color="000000" w:sz="4" w:space="0"/>
              <w:bottom w:val="single" w:color="000000" w:sz="4" w:space="0"/>
              <w:right w:val="single" w:color="000000" w:sz="4" w:space="0"/>
            </w:tcBorders>
            <w:noWrap/>
            <w:vAlign w:val="center"/>
          </w:tcPr>
          <w:p w14:paraId="57BA55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Tectylcool494</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226B25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去离子水55-75%，三乙醇胺5-15%，2-氨基-2-甲基-1-丙醇1-5%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037D80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118.5</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00B554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76951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2E5927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1B337448">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71E8A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9B05D5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2DF8EC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研磨粉</w:t>
            </w:r>
          </w:p>
        </w:tc>
        <w:tc>
          <w:tcPr>
            <w:tcW w:w="5289" w:type="dxa"/>
            <w:tcBorders>
              <w:top w:val="single" w:color="000000" w:sz="4" w:space="0"/>
              <w:left w:val="single" w:color="000000" w:sz="4" w:space="0"/>
              <w:bottom w:val="single" w:color="000000" w:sz="4" w:space="0"/>
              <w:right w:val="single" w:color="000000" w:sz="4" w:space="0"/>
            </w:tcBorders>
            <w:vAlign w:val="center"/>
          </w:tcPr>
          <w:p w14:paraId="41A06D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碳化硅100%</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42A508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56.88</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503343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134" w:type="dxa"/>
            <w:tcBorders>
              <w:top w:val="single" w:color="000000" w:sz="4" w:space="0"/>
              <w:left w:val="single" w:color="000000" w:sz="4" w:space="0"/>
              <w:bottom w:val="single" w:color="000000" w:sz="4" w:space="0"/>
              <w:right w:val="single" w:color="000000" w:sz="4" w:space="0"/>
            </w:tcBorders>
            <w:vAlign w:val="center"/>
          </w:tcPr>
          <w:p w14:paraId="59A3F3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01CFC7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27697291">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0009F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52F2504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4FE88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抛光粉</w:t>
            </w:r>
          </w:p>
        </w:tc>
        <w:tc>
          <w:tcPr>
            <w:tcW w:w="5289" w:type="dxa"/>
            <w:tcBorders>
              <w:top w:val="single" w:color="000000" w:sz="4" w:space="0"/>
              <w:left w:val="single" w:color="000000" w:sz="4" w:space="0"/>
              <w:bottom w:val="single" w:color="000000" w:sz="4" w:space="0"/>
              <w:right w:val="single" w:color="000000" w:sz="4" w:space="0"/>
            </w:tcBorders>
            <w:vAlign w:val="center"/>
          </w:tcPr>
          <w:p w14:paraId="23C8DA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氧化硅100%</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6B6C3A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1.1376</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320D41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134" w:type="dxa"/>
            <w:tcBorders>
              <w:top w:val="single" w:color="000000" w:sz="4" w:space="0"/>
              <w:left w:val="single" w:color="000000" w:sz="4" w:space="0"/>
              <w:bottom w:val="single" w:color="000000" w:sz="4" w:space="0"/>
              <w:right w:val="single" w:color="000000" w:sz="4" w:space="0"/>
            </w:tcBorders>
            <w:vAlign w:val="center"/>
          </w:tcPr>
          <w:p w14:paraId="41A8E8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07FA46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54DEC32D">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135CDA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6C477D0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石墨产品</w:t>
            </w: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0D955C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360884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C，99.99%</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7FBD57E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1DE334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134" w:type="dxa"/>
            <w:tcBorders>
              <w:top w:val="single" w:color="000000" w:sz="4" w:space="0"/>
              <w:left w:val="single" w:color="000000" w:sz="4" w:space="0"/>
              <w:bottom w:val="single" w:color="000000" w:sz="4" w:space="0"/>
              <w:right w:val="single" w:color="000000" w:sz="4" w:space="0"/>
            </w:tcBorders>
            <w:vAlign w:val="center"/>
          </w:tcPr>
          <w:p w14:paraId="305F3A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504A7E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342B3C7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00F265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E39064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1CB295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MTS</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0A13C9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三氯甲基硅烷</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342EE7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06812C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134" w:type="dxa"/>
            <w:tcBorders>
              <w:top w:val="single" w:color="000000" w:sz="4" w:space="0"/>
              <w:left w:val="single" w:color="000000" w:sz="4" w:space="0"/>
              <w:bottom w:val="single" w:color="000000" w:sz="4" w:space="0"/>
              <w:right w:val="single" w:color="000000" w:sz="4" w:space="0"/>
            </w:tcBorders>
            <w:vAlign w:val="center"/>
          </w:tcPr>
          <w:p w14:paraId="248D4F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5C3D3B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207B9417">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9BBDF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77905E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8E4BD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HCl</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3A4C42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氯化氢</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1A9C2C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0.4</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7468F3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134" w:type="dxa"/>
            <w:tcBorders>
              <w:top w:val="single" w:color="000000" w:sz="4" w:space="0"/>
              <w:left w:val="single" w:color="000000" w:sz="4" w:space="0"/>
              <w:bottom w:val="single" w:color="000000" w:sz="4" w:space="0"/>
              <w:right w:val="single" w:color="000000" w:sz="4" w:space="0"/>
            </w:tcBorders>
            <w:vAlign w:val="center"/>
          </w:tcPr>
          <w:p w14:paraId="795A2A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13257E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880E79F">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FED0D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41D452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71F238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7472C4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71E027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3F56D4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0.3</w:t>
            </w:r>
          </w:p>
        </w:tc>
        <w:tc>
          <w:tcPr>
            <w:tcW w:w="1134" w:type="dxa"/>
            <w:tcBorders>
              <w:top w:val="single" w:color="000000" w:sz="4" w:space="0"/>
              <w:left w:val="single" w:color="000000" w:sz="4" w:space="0"/>
              <w:bottom w:val="single" w:color="000000" w:sz="4" w:space="0"/>
              <w:right w:val="single" w:color="000000" w:sz="4" w:space="0"/>
            </w:tcBorders>
            <w:vAlign w:val="center"/>
          </w:tcPr>
          <w:p w14:paraId="0112C0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4774D7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5D99FEA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442A3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B88CAB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49D673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432644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2E168E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180</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3258E5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1774F6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7D0FAE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2C1995C3">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7CBA5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5A9C3F8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73F49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11F9A3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310CB2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150</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4F25F5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vAlign w:val="center"/>
          </w:tcPr>
          <w:p w14:paraId="7E381F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4A2297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372919FD">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6C9312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6127C5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陶瓷产品</w:t>
            </w: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4DE1DD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氧化铝陶瓷</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6D0162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AL2O3</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69392E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1620</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51CB8C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8D526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74247F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2A48FA86">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ED6C3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5015B42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6BAD02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674C7D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7C8196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0.7</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127D65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FA507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25L/桶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29151E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0F88C50C">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CBFB3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158365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602A57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导轨油</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5360B3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机油70-80%、溶剂脱蜡重石蜡馏分20-30%、添加剂1-5%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3FC473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6E8DA5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B0C0A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208L/桶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27FC27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12200EBC">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0CFC1F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F4C5A5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noWrap/>
            <w:vAlign w:val="center"/>
          </w:tcPr>
          <w:p w14:paraId="6F3201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粘结剂</w:t>
            </w:r>
          </w:p>
        </w:tc>
        <w:tc>
          <w:tcPr>
            <w:tcW w:w="5289" w:type="dxa"/>
            <w:tcBorders>
              <w:top w:val="single" w:color="000000" w:sz="4" w:space="0"/>
              <w:left w:val="single" w:color="000000" w:sz="4" w:space="0"/>
              <w:bottom w:val="single" w:color="000000" w:sz="4" w:space="0"/>
              <w:right w:val="single" w:color="000000" w:sz="4" w:space="0"/>
            </w:tcBorders>
            <w:noWrap/>
            <w:vAlign w:val="center"/>
          </w:tcPr>
          <w:p w14:paraId="6C7787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聚乙烯醇7%，可分散胶粉0.5%</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40875D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240D26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795DE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5kg/瓶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3B8FAE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14AEB9AB">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2E1EE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608A8B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碳化硅产品</w:t>
            </w: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E03FD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MTS</w:t>
            </w:r>
          </w:p>
        </w:tc>
        <w:tc>
          <w:tcPr>
            <w:tcW w:w="5289" w:type="dxa"/>
            <w:tcBorders>
              <w:top w:val="single" w:color="000000" w:sz="4" w:space="0"/>
              <w:left w:val="single" w:color="000000" w:sz="4" w:space="0"/>
              <w:bottom w:val="single" w:color="000000" w:sz="4" w:space="0"/>
              <w:right w:val="single" w:color="000000" w:sz="4" w:space="0"/>
            </w:tcBorders>
            <w:vAlign w:val="center"/>
          </w:tcPr>
          <w:p w14:paraId="3A3364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三氯甲基硅烷</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60ACAF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248</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5BDD6E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134" w:type="dxa"/>
            <w:tcBorders>
              <w:top w:val="single" w:color="000000" w:sz="4" w:space="0"/>
              <w:left w:val="single" w:color="000000" w:sz="4" w:space="0"/>
              <w:bottom w:val="single" w:color="000000" w:sz="4" w:space="0"/>
              <w:right w:val="single" w:color="000000" w:sz="4" w:space="0"/>
            </w:tcBorders>
            <w:vAlign w:val="center"/>
          </w:tcPr>
          <w:p w14:paraId="58EC88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1.0t/罐</w:t>
            </w:r>
          </w:p>
        </w:tc>
        <w:tc>
          <w:tcPr>
            <w:tcW w:w="1337" w:type="dxa"/>
            <w:tcBorders>
              <w:top w:val="single" w:color="000000" w:sz="4" w:space="0"/>
              <w:left w:val="single" w:color="000000" w:sz="4" w:space="0"/>
              <w:bottom w:val="single" w:color="000000" w:sz="4" w:space="0"/>
              <w:right w:val="single" w:color="000000" w:sz="4" w:space="0"/>
            </w:tcBorders>
            <w:vAlign w:val="center"/>
          </w:tcPr>
          <w:p w14:paraId="053D1D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MTS贮存间</w:t>
            </w:r>
          </w:p>
        </w:tc>
      </w:tr>
      <w:tr w14:paraId="154558B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0E1592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CA4760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7C51C5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681119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氢气99.999%</w:t>
            </w:r>
          </w:p>
        </w:tc>
        <w:tc>
          <w:tcPr>
            <w:tcW w:w="1344" w:type="dxa"/>
            <w:tcBorders>
              <w:top w:val="single" w:color="000000" w:sz="4" w:space="0"/>
              <w:left w:val="single" w:color="000000" w:sz="4" w:space="0"/>
              <w:bottom w:val="single" w:color="000000" w:sz="4" w:space="0"/>
              <w:right w:val="single" w:color="000000" w:sz="4" w:space="0"/>
            </w:tcBorders>
            <w:vAlign w:val="center"/>
          </w:tcPr>
          <w:p w14:paraId="731406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6.8万m</w:t>
            </w:r>
            <w:r>
              <w:rPr>
                <w:snapToGrid/>
                <w:color w:val="000000" w:themeColor="text1"/>
                <w:sz w:val="21"/>
                <w:szCs w:val="21"/>
                <w:vertAlign w:val="superscript"/>
                <w14:textFill>
                  <w14:solidFill>
                    <w14:schemeClr w14:val="tx1"/>
                  </w14:solidFill>
                </w14:textFill>
              </w:rPr>
              <w:t>3</w:t>
            </w:r>
          </w:p>
        </w:tc>
        <w:tc>
          <w:tcPr>
            <w:tcW w:w="1129" w:type="dxa"/>
            <w:tcBorders>
              <w:top w:val="single" w:color="000000" w:sz="4" w:space="0"/>
              <w:left w:val="single" w:color="000000" w:sz="4" w:space="0"/>
              <w:bottom w:val="single" w:color="000000" w:sz="4" w:space="0"/>
              <w:right w:val="single" w:color="000000" w:sz="4" w:space="0"/>
            </w:tcBorders>
            <w:vAlign w:val="center"/>
          </w:tcPr>
          <w:p w14:paraId="624A3C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300瓶</w:t>
            </w:r>
          </w:p>
        </w:tc>
        <w:tc>
          <w:tcPr>
            <w:tcW w:w="1134" w:type="dxa"/>
            <w:tcBorders>
              <w:top w:val="single" w:color="000000" w:sz="4" w:space="0"/>
              <w:left w:val="single" w:color="000000" w:sz="4" w:space="0"/>
              <w:bottom w:val="single" w:color="000000" w:sz="4" w:space="0"/>
              <w:right w:val="single" w:color="000000" w:sz="4" w:space="0"/>
            </w:tcBorders>
            <w:vAlign w:val="center"/>
          </w:tcPr>
          <w:p w14:paraId="550D8E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04142E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2DBD78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0697E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A1C932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0545D9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63C8C0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氮气99.999%</w:t>
            </w:r>
          </w:p>
        </w:tc>
        <w:tc>
          <w:tcPr>
            <w:tcW w:w="1344" w:type="dxa"/>
            <w:tcBorders>
              <w:top w:val="single" w:color="000000" w:sz="4" w:space="0"/>
              <w:left w:val="single" w:color="000000" w:sz="4" w:space="0"/>
              <w:bottom w:val="single" w:color="000000" w:sz="4" w:space="0"/>
              <w:right w:val="single" w:color="000000" w:sz="4" w:space="0"/>
            </w:tcBorders>
            <w:vAlign w:val="center"/>
          </w:tcPr>
          <w:p w14:paraId="2780CB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1.65万m</w:t>
            </w:r>
            <w:r>
              <w:rPr>
                <w:snapToGrid/>
                <w:color w:val="000000" w:themeColor="text1"/>
                <w:sz w:val="21"/>
                <w:szCs w:val="21"/>
                <w:vertAlign w:val="superscript"/>
                <w14:textFill>
                  <w14:solidFill>
                    <w14:schemeClr w14:val="tx1"/>
                  </w14:solidFill>
                </w14:textFill>
              </w:rPr>
              <w:t>3</w:t>
            </w:r>
          </w:p>
        </w:tc>
        <w:tc>
          <w:tcPr>
            <w:tcW w:w="1129" w:type="dxa"/>
            <w:tcBorders>
              <w:top w:val="single" w:color="000000" w:sz="4" w:space="0"/>
              <w:left w:val="single" w:color="000000" w:sz="4" w:space="0"/>
              <w:bottom w:val="single" w:color="000000" w:sz="4" w:space="0"/>
              <w:right w:val="single" w:color="000000" w:sz="4" w:space="0"/>
            </w:tcBorders>
            <w:vAlign w:val="center"/>
          </w:tcPr>
          <w:p w14:paraId="1307CE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100瓶</w:t>
            </w:r>
          </w:p>
        </w:tc>
        <w:tc>
          <w:tcPr>
            <w:tcW w:w="1134" w:type="dxa"/>
            <w:tcBorders>
              <w:top w:val="single" w:color="000000" w:sz="4" w:space="0"/>
              <w:left w:val="single" w:color="000000" w:sz="4" w:space="0"/>
              <w:bottom w:val="single" w:color="000000" w:sz="4" w:space="0"/>
              <w:right w:val="single" w:color="000000" w:sz="4" w:space="0"/>
            </w:tcBorders>
            <w:vAlign w:val="center"/>
          </w:tcPr>
          <w:p w14:paraId="2D7B02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6308C7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408AE942">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6E8C4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4ABD42B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59B4FE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0FA10C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氩气99.999%</w:t>
            </w:r>
          </w:p>
        </w:tc>
        <w:tc>
          <w:tcPr>
            <w:tcW w:w="1344" w:type="dxa"/>
            <w:tcBorders>
              <w:top w:val="single" w:color="000000" w:sz="4" w:space="0"/>
              <w:left w:val="single" w:color="000000" w:sz="4" w:space="0"/>
              <w:bottom w:val="single" w:color="000000" w:sz="4" w:space="0"/>
              <w:right w:val="single" w:color="000000" w:sz="4" w:space="0"/>
            </w:tcBorders>
            <w:vAlign w:val="center"/>
          </w:tcPr>
          <w:p w14:paraId="306912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2.83万m</w:t>
            </w:r>
            <w:r>
              <w:rPr>
                <w:snapToGrid/>
                <w:color w:val="000000" w:themeColor="text1"/>
                <w:sz w:val="21"/>
                <w:szCs w:val="21"/>
                <w:vertAlign w:val="superscript"/>
                <w14:textFill>
                  <w14:solidFill>
                    <w14:schemeClr w14:val="tx1"/>
                  </w14:solidFill>
                </w14:textFill>
              </w:rPr>
              <w:t>3</w:t>
            </w:r>
          </w:p>
        </w:tc>
        <w:tc>
          <w:tcPr>
            <w:tcW w:w="1129" w:type="dxa"/>
            <w:tcBorders>
              <w:top w:val="single" w:color="000000" w:sz="4" w:space="0"/>
              <w:left w:val="single" w:color="000000" w:sz="4" w:space="0"/>
              <w:bottom w:val="single" w:color="000000" w:sz="4" w:space="0"/>
              <w:right w:val="single" w:color="000000" w:sz="4" w:space="0"/>
            </w:tcBorders>
            <w:vAlign w:val="center"/>
          </w:tcPr>
          <w:p w14:paraId="4A03BB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100瓶</w:t>
            </w:r>
          </w:p>
        </w:tc>
        <w:tc>
          <w:tcPr>
            <w:tcW w:w="1134" w:type="dxa"/>
            <w:tcBorders>
              <w:top w:val="single" w:color="000000" w:sz="4" w:space="0"/>
              <w:left w:val="single" w:color="000000" w:sz="4" w:space="0"/>
              <w:bottom w:val="single" w:color="000000" w:sz="4" w:space="0"/>
              <w:right w:val="single" w:color="000000" w:sz="4" w:space="0"/>
            </w:tcBorders>
            <w:vAlign w:val="center"/>
          </w:tcPr>
          <w:p w14:paraId="0C4F87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62004C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4310157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C2363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4A6DCB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706D55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石墨支撑件</w:t>
            </w:r>
          </w:p>
        </w:tc>
        <w:tc>
          <w:tcPr>
            <w:tcW w:w="5289" w:type="dxa"/>
            <w:tcBorders>
              <w:top w:val="single" w:color="000000" w:sz="4" w:space="0"/>
              <w:left w:val="single" w:color="000000" w:sz="4" w:space="0"/>
              <w:bottom w:val="single" w:color="000000" w:sz="4" w:space="0"/>
              <w:right w:val="single" w:color="000000" w:sz="4" w:space="0"/>
            </w:tcBorders>
            <w:vAlign w:val="center"/>
          </w:tcPr>
          <w:p w14:paraId="2D6AA3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6EFFF5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3600</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6C8CA0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14:paraId="69FE29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569592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295743DB">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B1491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F1563B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29E91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NaOH</w:t>
            </w:r>
          </w:p>
        </w:tc>
        <w:tc>
          <w:tcPr>
            <w:tcW w:w="5289" w:type="dxa"/>
            <w:tcBorders>
              <w:top w:val="single" w:color="000000" w:sz="4" w:space="0"/>
              <w:left w:val="single" w:color="000000" w:sz="4" w:space="0"/>
              <w:bottom w:val="single" w:color="000000" w:sz="4" w:space="0"/>
              <w:right w:val="single" w:color="000000" w:sz="4" w:space="0"/>
            </w:tcBorders>
            <w:vAlign w:val="center"/>
          </w:tcPr>
          <w:p w14:paraId="084F6C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NaOH固体</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69FCD6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35.8</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23BAAE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134" w:type="dxa"/>
            <w:tcBorders>
              <w:top w:val="single" w:color="000000" w:sz="4" w:space="0"/>
              <w:left w:val="single" w:color="000000" w:sz="4" w:space="0"/>
              <w:bottom w:val="single" w:color="000000" w:sz="4" w:space="0"/>
              <w:right w:val="single" w:color="000000" w:sz="4" w:space="0"/>
            </w:tcBorders>
            <w:vAlign w:val="center"/>
          </w:tcPr>
          <w:p w14:paraId="4BBC80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50kg/箱</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1995F7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危险化学品库</w:t>
            </w:r>
          </w:p>
        </w:tc>
      </w:tr>
      <w:tr w14:paraId="7C3736F7">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13D303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129B39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57DA75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H2SO4</w:t>
            </w:r>
          </w:p>
        </w:tc>
        <w:tc>
          <w:tcPr>
            <w:tcW w:w="5289" w:type="dxa"/>
            <w:tcBorders>
              <w:top w:val="single" w:color="000000" w:sz="4" w:space="0"/>
              <w:left w:val="single" w:color="000000" w:sz="4" w:space="0"/>
              <w:bottom w:val="single" w:color="000000" w:sz="4" w:space="0"/>
              <w:right w:val="single" w:color="000000" w:sz="4" w:space="0"/>
            </w:tcBorders>
            <w:vAlign w:val="center"/>
          </w:tcPr>
          <w:p w14:paraId="72ECC9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SO</w:t>
            </w:r>
            <w:r>
              <w:rPr>
                <w:snapToGrid/>
                <w:color w:val="000000" w:themeColor="text1"/>
                <w:sz w:val="21"/>
                <w:szCs w:val="21"/>
                <w:vertAlign w:val="subscript"/>
                <w14:textFill>
                  <w14:solidFill>
                    <w14:schemeClr w14:val="tx1"/>
                  </w14:solidFill>
                </w14:textFill>
              </w:rPr>
              <w:t>4</w:t>
            </w:r>
          </w:p>
        </w:tc>
        <w:tc>
          <w:tcPr>
            <w:tcW w:w="1344" w:type="dxa"/>
            <w:tcBorders>
              <w:top w:val="single" w:color="000000" w:sz="4" w:space="0"/>
              <w:left w:val="single" w:color="000000" w:sz="4" w:space="0"/>
              <w:bottom w:val="single" w:color="000000" w:sz="4" w:space="0"/>
              <w:right w:val="single" w:color="000000" w:sz="4" w:space="0"/>
            </w:tcBorders>
            <w:noWrap/>
            <w:vAlign w:val="center"/>
          </w:tcPr>
          <w:p w14:paraId="00F7E0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0.6</w:t>
            </w:r>
          </w:p>
        </w:tc>
        <w:tc>
          <w:tcPr>
            <w:tcW w:w="1129" w:type="dxa"/>
            <w:tcBorders>
              <w:top w:val="single" w:color="000000" w:sz="4" w:space="0"/>
              <w:left w:val="single" w:color="000000" w:sz="4" w:space="0"/>
              <w:bottom w:val="single" w:color="000000" w:sz="4" w:space="0"/>
              <w:right w:val="single" w:color="000000" w:sz="4" w:space="0"/>
            </w:tcBorders>
            <w:noWrap/>
            <w:vAlign w:val="center"/>
          </w:tcPr>
          <w:p w14:paraId="40646F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134" w:type="dxa"/>
            <w:tcBorders>
              <w:top w:val="single" w:color="000000" w:sz="4" w:space="0"/>
              <w:left w:val="single" w:color="000000" w:sz="4" w:space="0"/>
              <w:bottom w:val="single" w:color="000000" w:sz="4" w:space="0"/>
              <w:right w:val="single" w:color="000000" w:sz="4" w:space="0"/>
            </w:tcBorders>
            <w:vAlign w:val="center"/>
          </w:tcPr>
          <w:p w14:paraId="6819E5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10kg/桶</w:t>
            </w:r>
          </w:p>
        </w:tc>
        <w:tc>
          <w:tcPr>
            <w:tcW w:w="1337" w:type="dxa"/>
            <w:tcBorders>
              <w:top w:val="single" w:color="000000" w:sz="4" w:space="0"/>
              <w:left w:val="single" w:color="000000" w:sz="4" w:space="0"/>
              <w:bottom w:val="single" w:color="000000" w:sz="4" w:space="0"/>
              <w:right w:val="single" w:color="000000" w:sz="4" w:space="0"/>
            </w:tcBorders>
            <w:noWrap/>
            <w:vAlign w:val="center"/>
          </w:tcPr>
          <w:p w14:paraId="4489F9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危险化学品库</w:t>
            </w:r>
          </w:p>
        </w:tc>
      </w:tr>
      <w:tr w14:paraId="33A5ED4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6D448A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797028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静电卡盘ESC新品及再生品研发</w:t>
            </w: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5ED831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B98粘结剂</w:t>
            </w:r>
          </w:p>
        </w:tc>
        <w:tc>
          <w:tcPr>
            <w:tcW w:w="5289" w:type="dxa"/>
            <w:tcBorders>
              <w:top w:val="single" w:color="000000" w:sz="4" w:space="0"/>
              <w:left w:val="single" w:color="000000" w:sz="4" w:space="0"/>
              <w:bottom w:val="single" w:color="000000" w:sz="4" w:space="0"/>
              <w:right w:val="single" w:color="000000" w:sz="4" w:space="0"/>
            </w:tcBorders>
            <w:vAlign w:val="center"/>
          </w:tcPr>
          <w:p w14:paraId="26EF0C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聚乙烯醇缩丁醛</w:t>
            </w:r>
          </w:p>
        </w:tc>
        <w:tc>
          <w:tcPr>
            <w:tcW w:w="1344" w:type="dxa"/>
            <w:tcBorders>
              <w:top w:val="single" w:color="000000" w:sz="4" w:space="0"/>
              <w:left w:val="single" w:color="000000" w:sz="4" w:space="0"/>
              <w:bottom w:val="single" w:color="000000" w:sz="4" w:space="0"/>
              <w:right w:val="single" w:color="000000" w:sz="4" w:space="0"/>
            </w:tcBorders>
            <w:vAlign w:val="center"/>
          </w:tcPr>
          <w:p w14:paraId="3BC096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120kg</w:t>
            </w:r>
          </w:p>
        </w:tc>
        <w:tc>
          <w:tcPr>
            <w:tcW w:w="1129" w:type="dxa"/>
            <w:tcBorders>
              <w:top w:val="single" w:color="000000" w:sz="4" w:space="0"/>
              <w:left w:val="single" w:color="000000" w:sz="4" w:space="0"/>
              <w:bottom w:val="single" w:color="000000" w:sz="4" w:space="0"/>
              <w:right w:val="single" w:color="000000" w:sz="4" w:space="0"/>
            </w:tcBorders>
            <w:vAlign w:val="center"/>
          </w:tcPr>
          <w:p w14:paraId="6668BE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30kg</w:t>
            </w:r>
          </w:p>
        </w:tc>
        <w:tc>
          <w:tcPr>
            <w:tcW w:w="1134" w:type="dxa"/>
            <w:tcBorders>
              <w:top w:val="single" w:color="000000" w:sz="4" w:space="0"/>
              <w:left w:val="single" w:color="000000" w:sz="4" w:space="0"/>
              <w:bottom w:val="single" w:color="000000" w:sz="4" w:space="0"/>
              <w:right w:val="single" w:color="000000" w:sz="4" w:space="0"/>
            </w:tcBorders>
            <w:vAlign w:val="center"/>
          </w:tcPr>
          <w:p w14:paraId="5B55BE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0388D6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6A82E63E">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F8CEF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5CD83CA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6E9AA5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SN9228分散剂（SN-DISPER</w:t>
            </w:r>
          </w:p>
        </w:tc>
        <w:tc>
          <w:tcPr>
            <w:tcW w:w="5289" w:type="dxa"/>
            <w:vMerge w:val="restart"/>
            <w:tcBorders>
              <w:top w:val="single" w:color="000000" w:sz="4" w:space="0"/>
              <w:left w:val="single" w:color="000000" w:sz="4" w:space="0"/>
              <w:bottom w:val="single" w:color="000000" w:sz="4" w:space="0"/>
              <w:right w:val="single" w:color="000000" w:sz="4" w:space="0"/>
            </w:tcBorders>
            <w:vAlign w:val="center"/>
          </w:tcPr>
          <w:p w14:paraId="3DDD8E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多元醇型非离子表面活性剂</w:t>
            </w:r>
          </w:p>
        </w:tc>
        <w:tc>
          <w:tcPr>
            <w:tcW w:w="1344" w:type="dxa"/>
            <w:vMerge w:val="restart"/>
            <w:tcBorders>
              <w:top w:val="single" w:color="000000" w:sz="4" w:space="0"/>
              <w:left w:val="single" w:color="000000" w:sz="4" w:space="0"/>
              <w:bottom w:val="single" w:color="000000" w:sz="4" w:space="0"/>
              <w:right w:val="single" w:color="000000" w:sz="4" w:space="0"/>
            </w:tcBorders>
            <w:vAlign w:val="center"/>
          </w:tcPr>
          <w:p w14:paraId="779F98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40kg</w:t>
            </w:r>
          </w:p>
        </w:tc>
        <w:tc>
          <w:tcPr>
            <w:tcW w:w="1129" w:type="dxa"/>
            <w:vMerge w:val="restart"/>
            <w:tcBorders>
              <w:top w:val="single" w:color="000000" w:sz="4" w:space="0"/>
              <w:left w:val="single" w:color="000000" w:sz="4" w:space="0"/>
              <w:bottom w:val="single" w:color="000000" w:sz="4" w:space="0"/>
              <w:right w:val="single" w:color="000000" w:sz="4" w:space="0"/>
            </w:tcBorders>
            <w:vAlign w:val="center"/>
          </w:tcPr>
          <w:p w14:paraId="409F23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10kg</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14:paraId="341D69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337" w:type="dxa"/>
            <w:vMerge w:val="restart"/>
            <w:tcBorders>
              <w:top w:val="single" w:color="000000" w:sz="4" w:space="0"/>
              <w:left w:val="single" w:color="000000" w:sz="4" w:space="0"/>
              <w:bottom w:val="single" w:color="000000" w:sz="4" w:space="0"/>
              <w:right w:val="single" w:color="000000" w:sz="4" w:space="0"/>
            </w:tcBorders>
            <w:vAlign w:val="center"/>
          </w:tcPr>
          <w:p w14:paraId="6770B9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71C9D950">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AC7B5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1A93C5A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211DD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SANT9228）</w:t>
            </w:r>
          </w:p>
        </w:tc>
        <w:tc>
          <w:tcPr>
            <w:tcW w:w="5289" w:type="dxa"/>
            <w:vMerge w:val="continue"/>
            <w:tcBorders>
              <w:top w:val="single" w:color="000000" w:sz="4" w:space="0"/>
              <w:left w:val="single" w:color="000000" w:sz="4" w:space="0"/>
              <w:bottom w:val="single" w:color="000000" w:sz="4" w:space="0"/>
              <w:right w:val="single" w:color="000000" w:sz="4" w:space="0"/>
            </w:tcBorders>
            <w:vAlign w:val="center"/>
          </w:tcPr>
          <w:p w14:paraId="727D788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344" w:type="dxa"/>
            <w:vMerge w:val="continue"/>
            <w:tcBorders>
              <w:top w:val="single" w:color="000000" w:sz="4" w:space="0"/>
              <w:left w:val="single" w:color="000000" w:sz="4" w:space="0"/>
              <w:bottom w:val="single" w:color="000000" w:sz="4" w:space="0"/>
              <w:right w:val="single" w:color="000000" w:sz="4" w:space="0"/>
            </w:tcBorders>
            <w:vAlign w:val="center"/>
          </w:tcPr>
          <w:p w14:paraId="5286333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29" w:type="dxa"/>
            <w:vMerge w:val="continue"/>
            <w:tcBorders>
              <w:top w:val="single" w:color="000000" w:sz="4" w:space="0"/>
              <w:left w:val="single" w:color="000000" w:sz="4" w:space="0"/>
              <w:bottom w:val="single" w:color="000000" w:sz="4" w:space="0"/>
              <w:right w:val="single" w:color="000000" w:sz="4" w:space="0"/>
            </w:tcBorders>
            <w:vAlign w:val="center"/>
          </w:tcPr>
          <w:p w14:paraId="016823E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1335CA4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337" w:type="dxa"/>
            <w:vMerge w:val="continue"/>
            <w:tcBorders>
              <w:top w:val="single" w:color="000000" w:sz="4" w:space="0"/>
              <w:left w:val="single" w:color="000000" w:sz="4" w:space="0"/>
              <w:bottom w:val="single" w:color="000000" w:sz="4" w:space="0"/>
              <w:right w:val="single" w:color="000000" w:sz="4" w:space="0"/>
            </w:tcBorders>
            <w:vAlign w:val="center"/>
          </w:tcPr>
          <w:p w14:paraId="119DE79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r>
      <w:tr w14:paraId="3AA11AA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67A2D1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C50DD9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7551A3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Santicizer160增塑剂</w:t>
            </w:r>
          </w:p>
        </w:tc>
        <w:tc>
          <w:tcPr>
            <w:tcW w:w="5289" w:type="dxa"/>
            <w:tcBorders>
              <w:top w:val="single" w:color="000000" w:sz="4" w:space="0"/>
              <w:left w:val="single" w:color="000000" w:sz="4" w:space="0"/>
              <w:bottom w:val="single" w:color="000000" w:sz="4" w:space="0"/>
              <w:right w:val="single" w:color="000000" w:sz="4" w:space="0"/>
            </w:tcBorders>
            <w:vAlign w:val="center"/>
          </w:tcPr>
          <w:p w14:paraId="580D6C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邻苯二甲酸丁酯苯甲酯</w:t>
            </w:r>
          </w:p>
        </w:tc>
        <w:tc>
          <w:tcPr>
            <w:tcW w:w="1344" w:type="dxa"/>
            <w:tcBorders>
              <w:top w:val="single" w:color="000000" w:sz="4" w:space="0"/>
              <w:left w:val="single" w:color="000000" w:sz="4" w:space="0"/>
              <w:bottom w:val="single" w:color="000000" w:sz="4" w:space="0"/>
              <w:right w:val="single" w:color="000000" w:sz="4" w:space="0"/>
            </w:tcBorders>
            <w:vAlign w:val="center"/>
          </w:tcPr>
          <w:p w14:paraId="15F6A5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60kg</w:t>
            </w:r>
          </w:p>
        </w:tc>
        <w:tc>
          <w:tcPr>
            <w:tcW w:w="1129" w:type="dxa"/>
            <w:tcBorders>
              <w:top w:val="single" w:color="000000" w:sz="4" w:space="0"/>
              <w:left w:val="single" w:color="000000" w:sz="4" w:space="0"/>
              <w:bottom w:val="single" w:color="000000" w:sz="4" w:space="0"/>
              <w:right w:val="single" w:color="000000" w:sz="4" w:space="0"/>
            </w:tcBorders>
            <w:vAlign w:val="center"/>
          </w:tcPr>
          <w:p w14:paraId="324978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134" w:type="dxa"/>
            <w:tcBorders>
              <w:top w:val="single" w:color="000000" w:sz="4" w:space="0"/>
              <w:left w:val="single" w:color="000000" w:sz="4" w:space="0"/>
              <w:bottom w:val="single" w:color="000000" w:sz="4" w:space="0"/>
              <w:right w:val="single" w:color="000000" w:sz="4" w:space="0"/>
            </w:tcBorders>
            <w:vAlign w:val="center"/>
          </w:tcPr>
          <w:p w14:paraId="47943D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1D149B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3B5BAA0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188B1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40C130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5E4362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甲苯(99.5%)</w:t>
            </w:r>
          </w:p>
        </w:tc>
        <w:tc>
          <w:tcPr>
            <w:tcW w:w="5289" w:type="dxa"/>
            <w:tcBorders>
              <w:top w:val="single" w:color="000000" w:sz="4" w:space="0"/>
              <w:left w:val="single" w:color="000000" w:sz="4" w:space="0"/>
              <w:bottom w:val="single" w:color="000000" w:sz="4" w:space="0"/>
              <w:right w:val="single" w:color="000000" w:sz="4" w:space="0"/>
            </w:tcBorders>
            <w:vAlign w:val="center"/>
          </w:tcPr>
          <w:p w14:paraId="5A2359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甲苯</w:t>
            </w:r>
          </w:p>
        </w:tc>
        <w:tc>
          <w:tcPr>
            <w:tcW w:w="1344" w:type="dxa"/>
            <w:tcBorders>
              <w:top w:val="single" w:color="000000" w:sz="4" w:space="0"/>
              <w:left w:val="single" w:color="000000" w:sz="4" w:space="0"/>
              <w:bottom w:val="single" w:color="000000" w:sz="4" w:space="0"/>
              <w:right w:val="single" w:color="000000" w:sz="4" w:space="0"/>
            </w:tcBorders>
            <w:vAlign w:val="center"/>
          </w:tcPr>
          <w:p w14:paraId="191BE1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750L</w:t>
            </w:r>
          </w:p>
        </w:tc>
        <w:tc>
          <w:tcPr>
            <w:tcW w:w="1129" w:type="dxa"/>
            <w:tcBorders>
              <w:top w:val="single" w:color="000000" w:sz="4" w:space="0"/>
              <w:left w:val="single" w:color="000000" w:sz="4" w:space="0"/>
              <w:bottom w:val="single" w:color="000000" w:sz="4" w:space="0"/>
              <w:right w:val="single" w:color="000000" w:sz="4" w:space="0"/>
            </w:tcBorders>
            <w:vAlign w:val="center"/>
          </w:tcPr>
          <w:p w14:paraId="5DA0F1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100L</w:t>
            </w:r>
          </w:p>
        </w:tc>
        <w:tc>
          <w:tcPr>
            <w:tcW w:w="1134" w:type="dxa"/>
            <w:tcBorders>
              <w:top w:val="single" w:color="000000" w:sz="4" w:space="0"/>
              <w:left w:val="single" w:color="000000" w:sz="4" w:space="0"/>
              <w:bottom w:val="single" w:color="000000" w:sz="4" w:space="0"/>
              <w:right w:val="single" w:color="000000" w:sz="4" w:space="0"/>
            </w:tcBorders>
            <w:vAlign w:val="center"/>
          </w:tcPr>
          <w:p w14:paraId="0269BA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2D29E5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6F3F988B">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696E3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5A2833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669177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乙醇(99.9%）</w:t>
            </w:r>
          </w:p>
        </w:tc>
        <w:tc>
          <w:tcPr>
            <w:tcW w:w="5289" w:type="dxa"/>
            <w:tcBorders>
              <w:top w:val="single" w:color="000000" w:sz="4" w:space="0"/>
              <w:left w:val="single" w:color="000000" w:sz="4" w:space="0"/>
              <w:bottom w:val="single" w:color="000000" w:sz="4" w:space="0"/>
              <w:right w:val="single" w:color="000000" w:sz="4" w:space="0"/>
            </w:tcBorders>
            <w:vAlign w:val="center"/>
          </w:tcPr>
          <w:p w14:paraId="75A445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乙醇</w:t>
            </w:r>
          </w:p>
        </w:tc>
        <w:tc>
          <w:tcPr>
            <w:tcW w:w="1344" w:type="dxa"/>
            <w:tcBorders>
              <w:top w:val="single" w:color="000000" w:sz="4" w:space="0"/>
              <w:left w:val="single" w:color="000000" w:sz="4" w:space="0"/>
              <w:bottom w:val="single" w:color="000000" w:sz="4" w:space="0"/>
              <w:right w:val="single" w:color="000000" w:sz="4" w:space="0"/>
            </w:tcBorders>
            <w:vAlign w:val="center"/>
          </w:tcPr>
          <w:p w14:paraId="3A0AFA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2000L</w:t>
            </w:r>
          </w:p>
        </w:tc>
        <w:tc>
          <w:tcPr>
            <w:tcW w:w="1129" w:type="dxa"/>
            <w:tcBorders>
              <w:top w:val="single" w:color="000000" w:sz="4" w:space="0"/>
              <w:left w:val="single" w:color="000000" w:sz="4" w:space="0"/>
              <w:bottom w:val="single" w:color="000000" w:sz="4" w:space="0"/>
              <w:right w:val="single" w:color="000000" w:sz="4" w:space="0"/>
            </w:tcBorders>
            <w:vAlign w:val="center"/>
          </w:tcPr>
          <w:p w14:paraId="524604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250L</w:t>
            </w:r>
          </w:p>
        </w:tc>
        <w:tc>
          <w:tcPr>
            <w:tcW w:w="1134" w:type="dxa"/>
            <w:tcBorders>
              <w:top w:val="single" w:color="000000" w:sz="4" w:space="0"/>
              <w:left w:val="single" w:color="000000" w:sz="4" w:space="0"/>
              <w:bottom w:val="single" w:color="000000" w:sz="4" w:space="0"/>
              <w:right w:val="single" w:color="000000" w:sz="4" w:space="0"/>
            </w:tcBorders>
            <w:vAlign w:val="center"/>
          </w:tcPr>
          <w:p w14:paraId="633753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5C922F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221B64E5">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5CBEF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BB4B2F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4E420EC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氧化铝粉末</w:t>
            </w:r>
          </w:p>
        </w:tc>
        <w:tc>
          <w:tcPr>
            <w:tcW w:w="5289" w:type="dxa"/>
            <w:tcBorders>
              <w:top w:val="single" w:color="000000" w:sz="4" w:space="0"/>
              <w:left w:val="single" w:color="000000" w:sz="4" w:space="0"/>
              <w:bottom w:val="single" w:color="000000" w:sz="4" w:space="0"/>
              <w:right w:val="single" w:color="000000" w:sz="4" w:space="0"/>
            </w:tcBorders>
            <w:vAlign w:val="center"/>
          </w:tcPr>
          <w:p w14:paraId="573E0E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p>
        </w:tc>
        <w:tc>
          <w:tcPr>
            <w:tcW w:w="1344" w:type="dxa"/>
            <w:tcBorders>
              <w:top w:val="single" w:color="000000" w:sz="4" w:space="0"/>
              <w:left w:val="single" w:color="000000" w:sz="4" w:space="0"/>
              <w:bottom w:val="single" w:color="000000" w:sz="4" w:space="0"/>
              <w:right w:val="single" w:color="000000" w:sz="4" w:space="0"/>
            </w:tcBorders>
            <w:vAlign w:val="center"/>
          </w:tcPr>
          <w:p w14:paraId="02B300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700kg</w:t>
            </w:r>
          </w:p>
        </w:tc>
        <w:tc>
          <w:tcPr>
            <w:tcW w:w="1129" w:type="dxa"/>
            <w:tcBorders>
              <w:top w:val="single" w:color="000000" w:sz="4" w:space="0"/>
              <w:left w:val="single" w:color="000000" w:sz="4" w:space="0"/>
              <w:bottom w:val="single" w:color="000000" w:sz="4" w:space="0"/>
              <w:right w:val="single" w:color="000000" w:sz="4" w:space="0"/>
            </w:tcBorders>
            <w:vAlign w:val="center"/>
          </w:tcPr>
          <w:p w14:paraId="2830EA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350kg</w:t>
            </w:r>
          </w:p>
        </w:tc>
        <w:tc>
          <w:tcPr>
            <w:tcW w:w="1134" w:type="dxa"/>
            <w:tcBorders>
              <w:top w:val="single" w:color="000000" w:sz="4" w:space="0"/>
              <w:left w:val="single" w:color="000000" w:sz="4" w:space="0"/>
              <w:bottom w:val="single" w:color="000000" w:sz="4" w:space="0"/>
              <w:right w:val="single" w:color="000000" w:sz="4" w:space="0"/>
            </w:tcBorders>
            <w:vAlign w:val="center"/>
          </w:tcPr>
          <w:p w14:paraId="77A494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7FD178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40D8F06F">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0FFA56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11DDAD2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0048A8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MgO</w:t>
            </w:r>
          </w:p>
        </w:tc>
        <w:tc>
          <w:tcPr>
            <w:tcW w:w="5289" w:type="dxa"/>
            <w:tcBorders>
              <w:top w:val="single" w:color="000000" w:sz="4" w:space="0"/>
              <w:left w:val="single" w:color="000000" w:sz="4" w:space="0"/>
              <w:bottom w:val="single" w:color="000000" w:sz="4" w:space="0"/>
              <w:right w:val="single" w:color="000000" w:sz="4" w:space="0"/>
            </w:tcBorders>
            <w:vAlign w:val="center"/>
          </w:tcPr>
          <w:p w14:paraId="7E8769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MgO</w:t>
            </w:r>
          </w:p>
        </w:tc>
        <w:tc>
          <w:tcPr>
            <w:tcW w:w="1344" w:type="dxa"/>
            <w:tcBorders>
              <w:top w:val="single" w:color="000000" w:sz="4" w:space="0"/>
              <w:left w:val="single" w:color="000000" w:sz="4" w:space="0"/>
              <w:bottom w:val="single" w:color="000000" w:sz="4" w:space="0"/>
              <w:right w:val="single" w:color="000000" w:sz="4" w:space="0"/>
            </w:tcBorders>
            <w:vAlign w:val="center"/>
          </w:tcPr>
          <w:p w14:paraId="2BED9F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6kg</w:t>
            </w:r>
          </w:p>
        </w:tc>
        <w:tc>
          <w:tcPr>
            <w:tcW w:w="1129" w:type="dxa"/>
            <w:tcBorders>
              <w:top w:val="single" w:color="000000" w:sz="4" w:space="0"/>
              <w:left w:val="single" w:color="000000" w:sz="4" w:space="0"/>
              <w:bottom w:val="single" w:color="000000" w:sz="4" w:space="0"/>
              <w:right w:val="single" w:color="000000" w:sz="4" w:space="0"/>
            </w:tcBorders>
            <w:vAlign w:val="center"/>
          </w:tcPr>
          <w:p w14:paraId="5614E2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5kg</w:t>
            </w:r>
          </w:p>
        </w:tc>
        <w:tc>
          <w:tcPr>
            <w:tcW w:w="1134" w:type="dxa"/>
            <w:tcBorders>
              <w:top w:val="single" w:color="000000" w:sz="4" w:space="0"/>
              <w:left w:val="single" w:color="000000" w:sz="4" w:space="0"/>
              <w:bottom w:val="single" w:color="000000" w:sz="4" w:space="0"/>
              <w:right w:val="single" w:color="000000" w:sz="4" w:space="0"/>
            </w:tcBorders>
            <w:vAlign w:val="center"/>
          </w:tcPr>
          <w:p w14:paraId="7A36E3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26D47D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5BA9808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D8CA1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72BCAA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660A10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SiO</w:t>
            </w:r>
            <w:r>
              <w:rPr>
                <w:snapToGrid/>
                <w:color w:val="000000" w:themeColor="text1"/>
                <w:sz w:val="21"/>
                <w:szCs w:val="21"/>
                <w:vertAlign w:val="subscript"/>
                <w14:textFill>
                  <w14:solidFill>
                    <w14:schemeClr w14:val="tx1"/>
                  </w14:solidFill>
                </w14:textFill>
              </w:rPr>
              <w:t>2</w:t>
            </w:r>
          </w:p>
        </w:tc>
        <w:tc>
          <w:tcPr>
            <w:tcW w:w="5289" w:type="dxa"/>
            <w:tcBorders>
              <w:top w:val="single" w:color="000000" w:sz="4" w:space="0"/>
              <w:left w:val="single" w:color="000000" w:sz="4" w:space="0"/>
              <w:bottom w:val="single" w:color="000000" w:sz="4" w:space="0"/>
              <w:right w:val="single" w:color="000000" w:sz="4" w:space="0"/>
            </w:tcBorders>
            <w:vAlign w:val="center"/>
          </w:tcPr>
          <w:p w14:paraId="2B347C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SiO</w:t>
            </w:r>
            <w:r>
              <w:rPr>
                <w:snapToGrid/>
                <w:color w:val="000000" w:themeColor="text1"/>
                <w:sz w:val="21"/>
                <w:szCs w:val="21"/>
                <w:vertAlign w:val="subscript"/>
                <w14:textFill>
                  <w14:solidFill>
                    <w14:schemeClr w14:val="tx1"/>
                  </w14:solidFill>
                </w14:textFill>
              </w:rPr>
              <w:t>2</w:t>
            </w:r>
          </w:p>
        </w:tc>
        <w:tc>
          <w:tcPr>
            <w:tcW w:w="1344" w:type="dxa"/>
            <w:tcBorders>
              <w:top w:val="single" w:color="000000" w:sz="4" w:space="0"/>
              <w:left w:val="single" w:color="000000" w:sz="4" w:space="0"/>
              <w:bottom w:val="single" w:color="000000" w:sz="4" w:space="0"/>
              <w:right w:val="single" w:color="000000" w:sz="4" w:space="0"/>
            </w:tcBorders>
            <w:vAlign w:val="center"/>
          </w:tcPr>
          <w:p w14:paraId="179E81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129" w:type="dxa"/>
            <w:tcBorders>
              <w:top w:val="single" w:color="000000" w:sz="4" w:space="0"/>
              <w:left w:val="single" w:color="000000" w:sz="4" w:space="0"/>
              <w:bottom w:val="single" w:color="000000" w:sz="4" w:space="0"/>
              <w:right w:val="single" w:color="000000" w:sz="4" w:space="0"/>
            </w:tcBorders>
            <w:vAlign w:val="center"/>
          </w:tcPr>
          <w:p w14:paraId="36D861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134" w:type="dxa"/>
            <w:tcBorders>
              <w:top w:val="single" w:color="000000" w:sz="4" w:space="0"/>
              <w:left w:val="single" w:color="000000" w:sz="4" w:space="0"/>
              <w:bottom w:val="single" w:color="000000" w:sz="4" w:space="0"/>
              <w:right w:val="single" w:color="000000" w:sz="4" w:space="0"/>
            </w:tcBorders>
            <w:vAlign w:val="center"/>
          </w:tcPr>
          <w:p w14:paraId="262923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1337B8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109C5A05">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10B4E8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737243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69756E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CaCO</w:t>
            </w:r>
            <w:r>
              <w:rPr>
                <w:snapToGrid/>
                <w:color w:val="000000" w:themeColor="text1"/>
                <w:sz w:val="21"/>
                <w:szCs w:val="21"/>
                <w:vertAlign w:val="subscript"/>
                <w14:textFill>
                  <w14:solidFill>
                    <w14:schemeClr w14:val="tx1"/>
                  </w14:solidFill>
                </w14:textFill>
              </w:rPr>
              <w:t>3</w:t>
            </w:r>
          </w:p>
        </w:tc>
        <w:tc>
          <w:tcPr>
            <w:tcW w:w="5289" w:type="dxa"/>
            <w:tcBorders>
              <w:top w:val="single" w:color="000000" w:sz="4" w:space="0"/>
              <w:left w:val="single" w:color="000000" w:sz="4" w:space="0"/>
              <w:bottom w:val="single" w:color="000000" w:sz="4" w:space="0"/>
              <w:right w:val="single" w:color="000000" w:sz="4" w:space="0"/>
            </w:tcBorders>
            <w:vAlign w:val="center"/>
          </w:tcPr>
          <w:p w14:paraId="592E75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CaCO</w:t>
            </w:r>
            <w:r>
              <w:rPr>
                <w:snapToGrid/>
                <w:color w:val="000000" w:themeColor="text1"/>
                <w:sz w:val="21"/>
                <w:szCs w:val="21"/>
                <w:vertAlign w:val="subscript"/>
                <w14:textFill>
                  <w14:solidFill>
                    <w14:schemeClr w14:val="tx1"/>
                  </w14:solidFill>
                </w14:textFill>
              </w:rPr>
              <w:t>3</w:t>
            </w:r>
          </w:p>
        </w:tc>
        <w:tc>
          <w:tcPr>
            <w:tcW w:w="1344" w:type="dxa"/>
            <w:tcBorders>
              <w:top w:val="single" w:color="000000" w:sz="4" w:space="0"/>
              <w:left w:val="single" w:color="000000" w:sz="4" w:space="0"/>
              <w:bottom w:val="single" w:color="000000" w:sz="4" w:space="0"/>
              <w:right w:val="single" w:color="000000" w:sz="4" w:space="0"/>
            </w:tcBorders>
            <w:vAlign w:val="center"/>
          </w:tcPr>
          <w:p w14:paraId="664E9C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129" w:type="dxa"/>
            <w:tcBorders>
              <w:top w:val="single" w:color="000000" w:sz="4" w:space="0"/>
              <w:left w:val="single" w:color="000000" w:sz="4" w:space="0"/>
              <w:bottom w:val="single" w:color="000000" w:sz="4" w:space="0"/>
              <w:right w:val="single" w:color="000000" w:sz="4" w:space="0"/>
            </w:tcBorders>
            <w:vAlign w:val="center"/>
          </w:tcPr>
          <w:p w14:paraId="70E1DC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134" w:type="dxa"/>
            <w:tcBorders>
              <w:top w:val="single" w:color="000000" w:sz="4" w:space="0"/>
              <w:left w:val="single" w:color="000000" w:sz="4" w:space="0"/>
              <w:bottom w:val="single" w:color="000000" w:sz="4" w:space="0"/>
              <w:right w:val="single" w:color="000000" w:sz="4" w:space="0"/>
            </w:tcBorders>
            <w:vAlign w:val="center"/>
          </w:tcPr>
          <w:p w14:paraId="23D05D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0BA9EA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558E68A2">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93638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10271E8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47CBEB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钨浆</w:t>
            </w:r>
          </w:p>
        </w:tc>
        <w:tc>
          <w:tcPr>
            <w:tcW w:w="5289" w:type="dxa"/>
            <w:tcBorders>
              <w:top w:val="single" w:color="000000" w:sz="4" w:space="0"/>
              <w:left w:val="single" w:color="000000" w:sz="4" w:space="0"/>
              <w:bottom w:val="single" w:color="000000" w:sz="4" w:space="0"/>
              <w:right w:val="single" w:color="000000" w:sz="4" w:space="0"/>
            </w:tcBorders>
            <w:vAlign w:val="center"/>
          </w:tcPr>
          <w:p w14:paraId="751862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钨</w:t>
            </w:r>
          </w:p>
        </w:tc>
        <w:tc>
          <w:tcPr>
            <w:tcW w:w="1344" w:type="dxa"/>
            <w:tcBorders>
              <w:top w:val="single" w:color="000000" w:sz="4" w:space="0"/>
              <w:left w:val="single" w:color="000000" w:sz="4" w:space="0"/>
              <w:bottom w:val="single" w:color="000000" w:sz="4" w:space="0"/>
              <w:right w:val="single" w:color="000000" w:sz="4" w:space="0"/>
            </w:tcBorders>
            <w:vAlign w:val="center"/>
          </w:tcPr>
          <w:p w14:paraId="4382FB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10kg</w:t>
            </w:r>
          </w:p>
        </w:tc>
        <w:tc>
          <w:tcPr>
            <w:tcW w:w="1129" w:type="dxa"/>
            <w:tcBorders>
              <w:top w:val="single" w:color="000000" w:sz="4" w:space="0"/>
              <w:left w:val="single" w:color="000000" w:sz="4" w:space="0"/>
              <w:bottom w:val="single" w:color="000000" w:sz="4" w:space="0"/>
              <w:right w:val="single" w:color="000000" w:sz="4" w:space="0"/>
            </w:tcBorders>
            <w:vAlign w:val="center"/>
          </w:tcPr>
          <w:p w14:paraId="12E8FD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10kg</w:t>
            </w:r>
          </w:p>
        </w:tc>
        <w:tc>
          <w:tcPr>
            <w:tcW w:w="1134" w:type="dxa"/>
            <w:tcBorders>
              <w:top w:val="single" w:color="000000" w:sz="4" w:space="0"/>
              <w:left w:val="single" w:color="000000" w:sz="4" w:space="0"/>
              <w:bottom w:val="single" w:color="000000" w:sz="4" w:space="0"/>
              <w:right w:val="single" w:color="000000" w:sz="4" w:space="0"/>
            </w:tcBorders>
            <w:vAlign w:val="center"/>
          </w:tcPr>
          <w:p w14:paraId="0F4D24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1D7611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5F511B24">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350FC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4ECBE1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69454C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硅胶（SE4440LPB）</w:t>
            </w:r>
          </w:p>
        </w:tc>
        <w:tc>
          <w:tcPr>
            <w:tcW w:w="5289" w:type="dxa"/>
            <w:tcBorders>
              <w:top w:val="single" w:color="000000" w:sz="4" w:space="0"/>
              <w:left w:val="single" w:color="000000" w:sz="4" w:space="0"/>
              <w:bottom w:val="single" w:color="000000" w:sz="4" w:space="0"/>
              <w:right w:val="single" w:color="000000" w:sz="4" w:space="0"/>
            </w:tcBorders>
            <w:vAlign w:val="center"/>
          </w:tcPr>
          <w:p w14:paraId="228924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氧化铝68~71%，二甲基硅氧烷23~24%，硅氧烷5~6%，八甲基环四硅氧烷0.19~0.2%</w:t>
            </w:r>
          </w:p>
        </w:tc>
        <w:tc>
          <w:tcPr>
            <w:tcW w:w="1344" w:type="dxa"/>
            <w:tcBorders>
              <w:top w:val="single" w:color="000000" w:sz="4" w:space="0"/>
              <w:left w:val="single" w:color="000000" w:sz="4" w:space="0"/>
              <w:bottom w:val="single" w:color="000000" w:sz="4" w:space="0"/>
              <w:right w:val="single" w:color="000000" w:sz="4" w:space="0"/>
            </w:tcBorders>
            <w:vAlign w:val="center"/>
          </w:tcPr>
          <w:p w14:paraId="023DE8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125kg</w:t>
            </w:r>
          </w:p>
        </w:tc>
        <w:tc>
          <w:tcPr>
            <w:tcW w:w="1129" w:type="dxa"/>
            <w:tcBorders>
              <w:top w:val="single" w:color="000000" w:sz="4" w:space="0"/>
              <w:left w:val="single" w:color="000000" w:sz="4" w:space="0"/>
              <w:bottom w:val="single" w:color="000000" w:sz="4" w:space="0"/>
              <w:right w:val="single" w:color="000000" w:sz="4" w:space="0"/>
            </w:tcBorders>
            <w:vAlign w:val="center"/>
          </w:tcPr>
          <w:p w14:paraId="1C1BD6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75kg</w:t>
            </w:r>
          </w:p>
        </w:tc>
        <w:tc>
          <w:tcPr>
            <w:tcW w:w="1134" w:type="dxa"/>
            <w:tcBorders>
              <w:top w:val="single" w:color="000000" w:sz="4" w:space="0"/>
              <w:left w:val="single" w:color="000000" w:sz="4" w:space="0"/>
              <w:bottom w:val="single" w:color="000000" w:sz="4" w:space="0"/>
              <w:right w:val="single" w:color="000000" w:sz="4" w:space="0"/>
            </w:tcBorders>
            <w:vAlign w:val="center"/>
          </w:tcPr>
          <w:p w14:paraId="72FB39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2AECF3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61BA2C0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58B2B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7226E3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4EE9D7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MIBK(甲基异丁基酮）</w:t>
            </w:r>
          </w:p>
        </w:tc>
        <w:tc>
          <w:tcPr>
            <w:tcW w:w="5289" w:type="dxa"/>
            <w:tcBorders>
              <w:top w:val="single" w:color="000000" w:sz="4" w:space="0"/>
              <w:left w:val="single" w:color="000000" w:sz="4" w:space="0"/>
              <w:bottom w:val="single" w:color="000000" w:sz="4" w:space="0"/>
              <w:right w:val="single" w:color="000000" w:sz="4" w:space="0"/>
            </w:tcBorders>
            <w:vAlign w:val="center"/>
          </w:tcPr>
          <w:p w14:paraId="7BFEBA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甲基异丁基酮</w:t>
            </w:r>
          </w:p>
        </w:tc>
        <w:tc>
          <w:tcPr>
            <w:tcW w:w="1344" w:type="dxa"/>
            <w:tcBorders>
              <w:top w:val="single" w:color="000000" w:sz="4" w:space="0"/>
              <w:left w:val="single" w:color="000000" w:sz="4" w:space="0"/>
              <w:bottom w:val="single" w:color="000000" w:sz="4" w:space="0"/>
              <w:right w:val="single" w:color="000000" w:sz="4" w:space="0"/>
            </w:tcBorders>
            <w:vAlign w:val="center"/>
          </w:tcPr>
          <w:p w14:paraId="764593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40L</w:t>
            </w:r>
          </w:p>
        </w:tc>
        <w:tc>
          <w:tcPr>
            <w:tcW w:w="1129" w:type="dxa"/>
            <w:tcBorders>
              <w:top w:val="single" w:color="000000" w:sz="4" w:space="0"/>
              <w:left w:val="single" w:color="000000" w:sz="4" w:space="0"/>
              <w:bottom w:val="single" w:color="000000" w:sz="4" w:space="0"/>
              <w:right w:val="single" w:color="000000" w:sz="4" w:space="0"/>
            </w:tcBorders>
            <w:vAlign w:val="center"/>
          </w:tcPr>
          <w:p w14:paraId="663939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10L</w:t>
            </w:r>
          </w:p>
        </w:tc>
        <w:tc>
          <w:tcPr>
            <w:tcW w:w="1134" w:type="dxa"/>
            <w:tcBorders>
              <w:top w:val="single" w:color="000000" w:sz="4" w:space="0"/>
              <w:left w:val="single" w:color="000000" w:sz="4" w:space="0"/>
              <w:bottom w:val="single" w:color="000000" w:sz="4" w:space="0"/>
              <w:right w:val="single" w:color="000000" w:sz="4" w:space="0"/>
            </w:tcBorders>
            <w:vAlign w:val="center"/>
          </w:tcPr>
          <w:p w14:paraId="3C4E52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23B494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557F3C64">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E3843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F79540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C9A7A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AK-225(五氟二氯丙烷清洗剂)</w:t>
            </w:r>
          </w:p>
        </w:tc>
        <w:tc>
          <w:tcPr>
            <w:tcW w:w="5289" w:type="dxa"/>
            <w:tcBorders>
              <w:top w:val="single" w:color="000000" w:sz="4" w:space="0"/>
              <w:left w:val="single" w:color="000000" w:sz="4" w:space="0"/>
              <w:bottom w:val="single" w:color="000000" w:sz="4" w:space="0"/>
              <w:right w:val="single" w:color="000000" w:sz="4" w:space="0"/>
            </w:tcBorders>
            <w:vAlign w:val="center"/>
          </w:tcPr>
          <w:p w14:paraId="0D584D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五氟二氯丙烷</w:t>
            </w:r>
          </w:p>
        </w:tc>
        <w:tc>
          <w:tcPr>
            <w:tcW w:w="1344" w:type="dxa"/>
            <w:tcBorders>
              <w:top w:val="single" w:color="000000" w:sz="4" w:space="0"/>
              <w:left w:val="single" w:color="000000" w:sz="4" w:space="0"/>
              <w:bottom w:val="single" w:color="000000" w:sz="4" w:space="0"/>
              <w:right w:val="single" w:color="000000" w:sz="4" w:space="0"/>
            </w:tcBorders>
            <w:vAlign w:val="center"/>
          </w:tcPr>
          <w:p w14:paraId="0FA956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50L</w:t>
            </w:r>
          </w:p>
        </w:tc>
        <w:tc>
          <w:tcPr>
            <w:tcW w:w="1129" w:type="dxa"/>
            <w:tcBorders>
              <w:top w:val="single" w:color="000000" w:sz="4" w:space="0"/>
              <w:left w:val="single" w:color="000000" w:sz="4" w:space="0"/>
              <w:bottom w:val="single" w:color="000000" w:sz="4" w:space="0"/>
              <w:right w:val="single" w:color="000000" w:sz="4" w:space="0"/>
            </w:tcBorders>
            <w:vAlign w:val="center"/>
          </w:tcPr>
          <w:p w14:paraId="6E746F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10L</w:t>
            </w:r>
          </w:p>
        </w:tc>
        <w:tc>
          <w:tcPr>
            <w:tcW w:w="1134" w:type="dxa"/>
            <w:tcBorders>
              <w:top w:val="single" w:color="000000" w:sz="4" w:space="0"/>
              <w:left w:val="single" w:color="000000" w:sz="4" w:space="0"/>
              <w:bottom w:val="single" w:color="000000" w:sz="4" w:space="0"/>
              <w:right w:val="single" w:color="000000" w:sz="4" w:space="0"/>
            </w:tcBorders>
            <w:vAlign w:val="center"/>
          </w:tcPr>
          <w:p w14:paraId="03F04B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348E63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1DBE25C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0D3CA5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A93586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1B257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IPA(异丙醇，99.9%)</w:t>
            </w:r>
          </w:p>
        </w:tc>
        <w:tc>
          <w:tcPr>
            <w:tcW w:w="5289" w:type="dxa"/>
            <w:tcBorders>
              <w:top w:val="single" w:color="000000" w:sz="4" w:space="0"/>
              <w:left w:val="single" w:color="000000" w:sz="4" w:space="0"/>
              <w:bottom w:val="single" w:color="000000" w:sz="4" w:space="0"/>
              <w:right w:val="single" w:color="000000" w:sz="4" w:space="0"/>
            </w:tcBorders>
            <w:vAlign w:val="center"/>
          </w:tcPr>
          <w:p w14:paraId="21D2E6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异丙醇</w:t>
            </w:r>
          </w:p>
        </w:tc>
        <w:tc>
          <w:tcPr>
            <w:tcW w:w="1344" w:type="dxa"/>
            <w:tcBorders>
              <w:top w:val="single" w:color="000000" w:sz="4" w:space="0"/>
              <w:left w:val="single" w:color="000000" w:sz="4" w:space="0"/>
              <w:bottom w:val="single" w:color="000000" w:sz="4" w:space="0"/>
              <w:right w:val="single" w:color="000000" w:sz="4" w:space="0"/>
            </w:tcBorders>
            <w:vAlign w:val="center"/>
          </w:tcPr>
          <w:p w14:paraId="32D3F8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200L</w:t>
            </w:r>
          </w:p>
        </w:tc>
        <w:tc>
          <w:tcPr>
            <w:tcW w:w="1129" w:type="dxa"/>
            <w:tcBorders>
              <w:top w:val="single" w:color="000000" w:sz="4" w:space="0"/>
              <w:left w:val="single" w:color="000000" w:sz="4" w:space="0"/>
              <w:bottom w:val="single" w:color="000000" w:sz="4" w:space="0"/>
              <w:right w:val="single" w:color="000000" w:sz="4" w:space="0"/>
            </w:tcBorders>
            <w:vAlign w:val="center"/>
          </w:tcPr>
          <w:p w14:paraId="08FD99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w:t>
            </w:r>
          </w:p>
        </w:tc>
        <w:tc>
          <w:tcPr>
            <w:tcW w:w="1134" w:type="dxa"/>
            <w:tcBorders>
              <w:top w:val="single" w:color="000000" w:sz="4" w:space="0"/>
              <w:left w:val="single" w:color="000000" w:sz="4" w:space="0"/>
              <w:bottom w:val="single" w:color="000000" w:sz="4" w:space="0"/>
              <w:right w:val="single" w:color="000000" w:sz="4" w:space="0"/>
            </w:tcBorders>
            <w:vAlign w:val="center"/>
          </w:tcPr>
          <w:p w14:paraId="03ED54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42C86B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756198E6">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22BC65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097D5B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4BEE56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MC(二氯甲烷99.9%)</w:t>
            </w:r>
          </w:p>
        </w:tc>
        <w:tc>
          <w:tcPr>
            <w:tcW w:w="5289" w:type="dxa"/>
            <w:tcBorders>
              <w:top w:val="single" w:color="000000" w:sz="4" w:space="0"/>
              <w:left w:val="single" w:color="000000" w:sz="4" w:space="0"/>
              <w:bottom w:val="single" w:color="000000" w:sz="4" w:space="0"/>
              <w:right w:val="single" w:color="000000" w:sz="4" w:space="0"/>
            </w:tcBorders>
            <w:vAlign w:val="center"/>
          </w:tcPr>
          <w:p w14:paraId="117DF1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二氯甲烷</w:t>
            </w:r>
          </w:p>
        </w:tc>
        <w:tc>
          <w:tcPr>
            <w:tcW w:w="1344" w:type="dxa"/>
            <w:tcBorders>
              <w:top w:val="single" w:color="000000" w:sz="4" w:space="0"/>
              <w:left w:val="single" w:color="000000" w:sz="4" w:space="0"/>
              <w:bottom w:val="single" w:color="000000" w:sz="4" w:space="0"/>
              <w:right w:val="single" w:color="000000" w:sz="4" w:space="0"/>
            </w:tcBorders>
            <w:vAlign w:val="center"/>
          </w:tcPr>
          <w:p w14:paraId="27AFFA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100L</w:t>
            </w:r>
          </w:p>
        </w:tc>
        <w:tc>
          <w:tcPr>
            <w:tcW w:w="1129" w:type="dxa"/>
            <w:tcBorders>
              <w:top w:val="single" w:color="000000" w:sz="4" w:space="0"/>
              <w:left w:val="single" w:color="000000" w:sz="4" w:space="0"/>
              <w:bottom w:val="single" w:color="000000" w:sz="4" w:space="0"/>
              <w:right w:val="single" w:color="000000" w:sz="4" w:space="0"/>
            </w:tcBorders>
            <w:vAlign w:val="center"/>
          </w:tcPr>
          <w:p w14:paraId="251725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w:t>
            </w:r>
          </w:p>
        </w:tc>
        <w:tc>
          <w:tcPr>
            <w:tcW w:w="1134" w:type="dxa"/>
            <w:tcBorders>
              <w:top w:val="single" w:color="000000" w:sz="4" w:space="0"/>
              <w:left w:val="single" w:color="000000" w:sz="4" w:space="0"/>
              <w:bottom w:val="single" w:color="000000" w:sz="4" w:space="0"/>
              <w:right w:val="single" w:color="000000" w:sz="4" w:space="0"/>
            </w:tcBorders>
            <w:vAlign w:val="center"/>
          </w:tcPr>
          <w:p w14:paraId="0412D6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61B199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6D3596B0">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C33B6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6FE6AC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09545B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PET膜</w:t>
            </w:r>
          </w:p>
        </w:tc>
        <w:tc>
          <w:tcPr>
            <w:tcW w:w="5289" w:type="dxa"/>
            <w:tcBorders>
              <w:top w:val="single" w:color="000000" w:sz="4" w:space="0"/>
              <w:left w:val="single" w:color="000000" w:sz="4" w:space="0"/>
              <w:bottom w:val="single" w:color="000000" w:sz="4" w:space="0"/>
              <w:right w:val="single" w:color="000000" w:sz="4" w:space="0"/>
            </w:tcBorders>
            <w:vAlign w:val="center"/>
          </w:tcPr>
          <w:p w14:paraId="0449B7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44" w:type="dxa"/>
            <w:tcBorders>
              <w:top w:val="single" w:color="000000" w:sz="4" w:space="0"/>
              <w:left w:val="single" w:color="000000" w:sz="4" w:space="0"/>
              <w:bottom w:val="single" w:color="000000" w:sz="4" w:space="0"/>
              <w:right w:val="single" w:color="000000" w:sz="4" w:space="0"/>
            </w:tcBorders>
            <w:vAlign w:val="center"/>
          </w:tcPr>
          <w:p w14:paraId="1B1AED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0.5t</w:t>
            </w:r>
          </w:p>
        </w:tc>
        <w:tc>
          <w:tcPr>
            <w:tcW w:w="1129" w:type="dxa"/>
            <w:tcBorders>
              <w:top w:val="single" w:color="000000" w:sz="4" w:space="0"/>
              <w:left w:val="single" w:color="000000" w:sz="4" w:space="0"/>
              <w:bottom w:val="single" w:color="000000" w:sz="4" w:space="0"/>
              <w:right w:val="single" w:color="000000" w:sz="4" w:space="0"/>
            </w:tcBorders>
            <w:vAlign w:val="center"/>
          </w:tcPr>
          <w:p w14:paraId="731E11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1134" w:type="dxa"/>
            <w:tcBorders>
              <w:top w:val="single" w:color="000000" w:sz="4" w:space="0"/>
              <w:left w:val="single" w:color="000000" w:sz="4" w:space="0"/>
              <w:bottom w:val="single" w:color="000000" w:sz="4" w:space="0"/>
              <w:right w:val="single" w:color="000000" w:sz="4" w:space="0"/>
            </w:tcBorders>
            <w:vAlign w:val="center"/>
          </w:tcPr>
          <w:p w14:paraId="63A523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卷</w:t>
            </w:r>
          </w:p>
        </w:tc>
        <w:tc>
          <w:tcPr>
            <w:tcW w:w="1337" w:type="dxa"/>
            <w:tcBorders>
              <w:top w:val="single" w:color="000000" w:sz="4" w:space="0"/>
              <w:left w:val="single" w:color="000000" w:sz="4" w:space="0"/>
              <w:bottom w:val="single" w:color="000000" w:sz="4" w:space="0"/>
              <w:right w:val="single" w:color="000000" w:sz="4" w:space="0"/>
            </w:tcBorders>
            <w:vAlign w:val="center"/>
          </w:tcPr>
          <w:p w14:paraId="51600F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173CF1BC">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BE2BD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49154F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5674E6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SUS板</w:t>
            </w:r>
          </w:p>
        </w:tc>
        <w:tc>
          <w:tcPr>
            <w:tcW w:w="5289" w:type="dxa"/>
            <w:tcBorders>
              <w:top w:val="single" w:color="000000" w:sz="4" w:space="0"/>
              <w:left w:val="single" w:color="000000" w:sz="4" w:space="0"/>
              <w:bottom w:val="single" w:color="000000" w:sz="4" w:space="0"/>
              <w:right w:val="single" w:color="000000" w:sz="4" w:space="0"/>
            </w:tcBorders>
            <w:vAlign w:val="center"/>
          </w:tcPr>
          <w:p w14:paraId="5DBA24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44" w:type="dxa"/>
            <w:tcBorders>
              <w:top w:val="single" w:color="000000" w:sz="4" w:space="0"/>
              <w:left w:val="single" w:color="000000" w:sz="4" w:space="0"/>
              <w:bottom w:val="single" w:color="000000" w:sz="4" w:space="0"/>
              <w:right w:val="single" w:color="000000" w:sz="4" w:space="0"/>
            </w:tcBorders>
            <w:vAlign w:val="center"/>
          </w:tcPr>
          <w:p w14:paraId="490B58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1129" w:type="dxa"/>
            <w:tcBorders>
              <w:top w:val="single" w:color="000000" w:sz="4" w:space="0"/>
              <w:left w:val="single" w:color="000000" w:sz="4" w:space="0"/>
              <w:bottom w:val="single" w:color="000000" w:sz="4" w:space="0"/>
              <w:right w:val="single" w:color="000000" w:sz="4" w:space="0"/>
            </w:tcBorders>
            <w:vAlign w:val="center"/>
          </w:tcPr>
          <w:p w14:paraId="534176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16479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tcBorders>
              <w:top w:val="single" w:color="000000" w:sz="4" w:space="0"/>
              <w:left w:val="single" w:color="000000" w:sz="4" w:space="0"/>
              <w:bottom w:val="single" w:color="000000" w:sz="4" w:space="0"/>
              <w:right w:val="single" w:color="000000" w:sz="4" w:space="0"/>
            </w:tcBorders>
            <w:vAlign w:val="center"/>
          </w:tcPr>
          <w:p w14:paraId="569B19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1675FBFC">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18126B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15BB7B6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547A57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7489A8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44" w:type="dxa"/>
            <w:tcBorders>
              <w:top w:val="single" w:color="000000" w:sz="4" w:space="0"/>
              <w:left w:val="single" w:color="000000" w:sz="4" w:space="0"/>
              <w:bottom w:val="single" w:color="000000" w:sz="4" w:space="0"/>
              <w:right w:val="single" w:color="000000" w:sz="4" w:space="0"/>
            </w:tcBorders>
            <w:vAlign w:val="center"/>
          </w:tcPr>
          <w:p w14:paraId="6016FF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30000L</w:t>
            </w:r>
          </w:p>
        </w:tc>
        <w:tc>
          <w:tcPr>
            <w:tcW w:w="1129" w:type="dxa"/>
            <w:tcBorders>
              <w:top w:val="single" w:color="000000" w:sz="4" w:space="0"/>
              <w:left w:val="single" w:color="000000" w:sz="4" w:space="0"/>
              <w:bottom w:val="single" w:color="000000" w:sz="4" w:space="0"/>
              <w:right w:val="single" w:color="000000" w:sz="4" w:space="0"/>
            </w:tcBorders>
            <w:vAlign w:val="center"/>
          </w:tcPr>
          <w:p w14:paraId="6D4867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1瓶</w:t>
            </w:r>
          </w:p>
        </w:tc>
        <w:tc>
          <w:tcPr>
            <w:tcW w:w="1134" w:type="dxa"/>
            <w:tcBorders>
              <w:top w:val="single" w:color="000000" w:sz="4" w:space="0"/>
              <w:left w:val="single" w:color="000000" w:sz="4" w:space="0"/>
              <w:bottom w:val="single" w:color="000000" w:sz="4" w:space="0"/>
              <w:right w:val="single" w:color="000000" w:sz="4" w:space="0"/>
            </w:tcBorders>
            <w:vAlign w:val="center"/>
          </w:tcPr>
          <w:p w14:paraId="0DBEE5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6F6F28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9479D26">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750AA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C9EFE9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7A9A7F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铝基板</w:t>
            </w:r>
          </w:p>
        </w:tc>
        <w:tc>
          <w:tcPr>
            <w:tcW w:w="5289" w:type="dxa"/>
            <w:tcBorders>
              <w:top w:val="single" w:color="000000" w:sz="4" w:space="0"/>
              <w:left w:val="single" w:color="000000" w:sz="4" w:space="0"/>
              <w:bottom w:val="single" w:color="000000" w:sz="4" w:space="0"/>
              <w:right w:val="single" w:color="000000" w:sz="4" w:space="0"/>
            </w:tcBorders>
            <w:vAlign w:val="center"/>
          </w:tcPr>
          <w:p w14:paraId="1418B5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p>
        </w:tc>
        <w:tc>
          <w:tcPr>
            <w:tcW w:w="1344" w:type="dxa"/>
            <w:tcBorders>
              <w:top w:val="single" w:color="000000" w:sz="4" w:space="0"/>
              <w:left w:val="single" w:color="000000" w:sz="4" w:space="0"/>
              <w:bottom w:val="single" w:color="000000" w:sz="4" w:space="0"/>
              <w:right w:val="single" w:color="000000" w:sz="4" w:space="0"/>
            </w:tcBorders>
            <w:vAlign w:val="center"/>
          </w:tcPr>
          <w:p w14:paraId="12EA40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w:t>
            </w:r>
          </w:p>
        </w:tc>
        <w:tc>
          <w:tcPr>
            <w:tcW w:w="1129" w:type="dxa"/>
            <w:tcBorders>
              <w:top w:val="single" w:color="000000" w:sz="4" w:space="0"/>
              <w:left w:val="single" w:color="000000" w:sz="4" w:space="0"/>
              <w:bottom w:val="single" w:color="000000" w:sz="4" w:space="0"/>
              <w:right w:val="single" w:color="000000" w:sz="4" w:space="0"/>
            </w:tcBorders>
            <w:vAlign w:val="center"/>
          </w:tcPr>
          <w:p w14:paraId="3FADFD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0D2E1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tcBorders>
              <w:top w:val="single" w:color="000000" w:sz="4" w:space="0"/>
              <w:left w:val="single" w:color="000000" w:sz="4" w:space="0"/>
              <w:bottom w:val="single" w:color="000000" w:sz="4" w:space="0"/>
              <w:right w:val="single" w:color="000000" w:sz="4" w:space="0"/>
            </w:tcBorders>
            <w:vAlign w:val="center"/>
          </w:tcPr>
          <w:p w14:paraId="0524A1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75945BA8">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B64B3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13EFAB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482540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碳化硅颗粒</w:t>
            </w:r>
          </w:p>
        </w:tc>
        <w:tc>
          <w:tcPr>
            <w:tcW w:w="5289" w:type="dxa"/>
            <w:tcBorders>
              <w:top w:val="single" w:color="000000" w:sz="4" w:space="0"/>
              <w:left w:val="single" w:color="000000" w:sz="4" w:space="0"/>
              <w:bottom w:val="single" w:color="000000" w:sz="4" w:space="0"/>
              <w:right w:val="single" w:color="000000" w:sz="4" w:space="0"/>
            </w:tcBorders>
            <w:vAlign w:val="center"/>
          </w:tcPr>
          <w:p w14:paraId="58330D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44" w:type="dxa"/>
            <w:tcBorders>
              <w:top w:val="single" w:color="000000" w:sz="4" w:space="0"/>
              <w:left w:val="single" w:color="000000" w:sz="4" w:space="0"/>
              <w:bottom w:val="single" w:color="000000" w:sz="4" w:space="0"/>
              <w:right w:val="single" w:color="000000" w:sz="4" w:space="0"/>
            </w:tcBorders>
            <w:vAlign w:val="center"/>
          </w:tcPr>
          <w:p w14:paraId="399E8C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1129" w:type="dxa"/>
            <w:tcBorders>
              <w:top w:val="single" w:color="000000" w:sz="4" w:space="0"/>
              <w:left w:val="single" w:color="000000" w:sz="4" w:space="0"/>
              <w:bottom w:val="single" w:color="000000" w:sz="4" w:space="0"/>
              <w:right w:val="single" w:color="000000" w:sz="4" w:space="0"/>
            </w:tcBorders>
            <w:vAlign w:val="center"/>
          </w:tcPr>
          <w:p w14:paraId="1275F2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1EC72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7700D2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3AC955DF">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78D3C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05DDAC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0B9E7F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5A8293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44" w:type="dxa"/>
            <w:tcBorders>
              <w:top w:val="single" w:color="000000" w:sz="4" w:space="0"/>
              <w:left w:val="single" w:color="000000" w:sz="4" w:space="0"/>
              <w:bottom w:val="single" w:color="000000" w:sz="4" w:space="0"/>
              <w:right w:val="single" w:color="000000" w:sz="4" w:space="0"/>
            </w:tcBorders>
            <w:vAlign w:val="center"/>
          </w:tcPr>
          <w:p w14:paraId="5E6FFC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10000L</w:t>
            </w:r>
          </w:p>
        </w:tc>
        <w:tc>
          <w:tcPr>
            <w:tcW w:w="1129" w:type="dxa"/>
            <w:tcBorders>
              <w:top w:val="single" w:color="000000" w:sz="4" w:space="0"/>
              <w:left w:val="single" w:color="000000" w:sz="4" w:space="0"/>
              <w:bottom w:val="single" w:color="000000" w:sz="4" w:space="0"/>
              <w:right w:val="single" w:color="000000" w:sz="4" w:space="0"/>
            </w:tcBorders>
            <w:vAlign w:val="center"/>
          </w:tcPr>
          <w:p w14:paraId="092731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1瓶</w:t>
            </w:r>
          </w:p>
        </w:tc>
        <w:tc>
          <w:tcPr>
            <w:tcW w:w="1134" w:type="dxa"/>
            <w:tcBorders>
              <w:top w:val="single" w:color="000000" w:sz="4" w:space="0"/>
              <w:left w:val="single" w:color="000000" w:sz="4" w:space="0"/>
              <w:bottom w:val="single" w:color="000000" w:sz="4" w:space="0"/>
              <w:right w:val="single" w:color="000000" w:sz="4" w:space="0"/>
            </w:tcBorders>
            <w:vAlign w:val="center"/>
          </w:tcPr>
          <w:p w14:paraId="3F9D6D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337" w:type="dxa"/>
            <w:tcBorders>
              <w:top w:val="single" w:color="000000" w:sz="4" w:space="0"/>
              <w:left w:val="single" w:color="000000" w:sz="4" w:space="0"/>
              <w:bottom w:val="single" w:color="000000" w:sz="4" w:space="0"/>
              <w:right w:val="single" w:color="000000" w:sz="4" w:space="0"/>
            </w:tcBorders>
            <w:vAlign w:val="center"/>
          </w:tcPr>
          <w:p w14:paraId="158F70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751F9F96">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8F00E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0C6DD5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石墨部件研发</w:t>
            </w: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6CB5FCE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甲基三氯硅烷</w:t>
            </w:r>
          </w:p>
        </w:tc>
        <w:tc>
          <w:tcPr>
            <w:tcW w:w="5289" w:type="dxa"/>
            <w:tcBorders>
              <w:top w:val="single" w:color="000000" w:sz="4" w:space="0"/>
              <w:left w:val="single" w:color="000000" w:sz="4" w:space="0"/>
              <w:bottom w:val="single" w:color="000000" w:sz="4" w:space="0"/>
              <w:right w:val="single" w:color="000000" w:sz="4" w:space="0"/>
            </w:tcBorders>
            <w:vAlign w:val="center"/>
          </w:tcPr>
          <w:p w14:paraId="1CB52A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甲基三氯硅烷</w:t>
            </w:r>
          </w:p>
        </w:tc>
        <w:tc>
          <w:tcPr>
            <w:tcW w:w="1344" w:type="dxa"/>
            <w:tcBorders>
              <w:top w:val="single" w:color="000000" w:sz="4" w:space="0"/>
              <w:left w:val="single" w:color="000000" w:sz="4" w:space="0"/>
              <w:bottom w:val="single" w:color="000000" w:sz="4" w:space="0"/>
              <w:right w:val="single" w:color="000000" w:sz="4" w:space="0"/>
            </w:tcBorders>
            <w:vAlign w:val="center"/>
          </w:tcPr>
          <w:p w14:paraId="6D191F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77D7D2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w:t>
            </w:r>
          </w:p>
        </w:tc>
        <w:tc>
          <w:tcPr>
            <w:tcW w:w="1134" w:type="dxa"/>
            <w:tcBorders>
              <w:top w:val="single" w:color="000000" w:sz="4" w:space="0"/>
              <w:left w:val="single" w:color="000000" w:sz="4" w:space="0"/>
              <w:bottom w:val="single" w:color="000000" w:sz="4" w:space="0"/>
              <w:right w:val="single" w:color="000000" w:sz="4" w:space="0"/>
            </w:tcBorders>
            <w:vAlign w:val="center"/>
          </w:tcPr>
          <w:p w14:paraId="2DB5FE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吨桶</w:t>
            </w:r>
          </w:p>
        </w:tc>
        <w:tc>
          <w:tcPr>
            <w:tcW w:w="1337" w:type="dxa"/>
            <w:tcBorders>
              <w:top w:val="single" w:color="000000" w:sz="4" w:space="0"/>
              <w:left w:val="single" w:color="000000" w:sz="4" w:space="0"/>
              <w:bottom w:val="single" w:color="000000" w:sz="4" w:space="0"/>
              <w:right w:val="single" w:color="000000" w:sz="4" w:space="0"/>
            </w:tcBorders>
            <w:vAlign w:val="center"/>
          </w:tcPr>
          <w:p w14:paraId="39F488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MTS贮存区</w:t>
            </w:r>
          </w:p>
        </w:tc>
      </w:tr>
      <w:tr w14:paraId="40D98226">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593A34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90A76A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117778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氯化氢</w:t>
            </w:r>
          </w:p>
        </w:tc>
        <w:tc>
          <w:tcPr>
            <w:tcW w:w="5289" w:type="dxa"/>
            <w:tcBorders>
              <w:top w:val="single" w:color="000000" w:sz="4" w:space="0"/>
              <w:left w:val="single" w:color="000000" w:sz="4" w:space="0"/>
              <w:bottom w:val="single" w:color="000000" w:sz="4" w:space="0"/>
              <w:right w:val="single" w:color="000000" w:sz="4" w:space="0"/>
            </w:tcBorders>
            <w:vAlign w:val="center"/>
          </w:tcPr>
          <w:p w14:paraId="2F52F2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HCl</w:t>
            </w:r>
          </w:p>
        </w:tc>
        <w:tc>
          <w:tcPr>
            <w:tcW w:w="1344" w:type="dxa"/>
            <w:tcBorders>
              <w:top w:val="single" w:color="000000" w:sz="4" w:space="0"/>
              <w:left w:val="single" w:color="000000" w:sz="4" w:space="0"/>
              <w:bottom w:val="single" w:color="000000" w:sz="4" w:space="0"/>
              <w:right w:val="single" w:color="000000" w:sz="4" w:space="0"/>
            </w:tcBorders>
            <w:vAlign w:val="center"/>
          </w:tcPr>
          <w:p w14:paraId="1C1C55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0.04吨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060FCB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134" w:type="dxa"/>
            <w:tcBorders>
              <w:top w:val="single" w:color="000000" w:sz="4" w:space="0"/>
              <w:left w:val="single" w:color="000000" w:sz="4" w:space="0"/>
              <w:bottom w:val="single" w:color="000000" w:sz="4" w:space="0"/>
              <w:right w:val="single" w:color="000000" w:sz="4" w:space="0"/>
            </w:tcBorders>
            <w:vAlign w:val="center"/>
          </w:tcPr>
          <w:p w14:paraId="26F35F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619C36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DCBD087">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362CA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2FF7549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E7531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30FE6C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w:t>
            </w:r>
            <w:r>
              <w:rPr>
                <w:snapToGrid/>
                <w:color w:val="000000" w:themeColor="text1"/>
                <w:sz w:val="21"/>
                <w:szCs w:val="21"/>
                <w:vertAlign w:val="subscript"/>
                <w14:textFill>
                  <w14:solidFill>
                    <w14:schemeClr w14:val="tx1"/>
                  </w14:solidFill>
                </w14:textFill>
              </w:rPr>
              <w:t>2</w:t>
            </w:r>
          </w:p>
        </w:tc>
        <w:tc>
          <w:tcPr>
            <w:tcW w:w="1344" w:type="dxa"/>
            <w:tcBorders>
              <w:top w:val="single" w:color="000000" w:sz="4" w:space="0"/>
              <w:left w:val="single" w:color="000000" w:sz="4" w:space="0"/>
              <w:bottom w:val="single" w:color="000000" w:sz="4" w:space="0"/>
              <w:right w:val="single" w:color="000000" w:sz="4" w:space="0"/>
            </w:tcBorders>
            <w:vAlign w:val="center"/>
          </w:tcPr>
          <w:p w14:paraId="2B9136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0.3吨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7CDC4E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10瓶</w:t>
            </w:r>
          </w:p>
        </w:tc>
        <w:tc>
          <w:tcPr>
            <w:tcW w:w="1134" w:type="dxa"/>
            <w:tcBorders>
              <w:top w:val="single" w:color="000000" w:sz="4" w:space="0"/>
              <w:left w:val="single" w:color="000000" w:sz="4" w:space="0"/>
              <w:bottom w:val="single" w:color="000000" w:sz="4" w:space="0"/>
              <w:right w:val="single" w:color="000000" w:sz="4" w:space="0"/>
            </w:tcBorders>
            <w:vAlign w:val="center"/>
          </w:tcPr>
          <w:p w14:paraId="2ACDEE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40L高压气瓶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395430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4ADE0CD7">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F0BBD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4075D92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04193C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5723D0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Ar</w:t>
            </w:r>
          </w:p>
        </w:tc>
        <w:tc>
          <w:tcPr>
            <w:tcW w:w="1344" w:type="dxa"/>
            <w:tcBorders>
              <w:top w:val="single" w:color="000000" w:sz="4" w:space="0"/>
              <w:left w:val="single" w:color="000000" w:sz="4" w:space="0"/>
              <w:bottom w:val="single" w:color="000000" w:sz="4" w:space="0"/>
              <w:right w:val="single" w:color="000000" w:sz="4" w:space="0"/>
            </w:tcBorders>
            <w:vAlign w:val="center"/>
          </w:tcPr>
          <w:p w14:paraId="140EC9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1648A8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C7DB8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液氩站</w:t>
            </w:r>
          </w:p>
        </w:tc>
        <w:tc>
          <w:tcPr>
            <w:tcW w:w="1337" w:type="dxa"/>
            <w:tcBorders>
              <w:top w:val="single" w:color="000000" w:sz="4" w:space="0"/>
              <w:left w:val="single" w:color="000000" w:sz="4" w:space="0"/>
              <w:bottom w:val="single" w:color="000000" w:sz="4" w:space="0"/>
              <w:right w:val="single" w:color="000000" w:sz="4" w:space="0"/>
            </w:tcBorders>
            <w:vAlign w:val="center"/>
          </w:tcPr>
          <w:p w14:paraId="7E101A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5B1E2C6">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39F61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547243C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E9FB3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0FC210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w:t>
            </w:r>
            <w:r>
              <w:rPr>
                <w:snapToGrid/>
                <w:color w:val="000000" w:themeColor="text1"/>
                <w:sz w:val="21"/>
                <w:szCs w:val="21"/>
                <w:vertAlign w:val="subscript"/>
                <w14:textFill>
                  <w14:solidFill>
                    <w14:schemeClr w14:val="tx1"/>
                  </w14:solidFill>
                </w14:textFill>
              </w:rPr>
              <w:t>2</w:t>
            </w:r>
          </w:p>
        </w:tc>
        <w:tc>
          <w:tcPr>
            <w:tcW w:w="1344" w:type="dxa"/>
            <w:tcBorders>
              <w:top w:val="single" w:color="000000" w:sz="4" w:space="0"/>
              <w:left w:val="single" w:color="000000" w:sz="4" w:space="0"/>
              <w:bottom w:val="single" w:color="000000" w:sz="4" w:space="0"/>
              <w:right w:val="single" w:color="000000" w:sz="4" w:space="0"/>
            </w:tcBorders>
            <w:vAlign w:val="center"/>
          </w:tcPr>
          <w:p w14:paraId="22EF76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57AB99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6D284B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液氮站</w:t>
            </w:r>
          </w:p>
        </w:tc>
        <w:tc>
          <w:tcPr>
            <w:tcW w:w="1337" w:type="dxa"/>
            <w:tcBorders>
              <w:top w:val="single" w:color="000000" w:sz="4" w:space="0"/>
              <w:left w:val="single" w:color="000000" w:sz="4" w:space="0"/>
              <w:bottom w:val="single" w:color="000000" w:sz="4" w:space="0"/>
              <w:right w:val="single" w:color="000000" w:sz="4" w:space="0"/>
            </w:tcBorders>
            <w:vAlign w:val="center"/>
          </w:tcPr>
          <w:p w14:paraId="3DE718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27E0B990">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455B5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172F141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042275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石墨99.99%</w:t>
            </w:r>
          </w:p>
        </w:tc>
        <w:tc>
          <w:tcPr>
            <w:tcW w:w="5289" w:type="dxa"/>
            <w:tcBorders>
              <w:top w:val="single" w:color="000000" w:sz="4" w:space="0"/>
              <w:left w:val="single" w:color="000000" w:sz="4" w:space="0"/>
              <w:bottom w:val="single" w:color="000000" w:sz="4" w:space="0"/>
              <w:right w:val="single" w:color="000000" w:sz="4" w:space="0"/>
            </w:tcBorders>
            <w:vAlign w:val="center"/>
          </w:tcPr>
          <w:p w14:paraId="38FD8E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石墨块</w:t>
            </w:r>
          </w:p>
        </w:tc>
        <w:tc>
          <w:tcPr>
            <w:tcW w:w="1344" w:type="dxa"/>
            <w:tcBorders>
              <w:top w:val="single" w:color="000000" w:sz="4" w:space="0"/>
              <w:left w:val="single" w:color="000000" w:sz="4" w:space="0"/>
              <w:bottom w:val="single" w:color="000000" w:sz="4" w:space="0"/>
              <w:right w:val="single" w:color="000000" w:sz="4" w:space="0"/>
            </w:tcBorders>
            <w:vAlign w:val="center"/>
          </w:tcPr>
          <w:p w14:paraId="724299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7FFEF3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10t</w:t>
            </w:r>
          </w:p>
        </w:tc>
        <w:tc>
          <w:tcPr>
            <w:tcW w:w="1134" w:type="dxa"/>
            <w:tcBorders>
              <w:top w:val="single" w:color="000000" w:sz="4" w:space="0"/>
              <w:left w:val="single" w:color="000000" w:sz="4" w:space="0"/>
              <w:bottom w:val="single" w:color="000000" w:sz="4" w:space="0"/>
              <w:right w:val="single" w:color="000000" w:sz="4" w:space="0"/>
            </w:tcBorders>
            <w:vAlign w:val="center"/>
          </w:tcPr>
          <w:p w14:paraId="72E2F7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tcBorders>
              <w:top w:val="single" w:color="000000" w:sz="4" w:space="0"/>
              <w:left w:val="single" w:color="000000" w:sz="4" w:space="0"/>
              <w:bottom w:val="single" w:color="000000" w:sz="4" w:space="0"/>
              <w:right w:val="single" w:color="000000" w:sz="4" w:space="0"/>
            </w:tcBorders>
            <w:vAlign w:val="center"/>
          </w:tcPr>
          <w:p w14:paraId="08405A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257E3585">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33B87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4DBEB1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碳化硅炉管研发</w:t>
            </w: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279C28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碳化硅微粉</w:t>
            </w:r>
          </w:p>
        </w:tc>
        <w:tc>
          <w:tcPr>
            <w:tcW w:w="5289" w:type="dxa"/>
            <w:tcBorders>
              <w:top w:val="single" w:color="000000" w:sz="4" w:space="0"/>
              <w:left w:val="single" w:color="000000" w:sz="4" w:space="0"/>
              <w:bottom w:val="single" w:color="000000" w:sz="4" w:space="0"/>
              <w:right w:val="single" w:color="000000" w:sz="4" w:space="0"/>
            </w:tcBorders>
            <w:vAlign w:val="center"/>
          </w:tcPr>
          <w:p w14:paraId="2CC4E7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碳化硅粉</w:t>
            </w:r>
          </w:p>
        </w:tc>
        <w:tc>
          <w:tcPr>
            <w:tcW w:w="1344" w:type="dxa"/>
            <w:tcBorders>
              <w:top w:val="single" w:color="000000" w:sz="4" w:space="0"/>
              <w:left w:val="single" w:color="000000" w:sz="4" w:space="0"/>
              <w:bottom w:val="single" w:color="000000" w:sz="4" w:space="0"/>
              <w:right w:val="single" w:color="000000" w:sz="4" w:space="0"/>
            </w:tcBorders>
            <w:vAlign w:val="center"/>
          </w:tcPr>
          <w:p w14:paraId="18F5CF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293178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2t</w:t>
            </w:r>
          </w:p>
        </w:tc>
        <w:tc>
          <w:tcPr>
            <w:tcW w:w="1134" w:type="dxa"/>
            <w:tcBorders>
              <w:top w:val="single" w:color="000000" w:sz="4" w:space="0"/>
              <w:left w:val="single" w:color="000000" w:sz="4" w:space="0"/>
              <w:bottom w:val="single" w:color="000000" w:sz="4" w:space="0"/>
              <w:right w:val="single" w:color="000000" w:sz="4" w:space="0"/>
            </w:tcBorders>
            <w:vAlign w:val="center"/>
          </w:tcPr>
          <w:p w14:paraId="69DD84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337" w:type="dxa"/>
            <w:tcBorders>
              <w:top w:val="single" w:color="000000" w:sz="4" w:space="0"/>
              <w:left w:val="single" w:color="000000" w:sz="4" w:space="0"/>
              <w:bottom w:val="single" w:color="000000" w:sz="4" w:space="0"/>
              <w:right w:val="single" w:color="000000" w:sz="4" w:space="0"/>
            </w:tcBorders>
            <w:vAlign w:val="center"/>
          </w:tcPr>
          <w:p w14:paraId="723CE7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6FB9879A">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5D7E6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76AE513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186E58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硅颗粒</w:t>
            </w:r>
          </w:p>
        </w:tc>
        <w:tc>
          <w:tcPr>
            <w:tcW w:w="5289" w:type="dxa"/>
            <w:tcBorders>
              <w:top w:val="single" w:color="000000" w:sz="4" w:space="0"/>
              <w:left w:val="single" w:color="000000" w:sz="4" w:space="0"/>
              <w:bottom w:val="single" w:color="000000" w:sz="4" w:space="0"/>
              <w:right w:val="single" w:color="000000" w:sz="4" w:space="0"/>
            </w:tcBorders>
            <w:vAlign w:val="center"/>
          </w:tcPr>
          <w:p w14:paraId="5C390B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硅粉</w:t>
            </w:r>
          </w:p>
        </w:tc>
        <w:tc>
          <w:tcPr>
            <w:tcW w:w="1344" w:type="dxa"/>
            <w:tcBorders>
              <w:top w:val="single" w:color="000000" w:sz="4" w:space="0"/>
              <w:left w:val="single" w:color="000000" w:sz="4" w:space="0"/>
              <w:bottom w:val="single" w:color="000000" w:sz="4" w:space="0"/>
              <w:right w:val="single" w:color="000000" w:sz="4" w:space="0"/>
            </w:tcBorders>
            <w:vAlign w:val="center"/>
          </w:tcPr>
          <w:p w14:paraId="136C38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39CB94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w:t>
            </w:r>
          </w:p>
        </w:tc>
        <w:tc>
          <w:tcPr>
            <w:tcW w:w="1134" w:type="dxa"/>
            <w:tcBorders>
              <w:top w:val="single" w:color="000000" w:sz="4" w:space="0"/>
              <w:left w:val="single" w:color="000000" w:sz="4" w:space="0"/>
              <w:bottom w:val="single" w:color="000000" w:sz="4" w:space="0"/>
              <w:right w:val="single" w:color="000000" w:sz="4" w:space="0"/>
            </w:tcBorders>
            <w:vAlign w:val="center"/>
          </w:tcPr>
          <w:p w14:paraId="521624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337" w:type="dxa"/>
            <w:tcBorders>
              <w:top w:val="single" w:color="000000" w:sz="4" w:space="0"/>
              <w:left w:val="single" w:color="000000" w:sz="4" w:space="0"/>
              <w:bottom w:val="single" w:color="000000" w:sz="4" w:space="0"/>
              <w:right w:val="single" w:color="000000" w:sz="4" w:space="0"/>
            </w:tcBorders>
            <w:vAlign w:val="center"/>
          </w:tcPr>
          <w:p w14:paraId="368036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0CF2FB03">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B940A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96829F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6C1F99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碳粉</w:t>
            </w:r>
          </w:p>
        </w:tc>
        <w:tc>
          <w:tcPr>
            <w:tcW w:w="5289" w:type="dxa"/>
            <w:tcBorders>
              <w:top w:val="single" w:color="000000" w:sz="4" w:space="0"/>
              <w:left w:val="single" w:color="000000" w:sz="4" w:space="0"/>
              <w:bottom w:val="single" w:color="000000" w:sz="4" w:space="0"/>
              <w:right w:val="single" w:color="000000" w:sz="4" w:space="0"/>
            </w:tcBorders>
            <w:vAlign w:val="center"/>
          </w:tcPr>
          <w:p w14:paraId="135219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碳粉</w:t>
            </w:r>
          </w:p>
        </w:tc>
        <w:tc>
          <w:tcPr>
            <w:tcW w:w="1344" w:type="dxa"/>
            <w:tcBorders>
              <w:top w:val="single" w:color="000000" w:sz="4" w:space="0"/>
              <w:left w:val="single" w:color="000000" w:sz="4" w:space="0"/>
              <w:bottom w:val="single" w:color="000000" w:sz="4" w:space="0"/>
              <w:right w:val="single" w:color="000000" w:sz="4" w:space="0"/>
            </w:tcBorders>
            <w:vAlign w:val="center"/>
          </w:tcPr>
          <w:p w14:paraId="4FAFD3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0.5吨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2760CE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w:t>
            </w:r>
          </w:p>
        </w:tc>
        <w:tc>
          <w:tcPr>
            <w:tcW w:w="1134" w:type="dxa"/>
            <w:tcBorders>
              <w:top w:val="single" w:color="000000" w:sz="4" w:space="0"/>
              <w:left w:val="single" w:color="000000" w:sz="4" w:space="0"/>
              <w:bottom w:val="single" w:color="000000" w:sz="4" w:space="0"/>
              <w:right w:val="single" w:color="000000" w:sz="4" w:space="0"/>
            </w:tcBorders>
            <w:vAlign w:val="center"/>
          </w:tcPr>
          <w:p w14:paraId="47CDF5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337" w:type="dxa"/>
            <w:tcBorders>
              <w:top w:val="single" w:color="000000" w:sz="4" w:space="0"/>
              <w:left w:val="single" w:color="000000" w:sz="4" w:space="0"/>
              <w:bottom w:val="single" w:color="000000" w:sz="4" w:space="0"/>
              <w:right w:val="single" w:color="000000" w:sz="4" w:space="0"/>
            </w:tcBorders>
            <w:vAlign w:val="center"/>
          </w:tcPr>
          <w:p w14:paraId="434D70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6678D30F">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609468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8806C5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1CA42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粘结剂</w:t>
            </w:r>
          </w:p>
        </w:tc>
        <w:tc>
          <w:tcPr>
            <w:tcW w:w="5289" w:type="dxa"/>
            <w:tcBorders>
              <w:top w:val="single" w:color="000000" w:sz="4" w:space="0"/>
              <w:left w:val="single" w:color="000000" w:sz="4" w:space="0"/>
              <w:bottom w:val="single" w:color="000000" w:sz="4" w:space="0"/>
              <w:right w:val="single" w:color="000000" w:sz="4" w:space="0"/>
            </w:tcBorders>
            <w:vAlign w:val="center"/>
          </w:tcPr>
          <w:p w14:paraId="377313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多糖化合物</w:t>
            </w:r>
          </w:p>
        </w:tc>
        <w:tc>
          <w:tcPr>
            <w:tcW w:w="1344" w:type="dxa"/>
            <w:tcBorders>
              <w:top w:val="single" w:color="000000" w:sz="4" w:space="0"/>
              <w:left w:val="single" w:color="000000" w:sz="4" w:space="0"/>
              <w:bottom w:val="single" w:color="000000" w:sz="4" w:space="0"/>
              <w:right w:val="single" w:color="000000" w:sz="4" w:space="0"/>
            </w:tcBorders>
            <w:vAlign w:val="center"/>
          </w:tcPr>
          <w:p w14:paraId="54B208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0.3吨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4CF04D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1134" w:type="dxa"/>
            <w:tcBorders>
              <w:top w:val="single" w:color="000000" w:sz="4" w:space="0"/>
              <w:left w:val="single" w:color="000000" w:sz="4" w:space="0"/>
              <w:bottom w:val="single" w:color="000000" w:sz="4" w:space="0"/>
              <w:right w:val="single" w:color="000000" w:sz="4" w:space="0"/>
            </w:tcBorders>
            <w:vAlign w:val="center"/>
          </w:tcPr>
          <w:p w14:paraId="39D59A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5Kg/桶</w:t>
            </w:r>
          </w:p>
        </w:tc>
        <w:tc>
          <w:tcPr>
            <w:tcW w:w="1337" w:type="dxa"/>
            <w:tcBorders>
              <w:top w:val="single" w:color="000000" w:sz="4" w:space="0"/>
              <w:left w:val="single" w:color="000000" w:sz="4" w:space="0"/>
              <w:bottom w:val="single" w:color="000000" w:sz="4" w:space="0"/>
              <w:right w:val="single" w:color="000000" w:sz="4" w:space="0"/>
            </w:tcBorders>
            <w:vAlign w:val="center"/>
          </w:tcPr>
          <w:p w14:paraId="52A030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06FB2B8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445E1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47F0AEE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7771A4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5DB587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Ar</w:t>
            </w:r>
          </w:p>
        </w:tc>
        <w:tc>
          <w:tcPr>
            <w:tcW w:w="1344" w:type="dxa"/>
            <w:tcBorders>
              <w:top w:val="single" w:color="000000" w:sz="4" w:space="0"/>
              <w:left w:val="single" w:color="000000" w:sz="4" w:space="0"/>
              <w:bottom w:val="single" w:color="000000" w:sz="4" w:space="0"/>
              <w:right w:val="single" w:color="000000" w:sz="4" w:space="0"/>
            </w:tcBorders>
            <w:vAlign w:val="center"/>
          </w:tcPr>
          <w:p w14:paraId="181B47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699FA1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10瓶</w:t>
            </w:r>
          </w:p>
        </w:tc>
        <w:tc>
          <w:tcPr>
            <w:tcW w:w="1134" w:type="dxa"/>
            <w:tcBorders>
              <w:top w:val="single" w:color="000000" w:sz="4" w:space="0"/>
              <w:left w:val="single" w:color="000000" w:sz="4" w:space="0"/>
              <w:bottom w:val="single" w:color="000000" w:sz="4" w:space="0"/>
              <w:right w:val="single" w:color="000000" w:sz="4" w:space="0"/>
            </w:tcBorders>
            <w:vAlign w:val="center"/>
          </w:tcPr>
          <w:p w14:paraId="2C0488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液氩站</w:t>
            </w:r>
          </w:p>
        </w:tc>
        <w:tc>
          <w:tcPr>
            <w:tcW w:w="1337" w:type="dxa"/>
            <w:tcBorders>
              <w:top w:val="single" w:color="000000" w:sz="4" w:space="0"/>
              <w:left w:val="single" w:color="000000" w:sz="4" w:space="0"/>
              <w:bottom w:val="single" w:color="000000" w:sz="4" w:space="0"/>
              <w:right w:val="single" w:color="000000" w:sz="4" w:space="0"/>
            </w:tcBorders>
            <w:vAlign w:val="center"/>
          </w:tcPr>
          <w:p w14:paraId="44E7AD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378E83ED">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6CC1EA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653F83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E6701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氦气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10B033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w:t>
            </w:r>
            <w:r>
              <w:rPr>
                <w:snapToGrid/>
                <w:color w:val="000000" w:themeColor="text1"/>
                <w:sz w:val="21"/>
                <w:szCs w:val="21"/>
                <w:vertAlign w:val="subscript"/>
                <w14:textFill>
                  <w14:solidFill>
                    <w14:schemeClr w14:val="tx1"/>
                  </w14:solidFill>
                </w14:textFill>
              </w:rPr>
              <w:t>2</w:t>
            </w:r>
          </w:p>
        </w:tc>
        <w:tc>
          <w:tcPr>
            <w:tcW w:w="1344" w:type="dxa"/>
            <w:tcBorders>
              <w:top w:val="single" w:color="000000" w:sz="4" w:space="0"/>
              <w:left w:val="single" w:color="000000" w:sz="4" w:space="0"/>
              <w:bottom w:val="single" w:color="000000" w:sz="4" w:space="0"/>
              <w:right w:val="single" w:color="000000" w:sz="4" w:space="0"/>
            </w:tcBorders>
            <w:vAlign w:val="center"/>
          </w:tcPr>
          <w:p w14:paraId="52A57C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1吨</w:t>
            </w:r>
          </w:p>
        </w:tc>
        <w:tc>
          <w:tcPr>
            <w:tcW w:w="1129" w:type="dxa"/>
            <w:tcBorders>
              <w:top w:val="single" w:color="000000" w:sz="4" w:space="0"/>
              <w:left w:val="single" w:color="000000" w:sz="4" w:space="0"/>
              <w:bottom w:val="single" w:color="000000" w:sz="4" w:space="0"/>
              <w:right w:val="single" w:color="000000" w:sz="4" w:space="0"/>
            </w:tcBorders>
            <w:vAlign w:val="center"/>
          </w:tcPr>
          <w:p w14:paraId="31B2D2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10瓶</w:t>
            </w:r>
          </w:p>
        </w:tc>
        <w:tc>
          <w:tcPr>
            <w:tcW w:w="1134" w:type="dxa"/>
            <w:tcBorders>
              <w:top w:val="single" w:color="000000" w:sz="4" w:space="0"/>
              <w:left w:val="single" w:color="000000" w:sz="4" w:space="0"/>
              <w:bottom w:val="single" w:color="000000" w:sz="4" w:space="0"/>
              <w:right w:val="single" w:color="000000" w:sz="4" w:space="0"/>
            </w:tcBorders>
            <w:vAlign w:val="center"/>
          </w:tcPr>
          <w:p w14:paraId="3430C1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40L高压气瓶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4D7FB6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4B91D08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167E6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A01A5D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6C4338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切削液285S-1</w:t>
            </w:r>
          </w:p>
        </w:tc>
        <w:tc>
          <w:tcPr>
            <w:tcW w:w="5289" w:type="dxa"/>
            <w:tcBorders>
              <w:top w:val="single" w:color="000000" w:sz="4" w:space="0"/>
              <w:left w:val="single" w:color="000000" w:sz="4" w:space="0"/>
              <w:bottom w:val="single" w:color="000000" w:sz="4" w:space="0"/>
              <w:right w:val="single" w:color="000000" w:sz="4" w:space="0"/>
            </w:tcBorders>
            <w:vAlign w:val="center"/>
          </w:tcPr>
          <w:p w14:paraId="69DAED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344" w:type="dxa"/>
            <w:tcBorders>
              <w:top w:val="single" w:color="000000" w:sz="4" w:space="0"/>
              <w:left w:val="single" w:color="000000" w:sz="4" w:space="0"/>
              <w:bottom w:val="single" w:color="000000" w:sz="4" w:space="0"/>
              <w:right w:val="single" w:color="000000" w:sz="4" w:space="0"/>
            </w:tcBorders>
            <w:vAlign w:val="center"/>
          </w:tcPr>
          <w:p w14:paraId="0EC3E2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1129" w:type="dxa"/>
            <w:tcBorders>
              <w:top w:val="single" w:color="000000" w:sz="4" w:space="0"/>
              <w:left w:val="single" w:color="000000" w:sz="4" w:space="0"/>
              <w:bottom w:val="single" w:color="000000" w:sz="4" w:space="0"/>
              <w:right w:val="single" w:color="000000" w:sz="4" w:space="0"/>
            </w:tcBorders>
            <w:vAlign w:val="center"/>
          </w:tcPr>
          <w:p w14:paraId="0BCDD6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1134" w:type="dxa"/>
            <w:tcBorders>
              <w:top w:val="single" w:color="000000" w:sz="4" w:space="0"/>
              <w:left w:val="single" w:color="000000" w:sz="4" w:space="0"/>
              <w:bottom w:val="single" w:color="000000" w:sz="4" w:space="0"/>
              <w:right w:val="single" w:color="000000" w:sz="4" w:space="0"/>
            </w:tcBorders>
            <w:vAlign w:val="center"/>
          </w:tcPr>
          <w:p w14:paraId="72A8ED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337" w:type="dxa"/>
            <w:tcBorders>
              <w:top w:val="single" w:color="000000" w:sz="4" w:space="0"/>
              <w:left w:val="single" w:color="000000" w:sz="4" w:space="0"/>
              <w:bottom w:val="single" w:color="000000" w:sz="4" w:space="0"/>
              <w:right w:val="single" w:color="000000" w:sz="4" w:space="0"/>
            </w:tcBorders>
            <w:vAlign w:val="center"/>
          </w:tcPr>
          <w:p w14:paraId="55A239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危化品库</w:t>
            </w:r>
          </w:p>
        </w:tc>
      </w:tr>
      <w:tr w14:paraId="343865B2">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33F9F3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16ED5C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特殊涂层</w:t>
            </w:r>
            <w:r>
              <w:rPr>
                <w:rFonts w:hint="eastAsia"/>
                <w:snapToGrid/>
                <w:color w:val="000000" w:themeColor="text1"/>
                <w:sz w:val="21"/>
                <w:szCs w:val="21"/>
                <w14:textFill>
                  <w14:solidFill>
                    <w14:schemeClr w14:val="tx1"/>
                  </w14:solidFill>
                </w14:textFill>
              </w:rPr>
              <w:t>研发</w:t>
            </w: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2B1148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陶瓷盘</w:t>
            </w:r>
          </w:p>
        </w:tc>
        <w:tc>
          <w:tcPr>
            <w:tcW w:w="5289" w:type="dxa"/>
            <w:tcBorders>
              <w:top w:val="single" w:color="000000" w:sz="4" w:space="0"/>
              <w:left w:val="single" w:color="000000" w:sz="4" w:space="0"/>
              <w:bottom w:val="single" w:color="000000" w:sz="4" w:space="0"/>
              <w:right w:val="single" w:color="000000" w:sz="4" w:space="0"/>
            </w:tcBorders>
            <w:vAlign w:val="center"/>
          </w:tcPr>
          <w:p w14:paraId="510EC7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陶瓷</w:t>
            </w:r>
          </w:p>
        </w:tc>
        <w:tc>
          <w:tcPr>
            <w:tcW w:w="1344" w:type="dxa"/>
            <w:tcBorders>
              <w:top w:val="single" w:color="000000" w:sz="4" w:space="0"/>
              <w:left w:val="single" w:color="000000" w:sz="4" w:space="0"/>
              <w:bottom w:val="single" w:color="000000" w:sz="4" w:space="0"/>
              <w:right w:val="single" w:color="000000" w:sz="4" w:space="0"/>
            </w:tcBorders>
            <w:vAlign w:val="center"/>
          </w:tcPr>
          <w:p w14:paraId="3F084F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600片/a</w:t>
            </w:r>
          </w:p>
        </w:tc>
        <w:tc>
          <w:tcPr>
            <w:tcW w:w="1129" w:type="dxa"/>
            <w:tcBorders>
              <w:top w:val="single" w:color="000000" w:sz="4" w:space="0"/>
              <w:left w:val="single" w:color="000000" w:sz="4" w:space="0"/>
              <w:bottom w:val="single" w:color="000000" w:sz="4" w:space="0"/>
              <w:right w:val="single" w:color="000000" w:sz="4" w:space="0"/>
            </w:tcBorders>
            <w:vAlign w:val="center"/>
          </w:tcPr>
          <w:p w14:paraId="3CCE29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50片</w:t>
            </w:r>
          </w:p>
        </w:tc>
        <w:tc>
          <w:tcPr>
            <w:tcW w:w="1134" w:type="dxa"/>
            <w:tcBorders>
              <w:top w:val="single" w:color="000000" w:sz="4" w:space="0"/>
              <w:left w:val="single" w:color="000000" w:sz="4" w:space="0"/>
              <w:bottom w:val="single" w:color="000000" w:sz="4" w:space="0"/>
              <w:right w:val="single" w:color="000000" w:sz="4" w:space="0"/>
            </w:tcBorders>
            <w:vAlign w:val="center"/>
          </w:tcPr>
          <w:p w14:paraId="4C20A3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tcBorders>
              <w:top w:val="single" w:color="000000" w:sz="4" w:space="0"/>
              <w:left w:val="single" w:color="000000" w:sz="4" w:space="0"/>
              <w:bottom w:val="single" w:color="000000" w:sz="4" w:space="0"/>
              <w:right w:val="single" w:color="000000" w:sz="4" w:space="0"/>
            </w:tcBorders>
            <w:vAlign w:val="center"/>
          </w:tcPr>
          <w:p w14:paraId="1B29F8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直径558mm/厚度26.3mm</w:t>
            </w:r>
          </w:p>
        </w:tc>
      </w:tr>
      <w:tr w14:paraId="02604C87">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2A21A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4FEE12F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7B595B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p>
        </w:tc>
        <w:tc>
          <w:tcPr>
            <w:tcW w:w="5289" w:type="dxa"/>
            <w:tcBorders>
              <w:top w:val="single" w:color="000000" w:sz="4" w:space="0"/>
              <w:left w:val="single" w:color="000000" w:sz="4" w:space="0"/>
              <w:bottom w:val="single" w:color="000000" w:sz="4" w:space="0"/>
              <w:right w:val="single" w:color="000000" w:sz="4" w:space="0"/>
            </w:tcBorders>
            <w:vAlign w:val="center"/>
          </w:tcPr>
          <w:p w14:paraId="2E286B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微粉</w:t>
            </w:r>
          </w:p>
        </w:tc>
        <w:tc>
          <w:tcPr>
            <w:tcW w:w="1344" w:type="dxa"/>
            <w:tcBorders>
              <w:top w:val="single" w:color="000000" w:sz="4" w:space="0"/>
              <w:left w:val="single" w:color="000000" w:sz="4" w:space="0"/>
              <w:bottom w:val="single" w:color="000000" w:sz="4" w:space="0"/>
              <w:right w:val="single" w:color="000000" w:sz="4" w:space="0"/>
            </w:tcBorders>
            <w:vAlign w:val="center"/>
          </w:tcPr>
          <w:p w14:paraId="5FB727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1104kg/a</w:t>
            </w:r>
          </w:p>
        </w:tc>
        <w:tc>
          <w:tcPr>
            <w:tcW w:w="1129" w:type="dxa"/>
            <w:tcBorders>
              <w:top w:val="single" w:color="000000" w:sz="4" w:space="0"/>
              <w:left w:val="single" w:color="000000" w:sz="4" w:space="0"/>
              <w:bottom w:val="single" w:color="000000" w:sz="4" w:space="0"/>
              <w:right w:val="single" w:color="000000" w:sz="4" w:space="0"/>
            </w:tcBorders>
            <w:vAlign w:val="center"/>
          </w:tcPr>
          <w:p w14:paraId="1067FC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100kg</w:t>
            </w:r>
          </w:p>
        </w:tc>
        <w:tc>
          <w:tcPr>
            <w:tcW w:w="1134" w:type="dxa"/>
            <w:tcBorders>
              <w:top w:val="single" w:color="000000" w:sz="4" w:space="0"/>
              <w:left w:val="single" w:color="000000" w:sz="4" w:space="0"/>
              <w:bottom w:val="single" w:color="000000" w:sz="4" w:space="0"/>
              <w:right w:val="single" w:color="000000" w:sz="4" w:space="0"/>
            </w:tcBorders>
            <w:vAlign w:val="center"/>
          </w:tcPr>
          <w:p w14:paraId="005E5C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vMerge w:val="restart"/>
            <w:tcBorders>
              <w:top w:val="single" w:color="000000" w:sz="4" w:space="0"/>
              <w:left w:val="single" w:color="000000" w:sz="4" w:space="0"/>
              <w:bottom w:val="single" w:color="000000" w:sz="4" w:space="0"/>
              <w:right w:val="single" w:color="000000" w:sz="4" w:space="0"/>
            </w:tcBorders>
            <w:vAlign w:val="center"/>
          </w:tcPr>
          <w:p w14:paraId="3F1421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粒径预估0.3-0.5um</w:t>
            </w:r>
          </w:p>
        </w:tc>
      </w:tr>
      <w:tr w14:paraId="6521F283">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43647D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012618E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2D9560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YOF</w:t>
            </w:r>
          </w:p>
        </w:tc>
        <w:tc>
          <w:tcPr>
            <w:tcW w:w="5289" w:type="dxa"/>
            <w:tcBorders>
              <w:top w:val="single" w:color="000000" w:sz="4" w:space="0"/>
              <w:left w:val="single" w:color="000000" w:sz="4" w:space="0"/>
              <w:bottom w:val="single" w:color="000000" w:sz="4" w:space="0"/>
              <w:right w:val="single" w:color="000000" w:sz="4" w:space="0"/>
            </w:tcBorders>
            <w:vAlign w:val="center"/>
          </w:tcPr>
          <w:p w14:paraId="56A9DC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YOF微粉</w:t>
            </w:r>
          </w:p>
        </w:tc>
        <w:tc>
          <w:tcPr>
            <w:tcW w:w="1344" w:type="dxa"/>
            <w:tcBorders>
              <w:top w:val="single" w:color="000000" w:sz="4" w:space="0"/>
              <w:left w:val="single" w:color="000000" w:sz="4" w:space="0"/>
              <w:bottom w:val="single" w:color="000000" w:sz="4" w:space="0"/>
              <w:right w:val="single" w:color="000000" w:sz="4" w:space="0"/>
            </w:tcBorders>
            <w:vAlign w:val="center"/>
          </w:tcPr>
          <w:p w14:paraId="4D8107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900kg/a</w:t>
            </w:r>
          </w:p>
        </w:tc>
        <w:tc>
          <w:tcPr>
            <w:tcW w:w="1129" w:type="dxa"/>
            <w:tcBorders>
              <w:top w:val="single" w:color="000000" w:sz="4" w:space="0"/>
              <w:left w:val="single" w:color="000000" w:sz="4" w:space="0"/>
              <w:bottom w:val="single" w:color="000000" w:sz="4" w:space="0"/>
              <w:right w:val="single" w:color="000000" w:sz="4" w:space="0"/>
            </w:tcBorders>
            <w:vAlign w:val="center"/>
          </w:tcPr>
          <w:p w14:paraId="6A1906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100kg</w:t>
            </w:r>
          </w:p>
        </w:tc>
        <w:tc>
          <w:tcPr>
            <w:tcW w:w="1134" w:type="dxa"/>
            <w:tcBorders>
              <w:top w:val="single" w:color="000000" w:sz="4" w:space="0"/>
              <w:left w:val="single" w:color="000000" w:sz="4" w:space="0"/>
              <w:bottom w:val="single" w:color="000000" w:sz="4" w:space="0"/>
              <w:right w:val="single" w:color="000000" w:sz="4" w:space="0"/>
            </w:tcBorders>
            <w:vAlign w:val="center"/>
          </w:tcPr>
          <w:p w14:paraId="5D0CF8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vMerge w:val="continue"/>
            <w:tcBorders>
              <w:top w:val="single" w:color="000000" w:sz="4" w:space="0"/>
              <w:left w:val="single" w:color="000000" w:sz="4" w:space="0"/>
              <w:bottom w:val="single" w:color="000000" w:sz="4" w:space="0"/>
              <w:right w:val="single" w:color="000000" w:sz="4" w:space="0"/>
            </w:tcBorders>
            <w:vAlign w:val="center"/>
          </w:tcPr>
          <w:p w14:paraId="559F8E4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r>
      <w:tr w14:paraId="73A77A89">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626178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505FBD6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03F1B4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YF</w:t>
            </w:r>
            <w:r>
              <w:rPr>
                <w:snapToGrid/>
                <w:color w:val="000000" w:themeColor="text1"/>
                <w:sz w:val="21"/>
                <w:szCs w:val="21"/>
                <w:vertAlign w:val="subscript"/>
                <w14:textFill>
                  <w14:solidFill>
                    <w14:schemeClr w14:val="tx1"/>
                  </w14:solidFill>
                </w14:textFill>
              </w:rPr>
              <w:t>3</w:t>
            </w:r>
          </w:p>
        </w:tc>
        <w:tc>
          <w:tcPr>
            <w:tcW w:w="5289" w:type="dxa"/>
            <w:tcBorders>
              <w:top w:val="single" w:color="000000" w:sz="4" w:space="0"/>
              <w:left w:val="single" w:color="000000" w:sz="4" w:space="0"/>
              <w:bottom w:val="single" w:color="000000" w:sz="4" w:space="0"/>
              <w:right w:val="single" w:color="000000" w:sz="4" w:space="0"/>
            </w:tcBorders>
            <w:vAlign w:val="center"/>
          </w:tcPr>
          <w:p w14:paraId="6A98AA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YF</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微粉</w:t>
            </w:r>
          </w:p>
        </w:tc>
        <w:tc>
          <w:tcPr>
            <w:tcW w:w="1344" w:type="dxa"/>
            <w:tcBorders>
              <w:top w:val="single" w:color="000000" w:sz="4" w:space="0"/>
              <w:left w:val="single" w:color="000000" w:sz="4" w:space="0"/>
              <w:bottom w:val="single" w:color="000000" w:sz="4" w:space="0"/>
              <w:right w:val="single" w:color="000000" w:sz="4" w:space="0"/>
            </w:tcBorders>
            <w:vAlign w:val="center"/>
          </w:tcPr>
          <w:p w14:paraId="7DDF95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1000kg/a</w:t>
            </w:r>
          </w:p>
        </w:tc>
        <w:tc>
          <w:tcPr>
            <w:tcW w:w="1129" w:type="dxa"/>
            <w:tcBorders>
              <w:top w:val="single" w:color="000000" w:sz="4" w:space="0"/>
              <w:left w:val="single" w:color="000000" w:sz="4" w:space="0"/>
              <w:bottom w:val="single" w:color="000000" w:sz="4" w:space="0"/>
              <w:right w:val="single" w:color="000000" w:sz="4" w:space="0"/>
            </w:tcBorders>
            <w:vAlign w:val="center"/>
          </w:tcPr>
          <w:p w14:paraId="0570CE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100kg</w:t>
            </w:r>
          </w:p>
        </w:tc>
        <w:tc>
          <w:tcPr>
            <w:tcW w:w="1134" w:type="dxa"/>
            <w:tcBorders>
              <w:top w:val="single" w:color="000000" w:sz="4" w:space="0"/>
              <w:left w:val="single" w:color="000000" w:sz="4" w:space="0"/>
              <w:bottom w:val="single" w:color="000000" w:sz="4" w:space="0"/>
              <w:right w:val="single" w:color="000000" w:sz="4" w:space="0"/>
            </w:tcBorders>
            <w:vAlign w:val="center"/>
          </w:tcPr>
          <w:p w14:paraId="53BA37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337" w:type="dxa"/>
            <w:vMerge w:val="continue"/>
            <w:tcBorders>
              <w:top w:val="single" w:color="000000" w:sz="4" w:space="0"/>
              <w:left w:val="single" w:color="000000" w:sz="4" w:space="0"/>
              <w:bottom w:val="single" w:color="000000" w:sz="4" w:space="0"/>
              <w:right w:val="single" w:color="000000" w:sz="4" w:space="0"/>
            </w:tcBorders>
            <w:vAlign w:val="center"/>
          </w:tcPr>
          <w:p w14:paraId="29F9EA8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r>
      <w:tr w14:paraId="1A81C17B">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B14C1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665A80E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390FEB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氦气或氮气</w:t>
            </w:r>
          </w:p>
        </w:tc>
        <w:tc>
          <w:tcPr>
            <w:tcW w:w="5289" w:type="dxa"/>
            <w:tcBorders>
              <w:top w:val="single" w:color="000000" w:sz="4" w:space="0"/>
              <w:left w:val="single" w:color="000000" w:sz="4" w:space="0"/>
              <w:bottom w:val="single" w:color="000000" w:sz="4" w:space="0"/>
              <w:right w:val="single" w:color="000000" w:sz="4" w:space="0"/>
            </w:tcBorders>
            <w:vAlign w:val="center"/>
          </w:tcPr>
          <w:p w14:paraId="32D4B3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Ar/N</w:t>
            </w:r>
            <w:r>
              <w:rPr>
                <w:snapToGrid/>
                <w:color w:val="000000" w:themeColor="text1"/>
                <w:sz w:val="21"/>
                <w:szCs w:val="21"/>
                <w:vertAlign w:val="subscript"/>
                <w14:textFill>
                  <w14:solidFill>
                    <w14:schemeClr w14:val="tx1"/>
                  </w14:solidFill>
                </w14:textFill>
              </w:rPr>
              <w:t>2</w:t>
            </w:r>
          </w:p>
        </w:tc>
        <w:tc>
          <w:tcPr>
            <w:tcW w:w="1344" w:type="dxa"/>
            <w:tcBorders>
              <w:top w:val="single" w:color="000000" w:sz="4" w:space="0"/>
              <w:left w:val="single" w:color="000000" w:sz="4" w:space="0"/>
              <w:bottom w:val="single" w:color="000000" w:sz="4" w:space="0"/>
              <w:right w:val="single" w:color="000000" w:sz="4" w:space="0"/>
            </w:tcBorders>
            <w:vAlign w:val="center"/>
          </w:tcPr>
          <w:p w14:paraId="25041F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2520m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/a</w:t>
            </w:r>
          </w:p>
        </w:tc>
        <w:tc>
          <w:tcPr>
            <w:tcW w:w="1129" w:type="dxa"/>
            <w:tcBorders>
              <w:top w:val="single" w:color="000000" w:sz="4" w:space="0"/>
              <w:left w:val="single" w:color="000000" w:sz="4" w:space="0"/>
              <w:bottom w:val="single" w:color="000000" w:sz="4" w:space="0"/>
              <w:right w:val="single" w:color="000000" w:sz="4" w:space="0"/>
            </w:tcBorders>
            <w:vAlign w:val="center"/>
          </w:tcPr>
          <w:p w14:paraId="2A4081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10瓶</w:t>
            </w:r>
          </w:p>
        </w:tc>
        <w:tc>
          <w:tcPr>
            <w:tcW w:w="1134" w:type="dxa"/>
            <w:tcBorders>
              <w:top w:val="single" w:color="000000" w:sz="4" w:space="0"/>
              <w:left w:val="single" w:color="000000" w:sz="4" w:space="0"/>
              <w:bottom w:val="single" w:color="000000" w:sz="4" w:space="0"/>
              <w:right w:val="single" w:color="000000" w:sz="4" w:space="0"/>
            </w:tcBorders>
            <w:vAlign w:val="center"/>
          </w:tcPr>
          <w:p w14:paraId="07C607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液氩站/40L高压气瓶</w:t>
            </w:r>
          </w:p>
        </w:tc>
        <w:tc>
          <w:tcPr>
            <w:tcW w:w="1337" w:type="dxa"/>
            <w:tcBorders>
              <w:top w:val="single" w:color="000000" w:sz="4" w:space="0"/>
              <w:left w:val="single" w:color="000000" w:sz="4" w:space="0"/>
              <w:bottom w:val="single" w:color="000000" w:sz="4" w:space="0"/>
              <w:right w:val="single" w:color="000000" w:sz="4" w:space="0"/>
            </w:tcBorders>
            <w:vAlign w:val="center"/>
          </w:tcPr>
          <w:p w14:paraId="5308FA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He或N2，需根据实验结果确定气体种类</w:t>
            </w:r>
          </w:p>
        </w:tc>
      </w:tr>
      <w:tr w14:paraId="2A402C6F">
        <w:tblPrEx>
          <w:tblCellMar>
            <w:top w:w="0" w:type="dxa"/>
            <w:left w:w="108" w:type="dxa"/>
            <w:bottom w:w="0" w:type="dxa"/>
            <w:right w:w="10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noWrap/>
            <w:vAlign w:val="center"/>
          </w:tcPr>
          <w:p w14:paraId="7EE84A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14:paraId="3083A5C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2471" w:type="dxa"/>
            <w:gridSpan w:val="2"/>
            <w:tcBorders>
              <w:top w:val="single" w:color="000000" w:sz="4" w:space="0"/>
              <w:left w:val="single" w:color="000000" w:sz="4" w:space="0"/>
              <w:bottom w:val="single" w:color="000000" w:sz="4" w:space="0"/>
              <w:right w:val="single" w:color="000000" w:sz="4" w:space="0"/>
            </w:tcBorders>
            <w:vAlign w:val="center"/>
          </w:tcPr>
          <w:p w14:paraId="457BB2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切削液285S-1</w:t>
            </w:r>
          </w:p>
        </w:tc>
        <w:tc>
          <w:tcPr>
            <w:tcW w:w="5289" w:type="dxa"/>
            <w:tcBorders>
              <w:top w:val="single" w:color="000000" w:sz="4" w:space="0"/>
              <w:left w:val="single" w:color="000000" w:sz="4" w:space="0"/>
              <w:bottom w:val="single" w:color="000000" w:sz="4" w:space="0"/>
              <w:right w:val="single" w:color="000000" w:sz="4" w:space="0"/>
            </w:tcBorders>
            <w:vAlign w:val="center"/>
          </w:tcPr>
          <w:p w14:paraId="35784E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344" w:type="dxa"/>
            <w:tcBorders>
              <w:top w:val="single" w:color="000000" w:sz="4" w:space="0"/>
              <w:left w:val="single" w:color="000000" w:sz="4" w:space="0"/>
              <w:bottom w:val="single" w:color="000000" w:sz="4" w:space="0"/>
              <w:right w:val="single" w:color="000000" w:sz="4" w:space="0"/>
            </w:tcBorders>
            <w:vAlign w:val="center"/>
          </w:tcPr>
          <w:p w14:paraId="63607F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1129" w:type="dxa"/>
            <w:tcBorders>
              <w:top w:val="single" w:color="000000" w:sz="4" w:space="0"/>
              <w:left w:val="single" w:color="000000" w:sz="4" w:space="0"/>
              <w:bottom w:val="single" w:color="000000" w:sz="4" w:space="0"/>
              <w:right w:val="single" w:color="000000" w:sz="4" w:space="0"/>
            </w:tcBorders>
            <w:vAlign w:val="center"/>
          </w:tcPr>
          <w:p w14:paraId="0808D6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1134" w:type="dxa"/>
            <w:tcBorders>
              <w:top w:val="single" w:color="000000" w:sz="4" w:space="0"/>
              <w:left w:val="single" w:color="000000" w:sz="4" w:space="0"/>
              <w:bottom w:val="single" w:color="000000" w:sz="4" w:space="0"/>
              <w:right w:val="single" w:color="000000" w:sz="4" w:space="0"/>
            </w:tcBorders>
            <w:vAlign w:val="center"/>
          </w:tcPr>
          <w:p w14:paraId="562732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337" w:type="dxa"/>
            <w:tcBorders>
              <w:top w:val="single" w:color="000000" w:sz="4" w:space="0"/>
              <w:left w:val="single" w:color="000000" w:sz="4" w:space="0"/>
              <w:bottom w:val="single" w:color="000000" w:sz="4" w:space="0"/>
              <w:right w:val="single" w:color="000000" w:sz="4" w:space="0"/>
            </w:tcBorders>
            <w:vAlign w:val="center"/>
          </w:tcPr>
          <w:p w14:paraId="38BF9E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危化品库</w:t>
            </w:r>
          </w:p>
        </w:tc>
      </w:tr>
    </w:tbl>
    <w:p w14:paraId="7AF5655A">
      <w:pPr>
        <w:ind w:firstLine="0" w:firstLineChars="0"/>
        <w:jc w:val="center"/>
        <w:rPr>
          <w:color w:val="000000" w:themeColor="text1"/>
          <w14:textFill>
            <w14:solidFill>
              <w14:schemeClr w14:val="tx1"/>
            </w14:solidFill>
          </w14:textFill>
        </w:rPr>
      </w:pPr>
    </w:p>
    <w:p w14:paraId="333E3564">
      <w:pPr>
        <w:ind w:firstLine="0" w:firstLineChars="0"/>
        <w:jc w:val="center"/>
        <w:rPr>
          <w:color w:val="000000" w:themeColor="text1"/>
          <w14:textFill>
            <w14:solidFill>
              <w14:schemeClr w14:val="tx1"/>
            </w14:solidFill>
          </w14:textFill>
        </w:rPr>
      </w:pPr>
    </w:p>
    <w:p w14:paraId="7493155E">
      <w:pPr>
        <w:pStyle w:val="5"/>
        <w:rPr>
          <w:color w:val="000000" w:themeColor="text1"/>
          <w14:textFill>
            <w14:solidFill>
              <w14:schemeClr w14:val="tx1"/>
            </w14:solidFill>
          </w14:textFill>
        </w:rPr>
        <w:sectPr>
          <w:pgSz w:w="16838" w:h="11906" w:orient="landscape"/>
          <w:pgMar w:top="1800" w:right="1440" w:bottom="1800" w:left="1440" w:header="851" w:footer="992" w:gutter="0"/>
          <w:cols w:space="720" w:num="1"/>
          <w:docGrid w:type="lines" w:linePitch="354" w:charSpace="0"/>
        </w:sectPr>
      </w:pPr>
    </w:p>
    <w:p w14:paraId="49A7A166">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现有工程总平面布置</w:t>
      </w:r>
    </w:p>
    <w:p w14:paraId="3EE78F6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现有工程位于西彭工业园区</w:t>
      </w:r>
      <w:r>
        <w:rPr>
          <w:color w:val="000000" w:themeColor="text1"/>
          <w14:textFill>
            <w14:solidFill>
              <w14:schemeClr w14:val="tx1"/>
            </w14:solidFill>
          </w14:textFill>
        </w:rPr>
        <w:t>D22-1/02号地块，整个厂区由</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栋生产厂房、</w:t>
      </w:r>
      <w:r>
        <w:rPr>
          <w:rFonts w:hint="eastAsia"/>
          <w:color w:val="000000" w:themeColor="text1"/>
          <w14:textFill>
            <w14:solidFill>
              <w14:schemeClr w14:val="tx1"/>
            </w14:solidFill>
          </w14:textFill>
        </w:rPr>
        <w:t>3栋附属用房、1栋办公楼</w:t>
      </w:r>
      <w:r>
        <w:rPr>
          <w:color w:val="000000" w:themeColor="text1"/>
          <w14:textFill>
            <w14:solidFill>
              <w14:schemeClr w14:val="tx1"/>
            </w14:solidFill>
          </w14:textFill>
        </w:rPr>
        <w:t>和门卫室等附属建筑物构成。</w:t>
      </w:r>
    </w:p>
    <w:p w14:paraId="54758250">
      <w:pPr>
        <w:ind w:firstLine="520"/>
        <w:rPr>
          <w:color w:val="000000" w:themeColor="text1"/>
          <w14:textFill>
            <w14:solidFill>
              <w14:schemeClr w14:val="tx1"/>
            </w14:solidFill>
          </w14:textFill>
        </w:rPr>
      </w:pPr>
      <w:r>
        <w:rPr>
          <w:color w:val="000000" w:themeColor="text1"/>
          <w14:textFill>
            <w14:solidFill>
              <w14:schemeClr w14:val="tx1"/>
            </w14:solidFill>
          </w14:textFill>
        </w:rPr>
        <w:t>厂房四周均设置车行道，保障物流运输和消防安全的通畅；各建筑由道路、绿化相隔，如此最大限度的减少了各功能区的相互影响。总体布置体现了安全性、实用性、灵活性、经济性、科学性及可持续性的设计理念。</w:t>
      </w:r>
    </w:p>
    <w:p w14:paraId="3B1528BB">
      <w:pPr>
        <w:ind w:firstLine="520"/>
        <w:rPr>
          <w:color w:val="000000" w:themeColor="text1"/>
          <w14:textFill>
            <w14:solidFill>
              <w14:schemeClr w14:val="tx1"/>
            </w14:solidFill>
          </w14:textFill>
        </w:rPr>
      </w:pPr>
      <w:r>
        <w:rPr>
          <w:color w:val="000000" w:themeColor="text1"/>
          <w14:textFill>
            <w14:solidFill>
              <w14:schemeClr w14:val="tx1"/>
            </w14:solidFill>
          </w14:textFill>
        </w:rPr>
        <w:t>厂区整体布局体现了规整气派的现代化厂区风貌。道路线形绿化与广场片状绿化不但美化环境的作用，还起到了隔音防尘的作用</w:t>
      </w:r>
      <w:r>
        <w:rPr>
          <w:rFonts w:hint="eastAsia"/>
          <w:color w:val="000000" w:themeColor="text1"/>
          <w14:textFill>
            <w14:solidFill>
              <w14:schemeClr w14:val="tx1"/>
            </w14:solidFill>
          </w14:textFill>
        </w:rPr>
        <w:t>。</w:t>
      </w:r>
    </w:p>
    <w:p w14:paraId="35C85677">
      <w:pPr>
        <w:pStyle w:val="4"/>
        <w:rPr>
          <w:color w:val="000000" w:themeColor="text1"/>
          <w14:textFill>
            <w14:solidFill>
              <w14:schemeClr w14:val="tx1"/>
            </w14:solidFill>
          </w14:textFill>
        </w:rPr>
      </w:pPr>
      <w:bookmarkStart w:id="141" w:name="_Toc19676"/>
      <w:r>
        <w:rPr>
          <w:rFonts w:hint="eastAsia"/>
          <w:color w:val="000000" w:themeColor="text1"/>
          <w14:textFill>
            <w14:solidFill>
              <w14:schemeClr w14:val="tx1"/>
            </w14:solidFill>
          </w14:textFill>
        </w:rPr>
        <w:t>现有工程污染防治措施</w:t>
      </w:r>
      <w:bookmarkEnd w:id="141"/>
    </w:p>
    <w:p w14:paraId="61A9E679">
      <w:pPr>
        <w:pStyle w:val="34"/>
        <w:ind w:firstLine="520" w:firstLineChars="200"/>
        <w:rPr>
          <w:rFonts w:cs="宋体"/>
          <w:color w:val="000000" w:themeColor="text1"/>
          <w:szCs w:val="26"/>
          <w14:textFill>
            <w14:solidFill>
              <w14:schemeClr w14:val="tx1"/>
            </w14:solidFill>
          </w14:textFill>
        </w:rPr>
      </w:pPr>
      <w:r>
        <w:rPr>
          <w:rFonts w:hint="eastAsia" w:cs="宋体"/>
          <w:color w:val="000000" w:themeColor="text1"/>
          <w:szCs w:val="26"/>
          <w14:textFill>
            <w14:solidFill>
              <w14:schemeClr w14:val="tx1"/>
            </w14:solidFill>
          </w14:textFill>
        </w:rPr>
        <w:t>目前，现有工程尚未正式运营，本次根据现场调查情况结合其环境影响评价文件对现有工程污染防治措施及达标情况进行分析。</w:t>
      </w:r>
    </w:p>
    <w:p w14:paraId="4DFBA897">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废气污染防治措施及达标分析</w:t>
      </w:r>
    </w:p>
    <w:p w14:paraId="4A7F93A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现有工程废气主要为：</w:t>
      </w:r>
      <w:r>
        <w:rPr>
          <w:color w:val="000000" w:themeColor="text1"/>
          <w14:textFill>
            <w14:solidFill>
              <w14:schemeClr w14:val="tx1"/>
            </w14:solidFill>
          </w14:textFill>
        </w:rPr>
        <w:t>硅料炉内粉尘</w:t>
      </w:r>
      <w:r>
        <w:rPr>
          <w:rFonts w:hint="eastAsia"/>
          <w:color w:val="000000" w:themeColor="text1"/>
          <w14:textFill>
            <w14:solidFill>
              <w14:schemeClr w14:val="tx1"/>
            </w14:solidFill>
          </w14:textFill>
        </w:rPr>
        <w:t>、硅晶测试蚀刻废气、</w:t>
      </w:r>
      <w:r>
        <w:rPr>
          <w:color w:val="000000" w:themeColor="text1"/>
          <w14:textFill>
            <w14:solidFill>
              <w14:schemeClr w14:val="tx1"/>
            </w14:solidFill>
          </w14:textFill>
        </w:rPr>
        <w:t>陶瓷烧结废气</w:t>
      </w:r>
      <w:r>
        <w:rPr>
          <w:rFonts w:hint="eastAsia"/>
          <w:color w:val="000000" w:themeColor="text1"/>
          <w14:textFill>
            <w14:solidFill>
              <w14:schemeClr w14:val="tx1"/>
            </w14:solidFill>
          </w14:textFill>
        </w:rPr>
        <w:t>、碳化硅生产线废气、硅蚀刻线+清洗线废气、</w:t>
      </w:r>
      <w:r>
        <w:rPr>
          <w:color w:val="000000" w:themeColor="text1"/>
          <w14:textFill>
            <w14:solidFill>
              <w14:schemeClr w14:val="tx1"/>
            </w14:solidFill>
          </w14:textFill>
        </w:rPr>
        <w:t>静电卡盘ESC研发项目工艺废气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陶瓷造型</w:t>
      </w:r>
      <w:r>
        <w:rPr>
          <w:rFonts w:hint="eastAsia"/>
          <w:color w:val="000000" w:themeColor="text1"/>
          <w14:textFill>
            <w14:solidFill>
              <w14:schemeClr w14:val="tx1"/>
            </w14:solidFill>
          </w14:textFill>
        </w:rPr>
        <w:t>粉尘、</w:t>
      </w:r>
      <w:r>
        <w:rPr>
          <w:color w:val="000000" w:themeColor="text1"/>
          <w14:textFill>
            <w14:solidFill>
              <w14:schemeClr w14:val="tx1"/>
            </w14:solidFill>
          </w14:textFill>
        </w:rPr>
        <w:t>氧化钇粉末搅拌粉尘</w:t>
      </w:r>
      <w:r>
        <w:rPr>
          <w:rFonts w:hint="eastAsia"/>
          <w:color w:val="000000" w:themeColor="text1"/>
          <w14:textFill>
            <w14:solidFill>
              <w14:schemeClr w14:val="tx1"/>
            </w14:solidFill>
          </w14:textFill>
        </w:rPr>
        <w:t>、</w:t>
      </w:r>
      <w:r>
        <w:rPr>
          <w:snapToGrid/>
          <w:color w:val="000000" w:themeColor="text1"/>
          <w14:textFill>
            <w14:solidFill>
              <w14:schemeClr w14:val="tx1"/>
            </w14:solidFill>
          </w14:textFill>
        </w:rPr>
        <w:t>石英产品清洗废气</w:t>
      </w:r>
      <w:r>
        <w:rPr>
          <w:rFonts w:hint="eastAsia"/>
          <w:snapToGrid/>
          <w:color w:val="000000" w:themeColor="text1"/>
          <w14:textFill>
            <w14:solidFill>
              <w14:schemeClr w14:val="tx1"/>
            </w14:solidFill>
          </w14:textFill>
        </w:rPr>
        <w:t>、石墨加工生产线废气、石墨纯化废气、</w:t>
      </w:r>
      <w:r>
        <w:rPr>
          <w:snapToGrid/>
          <w:color w:val="000000" w:themeColor="text1"/>
          <w14:textFill>
            <w14:solidFill>
              <w14:schemeClr w14:val="tx1"/>
            </w14:solidFill>
          </w14:textFill>
        </w:rPr>
        <w:t>石墨碳化硅涂层废气</w:t>
      </w:r>
      <w:r>
        <w:rPr>
          <w:rFonts w:hint="eastAsia"/>
          <w:color w:val="000000" w:themeColor="text1"/>
          <w14:textFill>
            <w14:solidFill>
              <w14:schemeClr w14:val="tx1"/>
            </w14:solidFill>
          </w14:textFill>
        </w:rPr>
        <w:t>，</w:t>
      </w:r>
      <w:r>
        <w:rPr>
          <w:color w:val="000000" w:themeColor="text1"/>
          <w:szCs w:val="21"/>
          <w14:textFill>
            <w14:solidFill>
              <w14:schemeClr w14:val="tx1"/>
            </w14:solidFill>
          </w14:textFill>
        </w:rPr>
        <w:t>炉管研发配料</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造粒</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成型工艺产生的含尘废气</w:t>
      </w:r>
      <w:r>
        <w:rPr>
          <w:rFonts w:hint="eastAsia"/>
          <w:color w:val="000000" w:themeColor="text1"/>
          <w:szCs w:val="21"/>
          <w14:textFill>
            <w14:solidFill>
              <w14:schemeClr w14:val="tx1"/>
            </w14:solidFill>
          </w14:textFill>
        </w:rPr>
        <w:t>、石墨研发零部件下料废气</w:t>
      </w:r>
      <w:r>
        <w:rPr>
          <w:rFonts w:hint="eastAsia"/>
          <w:color w:val="000000" w:themeColor="text1"/>
          <w14:textFill>
            <w14:solidFill>
              <w14:schemeClr w14:val="tx1"/>
            </w14:solidFill>
          </w14:textFill>
        </w:rPr>
        <w:t>等。具体废气污染物防治措施及达标分析如下：</w:t>
      </w:r>
    </w:p>
    <w:p w14:paraId="1B4F5B1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（1）硅料炉内粉尘</w:t>
      </w:r>
    </w:p>
    <w:p w14:paraId="4E670FEC">
      <w:pPr>
        <w:ind w:firstLine="520"/>
        <w:rPr>
          <w:color w:val="000000" w:themeColor="text1"/>
          <w14:textFill>
            <w14:solidFill>
              <w14:schemeClr w14:val="tx1"/>
            </w14:solidFill>
          </w14:textFill>
        </w:rPr>
      </w:pPr>
      <w:r>
        <w:rPr>
          <w:color w:val="000000" w:themeColor="text1"/>
          <w14:textFill>
            <w14:solidFill>
              <w14:schemeClr w14:val="tx1"/>
            </w14:solidFill>
          </w14:textFill>
        </w:rPr>
        <w:t>硅料炉粉尘密闭收集，经滤筒式除尘器处理后</w:t>
      </w:r>
      <w:r>
        <w:rPr>
          <w:rFonts w:hint="eastAsia"/>
          <w:color w:val="000000" w:themeColor="text1"/>
          <w14:textFill>
            <w14:solidFill>
              <w14:schemeClr w14:val="tx1"/>
            </w14:solidFill>
          </w14:textFill>
        </w:rPr>
        <w:t>由1根2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m高</w:t>
      </w:r>
      <w:r>
        <w:rPr>
          <w:color w:val="000000" w:themeColor="text1"/>
          <w14:textFill>
            <w14:solidFill>
              <w14:schemeClr w14:val="tx1"/>
            </w14:solidFill>
          </w14:textFill>
        </w:rPr>
        <w:t>排气筒排放</w:t>
      </w:r>
      <w:r>
        <w:rPr>
          <w:rFonts w:hint="eastAsia"/>
          <w:color w:val="000000" w:themeColor="text1"/>
          <w14:textFill>
            <w14:solidFill>
              <w14:schemeClr w14:val="tx1"/>
            </w14:solidFill>
          </w14:textFill>
        </w:rPr>
        <w:t>，排气筒编号：D</w:t>
      </w:r>
      <w:r>
        <w:rPr>
          <w:color w:val="000000" w:themeColor="text1"/>
          <w14:textFill>
            <w14:solidFill>
              <w14:schemeClr w14:val="tx1"/>
            </w14:solidFill>
          </w14:textFill>
        </w:rPr>
        <w:t>A001</w:t>
      </w:r>
      <w:r>
        <w:rPr>
          <w:rFonts w:hint="eastAsia"/>
          <w:color w:val="000000" w:themeColor="text1"/>
          <w14:textFill>
            <w14:solidFill>
              <w14:schemeClr w14:val="tx1"/>
            </w14:solidFill>
          </w14:textFill>
        </w:rPr>
        <w:t>。其排放废气满足《大气污染物综合排放标准》（DB50/418-2016）相应排放限值。</w:t>
      </w:r>
    </w:p>
    <w:p w14:paraId="62DAA6E6">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（2）硅晶测试蚀刻废气</w:t>
      </w:r>
    </w:p>
    <w:p w14:paraId="7941C16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硅晶测试蚀刻废气经收集后送酸碱雾净化塔处理后，由1根25m排气筒排放，排气筒编号：D</w:t>
      </w:r>
      <w:r>
        <w:rPr>
          <w:color w:val="000000" w:themeColor="text1"/>
          <w14:textFill>
            <w14:solidFill>
              <w14:schemeClr w14:val="tx1"/>
            </w14:solidFill>
          </w14:textFill>
        </w:rPr>
        <w:t>A002</w:t>
      </w:r>
      <w:r>
        <w:rPr>
          <w:rFonts w:hint="eastAsia"/>
          <w:color w:val="000000" w:themeColor="text1"/>
          <w14:textFill>
            <w14:solidFill>
              <w14:schemeClr w14:val="tx1"/>
            </w14:solidFill>
          </w14:textFill>
        </w:rPr>
        <w:t>。其排放废气满足《大气污染物综合排放标准》（DB50/418-2016）相应排放限值。</w:t>
      </w:r>
    </w:p>
    <w:p w14:paraId="6AA5BCA6">
      <w:pPr>
        <w:ind w:firstLine="520"/>
        <w:rPr>
          <w:color w:val="000000" w:themeColor="text1"/>
          <w14:textFill>
            <w14:solidFill>
              <w14:schemeClr w14:val="tx1"/>
            </w14:solidFill>
          </w14:textFill>
        </w:rPr>
      </w:pPr>
    </w:p>
    <w:p w14:paraId="73430E88">
      <w:pPr>
        <w:spacing w:line="240" w:lineRule="auto"/>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1149350</wp:posOffset>
                </wp:positionH>
                <wp:positionV relativeFrom="paragraph">
                  <wp:posOffset>975360</wp:posOffset>
                </wp:positionV>
                <wp:extent cx="868045" cy="387985"/>
                <wp:effectExtent l="0" t="0" r="770255" b="354965"/>
                <wp:wrapNone/>
                <wp:docPr id="1112498624" name="对话气泡: 矩形 2"/>
                <wp:cNvGraphicFramePr/>
                <a:graphic xmlns:a="http://schemas.openxmlformats.org/drawingml/2006/main">
                  <a:graphicData uri="http://schemas.microsoft.com/office/word/2010/wordprocessingShape">
                    <wps:wsp>
                      <wps:cNvSpPr/>
                      <wps:spPr>
                        <a:xfrm>
                          <a:off x="0" y="0"/>
                          <a:ext cx="868045" cy="387985"/>
                        </a:xfrm>
                        <a:prstGeom prst="wedgeRectCallout">
                          <a:avLst>
                            <a:gd name="adj1" fmla="val 128353"/>
                            <a:gd name="adj2" fmla="val 13250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061CC8">
                            <w:pPr>
                              <w:ind w:firstLine="0" w:firstLineChars="0"/>
                              <w:jc w:val="center"/>
                            </w:pPr>
                            <w:r>
                              <w:rPr>
                                <w:rFonts w:hint="eastAsia"/>
                              </w:rPr>
                              <w:t>DA002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90.5pt;margin-top:76.8pt;height:30.55pt;width:68.35pt;z-index:251665408;v-text-anchor:middle;mso-width-relative:page;mso-height-relative:page;" fillcolor="#4472C4 [3204]" filled="t" stroked="t" coordsize="21600,21600" o:gfxdata="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Bhw862gAAAAsBAAAPAAAAAAAAAAEAIAAAACIAAABkcnMvZG93bnJldi54bWxQSwECFAAU&#10;AAAACACHTuJAI63OqNMCAACVBQAADgAAAAAAAAABACAAAAApAQAAZHJzL2Uyb0RvYy54bWxQSwUG&#10;AAAAAAYABgBZAQAAbgYAAAAA&#10;" adj="38524,39421">
                <v:fill on="t" focussize="0,0"/>
                <v:stroke weight="1pt" color="#172C51 [3204]" miterlimit="8" joinstyle="miter"/>
                <v:imagedata o:title=""/>
                <o:lock v:ext="edit" aspectratio="f"/>
                <v:textbox>
                  <w:txbxContent>
                    <w:p w14:paraId="11061CC8">
                      <w:pPr>
                        <w:ind w:firstLine="0" w:firstLineChars="0"/>
                        <w:jc w:val="center"/>
                      </w:pPr>
                      <w:r>
                        <w:rPr>
                          <w:rFonts w:hint="eastAsia"/>
                        </w:rPr>
                        <w:t>DA002</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3479165</wp:posOffset>
                </wp:positionH>
                <wp:positionV relativeFrom="paragraph">
                  <wp:posOffset>641350</wp:posOffset>
                </wp:positionV>
                <wp:extent cx="803275" cy="368300"/>
                <wp:effectExtent l="514350" t="0" r="15875" b="470535"/>
                <wp:wrapNone/>
                <wp:docPr id="1588829820" name="对话气泡: 矩形 2"/>
                <wp:cNvGraphicFramePr/>
                <a:graphic xmlns:a="http://schemas.openxmlformats.org/drawingml/2006/main">
                  <a:graphicData uri="http://schemas.microsoft.com/office/word/2010/wordprocessingShape">
                    <wps:wsp>
                      <wps:cNvSpPr/>
                      <wps:spPr>
                        <a:xfrm>
                          <a:off x="0" y="0"/>
                          <a:ext cx="803275" cy="367987"/>
                        </a:xfrm>
                        <a:prstGeom prst="wedgeRectCallout">
                          <a:avLst>
                            <a:gd name="adj1" fmla="val -109834"/>
                            <a:gd name="adj2" fmla="val 16532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45B98F9">
                            <w:pPr>
                              <w:ind w:firstLine="0" w:firstLineChars="0"/>
                              <w:jc w:val="center"/>
                            </w:pPr>
                            <w:r>
                              <w:rPr>
                                <w:rFonts w:hint="eastAsia"/>
                              </w:rPr>
                              <w:t>DA001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73.95pt;margin-top:50.5pt;height:29pt;width:63.25pt;z-index:251664384;v-text-anchor:middle;mso-width-relative:page;mso-height-relative:page;" fillcolor="#4472C4 [3204]" filled="t" stroked="t" coordsize="21600,21600" o:gfxdata="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M+2fy2AAAAAsBAAAPAAAAAAAAAAEAIAAAACIAAABkcnMvZG93bnJldi54bWxQSwECFAAU&#10;AAAACACHTuJAGc+84dUCAACWBQAADgAAAAAAAAABACAAAAAnAQAAZHJzL2Uyb0RvYy54bWxQSwUG&#10;AAAAAAYABgBZAQAAbgYAAAAA&#10;" adj="-12924,46510">
                <v:fill on="t" focussize="0,0"/>
                <v:stroke weight="1pt" color="#172C51 [3204]" miterlimit="8" joinstyle="miter"/>
                <v:imagedata o:title=""/>
                <o:lock v:ext="edit" aspectratio="f"/>
                <v:textbox>
                  <w:txbxContent>
                    <w:p w14:paraId="145B98F9">
                      <w:pPr>
                        <w:ind w:firstLine="0" w:firstLineChars="0"/>
                        <w:jc w:val="center"/>
                      </w:pPr>
                      <w:r>
                        <w:rPr>
                          <w:rFonts w:hint="eastAsia"/>
                        </w:rPr>
                        <w:t>DA001</w:t>
                      </w:r>
                    </w:p>
                  </w:txbxContent>
                </v:textbox>
              </v:shape>
            </w:pict>
          </mc:Fallback>
        </mc:AlternateContent>
      </w:r>
      <w:r>
        <w:rPr>
          <w:color w:val="000000" w:themeColor="text1"/>
          <w14:textFill>
            <w14:solidFill>
              <w14:schemeClr w14:val="tx1"/>
            </w14:solidFill>
          </w14:textFill>
        </w:rPr>
        <w:drawing>
          <wp:inline distT="0" distB="0" distL="0" distR="0">
            <wp:extent cx="3425190" cy="3345815"/>
            <wp:effectExtent l="0" t="0" r="3810" b="6985"/>
            <wp:docPr id="591132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32919"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458917" cy="3378569"/>
                    </a:xfrm>
                    <a:prstGeom prst="rect">
                      <a:avLst/>
                    </a:prstGeom>
                    <a:noFill/>
                    <a:ln>
                      <a:noFill/>
                    </a:ln>
                  </pic:spPr>
                </pic:pic>
              </a:graphicData>
            </a:graphic>
          </wp:inline>
        </w:drawing>
      </w:r>
    </w:p>
    <w:p w14:paraId="6E917CA0">
      <w:pPr>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图2.4-1  现有工程DA001、DA002建设情况</w:t>
      </w:r>
    </w:p>
    <w:p w14:paraId="5E6704D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（3）陶瓷烧结废气</w:t>
      </w:r>
    </w:p>
    <w:p w14:paraId="313118D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陶瓷烧结废气密闭收集后，经活性炭吸附装置处理后，由1根25m排气筒排放，排气筒编号：DA003。其排放废气满足《大气污染物综合排放标准》（DB50/418-2016）相应排放限值。其中厂房外非甲烷总烃的无组织排放满足《挥发性有机物无组织排放控制标准》（GB37822-2019）。</w:t>
      </w:r>
    </w:p>
    <w:p w14:paraId="439322E2">
      <w:pPr>
        <w:spacing w:line="240" w:lineRule="auto"/>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3237865</wp:posOffset>
                </wp:positionH>
                <wp:positionV relativeFrom="paragraph">
                  <wp:posOffset>271780</wp:posOffset>
                </wp:positionV>
                <wp:extent cx="820420" cy="393065"/>
                <wp:effectExtent l="114300" t="0" r="17780" b="235585"/>
                <wp:wrapNone/>
                <wp:docPr id="462318237" name="对话气泡: 矩形 2"/>
                <wp:cNvGraphicFramePr/>
                <a:graphic xmlns:a="http://schemas.openxmlformats.org/drawingml/2006/main">
                  <a:graphicData uri="http://schemas.microsoft.com/office/word/2010/wordprocessingShape">
                    <wps:wsp>
                      <wps:cNvSpPr/>
                      <wps:spPr>
                        <a:xfrm>
                          <a:off x="0" y="0"/>
                          <a:ext cx="820420" cy="393065"/>
                        </a:xfrm>
                        <a:prstGeom prst="wedgeRectCallout">
                          <a:avLst>
                            <a:gd name="adj1" fmla="val -59496"/>
                            <a:gd name="adj2" fmla="val 9604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A1F275">
                            <w:pPr>
                              <w:ind w:firstLine="0" w:firstLineChars="0"/>
                              <w:jc w:val="center"/>
                            </w:pPr>
                            <w:r>
                              <w:rPr>
                                <w:rFonts w:hint="eastAsia"/>
                              </w:rPr>
                              <w:t>DA008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54.95pt;margin-top:21.4pt;height:30.95pt;width:64.6pt;z-index:251667456;v-text-anchor:middle;mso-width-relative:page;mso-height-relative:page;" fillcolor="#4472C4 [3204]" filled="t" stroked="t" coordsize="21600,21600" o:gfxdata="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GRiE0jXAAAACgEAAA8AAAAAAAAAAQAgAAAAIgAAAGRycy9kb3ducmV2LnhtbFBLAQIUABQAAAAI&#10;AIdO4kA5Jg+O0gIAAJMFAAAOAAAAAAAAAAEAIAAAACYBAABkcnMvZTJvRG9jLnhtbFBLBQYAAAAA&#10;BgAGAFkBAABqBgAAAAA=&#10;" adj="-2051,31546">
                <v:fill on="t" focussize="0,0"/>
                <v:stroke weight="1pt" color="#172C51 [3204]" miterlimit="8" joinstyle="miter"/>
                <v:imagedata o:title=""/>
                <o:lock v:ext="edit" aspectratio="f"/>
                <v:textbox>
                  <w:txbxContent>
                    <w:p w14:paraId="6EA1F275">
                      <w:pPr>
                        <w:ind w:firstLine="0" w:firstLineChars="0"/>
                        <w:jc w:val="center"/>
                      </w:pPr>
                      <w:r>
                        <w:rPr>
                          <w:rFonts w:hint="eastAsia"/>
                        </w:rPr>
                        <w:t>DA008</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1231265</wp:posOffset>
                </wp:positionH>
                <wp:positionV relativeFrom="paragraph">
                  <wp:posOffset>441960</wp:posOffset>
                </wp:positionV>
                <wp:extent cx="820420" cy="393065"/>
                <wp:effectExtent l="0" t="0" r="722630" b="349885"/>
                <wp:wrapNone/>
                <wp:docPr id="1007159960" name="对话气泡: 矩形 2"/>
                <wp:cNvGraphicFramePr/>
                <a:graphic xmlns:a="http://schemas.openxmlformats.org/drawingml/2006/main">
                  <a:graphicData uri="http://schemas.microsoft.com/office/word/2010/wordprocessingShape">
                    <wps:wsp>
                      <wps:cNvSpPr/>
                      <wps:spPr>
                        <a:xfrm>
                          <a:off x="0" y="0"/>
                          <a:ext cx="820420" cy="393065"/>
                        </a:xfrm>
                        <a:prstGeom prst="wedgeRectCallout">
                          <a:avLst>
                            <a:gd name="adj1" fmla="val 130144"/>
                            <a:gd name="adj2" fmla="val 11861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B15001">
                            <w:pPr>
                              <w:ind w:firstLine="0" w:firstLineChars="0"/>
                              <w:jc w:val="center"/>
                            </w:pPr>
                            <w:r>
                              <w:rPr>
                                <w:rFonts w:hint="eastAsia"/>
                              </w:rPr>
                              <w:t>DA003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96.95pt;margin-top:34.8pt;height:30.95pt;width:64.6pt;z-index:251666432;v-text-anchor:middle;mso-width-relative:page;mso-height-relative:page;" fillcolor="#4472C4 [3204]" filled="t" stroked="t" coordsize="21600,21600" o:gfxdata="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lxQKi2AAAAAoBAAAPAAAAAAAAAAEAIAAAACIAAABkcnMvZG93bnJldi54bWxQSwECFAAUAAAA&#10;CACHTuJAVq8qWNICAACVBQAADgAAAAAAAAABACAAAAAnAQAAZHJzL2Uyb0RvYy54bWxQSwUGAAAA&#10;AAYABgBZAQAAawYAAAAA&#10;" adj="38911,36421">
                <v:fill on="t" focussize="0,0"/>
                <v:stroke weight="1pt" color="#172C51 [3204]" miterlimit="8" joinstyle="miter"/>
                <v:imagedata o:title=""/>
                <o:lock v:ext="edit" aspectratio="f"/>
                <v:textbox>
                  <w:txbxContent>
                    <w:p w14:paraId="73B15001">
                      <w:pPr>
                        <w:ind w:firstLine="0" w:firstLineChars="0"/>
                        <w:jc w:val="center"/>
                      </w:pPr>
                      <w:r>
                        <w:rPr>
                          <w:rFonts w:hint="eastAsia"/>
                        </w:rPr>
                        <w:t>DA003</w:t>
                      </w:r>
                    </w:p>
                  </w:txbxContent>
                </v:textbox>
              </v:shape>
            </w:pict>
          </mc:Fallback>
        </mc:AlternateContent>
      </w:r>
      <w:r>
        <w:rPr>
          <w:rFonts w:eastAsia="Times New Roman"/>
          <w:color w:val="000000" w:themeColor="text1"/>
          <w:w w:val="0"/>
          <w:sz w:val="0"/>
          <w:szCs w:val="0"/>
          <w:u w:color="000000"/>
          <w:shd w:val="clear" w:color="000000" w:fill="000000"/>
          <w:lang w:val="zh-CN" w:bidi="zh-CN"/>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893060" cy="2168525"/>
            <wp:effectExtent l="0" t="0" r="2540" b="3175"/>
            <wp:docPr id="16596590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59083"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05104" cy="2177604"/>
                    </a:xfrm>
                    <a:prstGeom prst="rect">
                      <a:avLst/>
                    </a:prstGeom>
                    <a:noFill/>
                    <a:ln>
                      <a:noFill/>
                    </a:ln>
                  </pic:spPr>
                </pic:pic>
              </a:graphicData>
            </a:graphic>
          </wp:inline>
        </w:drawing>
      </w:r>
    </w:p>
    <w:p w14:paraId="7EAE2113">
      <w:pPr>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图2.4-2  现有工程DA003建设情况</w:t>
      </w:r>
    </w:p>
    <w:p w14:paraId="7937C21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（4）碳化硅生产线废气</w:t>
      </w:r>
    </w:p>
    <w:p w14:paraId="6B1E1E0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碳化硅生产线2台再生炉废气负压抽风全部送入1#四级酸雾喷淋塔处理后，由1根25m排气筒排放。排气筒编号：DA004；碳化硅生产线2台新品炉废气负压抽风全部送入2#四级酸雾喷淋塔处理后，由1根25m排气筒排放。排气筒编号：DA007。其排放废气满足《大气污染物综合排放标准》（DB50/418-2016）相应排放限值和《恶臭污染物排放标准》（GB14554-93）。</w:t>
      </w:r>
    </w:p>
    <w:p w14:paraId="7D722656">
      <w:pPr>
        <w:spacing w:line="240" w:lineRule="auto"/>
        <w:ind w:firstLine="0" w:firstLineChars="0"/>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2787015</wp:posOffset>
                </wp:positionH>
                <wp:positionV relativeFrom="paragraph">
                  <wp:posOffset>1401445</wp:posOffset>
                </wp:positionV>
                <wp:extent cx="1207770" cy="393065"/>
                <wp:effectExtent l="0" t="781050" r="11430" b="26035"/>
                <wp:wrapNone/>
                <wp:docPr id="2003562954" name="对话气泡: 矩形 2"/>
                <wp:cNvGraphicFramePr/>
                <a:graphic xmlns:a="http://schemas.openxmlformats.org/drawingml/2006/main">
                  <a:graphicData uri="http://schemas.microsoft.com/office/word/2010/wordprocessingShape">
                    <wps:wsp>
                      <wps:cNvSpPr/>
                      <wps:spPr>
                        <a:xfrm>
                          <a:off x="0" y="0"/>
                          <a:ext cx="1207770" cy="393065"/>
                        </a:xfrm>
                        <a:prstGeom prst="wedgeRectCallout">
                          <a:avLst>
                            <a:gd name="adj1" fmla="val 39031"/>
                            <a:gd name="adj2" fmla="val -23554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9618B4">
                            <w:pPr>
                              <w:ind w:firstLine="0" w:firstLineChars="0"/>
                              <w:jc w:val="center"/>
                            </w:pPr>
                            <w:r>
                              <w:rPr>
                                <w:rFonts w:hint="eastAsia"/>
                              </w:rPr>
                              <w:t>2#四级酸雾塔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19.45pt;margin-top:110.35pt;height:30.95pt;width:95.1pt;z-index:251669504;v-text-anchor:middle;mso-width-relative:page;mso-height-relative:page;" fillcolor="#4472C4 [3204]" filled="t" stroked="t" coordsize="21600,21600" o:gfxdata="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qoC0x2QAAAAsBAAAPAAAAAAAAAAEAIAAAACIAAABkcnMvZG93bnJldi54bWxQSwECFAAU&#10;AAAACACHTuJAnnipidQCAACWBQAADgAAAAAAAAABACAAAAAoAQAAZHJzL2Uyb0RvYy54bWxQSwUG&#10;AAAAAAYABgBZAQAAbgYAAAAA&#10;" adj="19231,-40077">
                <v:fill on="t" focussize="0,0"/>
                <v:stroke weight="1pt" color="#172C51 [3204]" miterlimit="8" joinstyle="miter"/>
                <v:imagedata o:title=""/>
                <o:lock v:ext="edit" aspectratio="f"/>
                <v:textbox>
                  <w:txbxContent>
                    <w:p w14:paraId="4F9618B4">
                      <w:pPr>
                        <w:ind w:firstLine="0" w:firstLineChars="0"/>
                        <w:jc w:val="center"/>
                      </w:pPr>
                      <w:r>
                        <w:rPr>
                          <w:rFonts w:hint="eastAsia"/>
                        </w:rPr>
                        <w:t>2#四级酸雾塔</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1104900</wp:posOffset>
                </wp:positionH>
                <wp:positionV relativeFrom="paragraph">
                  <wp:posOffset>1424305</wp:posOffset>
                </wp:positionV>
                <wp:extent cx="1310005" cy="393065"/>
                <wp:effectExtent l="19050" t="533400" r="23495" b="26035"/>
                <wp:wrapNone/>
                <wp:docPr id="1576352290" name="对话气泡: 矩形 2"/>
                <wp:cNvGraphicFramePr/>
                <a:graphic xmlns:a="http://schemas.openxmlformats.org/drawingml/2006/main">
                  <a:graphicData uri="http://schemas.microsoft.com/office/word/2010/wordprocessingShape">
                    <wps:wsp>
                      <wps:cNvSpPr/>
                      <wps:spPr>
                        <a:xfrm>
                          <a:off x="0" y="0"/>
                          <a:ext cx="1310005" cy="393065"/>
                        </a:xfrm>
                        <a:prstGeom prst="wedgeRectCallout">
                          <a:avLst>
                            <a:gd name="adj1" fmla="val -48968"/>
                            <a:gd name="adj2" fmla="val -17478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F1ADCC">
                            <w:pPr>
                              <w:ind w:firstLine="0" w:firstLineChars="0"/>
                              <w:jc w:val="center"/>
                            </w:pPr>
                            <w:r>
                              <w:rPr>
                                <w:rFonts w:hint="eastAsia"/>
                              </w:rPr>
                              <w:t>1#四级酸雾塔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87pt;margin-top:112.15pt;height:30.95pt;width:103.15pt;z-index:251668480;v-text-anchor:middle;mso-width-relative:page;mso-height-relative:page;" fillcolor="#4472C4 [3204]" filled="t" stroked="t" coordsize="21600,21600" o:gfxdata="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KjVDh2gAAAAsBAAAPAAAAAAAAAAEAIAAAACIAAABkcnMvZG93bnJldi54bWxQSwEC&#10;FAAUAAAACACHTuJA3zB1gdYCAACXBQAADgAAAAAAAAABACAAAAApAQAAZHJzL2Uyb0RvYy54bWxQ&#10;SwUGAAAAAAYABgBZAQAAcQYAAAAA&#10;" adj="223,-26952">
                <v:fill on="t" focussize="0,0"/>
                <v:stroke weight="1pt" color="#172C51 [3204]" miterlimit="8" joinstyle="miter"/>
                <v:imagedata o:title=""/>
                <o:lock v:ext="edit" aspectratio="f"/>
                <v:textbox>
                  <w:txbxContent>
                    <w:p w14:paraId="15F1ADCC">
                      <w:pPr>
                        <w:ind w:firstLine="0" w:firstLineChars="0"/>
                        <w:jc w:val="center"/>
                      </w:pPr>
                      <w:r>
                        <w:rPr>
                          <w:rFonts w:hint="eastAsia"/>
                        </w:rPr>
                        <w:t>1#四级酸雾塔</w:t>
                      </w:r>
                    </w:p>
                  </w:txbxContent>
                </v:textbox>
              </v:shape>
            </w:pict>
          </mc:Fallback>
        </mc:AlternateContent>
      </w:r>
      <w:r>
        <w:rPr>
          <w:color w:val="000000" w:themeColor="text1"/>
          <w14:textFill>
            <w14:solidFill>
              <w14:schemeClr w14:val="tx1"/>
            </w14:solidFill>
          </w14:textFill>
        </w:rPr>
        <w:drawing>
          <wp:inline distT="0" distB="0" distL="0" distR="0">
            <wp:extent cx="2484755" cy="1862455"/>
            <wp:effectExtent l="0" t="0" r="0" b="4445"/>
            <wp:docPr id="19382429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4297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92913" cy="1868634"/>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455545" cy="1864995"/>
            <wp:effectExtent l="0" t="0" r="1905" b="1905"/>
            <wp:docPr id="878096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9610" name="图片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96980" cy="1896113"/>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p>
    <w:p w14:paraId="1F35BBF0">
      <w:pPr>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图2.4-3  现有工程碳化硅废气治理设施建设情况</w:t>
      </w:r>
    </w:p>
    <w:p w14:paraId="6B77A20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（5）硅蚀刻线+清洗线废气</w:t>
      </w:r>
    </w:p>
    <w:p w14:paraId="6790D1F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硅蚀刻线+清洗线废气</w:t>
      </w:r>
      <w:r>
        <w:rPr>
          <w:snapToGrid/>
          <w:color w:val="000000" w:themeColor="text1"/>
          <w14:textFill>
            <w14:solidFill>
              <w14:schemeClr w14:val="tx1"/>
            </w14:solidFill>
          </w14:textFill>
        </w:rPr>
        <w:t>通风柜内密闭抽风收集</w:t>
      </w:r>
      <w:r>
        <w:rPr>
          <w:rFonts w:hint="eastAsia"/>
          <w:snapToGrid/>
          <w:color w:val="000000" w:themeColor="text1"/>
          <w14:textFill>
            <w14:solidFill>
              <w14:schemeClr w14:val="tx1"/>
            </w14:solidFill>
          </w14:textFill>
        </w:rPr>
        <w:t>后</w:t>
      </w:r>
      <w:r>
        <w:rPr>
          <w:rFonts w:hint="eastAsia"/>
          <w:color w:val="000000" w:themeColor="text1"/>
          <w14:textFill>
            <w14:solidFill>
              <w14:schemeClr w14:val="tx1"/>
            </w14:solidFill>
          </w14:textFill>
        </w:rPr>
        <w:t>送入酸碱雾净化塔处理后，由1根25m高排气筒排放。排气筒编号：DA005。其排放废气满足《大气污染物综合排放标准》（DB50/418-2016）相应排放限值。</w:t>
      </w:r>
    </w:p>
    <w:p w14:paraId="39D3094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静电卡盘ESC研发工艺废气</w:t>
      </w:r>
      <w:r>
        <w:rPr>
          <w:rFonts w:hint="eastAsia"/>
          <w:color w:val="000000" w:themeColor="text1"/>
          <w14:textFill>
            <w14:solidFill>
              <w14:schemeClr w14:val="tx1"/>
            </w14:solidFill>
          </w14:textFill>
        </w:rPr>
        <w:t>（租赁臻宝科技公司车间）</w:t>
      </w:r>
    </w:p>
    <w:p w14:paraId="7016E25E">
      <w:pPr>
        <w:ind w:firstLine="520"/>
        <w:rPr>
          <w:color w:val="000000" w:themeColor="text1"/>
          <w14:textFill>
            <w14:solidFill>
              <w14:schemeClr w14:val="tx1"/>
            </w14:solidFill>
          </w14:textFill>
        </w:rPr>
      </w:pPr>
      <w:r>
        <w:rPr>
          <w:color w:val="000000" w:themeColor="text1"/>
          <w14:textFill>
            <w14:solidFill>
              <w14:schemeClr w14:val="tx1"/>
            </w14:solidFill>
          </w14:textFill>
        </w:rPr>
        <w:t>静电卡盘ESC研发工艺废气</w:t>
      </w:r>
      <w:r>
        <w:rPr>
          <w:rFonts w:hint="eastAsia"/>
          <w:color w:val="000000" w:themeColor="text1"/>
          <w14:textFill>
            <w14:solidFill>
              <w14:schemeClr w14:val="tx1"/>
            </w14:solidFill>
          </w14:textFill>
        </w:rPr>
        <w:t>密闭收集后，</w:t>
      </w:r>
      <w:r>
        <w:rPr>
          <w:color w:val="000000" w:themeColor="text1"/>
          <w14:textFill>
            <w14:solidFill>
              <w14:schemeClr w14:val="tx1"/>
            </w14:solidFill>
          </w14:textFill>
        </w:rPr>
        <w:t>采用</w:t>
      </w:r>
      <w:r>
        <w:rPr>
          <w:rFonts w:hint="eastAsia"/>
          <w:color w:val="000000" w:themeColor="text1"/>
          <w14:textFill>
            <w14:solidFill>
              <w14:schemeClr w14:val="tx1"/>
            </w14:solidFill>
          </w14:textFill>
        </w:rPr>
        <w:t>集气罩</w:t>
      </w:r>
      <w:r>
        <w:rPr>
          <w:color w:val="000000" w:themeColor="text1"/>
          <w14:textFill>
            <w14:solidFill>
              <w14:schemeClr w14:val="tx1"/>
            </w14:solidFill>
          </w14:textFill>
        </w:rPr>
        <w:t>收集后，</w:t>
      </w:r>
      <w:r>
        <w:rPr>
          <w:rFonts w:hint="eastAsia"/>
          <w:color w:val="000000" w:themeColor="text1"/>
          <w14:textFill>
            <w14:solidFill>
              <w14:schemeClr w14:val="tx1"/>
            </w14:solidFill>
          </w14:textFill>
        </w:rPr>
        <w:t>送</w:t>
      </w:r>
      <w:r>
        <w:rPr>
          <w:color w:val="000000" w:themeColor="text1"/>
          <w14:textFill>
            <w14:solidFill>
              <w14:schemeClr w14:val="tx1"/>
            </w14:solidFill>
          </w14:textFill>
        </w:rPr>
        <w:t>入滤筒除尘器+两级活性炭处理后</w:t>
      </w:r>
      <w:r>
        <w:rPr>
          <w:rFonts w:hint="eastAsia"/>
          <w:color w:val="000000" w:themeColor="text1"/>
          <w14:textFill>
            <w14:solidFill>
              <w14:schemeClr w14:val="tx1"/>
            </w14:solidFill>
          </w14:textFill>
        </w:rPr>
        <w:t>，由1根25m高排气筒排放。排气筒编号：DA006。其排放废气满足《大气污染物综合排放标准》（DB50/418-2016）相应排放限值。</w:t>
      </w:r>
    </w:p>
    <w:p w14:paraId="38F7359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（7）陶瓷造型粉尘</w:t>
      </w:r>
    </w:p>
    <w:p w14:paraId="7ECFF56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陶瓷造型粉尘密闭收集后，经滤筒式除尘器处理后，由1根25m高排气筒排放。排气筒编号：DA008。其排放废气满足《大气污染物综合排放标准》（DB50/418-2016）相应排放限值。</w:t>
      </w:r>
    </w:p>
    <w:p w14:paraId="0B05C9C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（8）氧化钇粉末搅拌粉尘</w:t>
      </w:r>
    </w:p>
    <w:p w14:paraId="7819D57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氧化钇粉末搅拌粉尘密闭收集后，经滤筒式除尘器处理后，由1根25m高排气筒排放。排气筒编号：DA009。其排放废气满足《大气污染物综合排放标准》（DB50/418-2016）相应排放限值。</w:t>
      </w:r>
    </w:p>
    <w:p w14:paraId="121E3236">
      <w:pPr>
        <w:ind w:firstLine="520"/>
        <w:rPr>
          <w:color w:val="000000" w:themeColor="text1"/>
          <w14:textFill>
            <w14:solidFill>
              <w14:schemeClr w14:val="tx1"/>
            </w14:solidFill>
          </w14:textFill>
        </w:rPr>
      </w:pPr>
    </w:p>
    <w:p w14:paraId="2B78F34C">
      <w:pPr>
        <w:ind w:firstLine="520"/>
        <w:rPr>
          <w:color w:val="000000" w:themeColor="text1"/>
          <w14:textFill>
            <w14:solidFill>
              <w14:schemeClr w14:val="tx1"/>
            </w14:solidFill>
          </w14:textFill>
        </w:rPr>
      </w:pPr>
    </w:p>
    <w:p w14:paraId="5A1A6E7E">
      <w:pPr>
        <w:spacing w:line="240" w:lineRule="auto"/>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1719580</wp:posOffset>
                </wp:positionH>
                <wp:positionV relativeFrom="paragraph">
                  <wp:posOffset>386715</wp:posOffset>
                </wp:positionV>
                <wp:extent cx="820420" cy="393065"/>
                <wp:effectExtent l="0" t="0" r="722630" b="349885"/>
                <wp:wrapNone/>
                <wp:docPr id="146211454" name="对话气泡: 矩形 2"/>
                <wp:cNvGraphicFramePr/>
                <a:graphic xmlns:a="http://schemas.openxmlformats.org/drawingml/2006/main">
                  <a:graphicData uri="http://schemas.microsoft.com/office/word/2010/wordprocessingShape">
                    <wps:wsp>
                      <wps:cNvSpPr/>
                      <wps:spPr>
                        <a:xfrm>
                          <a:off x="0" y="0"/>
                          <a:ext cx="820420" cy="393065"/>
                        </a:xfrm>
                        <a:prstGeom prst="wedgeRectCallout">
                          <a:avLst>
                            <a:gd name="adj1" fmla="val 130144"/>
                            <a:gd name="adj2" fmla="val 11861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4AF42D5">
                            <w:pPr>
                              <w:ind w:firstLine="0" w:firstLineChars="0"/>
                              <w:jc w:val="center"/>
                            </w:pPr>
                            <w:r>
                              <w:rPr>
                                <w:rFonts w:hint="eastAsia"/>
                              </w:rPr>
                              <w:t>DA009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35.4pt;margin-top:30.45pt;height:30.95pt;width:64.6pt;z-index:251670528;v-text-anchor:middle;mso-width-relative:page;mso-height-relative:page;" fillcolor="#4472C4 [3204]" filled="t" stroked="t" coordsize="21600,21600" o:gfxdata="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VJv7fYAAAACgEAAA8AAAAAAAAAAQAgAAAAIgAAAGRycy9kb3ducmV2LnhtbFBLAQIUABQAAAAI&#10;AIdO4kAgvczf0QIAAJQFAAAOAAAAAAAAAAEAIAAAACcBAABkcnMvZTJvRG9jLnhtbFBLBQYAAAAA&#10;BgAGAFkBAABqBgAAAAA=&#10;" adj="38911,36421">
                <v:fill on="t" focussize="0,0"/>
                <v:stroke weight="1pt" color="#172C51 [3204]" miterlimit="8" joinstyle="miter"/>
                <v:imagedata o:title=""/>
                <o:lock v:ext="edit" aspectratio="f"/>
                <v:textbox>
                  <w:txbxContent>
                    <w:p w14:paraId="24AF42D5">
                      <w:pPr>
                        <w:ind w:firstLine="0" w:firstLineChars="0"/>
                        <w:jc w:val="center"/>
                      </w:pPr>
                      <w:r>
                        <w:rPr>
                          <w:rFonts w:hint="eastAsia"/>
                        </w:rPr>
                        <w:t>DA009</w:t>
                      </w:r>
                    </w:p>
                  </w:txbxContent>
                </v:textbox>
              </v:shape>
            </w:pict>
          </mc:Fallback>
        </mc:AlternateContent>
      </w:r>
      <w:r>
        <w:rPr>
          <w:color w:val="000000" w:themeColor="text1"/>
          <w14:textFill>
            <w14:solidFill>
              <w14:schemeClr w14:val="tx1"/>
            </w14:solidFill>
          </w14:textFill>
        </w:rPr>
        <w:drawing>
          <wp:inline distT="0" distB="0" distL="0" distR="0">
            <wp:extent cx="2319655" cy="2331720"/>
            <wp:effectExtent l="0" t="0" r="4445" b="0"/>
            <wp:docPr id="12766937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93797"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346313" cy="2358533"/>
                    </a:xfrm>
                    <a:prstGeom prst="rect">
                      <a:avLst/>
                    </a:prstGeom>
                    <a:noFill/>
                    <a:ln>
                      <a:noFill/>
                    </a:ln>
                  </pic:spPr>
                </pic:pic>
              </a:graphicData>
            </a:graphic>
          </wp:inline>
        </w:drawing>
      </w:r>
    </w:p>
    <w:p w14:paraId="430DC758">
      <w:pPr>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图2.4-3  现有工程氧化钇粉末搅拌粉尘治理设施建设情况</w:t>
      </w:r>
    </w:p>
    <w:p w14:paraId="02A5403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snapToGrid/>
          <w:color w:val="000000" w:themeColor="text1"/>
          <w14:textFill>
            <w14:solidFill>
              <w14:schemeClr w14:val="tx1"/>
            </w14:solidFill>
          </w14:textFill>
        </w:rPr>
        <w:t>石英清洗废气</w:t>
      </w:r>
    </w:p>
    <w:p w14:paraId="189CDE70">
      <w:pPr>
        <w:ind w:firstLine="520"/>
        <w:rPr>
          <w:color w:val="000000" w:themeColor="text1"/>
          <w14:textFill>
            <w14:solidFill>
              <w14:schemeClr w14:val="tx1"/>
            </w14:solidFill>
          </w14:textFill>
        </w:rPr>
      </w:pPr>
      <w:r>
        <w:rPr>
          <w:snapToGrid/>
          <w:color w:val="000000" w:themeColor="text1"/>
          <w14:textFill>
            <w14:solidFill>
              <w14:schemeClr w14:val="tx1"/>
            </w14:solidFill>
          </w14:textFill>
        </w:rPr>
        <w:t>石英清洗废气通风柜内密闭抽风收集</w:t>
      </w:r>
      <w:r>
        <w:rPr>
          <w:rFonts w:hint="eastAsia"/>
          <w:snapToGrid/>
          <w:color w:val="000000" w:themeColor="text1"/>
          <w14:textFill>
            <w14:solidFill>
              <w14:schemeClr w14:val="tx1"/>
            </w14:solidFill>
          </w14:textFill>
        </w:rPr>
        <w:t>送入</w:t>
      </w:r>
      <w:r>
        <w:rPr>
          <w:snapToGrid/>
          <w:color w:val="000000" w:themeColor="text1"/>
          <w14:textFill>
            <w14:solidFill>
              <w14:schemeClr w14:val="tx1"/>
            </w14:solidFill>
          </w14:textFill>
        </w:rPr>
        <w:t>酸碱雾净化塔处理</w:t>
      </w:r>
      <w:r>
        <w:rPr>
          <w:rFonts w:hint="eastAsia"/>
          <w:snapToGrid/>
          <w:color w:val="000000" w:themeColor="text1"/>
          <w14:textFill>
            <w14:solidFill>
              <w14:schemeClr w14:val="tx1"/>
            </w14:solidFill>
          </w14:textFill>
        </w:rPr>
        <w:t>后</w:t>
      </w:r>
      <w:r>
        <w:rPr>
          <w:rFonts w:hint="eastAsia"/>
          <w:color w:val="000000" w:themeColor="text1"/>
          <w14:textFill>
            <w14:solidFill>
              <w14:schemeClr w14:val="tx1"/>
            </w14:solidFill>
          </w14:textFill>
        </w:rPr>
        <w:t>，由1根25m高排气筒排放。排气筒编号：DA010。其排放废气满足《大气污染物综合排放标准》（DB50/418-2016）相应排放限值。</w:t>
      </w:r>
    </w:p>
    <w:p w14:paraId="550E367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rFonts w:hint="eastAsia"/>
          <w:snapToGrid/>
          <w:color w:val="000000" w:themeColor="text1"/>
          <w14:textFill>
            <w14:solidFill>
              <w14:schemeClr w14:val="tx1"/>
            </w14:solidFill>
          </w14:textFill>
        </w:rPr>
        <w:t>石墨加工生产线废气</w:t>
      </w:r>
    </w:p>
    <w:p w14:paraId="1D4C8AE3">
      <w:pPr>
        <w:ind w:firstLine="520"/>
        <w:rPr>
          <w:color w:val="000000" w:themeColor="text1"/>
          <w14:textFill>
            <w14:solidFill>
              <w14:schemeClr w14:val="tx1"/>
            </w14:solidFill>
          </w14:textFill>
        </w:rPr>
      </w:pPr>
      <w:r>
        <w:rPr>
          <w:rFonts w:hint="eastAsia"/>
          <w:snapToGrid/>
          <w:color w:val="000000" w:themeColor="text1"/>
          <w14:textFill>
            <w14:solidFill>
              <w14:schemeClr w14:val="tx1"/>
            </w14:solidFill>
          </w14:textFill>
        </w:rPr>
        <w:t>石墨加工生产线废气收集后，经布袋除尘器处理后</w:t>
      </w:r>
      <w:r>
        <w:rPr>
          <w:rFonts w:hint="eastAsia"/>
          <w:color w:val="000000" w:themeColor="text1"/>
          <w14:textFill>
            <w14:solidFill>
              <w14:schemeClr w14:val="tx1"/>
            </w14:solidFill>
          </w14:textFill>
        </w:rPr>
        <w:t>，由1根15m高排气筒排放。排气筒编号：DA011。其排放废气满足《大气污染物综合排放标准》（DB50/418-2016）相应排放限值。</w:t>
      </w:r>
    </w:p>
    <w:p w14:paraId="1C78F28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rFonts w:hint="eastAsia"/>
          <w:snapToGrid/>
          <w:color w:val="000000" w:themeColor="text1"/>
          <w14:textFill>
            <w14:solidFill>
              <w14:schemeClr w14:val="tx1"/>
            </w14:solidFill>
          </w14:textFill>
        </w:rPr>
        <w:t>石墨纯化废气</w:t>
      </w:r>
    </w:p>
    <w:p w14:paraId="66FC99CD">
      <w:pPr>
        <w:ind w:firstLine="520"/>
        <w:rPr>
          <w:color w:val="000000" w:themeColor="text1"/>
          <w14:textFill>
            <w14:solidFill>
              <w14:schemeClr w14:val="tx1"/>
            </w14:solidFill>
          </w14:textFill>
        </w:rPr>
      </w:pPr>
      <w:r>
        <w:rPr>
          <w:rFonts w:hint="eastAsia"/>
          <w:snapToGrid/>
          <w:color w:val="000000" w:themeColor="text1"/>
          <w14:textFill>
            <w14:solidFill>
              <w14:schemeClr w14:val="tx1"/>
            </w14:solidFill>
          </w14:textFill>
        </w:rPr>
        <w:t>石墨纯化废气炉内排气口接入酸雾喷淋塔处理后</w:t>
      </w:r>
      <w:r>
        <w:rPr>
          <w:rFonts w:hint="eastAsia"/>
          <w:color w:val="000000" w:themeColor="text1"/>
          <w14:textFill>
            <w14:solidFill>
              <w14:schemeClr w14:val="tx1"/>
            </w14:solidFill>
          </w14:textFill>
        </w:rPr>
        <w:t>，由1根25m高排气筒排放。排气筒编号：DA012。其排放废气满足《大气污染物综合排放标准》（DB50/418-2016）相应排放限值。</w:t>
      </w:r>
    </w:p>
    <w:p w14:paraId="03A5443D">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snapToGrid/>
          <w:color w:val="000000" w:themeColor="text1"/>
          <w14:textFill>
            <w14:solidFill>
              <w14:schemeClr w14:val="tx1"/>
            </w14:solidFill>
          </w14:textFill>
        </w:rPr>
        <w:t>石墨碳化硅涂层废气</w:t>
      </w:r>
    </w:p>
    <w:p w14:paraId="763787D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石墨碳化硅涂层废气负压抽风全部送入3#四级酸雾喷淋塔处理后，由1根25m排气筒排放。排气筒编号：DA013。其排放废气满足《大气污染物综合排放标准》（DB50/418-2016）相应排放限值。</w:t>
      </w:r>
    </w:p>
    <w:p w14:paraId="4B62247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szCs w:val="21"/>
          <w14:textFill>
            <w14:solidFill>
              <w14:schemeClr w14:val="tx1"/>
            </w14:solidFill>
          </w14:textFill>
        </w:rPr>
        <w:t>炉管研发废气</w:t>
      </w:r>
    </w:p>
    <w:p w14:paraId="0F1E6E82">
      <w:pPr>
        <w:ind w:firstLine="520"/>
        <w:rPr>
          <w:color w:val="000000" w:themeColor="text1"/>
          <w14:textFill>
            <w14:solidFill>
              <w14:schemeClr w14:val="tx1"/>
            </w14:solidFill>
          </w14:textFill>
        </w:rPr>
      </w:pPr>
      <w:r>
        <w:rPr>
          <w:color w:val="000000" w:themeColor="text1"/>
          <w:szCs w:val="21"/>
          <w14:textFill>
            <w14:solidFill>
              <w14:schemeClr w14:val="tx1"/>
            </w14:solidFill>
          </w14:textFill>
        </w:rPr>
        <w:t>炉管研发废气</w:t>
      </w:r>
      <w:r>
        <w:rPr>
          <w:rFonts w:hint="eastAsia"/>
          <w:color w:val="000000" w:themeColor="text1"/>
          <w14:textFill>
            <w14:solidFill>
              <w14:schemeClr w14:val="tx1"/>
            </w14:solidFill>
          </w14:textFill>
        </w:rPr>
        <w:t>密闭收集后，经滤筒式除尘器处理后，由1根25m高排气筒排放。排气筒编号：DA014。其排放废气满足《大气污染物综合排放标准》（DB50/418-2016）相应排放限值。</w:t>
      </w:r>
    </w:p>
    <w:p w14:paraId="1D82335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（14）石墨零部件下料加工废</w:t>
      </w:r>
      <w:r>
        <w:rPr>
          <w:snapToGrid/>
          <w:color w:val="000000" w:themeColor="text1"/>
          <w14:textFill>
            <w14:solidFill>
              <w14:schemeClr w14:val="tx1"/>
            </w14:solidFill>
          </w14:textFill>
        </w:rPr>
        <w:t>气</w:t>
      </w:r>
    </w:p>
    <w:p w14:paraId="26F765D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石墨零部件下料加工废</w:t>
      </w:r>
      <w:r>
        <w:rPr>
          <w:snapToGrid/>
          <w:color w:val="000000" w:themeColor="text1"/>
          <w14:textFill>
            <w14:solidFill>
              <w14:schemeClr w14:val="tx1"/>
            </w14:solidFill>
          </w14:textFill>
        </w:rPr>
        <w:t>气</w:t>
      </w:r>
      <w:r>
        <w:rPr>
          <w:rFonts w:hint="eastAsia"/>
          <w:color w:val="000000" w:themeColor="text1"/>
          <w14:textFill>
            <w14:solidFill>
              <w14:schemeClr w14:val="tx1"/>
            </w14:solidFill>
          </w14:textFill>
        </w:rPr>
        <w:t>，经滤筒式除尘器处理后，由1根25m高排气筒排放。排气筒编号：DA015。其排放废气满足《大气污染物综合排放标准》（DB50/418-2016）相应排放限值。</w:t>
      </w:r>
    </w:p>
    <w:p w14:paraId="7C0AEAE1">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废水污染防治措施及达标分析</w:t>
      </w:r>
    </w:p>
    <w:p w14:paraId="49E1AAA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现有工程产生的废水主要为：生活污水、生产废水及清净下水。</w:t>
      </w:r>
      <w:r>
        <w:rPr>
          <w:color w:val="000000" w:themeColor="text1"/>
          <w14:textFill>
            <w14:solidFill>
              <w14:schemeClr w14:val="tx1"/>
            </w14:solidFill>
          </w14:textFill>
        </w:rPr>
        <w:t>生产废水经排污管道汇流入厂区综合废水处理站，处理达《电子工业水污染物排放标准》（GB39731-2020）间接排放标准后，</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生活污水经生化池处理达《电子工业水污染物排放标准》（GB39731-2020）间接排放标准（动植物油执行《污水综合排放标准》（GB8978-1996）三级标准）后，</w:t>
      </w:r>
      <w:r>
        <w:rPr>
          <w:rFonts w:hint="eastAsia"/>
          <w:color w:val="000000" w:themeColor="text1"/>
          <w14:textFill>
            <w14:solidFill>
              <w14:schemeClr w14:val="tx1"/>
            </w14:solidFill>
          </w14:textFill>
        </w:rPr>
        <w:t>一并</w:t>
      </w:r>
      <w:r>
        <w:rPr>
          <w:color w:val="000000" w:themeColor="text1"/>
          <w14:textFill>
            <w14:solidFill>
              <w14:schemeClr w14:val="tx1"/>
            </w14:solidFill>
          </w14:textFill>
        </w:rPr>
        <w:t>经总排口外排园区市政污水管网进入西彭工业园区污水处理厂</w:t>
      </w:r>
      <w:r>
        <w:rPr>
          <w:rFonts w:hint="eastAsia"/>
          <w:color w:val="000000" w:themeColor="text1"/>
          <w14:textFill>
            <w14:solidFill>
              <w14:schemeClr w14:val="tx1"/>
            </w14:solidFill>
          </w14:textFill>
        </w:rPr>
        <w:t>进一步处理</w:t>
      </w:r>
      <w:r>
        <w:rPr>
          <w:rFonts w:hint="eastAsia" w:cs="宋体"/>
          <w:color w:val="000000" w:themeColor="text1"/>
          <w:szCs w:val="26"/>
          <w14:textFill>
            <w14:solidFill>
              <w14:schemeClr w14:val="tx1"/>
            </w14:solidFill>
          </w14:textFill>
        </w:rPr>
        <w:t>，目前西彭工业园区污水处理厂正在进行提标改造，近期废水处理达《污水综合排放标准》（GB8978-1996）一级标准后排入桥头河；提标改造完成后处理达《城镇污水处理厂污染物排放标准》(GB18918-2002）一级A标准后排入桥头河（其中COD、NH</w:t>
      </w:r>
      <w:r>
        <w:rPr>
          <w:rFonts w:hint="eastAsia" w:cs="宋体"/>
          <w:color w:val="000000" w:themeColor="text1"/>
          <w:szCs w:val="26"/>
          <w:vertAlign w:val="subscript"/>
          <w14:textFill>
            <w14:solidFill>
              <w14:schemeClr w14:val="tx1"/>
            </w14:solidFill>
          </w14:textFill>
        </w:rPr>
        <w:t>3</w:t>
      </w:r>
      <w:r>
        <w:rPr>
          <w:rFonts w:hint="eastAsia" w:cs="宋体"/>
          <w:color w:val="000000" w:themeColor="text1"/>
          <w:szCs w:val="26"/>
          <w14:textFill>
            <w14:solidFill>
              <w14:schemeClr w14:val="tx1"/>
            </w14:solidFill>
          </w14:textFill>
        </w:rPr>
        <w:t>-N、TP达《地表水环境质量标准》（GB3838-2002）IV类标准</w:t>
      </w:r>
      <w:r>
        <w:rPr>
          <w:color w:val="000000" w:themeColor="text1"/>
          <w14:textFill>
            <w14:solidFill>
              <w14:schemeClr w14:val="tx1"/>
            </w14:solidFill>
          </w14:textFill>
        </w:rPr>
        <w:t>。</w:t>
      </w:r>
    </w:p>
    <w:p w14:paraId="715CBEAD">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厂区共设置2套</w:t>
      </w:r>
      <w:r>
        <w:rPr>
          <w:color w:val="000000" w:themeColor="text1"/>
          <w14:textFill>
            <w14:solidFill>
              <w14:schemeClr w14:val="tx1"/>
            </w14:solidFill>
          </w14:textFill>
        </w:rPr>
        <w:t>综合废水处理站</w:t>
      </w:r>
      <w:r>
        <w:rPr>
          <w:rFonts w:hint="eastAsia"/>
          <w:color w:val="000000" w:themeColor="text1"/>
          <w14:textFill>
            <w14:solidFill>
              <w14:schemeClr w14:val="tx1"/>
            </w14:solidFill>
          </w14:textFill>
        </w:rPr>
        <w:t>处理生产废水，设计处理能力均为</w:t>
      </w:r>
      <w:r>
        <w:rPr>
          <w:color w:val="000000" w:themeColor="text1"/>
          <w14:textFill>
            <w14:solidFill>
              <w14:schemeClr w14:val="tx1"/>
            </w14:solidFill>
          </w14:textFill>
        </w:rPr>
        <w:t>150</w:t>
      </w:r>
      <w:r>
        <w:rPr>
          <w:rFonts w:hint="eastAsia"/>
          <w:color w:val="000000" w:themeColor="text1"/>
          <w14:textFill>
            <w14:solidFill>
              <w14:schemeClr w14:val="tx1"/>
            </w14:solidFill>
          </w14:textFill>
        </w:rPr>
        <w:t xml:space="preserve"> 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均采用“调节+气浮+三级絮凝沉淀”处理工艺，其中1套位于2#厂房东北角（已建成），另1套位于3#附属厂房南侧（未建）</w:t>
      </w:r>
      <w:r>
        <w:rPr>
          <w:color w:val="000000" w:themeColor="text1"/>
          <w14:textFill>
            <w14:solidFill>
              <w14:schemeClr w14:val="tx1"/>
            </w14:solidFill>
          </w14:textFill>
        </w:rPr>
        <w:t>。废水先经pH调节后，再经气浮装置除油，然后经三级反应池去除氟化物、石油类和悬浮物。进入厂区总排口，最后经市政管网送园区污水处理厂处理达标排放。根据采用同种物化的处理工艺的企业生产废水站处理运行效果，厂区综合废水处理站出水水质可以满足《电子工业水污染物排放标准》（GB39731-2020）间接排放标准。</w:t>
      </w:r>
    </w:p>
    <w:p w14:paraId="0E0BF646">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775075" cy="3514725"/>
            <wp:effectExtent l="0" t="0" r="0" b="0"/>
            <wp:docPr id="13139587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58756" name="图片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788677" cy="3527368"/>
                    </a:xfrm>
                    <a:prstGeom prst="rect">
                      <a:avLst/>
                    </a:prstGeom>
                    <a:noFill/>
                    <a:ln>
                      <a:noFill/>
                    </a:ln>
                  </pic:spPr>
                </pic:pic>
              </a:graphicData>
            </a:graphic>
          </wp:inline>
        </w:drawing>
      </w:r>
    </w:p>
    <w:p w14:paraId="7BF3A5FB">
      <w:pPr>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图2.4-4  现有工程污水处理站建设情况</w:t>
      </w:r>
    </w:p>
    <w:p w14:paraId="4D33841F">
      <w:pPr>
        <w:ind w:firstLine="520"/>
        <w:rPr>
          <w:color w:val="000000" w:themeColor="text1"/>
          <w14:textFill>
            <w14:solidFill>
              <w14:schemeClr w14:val="tx1"/>
            </w14:solidFill>
          </w14:textFill>
        </w:rPr>
      </w:pPr>
      <w:r>
        <w:rPr>
          <w:color w:val="000000" w:themeColor="text1"/>
          <w14:textFill>
            <w14:solidFill>
              <w14:schemeClr w14:val="tx1"/>
            </w14:solidFill>
          </w14:textFill>
        </w:rPr>
        <w:t>生化池处理能力为20m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，采用重庆市普遍使用生化工艺</w:t>
      </w:r>
      <w:r>
        <w:rPr>
          <w:color w:val="000000" w:themeColor="text1"/>
          <w14:textFill>
            <w14:solidFill>
              <w14:schemeClr w14:val="tx1"/>
            </w14:solidFill>
          </w14:textFill>
        </w:rPr>
        <w:t>。生活污水经生化池处理</w:t>
      </w:r>
      <w:r>
        <w:rPr>
          <w:rFonts w:hint="eastAsia"/>
          <w:color w:val="000000" w:themeColor="text1"/>
          <w14:textFill>
            <w14:solidFill>
              <w14:schemeClr w14:val="tx1"/>
            </w14:solidFill>
          </w14:textFill>
        </w:rPr>
        <w:t>后能够达到</w:t>
      </w:r>
      <w:r>
        <w:rPr>
          <w:color w:val="000000" w:themeColor="text1"/>
          <w14:textFill>
            <w14:solidFill>
              <w14:schemeClr w14:val="tx1"/>
            </w14:solidFill>
          </w14:textFill>
        </w:rPr>
        <w:t>达《电子工业水污染物排放标准》（GB39731-2020）间接排放标准（动植物油执行《污水综合排放标准》（GB8978-1996）三级标准）</w:t>
      </w:r>
      <w:r>
        <w:rPr>
          <w:rFonts w:hint="eastAsia"/>
          <w:color w:val="000000" w:themeColor="text1"/>
          <w14:textFill>
            <w14:solidFill>
              <w14:schemeClr w14:val="tx1"/>
            </w14:solidFill>
          </w14:textFill>
        </w:rPr>
        <w:t>。</w:t>
      </w:r>
    </w:p>
    <w:p w14:paraId="4C606F81">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229610" cy="3016250"/>
            <wp:effectExtent l="0" t="0" r="8890" b="0"/>
            <wp:docPr id="12883620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62050"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242682" cy="3028540"/>
                    </a:xfrm>
                    <a:prstGeom prst="rect">
                      <a:avLst/>
                    </a:prstGeom>
                    <a:noFill/>
                    <a:ln>
                      <a:noFill/>
                    </a:ln>
                  </pic:spPr>
                </pic:pic>
              </a:graphicData>
            </a:graphic>
          </wp:inline>
        </w:drawing>
      </w:r>
    </w:p>
    <w:p w14:paraId="2AA28454">
      <w:pPr>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图2.4-5  现有工程生化池建设情况</w:t>
      </w:r>
    </w:p>
    <w:p w14:paraId="37BB4389">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噪声防治措施及达标分析</w:t>
      </w:r>
    </w:p>
    <w:p w14:paraId="261AC16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w:t>
      </w:r>
      <w:r>
        <w:rPr>
          <w:color w:val="000000" w:themeColor="text1"/>
          <w14:textFill>
            <w14:solidFill>
              <w14:schemeClr w14:val="tx1"/>
            </w14:solidFill>
          </w14:textFill>
        </w:rPr>
        <w:t>主要噪声源来自车间内的加工中心、风机以及污水处理站水泵等各种高噪声设备产生的噪声。加工中心：选用低噪声、振动小的设备，基础安装减振器；风机：选用高效低噪声、低转速、高质量的风机，采取隔声及减振措施；水泵：通过隔声间可降低。经以上各种措施治理后，再经厂房阻挡和距离衰减，厂界噪声可达到《工业企业厂界环境噪声排放标准》（GB12348-2008）中3类。</w:t>
      </w:r>
    </w:p>
    <w:p w14:paraId="6B795B36">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固体废物污染防治措施及达标分析</w:t>
      </w:r>
    </w:p>
    <w:p w14:paraId="29AD1091">
      <w:pPr>
        <w:ind w:firstLine="520"/>
        <w:rPr>
          <w:color w:val="000000" w:themeColor="text1"/>
          <w14:textFill>
            <w14:solidFill>
              <w14:schemeClr w14:val="tx1"/>
            </w14:solidFill>
          </w14:textFill>
        </w:rPr>
      </w:pPr>
      <w:bookmarkStart w:id="142" w:name="OLE_LINK8"/>
      <w:r>
        <w:rPr>
          <w:rFonts w:hint="eastAsia"/>
          <w:color w:val="000000" w:themeColor="text1"/>
          <w14:textFill>
            <w14:solidFill>
              <w14:schemeClr w14:val="tx1"/>
            </w14:solidFill>
          </w14:textFill>
        </w:rPr>
        <w:t>共设置2个一般固废贮存点，其中1个位于1#厂房附属厂房南侧（已建成），另1个位于1#附属用房北侧（未建），用均于报废的包材等一般工业固废存放，定期交于物资回收公司回收处置</w:t>
      </w:r>
      <w:bookmarkEnd w:id="142"/>
      <w:r>
        <w:rPr>
          <w:color w:val="000000" w:themeColor="text1"/>
          <w14:textFill>
            <w14:solidFill>
              <w14:schemeClr w14:val="tx1"/>
            </w14:solidFill>
          </w14:textFill>
        </w:rPr>
        <w:t>。</w:t>
      </w:r>
    </w:p>
    <w:p w14:paraId="6F615E85">
      <w:pPr>
        <w:ind w:firstLine="520"/>
        <w:rPr>
          <w:color w:val="000000" w:themeColor="text1"/>
          <w14:textFill>
            <w14:solidFill>
              <w14:schemeClr w14:val="tx1"/>
            </w14:solidFill>
          </w14:textFill>
        </w:rPr>
      </w:pPr>
      <w:r>
        <w:rPr>
          <w:color w:val="000000" w:themeColor="text1"/>
          <w14:textFill>
            <w14:solidFill>
              <w14:schemeClr w14:val="tx1"/>
            </w14:solidFill>
          </w14:textFill>
        </w:rPr>
        <w:t>在2</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厂房的附属用房内建设1座切削液回收车间，占地面积约255</w:t>
      </w:r>
      <w:r>
        <w:rPr>
          <w:rFonts w:hint="eastAsia"/>
          <w:color w:val="000000" w:themeColor="text1"/>
          <w14:textFill>
            <w14:solidFill>
              <w14:schemeClr w14:val="tx1"/>
            </w14:solidFill>
          </w14:textFill>
        </w:rPr>
        <w:t xml:space="preserve"> m</w:t>
      </w:r>
      <w:r>
        <w:rPr>
          <w:rFonts w:hint="eastAsia"/>
          <w:color w:val="000000" w:themeColor="text1"/>
          <w:vertAlign w:val="superscript"/>
          <w14:textFill>
            <w14:solidFill>
              <w14:schemeClr w14:val="tx1"/>
            </w14:solidFill>
          </w14:textFill>
        </w:rPr>
        <w:t>2</w:t>
      </w:r>
      <w:r>
        <w:rPr>
          <w:color w:val="000000" w:themeColor="text1"/>
          <w14:textFill>
            <w14:solidFill>
              <w14:schemeClr w14:val="tx1"/>
            </w14:solidFill>
          </w14:textFill>
        </w:rPr>
        <w:t>，含废屑的切削液收集后在切削液回收车间内经压滤、三级过滤处理后回用于生产，压滤产生的含切削液的污泥作为危险废物处置。</w:t>
      </w:r>
    </w:p>
    <w:p w14:paraId="0573F7F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共设置2个危险废物贮存库，其中1个位于</w:t>
      </w:r>
      <w:r>
        <w:rPr>
          <w:color w:val="000000" w:themeColor="text1"/>
          <w14:textFill>
            <w14:solidFill>
              <w14:schemeClr w14:val="tx1"/>
            </w14:solidFill>
          </w14:textFill>
        </w:rPr>
        <w:t>1</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厂房附属厂房</w:t>
      </w:r>
      <w:r>
        <w:rPr>
          <w:rFonts w:hint="eastAsia"/>
          <w:color w:val="000000" w:themeColor="text1"/>
          <w14:textFill>
            <w14:solidFill>
              <w14:schemeClr w14:val="tx1"/>
            </w14:solidFill>
          </w14:textFill>
        </w:rPr>
        <w:t>（已建成）</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另1个位于3</w:t>
      </w:r>
      <w:r>
        <w:rPr>
          <w:color w:val="000000" w:themeColor="text1"/>
          <w14:textFill>
            <w14:solidFill>
              <w14:schemeClr w14:val="tx1"/>
            </w14:solidFill>
          </w14:textFill>
        </w:rPr>
        <w:t>#附属用房</w:t>
      </w:r>
      <w:r>
        <w:rPr>
          <w:rFonts w:hint="eastAsia"/>
          <w:color w:val="000000" w:themeColor="text1"/>
          <w14:textFill>
            <w14:solidFill>
              <w14:schemeClr w14:val="tx1"/>
            </w14:solidFill>
          </w14:textFill>
        </w:rPr>
        <w:t>（未建）。</w:t>
      </w: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均为</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 xml:space="preserve"> m</w:t>
      </w:r>
      <w:r>
        <w:rPr>
          <w:rFonts w:hint="eastAsia"/>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用于危险废物临时贮存，定期由有资质的第三方单位运走进行处理。</w:t>
      </w:r>
    </w:p>
    <w:p w14:paraId="4CFCD56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贮存库按《危险废物贮存污染控制标准》(GB18597-2023）建设，同时，按《危险废物识别标志设置技术规范》（HJ1276-2022）相关要求设置标志标识；按《危险废物管理计划和管理台账制定技术导则》（HJ1259-2022）相关要求制定危险废物管理计划，建立危险废物管理台账。</w:t>
      </w:r>
    </w:p>
    <w:p w14:paraId="1A9401B3">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现有工程风险防范措施</w:t>
      </w:r>
    </w:p>
    <w:p w14:paraId="3B1200B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现有工程主要风险防范措施如下：</w:t>
      </w:r>
    </w:p>
    <w:p w14:paraId="3CB2AB19">
      <w:pPr>
        <w:ind w:firstLine="520"/>
        <w:rPr>
          <w:color w:val="000000" w:themeColor="text1"/>
          <w14:textFill>
            <w14:solidFill>
              <w14:schemeClr w14:val="tx1"/>
            </w14:solidFill>
          </w14:textFill>
        </w:rPr>
      </w:pPr>
      <w:r>
        <w:rPr>
          <w:color w:val="000000" w:themeColor="text1"/>
          <w:lang w:val="zh-CN"/>
          <w14:textFill>
            <w14:solidFill>
              <w14:schemeClr w14:val="tx1"/>
            </w14:solidFill>
          </w14:textFill>
        </w:rPr>
        <w:t>地坪进行防腐、防渗漏处理，</w:t>
      </w:r>
      <w:r>
        <w:rPr>
          <w:color w:val="000000" w:themeColor="text1"/>
          <w14:textFill>
            <w14:solidFill>
              <w14:schemeClr w14:val="tx1"/>
            </w14:solidFill>
          </w14:textFill>
        </w:rPr>
        <w:t>收集槽、化学品库、污水处理站、危废间采取重点防渗措施，设置收集沟收集泄漏物料，</w:t>
      </w:r>
      <w:r>
        <w:rPr>
          <w:color w:val="000000" w:themeColor="text1"/>
          <w:lang w:val="zh-CN"/>
          <w14:textFill>
            <w14:solidFill>
              <w14:schemeClr w14:val="tx1"/>
            </w14:solidFill>
          </w14:textFill>
        </w:rPr>
        <w:t>设置开闭阀门且连接污水处理站</w:t>
      </w:r>
      <w:r>
        <w:rPr>
          <w:rFonts w:hint="eastAsia"/>
          <w:color w:val="000000" w:themeColor="text1"/>
          <w:lang w:val="zh-CN"/>
          <w14:textFill>
            <w14:solidFill>
              <w14:schemeClr w14:val="tx1"/>
            </w14:solidFill>
          </w14:textFill>
        </w:rPr>
        <w:t>和事故池</w:t>
      </w:r>
      <w:r>
        <w:rPr>
          <w:color w:val="000000" w:themeColor="text1"/>
          <w:lang w:val="zh-CN"/>
          <w14:textFill>
            <w14:solidFill>
              <w14:schemeClr w14:val="tx1"/>
            </w14:solidFill>
          </w14:textFill>
        </w:rPr>
        <w:t>，</w:t>
      </w:r>
      <w:r>
        <w:rPr>
          <w:color w:val="000000" w:themeColor="text1"/>
          <w14:textFill>
            <w14:solidFill>
              <w14:schemeClr w14:val="tx1"/>
            </w14:solidFill>
          </w14:textFill>
        </w:rPr>
        <w:t>事故池规模为270</w:t>
      </w:r>
      <w:r>
        <w:rPr>
          <w:rFonts w:hint="eastAsia"/>
          <w:color w:val="000000" w:themeColor="text1"/>
          <w14:textFill>
            <w14:solidFill>
              <w14:schemeClr w14:val="tx1"/>
            </w14:solidFill>
          </w14:textFill>
        </w:rPr>
        <w:t xml:space="preserve"> 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。按照区生态环境局要求</w:t>
      </w:r>
      <w:r>
        <w:rPr>
          <w:color w:val="000000" w:themeColor="text1"/>
          <w:lang w:val="zh-CN"/>
          <w14:textFill>
            <w14:solidFill>
              <w14:schemeClr w14:val="tx1"/>
            </w14:solidFill>
          </w14:textFill>
        </w:rPr>
        <w:t>及时修定环境风险应急预案，</w:t>
      </w:r>
      <w:r>
        <w:rPr>
          <w:color w:val="000000" w:themeColor="text1"/>
          <w14:textFill>
            <w14:solidFill>
              <w14:schemeClr w14:val="tx1"/>
            </w14:solidFill>
          </w14:textFill>
        </w:rPr>
        <w:t>配备必要的环境应急资源</w:t>
      </w:r>
      <w:r>
        <w:rPr>
          <w:color w:val="000000" w:themeColor="text1"/>
          <w:lang w:val="zh-CN"/>
          <w14:textFill>
            <w14:solidFill>
              <w14:schemeClr w14:val="tx1"/>
            </w14:solidFill>
          </w14:textFill>
        </w:rPr>
        <w:t>并定期演练。</w:t>
      </w:r>
    </w:p>
    <w:p w14:paraId="2D5ABB85">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现有工程环境保护管理</w:t>
      </w:r>
    </w:p>
    <w:p w14:paraId="0CD8A434">
      <w:pPr>
        <w:ind w:firstLine="520"/>
        <w:rPr>
          <w:color w:val="000000" w:themeColor="text1"/>
          <w14:textFill>
            <w14:solidFill>
              <w14:schemeClr w14:val="tx1"/>
            </w14:solidFill>
          </w14:textFill>
        </w:rPr>
      </w:pPr>
      <w:r>
        <w:rPr>
          <w:color w:val="000000" w:themeColor="text1"/>
          <w14:textFill>
            <w14:solidFill>
              <w14:schemeClr w14:val="tx1"/>
            </w14:solidFill>
          </w14:textFill>
        </w:rPr>
        <w:t>重庆臻宝半导体材料有限公司是项目建设单位，也是项目环保责任主体。项目的各项环境保护措施应由项目建设单位负责落实，并应严格执行与主体工程“同时设计、同时施工、同时投入运行”的三同时原则，具体为：</w:t>
      </w:r>
    </w:p>
    <w:p w14:paraId="6E200BEC">
      <w:pPr>
        <w:ind w:firstLine="520"/>
        <w:rPr>
          <w:color w:val="000000" w:themeColor="text1"/>
          <w14:textFill>
            <w14:solidFill>
              <w14:schemeClr w14:val="tx1"/>
            </w14:solidFill>
          </w14:textFill>
        </w:rPr>
      </w:pPr>
      <w:r>
        <w:rPr>
          <w:color w:val="000000" w:themeColor="text1"/>
          <w14:textFill>
            <w14:solidFill>
              <w14:schemeClr w14:val="tx1"/>
            </w14:solidFill>
          </w14:textFill>
        </w:rPr>
        <w:t>（1）废水、废气处理设施，危险废物贮存库、一般工业固废贮存点应与主体生产设备同时安装、同时投入使用。</w:t>
      </w:r>
    </w:p>
    <w:p w14:paraId="5E763CF1">
      <w:pPr>
        <w:ind w:firstLine="520"/>
        <w:rPr>
          <w:color w:val="000000" w:themeColor="text1"/>
          <w14:textFill>
            <w14:solidFill>
              <w14:schemeClr w14:val="tx1"/>
            </w14:solidFill>
          </w14:textFill>
        </w:rPr>
      </w:pPr>
      <w:r>
        <w:rPr>
          <w:color w:val="000000" w:themeColor="text1"/>
          <w14:textFill>
            <w14:solidFill>
              <w14:schemeClr w14:val="tx1"/>
            </w14:solidFill>
          </w14:textFill>
        </w:rPr>
        <w:t>（2）采购设备时应选用高效低噪设备，并采取相应的降噪措施，与设备同时安装、使用</w:t>
      </w:r>
      <w:r>
        <w:rPr>
          <w:rFonts w:hint="eastAsia"/>
          <w:color w:val="000000" w:themeColor="text1"/>
          <w14:textFill>
            <w14:solidFill>
              <w14:schemeClr w14:val="tx1"/>
            </w14:solidFill>
          </w14:textFill>
        </w:rPr>
        <w:t>。</w:t>
      </w:r>
    </w:p>
    <w:p w14:paraId="790CCC14">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现有工程存在的环保问题</w:t>
      </w:r>
    </w:p>
    <w:p w14:paraId="7AFE15FF">
      <w:pPr>
        <w:ind w:firstLine="520"/>
        <w:rPr>
          <w:color w:val="000000" w:themeColor="text1"/>
          <w14:textFill>
            <w14:solidFill>
              <w14:schemeClr w14:val="tx1"/>
            </w14:solidFill>
          </w14:textFill>
        </w:rPr>
      </w:pPr>
      <w:r>
        <w:rPr>
          <w:rFonts w:hint="eastAsia" w:hAnsi="宋体"/>
          <w:color w:val="000000" w:themeColor="text1"/>
          <w:szCs w:val="26"/>
          <w14:textFill>
            <w14:solidFill>
              <w14:schemeClr w14:val="tx1"/>
            </w14:solidFill>
          </w14:textFill>
        </w:rPr>
        <w:t>根据现场调查及走访当地环保管理部门，臻宝半导体公司尚未正式运营，无环保投诉事件和环保相关问题。涉及依托的臻宝科技正式运营至今未发生过环保投诉事件和环境污染事故，无环保相关问题。</w:t>
      </w:r>
    </w:p>
    <w:p w14:paraId="009EC5DC">
      <w:pPr>
        <w:pStyle w:val="4"/>
        <w:rPr>
          <w:color w:val="000000" w:themeColor="text1"/>
          <w14:textFill>
            <w14:solidFill>
              <w14:schemeClr w14:val="tx1"/>
            </w14:solidFill>
          </w14:textFill>
        </w:rPr>
      </w:pPr>
      <w:bookmarkStart w:id="143" w:name="_Toc6737"/>
      <w:r>
        <w:rPr>
          <w:rFonts w:hint="eastAsia"/>
          <w:color w:val="000000" w:themeColor="text1"/>
          <w14:textFill>
            <w14:solidFill>
              <w14:schemeClr w14:val="tx1"/>
            </w14:solidFill>
          </w14:textFill>
        </w:rPr>
        <w:t>现有工程污染物排放量统计</w:t>
      </w:r>
      <w:bookmarkEnd w:id="143"/>
    </w:p>
    <w:p w14:paraId="661943E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臻宝半导体公司现有项目尚未运营，故现有工程污染物排放数据来源于已批复的环评文件和批复。具体详见下表。</w:t>
      </w:r>
    </w:p>
    <w:p w14:paraId="724E59CB">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现有工程污染物排放总量一览表</w:t>
      </w:r>
    </w:p>
    <w:tbl>
      <w:tblPr>
        <w:tblStyle w:val="88"/>
        <w:tblW w:w="5000" w:type="pct"/>
        <w:jc w:val="center"/>
        <w:tblLayout w:type="autofit"/>
        <w:tblCellMar>
          <w:top w:w="0" w:type="dxa"/>
          <w:left w:w="108" w:type="dxa"/>
          <w:bottom w:w="0" w:type="dxa"/>
          <w:right w:w="108" w:type="dxa"/>
        </w:tblCellMar>
      </w:tblPr>
      <w:tblGrid>
        <w:gridCol w:w="2130"/>
        <w:gridCol w:w="2130"/>
        <w:gridCol w:w="2131"/>
        <w:gridCol w:w="2131"/>
      </w:tblGrid>
      <w:tr w14:paraId="5F2F3596">
        <w:tblPrEx>
          <w:tblCellMar>
            <w:top w:w="0" w:type="dxa"/>
            <w:left w:w="108" w:type="dxa"/>
            <w:bottom w:w="0" w:type="dxa"/>
            <w:right w:w="108" w:type="dxa"/>
          </w:tblCellMar>
        </w:tblPrEx>
        <w:trPr>
          <w:trHeight w:val="20" w:hRule="atLeast"/>
          <w:jc w:val="center"/>
        </w:trPr>
        <w:tc>
          <w:tcPr>
            <w:tcW w:w="1080" w:type="dxa"/>
            <w:tcBorders>
              <w:top w:val="single" w:color="000000" w:sz="8" w:space="0"/>
              <w:left w:val="single" w:color="000000" w:sz="8" w:space="0"/>
              <w:bottom w:val="single" w:color="000000" w:sz="8" w:space="0"/>
              <w:right w:val="single" w:color="000000" w:sz="8" w:space="0"/>
            </w:tcBorders>
            <w:vAlign w:val="center"/>
          </w:tcPr>
          <w:p w14:paraId="42D7AF7E">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项目</w:t>
            </w:r>
          </w:p>
        </w:tc>
        <w:tc>
          <w:tcPr>
            <w:tcW w:w="1080" w:type="dxa"/>
            <w:tcBorders>
              <w:top w:val="single" w:color="000000" w:sz="8" w:space="0"/>
              <w:left w:val="nil"/>
              <w:bottom w:val="single" w:color="000000" w:sz="8" w:space="0"/>
              <w:right w:val="single" w:color="000000" w:sz="8" w:space="0"/>
            </w:tcBorders>
            <w:vAlign w:val="center"/>
          </w:tcPr>
          <w:p w14:paraId="67743A3B">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污染物</w:t>
            </w:r>
          </w:p>
        </w:tc>
        <w:tc>
          <w:tcPr>
            <w:tcW w:w="1080" w:type="dxa"/>
            <w:tcBorders>
              <w:top w:val="single" w:color="000000" w:sz="8" w:space="0"/>
              <w:left w:val="nil"/>
              <w:bottom w:val="single" w:color="000000" w:sz="8" w:space="0"/>
              <w:right w:val="single" w:color="000000" w:sz="8" w:space="0"/>
            </w:tcBorders>
            <w:vAlign w:val="center"/>
          </w:tcPr>
          <w:p w14:paraId="70EAD1E2">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单位</w:t>
            </w:r>
          </w:p>
        </w:tc>
        <w:tc>
          <w:tcPr>
            <w:tcW w:w="1080" w:type="dxa"/>
            <w:tcBorders>
              <w:top w:val="single" w:color="000000" w:sz="8" w:space="0"/>
              <w:left w:val="nil"/>
              <w:bottom w:val="single" w:color="000000" w:sz="8" w:space="0"/>
              <w:right w:val="single" w:color="000000" w:sz="8" w:space="0"/>
            </w:tcBorders>
            <w:vAlign w:val="center"/>
          </w:tcPr>
          <w:p w14:paraId="7B82ACE1">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现有工程排放量</w:t>
            </w:r>
          </w:p>
        </w:tc>
      </w:tr>
      <w:tr w14:paraId="646C9E6D">
        <w:tblPrEx>
          <w:tblCellMar>
            <w:top w:w="0" w:type="dxa"/>
            <w:left w:w="108" w:type="dxa"/>
            <w:bottom w:w="0" w:type="dxa"/>
            <w:right w:w="108" w:type="dxa"/>
          </w:tblCellMar>
        </w:tblPrEx>
        <w:trPr>
          <w:trHeight w:val="20" w:hRule="atLeast"/>
          <w:jc w:val="center"/>
        </w:trPr>
        <w:tc>
          <w:tcPr>
            <w:tcW w:w="1080" w:type="dxa"/>
            <w:vMerge w:val="restart"/>
            <w:tcBorders>
              <w:top w:val="nil"/>
              <w:left w:val="single" w:color="000000" w:sz="8" w:space="0"/>
              <w:bottom w:val="single" w:color="000000" w:sz="8" w:space="0"/>
              <w:right w:val="single" w:color="000000" w:sz="8" w:space="0"/>
            </w:tcBorders>
            <w:vAlign w:val="center"/>
          </w:tcPr>
          <w:p w14:paraId="3127B374">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废气（有组织）</w:t>
            </w:r>
          </w:p>
        </w:tc>
        <w:tc>
          <w:tcPr>
            <w:tcW w:w="1080" w:type="dxa"/>
            <w:tcBorders>
              <w:top w:val="nil"/>
              <w:left w:val="nil"/>
              <w:bottom w:val="single" w:color="000000" w:sz="8" w:space="0"/>
              <w:right w:val="single" w:color="000000" w:sz="8" w:space="0"/>
            </w:tcBorders>
            <w:vAlign w:val="center"/>
          </w:tcPr>
          <w:p w14:paraId="5B1C3B8F">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废气量</w:t>
            </w:r>
          </w:p>
        </w:tc>
        <w:tc>
          <w:tcPr>
            <w:tcW w:w="1080" w:type="dxa"/>
            <w:tcBorders>
              <w:top w:val="nil"/>
              <w:left w:val="nil"/>
              <w:bottom w:val="single" w:color="000000" w:sz="8" w:space="0"/>
              <w:right w:val="single" w:color="000000" w:sz="8" w:space="0"/>
            </w:tcBorders>
            <w:vAlign w:val="center"/>
          </w:tcPr>
          <w:p w14:paraId="6525D5A8">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万</w:t>
            </w:r>
            <w:r>
              <w:rPr>
                <w:snapToGrid/>
                <w:color w:val="000000" w:themeColor="text1"/>
                <w:sz w:val="22"/>
                <w:szCs w:val="22"/>
                <w14:textFill>
                  <w14:solidFill>
                    <w14:schemeClr w14:val="tx1"/>
                  </w14:solidFill>
                </w14:textFill>
              </w:rPr>
              <w:t>m</w:t>
            </w:r>
            <w:r>
              <w:rPr>
                <w:snapToGrid/>
                <w:color w:val="000000" w:themeColor="text1"/>
                <w:sz w:val="22"/>
                <w:szCs w:val="22"/>
                <w:vertAlign w:val="superscript"/>
                <w14:textFill>
                  <w14:solidFill>
                    <w14:schemeClr w14:val="tx1"/>
                  </w14:solidFill>
                </w14:textFill>
              </w:rPr>
              <w:t>3</w:t>
            </w:r>
            <w:r>
              <w:rPr>
                <w:snapToGrid/>
                <w:color w:val="000000" w:themeColor="text1"/>
                <w:sz w:val="22"/>
                <w:szCs w:val="22"/>
                <w14:textFill>
                  <w14:solidFill>
                    <w14:schemeClr w14:val="tx1"/>
                  </w14:solidFill>
                </w14:textFill>
              </w:rPr>
              <w:t>/a</w:t>
            </w:r>
          </w:p>
        </w:tc>
        <w:tc>
          <w:tcPr>
            <w:tcW w:w="1080" w:type="dxa"/>
            <w:tcBorders>
              <w:top w:val="nil"/>
              <w:left w:val="nil"/>
              <w:bottom w:val="single" w:color="000000" w:sz="8" w:space="0"/>
              <w:right w:val="single" w:color="000000" w:sz="8" w:space="0"/>
            </w:tcBorders>
            <w:noWrap/>
            <w:vAlign w:val="center"/>
          </w:tcPr>
          <w:p w14:paraId="77827FC5">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72240</w:t>
            </w:r>
          </w:p>
        </w:tc>
      </w:tr>
      <w:tr w14:paraId="5C4BA5AA">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3606B129">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39C74B82">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氟化物</w:t>
            </w:r>
          </w:p>
        </w:tc>
        <w:tc>
          <w:tcPr>
            <w:tcW w:w="1080" w:type="dxa"/>
            <w:tcBorders>
              <w:top w:val="nil"/>
              <w:left w:val="nil"/>
              <w:bottom w:val="single" w:color="000000" w:sz="8" w:space="0"/>
              <w:right w:val="single" w:color="000000" w:sz="8" w:space="0"/>
            </w:tcBorders>
            <w:vAlign w:val="center"/>
          </w:tcPr>
          <w:p w14:paraId="2DA89D5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38A991D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0.063</w:t>
            </w:r>
          </w:p>
        </w:tc>
      </w:tr>
      <w:tr w14:paraId="3B8D5457">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5D1F4113">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13105956">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氯化氢</w:t>
            </w:r>
          </w:p>
        </w:tc>
        <w:tc>
          <w:tcPr>
            <w:tcW w:w="1080" w:type="dxa"/>
            <w:tcBorders>
              <w:top w:val="nil"/>
              <w:left w:val="nil"/>
              <w:bottom w:val="single" w:color="000000" w:sz="8" w:space="0"/>
              <w:right w:val="single" w:color="000000" w:sz="8" w:space="0"/>
            </w:tcBorders>
            <w:vAlign w:val="center"/>
          </w:tcPr>
          <w:p w14:paraId="753FED2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3079610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0.816</w:t>
            </w:r>
          </w:p>
        </w:tc>
      </w:tr>
      <w:tr w14:paraId="607C63F1">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37E969EB">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10912DD2">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硫酸雾</w:t>
            </w:r>
          </w:p>
        </w:tc>
        <w:tc>
          <w:tcPr>
            <w:tcW w:w="1080" w:type="dxa"/>
            <w:tcBorders>
              <w:top w:val="nil"/>
              <w:left w:val="nil"/>
              <w:bottom w:val="single" w:color="000000" w:sz="8" w:space="0"/>
              <w:right w:val="single" w:color="000000" w:sz="8" w:space="0"/>
            </w:tcBorders>
            <w:vAlign w:val="center"/>
          </w:tcPr>
          <w:p w14:paraId="2C9795C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4E59A78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0.094</w:t>
            </w:r>
          </w:p>
        </w:tc>
      </w:tr>
      <w:tr w14:paraId="193CE308">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1F131175">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3991877A">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颗粒物</w:t>
            </w:r>
          </w:p>
        </w:tc>
        <w:tc>
          <w:tcPr>
            <w:tcW w:w="1080" w:type="dxa"/>
            <w:tcBorders>
              <w:top w:val="nil"/>
              <w:left w:val="nil"/>
              <w:bottom w:val="single" w:color="000000" w:sz="8" w:space="0"/>
              <w:right w:val="single" w:color="000000" w:sz="8" w:space="0"/>
            </w:tcBorders>
            <w:vAlign w:val="center"/>
          </w:tcPr>
          <w:p w14:paraId="1F07223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6FB8A27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0.134</w:t>
            </w:r>
          </w:p>
        </w:tc>
      </w:tr>
      <w:tr w14:paraId="79A6C15D">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4FDE67DF">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2243B82B">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非甲烷总烃</w:t>
            </w:r>
          </w:p>
        </w:tc>
        <w:tc>
          <w:tcPr>
            <w:tcW w:w="1080" w:type="dxa"/>
            <w:tcBorders>
              <w:top w:val="nil"/>
              <w:left w:val="nil"/>
              <w:bottom w:val="single" w:color="000000" w:sz="8" w:space="0"/>
              <w:right w:val="single" w:color="000000" w:sz="8" w:space="0"/>
            </w:tcBorders>
            <w:vAlign w:val="center"/>
          </w:tcPr>
          <w:p w14:paraId="1AFD218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7BFB7AE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0.804</w:t>
            </w:r>
          </w:p>
        </w:tc>
      </w:tr>
      <w:tr w14:paraId="39FB17A8">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0D54F7B6">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0FAFBC64">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hint="eastAsia" w:ascii="宋体" w:hAnsi="宋体" w:cs="宋体"/>
                <w:snapToGrid/>
                <w:color w:val="000000" w:themeColor="text1"/>
                <w:sz w:val="22"/>
                <w:szCs w:val="22"/>
                <w14:textFill>
                  <w14:solidFill>
                    <w14:schemeClr w14:val="tx1"/>
                  </w14:solidFill>
                </w14:textFill>
              </w:rPr>
              <w:t>甲苯</w:t>
            </w:r>
          </w:p>
        </w:tc>
        <w:tc>
          <w:tcPr>
            <w:tcW w:w="1080" w:type="dxa"/>
            <w:tcBorders>
              <w:top w:val="nil"/>
              <w:left w:val="nil"/>
              <w:bottom w:val="single" w:color="000000" w:sz="8" w:space="0"/>
              <w:right w:val="single" w:color="000000" w:sz="8" w:space="0"/>
            </w:tcBorders>
            <w:vAlign w:val="center"/>
          </w:tcPr>
          <w:p w14:paraId="63DAEF7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612094D8">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0.18</w:t>
            </w:r>
            <w:r>
              <w:rPr>
                <w:rFonts w:hint="eastAsia"/>
                <w:snapToGrid/>
                <w:color w:val="000000" w:themeColor="text1"/>
                <w:sz w:val="22"/>
                <w:szCs w:val="22"/>
                <w14:textFill>
                  <w14:solidFill>
                    <w14:schemeClr w14:val="tx1"/>
                  </w14:solidFill>
                </w14:textFill>
              </w:rPr>
              <w:t>0</w:t>
            </w:r>
          </w:p>
        </w:tc>
      </w:tr>
      <w:tr w14:paraId="7F0DC6C5">
        <w:tblPrEx>
          <w:tblCellMar>
            <w:top w:w="0" w:type="dxa"/>
            <w:left w:w="108" w:type="dxa"/>
            <w:bottom w:w="0" w:type="dxa"/>
            <w:right w:w="108" w:type="dxa"/>
          </w:tblCellMar>
        </w:tblPrEx>
        <w:trPr>
          <w:trHeight w:val="20" w:hRule="atLeast"/>
          <w:jc w:val="center"/>
        </w:trPr>
        <w:tc>
          <w:tcPr>
            <w:tcW w:w="1080" w:type="dxa"/>
            <w:vMerge w:val="restart"/>
            <w:tcBorders>
              <w:top w:val="nil"/>
              <w:left w:val="single" w:color="000000" w:sz="8" w:space="0"/>
              <w:bottom w:val="single" w:color="000000" w:sz="8" w:space="0"/>
              <w:right w:val="single" w:color="000000" w:sz="8" w:space="0"/>
            </w:tcBorders>
            <w:vAlign w:val="center"/>
          </w:tcPr>
          <w:p w14:paraId="70C7652A">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废气（无组织）</w:t>
            </w:r>
          </w:p>
        </w:tc>
        <w:tc>
          <w:tcPr>
            <w:tcW w:w="1080" w:type="dxa"/>
            <w:tcBorders>
              <w:top w:val="nil"/>
              <w:left w:val="nil"/>
              <w:bottom w:val="single" w:color="000000" w:sz="8" w:space="0"/>
              <w:right w:val="single" w:color="000000" w:sz="8" w:space="0"/>
            </w:tcBorders>
            <w:vAlign w:val="center"/>
          </w:tcPr>
          <w:p w14:paraId="2C80F3FF">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氟化物</w:t>
            </w:r>
          </w:p>
        </w:tc>
        <w:tc>
          <w:tcPr>
            <w:tcW w:w="1080" w:type="dxa"/>
            <w:tcBorders>
              <w:top w:val="nil"/>
              <w:left w:val="nil"/>
              <w:bottom w:val="single" w:color="000000" w:sz="8" w:space="0"/>
              <w:right w:val="single" w:color="000000" w:sz="8" w:space="0"/>
            </w:tcBorders>
            <w:vAlign w:val="center"/>
          </w:tcPr>
          <w:p w14:paraId="6A1D3B4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7E78E59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0.063</w:t>
            </w:r>
          </w:p>
        </w:tc>
      </w:tr>
      <w:tr w14:paraId="2E3E2CE6">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4E8F74D1">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70815C80">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氯化氢</w:t>
            </w:r>
          </w:p>
        </w:tc>
        <w:tc>
          <w:tcPr>
            <w:tcW w:w="1080" w:type="dxa"/>
            <w:tcBorders>
              <w:top w:val="nil"/>
              <w:left w:val="nil"/>
              <w:bottom w:val="single" w:color="000000" w:sz="8" w:space="0"/>
              <w:right w:val="single" w:color="000000" w:sz="8" w:space="0"/>
            </w:tcBorders>
            <w:vAlign w:val="center"/>
          </w:tcPr>
          <w:p w14:paraId="2DC68DE4">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353E332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0.247</w:t>
            </w:r>
          </w:p>
        </w:tc>
      </w:tr>
      <w:tr w14:paraId="6F7FE851">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224D4E72">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0AC72B8E">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硫酸雾</w:t>
            </w:r>
          </w:p>
        </w:tc>
        <w:tc>
          <w:tcPr>
            <w:tcW w:w="1080" w:type="dxa"/>
            <w:tcBorders>
              <w:top w:val="nil"/>
              <w:left w:val="nil"/>
              <w:bottom w:val="single" w:color="000000" w:sz="8" w:space="0"/>
              <w:right w:val="single" w:color="000000" w:sz="8" w:space="0"/>
            </w:tcBorders>
            <w:vAlign w:val="center"/>
          </w:tcPr>
          <w:p w14:paraId="15DEACA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1A92096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0.085</w:t>
            </w:r>
          </w:p>
        </w:tc>
      </w:tr>
      <w:tr w14:paraId="25ED45BA">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19007034">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40DD2946">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颗粒物</w:t>
            </w:r>
          </w:p>
        </w:tc>
        <w:tc>
          <w:tcPr>
            <w:tcW w:w="1080" w:type="dxa"/>
            <w:tcBorders>
              <w:top w:val="nil"/>
              <w:left w:val="nil"/>
              <w:bottom w:val="single" w:color="000000" w:sz="8" w:space="0"/>
              <w:right w:val="single" w:color="000000" w:sz="8" w:space="0"/>
            </w:tcBorders>
            <w:vAlign w:val="center"/>
          </w:tcPr>
          <w:p w14:paraId="7F85269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32273A1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0.009</w:t>
            </w:r>
          </w:p>
        </w:tc>
      </w:tr>
      <w:tr w14:paraId="28B135F0">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1A98A639">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6D2D8E47">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非甲烷总烃</w:t>
            </w:r>
          </w:p>
        </w:tc>
        <w:tc>
          <w:tcPr>
            <w:tcW w:w="1080" w:type="dxa"/>
            <w:tcBorders>
              <w:top w:val="nil"/>
              <w:left w:val="nil"/>
              <w:bottom w:val="single" w:color="000000" w:sz="8" w:space="0"/>
              <w:right w:val="single" w:color="000000" w:sz="8" w:space="0"/>
            </w:tcBorders>
            <w:vAlign w:val="center"/>
          </w:tcPr>
          <w:p w14:paraId="07B83521">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40DAE5D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0.001</w:t>
            </w:r>
          </w:p>
        </w:tc>
      </w:tr>
      <w:tr w14:paraId="13A138A2">
        <w:tblPrEx>
          <w:tblCellMar>
            <w:top w:w="0" w:type="dxa"/>
            <w:left w:w="108" w:type="dxa"/>
            <w:bottom w:w="0" w:type="dxa"/>
            <w:right w:w="108" w:type="dxa"/>
          </w:tblCellMar>
        </w:tblPrEx>
        <w:trPr>
          <w:trHeight w:val="20" w:hRule="atLeast"/>
          <w:jc w:val="center"/>
        </w:trPr>
        <w:tc>
          <w:tcPr>
            <w:tcW w:w="1080" w:type="dxa"/>
            <w:vMerge w:val="restart"/>
            <w:tcBorders>
              <w:top w:val="nil"/>
              <w:left w:val="single" w:color="000000" w:sz="8" w:space="0"/>
              <w:bottom w:val="single" w:color="000000" w:sz="8" w:space="0"/>
              <w:right w:val="single" w:color="000000" w:sz="8" w:space="0"/>
            </w:tcBorders>
            <w:vAlign w:val="center"/>
          </w:tcPr>
          <w:p w14:paraId="316F0C2F">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废水</w:t>
            </w:r>
          </w:p>
        </w:tc>
        <w:tc>
          <w:tcPr>
            <w:tcW w:w="1080" w:type="dxa"/>
            <w:tcBorders>
              <w:top w:val="nil"/>
              <w:left w:val="nil"/>
              <w:bottom w:val="single" w:color="000000" w:sz="8" w:space="0"/>
              <w:right w:val="single" w:color="000000" w:sz="8" w:space="0"/>
            </w:tcBorders>
            <w:vAlign w:val="center"/>
          </w:tcPr>
          <w:p w14:paraId="0C33324E">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废水</w:t>
            </w:r>
          </w:p>
        </w:tc>
        <w:tc>
          <w:tcPr>
            <w:tcW w:w="1080" w:type="dxa"/>
            <w:tcBorders>
              <w:top w:val="nil"/>
              <w:left w:val="nil"/>
              <w:bottom w:val="single" w:color="000000" w:sz="8" w:space="0"/>
              <w:right w:val="single" w:color="000000" w:sz="8" w:space="0"/>
            </w:tcBorders>
            <w:vAlign w:val="center"/>
          </w:tcPr>
          <w:p w14:paraId="231D9BE6">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万</w:t>
            </w:r>
            <w:r>
              <w:rPr>
                <w:snapToGrid/>
                <w:color w:val="000000" w:themeColor="text1"/>
                <w:sz w:val="22"/>
                <w:szCs w:val="22"/>
                <w14:textFill>
                  <w14:solidFill>
                    <w14:schemeClr w14:val="tx1"/>
                  </w14:solidFill>
                </w14:textFill>
              </w:rPr>
              <w:t>m</w:t>
            </w:r>
            <w:r>
              <w:rPr>
                <w:snapToGrid/>
                <w:color w:val="000000" w:themeColor="text1"/>
                <w:sz w:val="22"/>
                <w:szCs w:val="22"/>
                <w:vertAlign w:val="superscript"/>
                <w14:textFill>
                  <w14:solidFill>
                    <w14:schemeClr w14:val="tx1"/>
                  </w14:solidFill>
                </w14:textFill>
              </w:rPr>
              <w:t>3</w:t>
            </w:r>
            <w:r>
              <w:rPr>
                <w:snapToGrid/>
                <w:color w:val="000000" w:themeColor="text1"/>
                <w:sz w:val="22"/>
                <w:szCs w:val="22"/>
                <w14:textFill>
                  <w14:solidFill>
                    <w14:schemeClr w14:val="tx1"/>
                  </w14:solidFill>
                </w14:textFill>
              </w:rPr>
              <w:t>/a</w:t>
            </w:r>
          </w:p>
        </w:tc>
        <w:tc>
          <w:tcPr>
            <w:tcW w:w="1080" w:type="dxa"/>
            <w:tcBorders>
              <w:top w:val="nil"/>
              <w:left w:val="nil"/>
              <w:bottom w:val="single" w:color="000000" w:sz="8" w:space="0"/>
              <w:right w:val="single" w:color="000000" w:sz="8" w:space="0"/>
            </w:tcBorders>
            <w:noWrap/>
            <w:vAlign w:val="center"/>
          </w:tcPr>
          <w:p w14:paraId="41F29DE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7.265 </w:t>
            </w:r>
          </w:p>
        </w:tc>
      </w:tr>
      <w:tr w14:paraId="31A2FD17">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2B0666C9">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2FA1EEE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COD</w:t>
            </w:r>
          </w:p>
        </w:tc>
        <w:tc>
          <w:tcPr>
            <w:tcW w:w="1080" w:type="dxa"/>
            <w:tcBorders>
              <w:top w:val="nil"/>
              <w:left w:val="nil"/>
              <w:bottom w:val="single" w:color="000000" w:sz="8" w:space="0"/>
              <w:right w:val="single" w:color="000000" w:sz="8" w:space="0"/>
            </w:tcBorders>
            <w:vAlign w:val="center"/>
          </w:tcPr>
          <w:p w14:paraId="725620F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6D3BFE98">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7.415 </w:t>
            </w:r>
          </w:p>
        </w:tc>
      </w:tr>
      <w:tr w14:paraId="7A1E8FE7">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54D4162C">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6763866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SS</w:t>
            </w:r>
          </w:p>
        </w:tc>
        <w:tc>
          <w:tcPr>
            <w:tcW w:w="1080" w:type="dxa"/>
            <w:tcBorders>
              <w:top w:val="nil"/>
              <w:left w:val="nil"/>
              <w:bottom w:val="single" w:color="000000" w:sz="8" w:space="0"/>
              <w:right w:val="single" w:color="000000" w:sz="8" w:space="0"/>
            </w:tcBorders>
            <w:vAlign w:val="center"/>
          </w:tcPr>
          <w:p w14:paraId="7026FC65">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22ADA1A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5.191 </w:t>
            </w:r>
          </w:p>
        </w:tc>
      </w:tr>
      <w:tr w14:paraId="05A1B3A4">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018378C6">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2BBCEE1E">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石油类</w:t>
            </w:r>
          </w:p>
        </w:tc>
        <w:tc>
          <w:tcPr>
            <w:tcW w:w="1080" w:type="dxa"/>
            <w:tcBorders>
              <w:top w:val="nil"/>
              <w:left w:val="nil"/>
              <w:bottom w:val="single" w:color="000000" w:sz="8" w:space="0"/>
              <w:right w:val="single" w:color="000000" w:sz="8" w:space="0"/>
            </w:tcBorders>
            <w:vAlign w:val="center"/>
          </w:tcPr>
          <w:p w14:paraId="0A07B27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6457569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0.371 </w:t>
            </w:r>
          </w:p>
        </w:tc>
      </w:tr>
      <w:tr w14:paraId="786B99EC">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27754F08">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5A659F13">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氟化物</w:t>
            </w:r>
          </w:p>
        </w:tc>
        <w:tc>
          <w:tcPr>
            <w:tcW w:w="1080" w:type="dxa"/>
            <w:tcBorders>
              <w:top w:val="nil"/>
              <w:left w:val="nil"/>
              <w:bottom w:val="single" w:color="000000" w:sz="8" w:space="0"/>
              <w:right w:val="single" w:color="000000" w:sz="8" w:space="0"/>
            </w:tcBorders>
            <w:vAlign w:val="center"/>
          </w:tcPr>
          <w:p w14:paraId="07948C7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68DCC48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0.716 </w:t>
            </w:r>
          </w:p>
        </w:tc>
      </w:tr>
      <w:tr w14:paraId="714D73E4">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52FCE5C0">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4B06C9B2">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氨氮</w:t>
            </w:r>
          </w:p>
        </w:tc>
        <w:tc>
          <w:tcPr>
            <w:tcW w:w="1080" w:type="dxa"/>
            <w:tcBorders>
              <w:top w:val="nil"/>
              <w:left w:val="nil"/>
              <w:bottom w:val="single" w:color="000000" w:sz="8" w:space="0"/>
              <w:right w:val="single" w:color="000000" w:sz="8" w:space="0"/>
            </w:tcBorders>
            <w:vAlign w:val="center"/>
          </w:tcPr>
          <w:p w14:paraId="5E748E6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3888C07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1.112 </w:t>
            </w:r>
          </w:p>
        </w:tc>
      </w:tr>
      <w:tr w14:paraId="6CC1D601">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4363F507">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6CBBE97A">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动植物油</w:t>
            </w:r>
          </w:p>
        </w:tc>
        <w:tc>
          <w:tcPr>
            <w:tcW w:w="1080" w:type="dxa"/>
            <w:tcBorders>
              <w:top w:val="nil"/>
              <w:left w:val="nil"/>
              <w:bottom w:val="single" w:color="000000" w:sz="8" w:space="0"/>
              <w:right w:val="single" w:color="000000" w:sz="8" w:space="0"/>
            </w:tcBorders>
            <w:vAlign w:val="center"/>
          </w:tcPr>
          <w:p w14:paraId="7FF8E8A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0B0227E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0.140 </w:t>
            </w:r>
          </w:p>
        </w:tc>
      </w:tr>
      <w:tr w14:paraId="19D57F05">
        <w:tblPrEx>
          <w:tblCellMar>
            <w:top w:w="0" w:type="dxa"/>
            <w:left w:w="108" w:type="dxa"/>
            <w:bottom w:w="0" w:type="dxa"/>
            <w:right w:w="108" w:type="dxa"/>
          </w:tblCellMar>
        </w:tblPrEx>
        <w:trPr>
          <w:trHeight w:val="20" w:hRule="atLeast"/>
          <w:jc w:val="center"/>
        </w:trPr>
        <w:tc>
          <w:tcPr>
            <w:tcW w:w="1080" w:type="dxa"/>
            <w:vMerge w:val="restart"/>
            <w:tcBorders>
              <w:top w:val="nil"/>
              <w:left w:val="single" w:color="000000" w:sz="8" w:space="0"/>
              <w:bottom w:val="single" w:color="000000" w:sz="8" w:space="0"/>
              <w:right w:val="single" w:color="000000" w:sz="8" w:space="0"/>
            </w:tcBorders>
            <w:vAlign w:val="center"/>
          </w:tcPr>
          <w:p w14:paraId="633BE5B0">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固废（产生量）</w:t>
            </w:r>
          </w:p>
        </w:tc>
        <w:tc>
          <w:tcPr>
            <w:tcW w:w="1080" w:type="dxa"/>
            <w:tcBorders>
              <w:top w:val="nil"/>
              <w:left w:val="nil"/>
              <w:bottom w:val="single" w:color="000000" w:sz="8" w:space="0"/>
              <w:right w:val="single" w:color="000000" w:sz="8" w:space="0"/>
            </w:tcBorders>
            <w:vAlign w:val="center"/>
          </w:tcPr>
          <w:p w14:paraId="0BE77E90">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危险废物</w:t>
            </w:r>
          </w:p>
        </w:tc>
        <w:tc>
          <w:tcPr>
            <w:tcW w:w="1080" w:type="dxa"/>
            <w:tcBorders>
              <w:top w:val="nil"/>
              <w:left w:val="nil"/>
              <w:bottom w:val="single" w:color="000000" w:sz="8" w:space="0"/>
              <w:right w:val="single" w:color="000000" w:sz="8" w:space="0"/>
            </w:tcBorders>
            <w:vAlign w:val="center"/>
          </w:tcPr>
          <w:p w14:paraId="4AEF03D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4E728141">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763.015</w:t>
            </w:r>
          </w:p>
        </w:tc>
      </w:tr>
      <w:tr w14:paraId="04A8CE35">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2E76A594">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18BAF28A">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一般工业固体废物</w:t>
            </w:r>
          </w:p>
        </w:tc>
        <w:tc>
          <w:tcPr>
            <w:tcW w:w="1080" w:type="dxa"/>
            <w:tcBorders>
              <w:top w:val="nil"/>
              <w:left w:val="nil"/>
              <w:bottom w:val="single" w:color="000000" w:sz="8" w:space="0"/>
              <w:right w:val="single" w:color="000000" w:sz="8" w:space="0"/>
            </w:tcBorders>
            <w:vAlign w:val="center"/>
          </w:tcPr>
          <w:p w14:paraId="56F74E7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6889AC6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79.908</w:t>
            </w:r>
          </w:p>
        </w:tc>
      </w:tr>
      <w:tr w14:paraId="3AE23048">
        <w:tblPrEx>
          <w:tblCellMar>
            <w:top w:w="0" w:type="dxa"/>
            <w:left w:w="108" w:type="dxa"/>
            <w:bottom w:w="0" w:type="dxa"/>
            <w:right w:w="108" w:type="dxa"/>
          </w:tblCellMar>
        </w:tblPrEx>
        <w:trPr>
          <w:trHeight w:val="20" w:hRule="atLeast"/>
          <w:jc w:val="center"/>
        </w:trPr>
        <w:tc>
          <w:tcPr>
            <w:tcW w:w="1080" w:type="dxa"/>
            <w:vMerge w:val="continue"/>
            <w:tcBorders>
              <w:top w:val="nil"/>
              <w:left w:val="single" w:color="000000" w:sz="8" w:space="0"/>
              <w:bottom w:val="single" w:color="000000" w:sz="8" w:space="0"/>
              <w:right w:val="single" w:color="000000" w:sz="8" w:space="0"/>
            </w:tcBorders>
            <w:vAlign w:val="center"/>
          </w:tcPr>
          <w:p w14:paraId="5AFB7D5A">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1080" w:type="dxa"/>
            <w:tcBorders>
              <w:top w:val="nil"/>
              <w:left w:val="nil"/>
              <w:bottom w:val="single" w:color="000000" w:sz="8" w:space="0"/>
              <w:right w:val="single" w:color="000000" w:sz="8" w:space="0"/>
            </w:tcBorders>
            <w:vAlign w:val="center"/>
          </w:tcPr>
          <w:p w14:paraId="7D04C513">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生活垃圾</w:t>
            </w:r>
          </w:p>
        </w:tc>
        <w:tc>
          <w:tcPr>
            <w:tcW w:w="1080" w:type="dxa"/>
            <w:tcBorders>
              <w:top w:val="nil"/>
              <w:left w:val="nil"/>
              <w:bottom w:val="single" w:color="000000" w:sz="8" w:space="0"/>
              <w:right w:val="single" w:color="000000" w:sz="8" w:space="0"/>
            </w:tcBorders>
            <w:vAlign w:val="center"/>
          </w:tcPr>
          <w:p w14:paraId="3B0972D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7488B05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675.6</w:t>
            </w:r>
          </w:p>
        </w:tc>
      </w:tr>
    </w:tbl>
    <w:p w14:paraId="12630E01">
      <w:pPr>
        <w:ind w:firstLine="0" w:firstLineChars="0"/>
        <w:jc w:val="center"/>
        <w:rPr>
          <w:color w:val="000000" w:themeColor="text1"/>
          <w14:textFill>
            <w14:solidFill>
              <w14:schemeClr w14:val="tx1"/>
            </w14:solidFill>
          </w14:textFill>
        </w:rPr>
      </w:pPr>
    </w:p>
    <w:p w14:paraId="7D1CF9A7">
      <w:pPr>
        <w:ind w:firstLine="197" w:firstLineChars="76"/>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5BA26BD6">
      <w:pPr>
        <w:pStyle w:val="3"/>
        <w:spacing w:after="326"/>
        <w:rPr>
          <w:color w:val="000000" w:themeColor="text1"/>
          <w14:textFill>
            <w14:solidFill>
              <w14:schemeClr w14:val="tx1"/>
            </w14:solidFill>
          </w14:textFill>
        </w:rPr>
      </w:pPr>
      <w:bookmarkStart w:id="144" w:name="_Toc18512"/>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概况</w:t>
      </w:r>
      <w:bookmarkEnd w:id="144"/>
    </w:p>
    <w:p w14:paraId="010FC770">
      <w:pPr>
        <w:pStyle w:val="4"/>
        <w:rPr>
          <w:color w:val="000000" w:themeColor="text1"/>
          <w14:textFill>
            <w14:solidFill>
              <w14:schemeClr w14:val="tx1"/>
            </w14:solidFill>
          </w14:textFill>
        </w:rPr>
      </w:pPr>
      <w:bookmarkStart w:id="145" w:name="_Toc14766"/>
      <w:r>
        <w:rPr>
          <w:color w:val="000000" w:themeColor="text1"/>
          <w14:textFill>
            <w14:solidFill>
              <w14:schemeClr w14:val="tx1"/>
            </w14:solidFill>
          </w14:textFill>
        </w:rPr>
        <w:t>项目基本情况</w:t>
      </w:r>
      <w:bookmarkEnd w:id="145"/>
    </w:p>
    <w:p w14:paraId="5562CD3B">
      <w:pPr>
        <w:ind w:firstLine="520"/>
        <w:rPr>
          <w:color w:val="000000" w:themeColor="text1"/>
          <w14:textFill>
            <w14:solidFill>
              <w14:schemeClr w14:val="tx1"/>
            </w14:solidFill>
          </w14:textFill>
        </w:rPr>
      </w:pPr>
      <w:r>
        <w:rPr>
          <w:color w:val="000000" w:themeColor="text1"/>
          <w14:textFill>
            <w14:solidFill>
              <w14:schemeClr w14:val="tx1"/>
            </w14:solidFill>
          </w14:textFill>
        </w:rPr>
        <w:t>项目名称：</w:t>
      </w:r>
      <w:r>
        <w:rPr>
          <w:rFonts w:hint="eastAsia"/>
          <w:color w:val="000000" w:themeColor="text1"/>
          <w14:textFill>
            <w14:solidFill>
              <w14:schemeClr w14:val="tx1"/>
            </w14:solidFill>
          </w14:textFill>
        </w:rPr>
        <w:t>集成电路高纯材料及精密零部件生产项目</w:t>
      </w:r>
    </w:p>
    <w:p w14:paraId="4A683D75">
      <w:pPr>
        <w:ind w:firstLine="520"/>
        <w:rPr>
          <w:color w:val="000000" w:themeColor="text1"/>
          <w14:textFill>
            <w14:solidFill>
              <w14:schemeClr w14:val="tx1"/>
            </w14:solidFill>
          </w14:textFill>
        </w:rPr>
      </w:pPr>
      <w:r>
        <w:rPr>
          <w:color w:val="000000" w:themeColor="text1"/>
          <w14:textFill>
            <w14:solidFill>
              <w14:schemeClr w14:val="tx1"/>
            </w14:solidFill>
          </w14:textFill>
        </w:rPr>
        <w:t>建设单位：</w:t>
      </w:r>
      <w:bookmarkStart w:id="146" w:name="_Hlk202346210"/>
      <w:r>
        <w:rPr>
          <w:color w:val="000000" w:themeColor="text1"/>
          <w14:textFill>
            <w14:solidFill>
              <w14:schemeClr w14:val="tx1"/>
            </w14:solidFill>
          </w14:textFill>
        </w:rPr>
        <w:t>重庆臻宝半导体材料有限公司</w:t>
      </w:r>
      <w:bookmarkEnd w:id="146"/>
    </w:p>
    <w:p w14:paraId="1C0A7B76">
      <w:pPr>
        <w:ind w:firstLine="520"/>
        <w:rPr>
          <w:color w:val="000000" w:themeColor="text1"/>
          <w14:textFill>
            <w14:solidFill>
              <w14:schemeClr w14:val="tx1"/>
            </w14:solidFill>
          </w14:textFill>
        </w:rPr>
      </w:pPr>
      <w:r>
        <w:rPr>
          <w:color w:val="000000" w:themeColor="text1"/>
          <w14:textFill>
            <w14:solidFill>
              <w14:schemeClr w14:val="tx1"/>
            </w14:solidFill>
          </w14:textFill>
        </w:rPr>
        <w:t>建设地点：重庆市九龙坡区西彭镇森迪大道8号1幢、森迪大道56号</w:t>
      </w:r>
    </w:p>
    <w:p w14:paraId="592F1C0E">
      <w:pPr>
        <w:ind w:firstLine="520"/>
        <w:rPr>
          <w:color w:val="000000" w:themeColor="text1"/>
          <w14:textFill>
            <w14:solidFill>
              <w14:schemeClr w14:val="tx1"/>
            </w14:solidFill>
          </w14:textFill>
        </w:rPr>
      </w:pPr>
      <w:r>
        <w:rPr>
          <w:color w:val="000000" w:themeColor="text1"/>
          <w14:textFill>
            <w14:solidFill>
              <w14:schemeClr w14:val="tx1"/>
            </w14:solidFill>
          </w14:textFill>
        </w:rPr>
        <w:t>总投资：</w:t>
      </w:r>
      <w:r>
        <w:rPr>
          <w:rFonts w:hint="eastAsia"/>
          <w:color w:val="000000" w:themeColor="text1"/>
          <w14:textFill>
            <w14:solidFill>
              <w14:schemeClr w14:val="tx1"/>
            </w14:solidFill>
          </w14:textFill>
        </w:rPr>
        <w:t>5000</w:t>
      </w:r>
      <w:r>
        <w:rPr>
          <w:color w:val="000000" w:themeColor="text1"/>
          <w14:textFill>
            <w14:solidFill>
              <w14:schemeClr w14:val="tx1"/>
            </w14:solidFill>
          </w14:textFill>
        </w:rPr>
        <w:t>万元</w:t>
      </w:r>
    </w:p>
    <w:p w14:paraId="7F543C25">
      <w:pPr>
        <w:ind w:firstLine="520"/>
        <w:rPr>
          <w:color w:val="000000" w:themeColor="text1"/>
          <w14:textFill>
            <w14:solidFill>
              <w14:schemeClr w14:val="tx1"/>
            </w14:solidFill>
          </w14:textFill>
        </w:rPr>
      </w:pPr>
      <w:r>
        <w:rPr>
          <w:color w:val="000000" w:themeColor="text1"/>
          <w14:textFill>
            <w14:solidFill>
              <w14:schemeClr w14:val="tx1"/>
            </w14:solidFill>
          </w14:textFill>
        </w:rPr>
        <w:t>建设性质：</w:t>
      </w:r>
      <w:r>
        <w:rPr>
          <w:rFonts w:hint="eastAsia"/>
          <w:color w:val="000000" w:themeColor="text1"/>
          <w14:textFill>
            <w14:solidFill>
              <w14:schemeClr w14:val="tx1"/>
            </w14:solidFill>
          </w14:textFill>
        </w:rPr>
        <w:t>扩建</w:t>
      </w:r>
    </w:p>
    <w:p w14:paraId="5D944955">
      <w:pPr>
        <w:ind w:firstLine="520"/>
        <w:rPr>
          <w:color w:val="000000" w:themeColor="text1"/>
          <w14:textFill>
            <w14:solidFill>
              <w14:schemeClr w14:val="tx1"/>
            </w14:solidFill>
          </w14:textFill>
        </w:rPr>
      </w:pPr>
      <w:r>
        <w:rPr>
          <w:color w:val="000000" w:themeColor="text1"/>
          <w14:textFill>
            <w14:solidFill>
              <w14:schemeClr w14:val="tx1"/>
            </w14:solidFill>
          </w14:textFill>
        </w:rPr>
        <w:t>建设内容及生产规模：</w:t>
      </w:r>
      <w:r>
        <w:rPr>
          <w:rFonts w:hint="eastAsia"/>
          <w:color w:val="000000" w:themeColor="text1"/>
          <w14:textFill>
            <w14:solidFill>
              <w14:schemeClr w14:val="tx1"/>
            </w14:solidFill>
          </w14:textFill>
        </w:rPr>
        <w:t>项目总投资约5000万，购置石墨加工中心，高温纯化炉，高温石墨化炉，CVDSIC炉及走心机等先进设备，建设具有国内先进水平的固态碳化硅材料生产基地及石墨，GASKET金属零部件，GASKET塑料件等加工基地；建成后将实现年产：GASKET垫片83000个，GASKET塑料件55000个，GASKET金属零部件51000个，石墨部件170000件及碳化硅涂层部件1000套（每套4~20个）的能力</w:t>
      </w:r>
      <w:r>
        <w:rPr>
          <w:color w:val="000000" w:themeColor="text1"/>
          <w14:textFill>
            <w14:solidFill>
              <w14:schemeClr w14:val="tx1"/>
            </w14:solidFill>
          </w14:textFill>
        </w:rPr>
        <w:t>。</w:t>
      </w:r>
    </w:p>
    <w:p w14:paraId="1CCE1F51">
      <w:pPr>
        <w:ind w:firstLine="520"/>
        <w:rPr>
          <w:color w:val="000000" w:themeColor="text1"/>
          <w14:textFill>
            <w14:solidFill>
              <w14:schemeClr w14:val="tx1"/>
            </w14:solidFill>
          </w14:textFill>
        </w:rPr>
      </w:pPr>
      <w:r>
        <w:rPr>
          <w:color w:val="000000" w:themeColor="text1"/>
          <w14:textFill>
            <w14:solidFill>
              <w14:schemeClr w14:val="tx1"/>
            </w14:solidFill>
          </w14:textFill>
        </w:rPr>
        <w:t>行业类别：3985电子专用材料制造</w:t>
      </w:r>
      <w:r>
        <w:rPr>
          <w:rFonts w:hint="eastAsia"/>
          <w:color w:val="000000" w:themeColor="text1"/>
          <w14:textFill>
            <w14:solidFill>
              <w14:schemeClr w14:val="tx1"/>
            </w14:solidFill>
          </w14:textFill>
        </w:rPr>
        <w:t>、3091石墨及碳素制品制造</w:t>
      </w:r>
    </w:p>
    <w:p w14:paraId="2A942D4F">
      <w:pPr>
        <w:ind w:firstLine="520"/>
        <w:rPr>
          <w:color w:val="000000" w:themeColor="text1"/>
          <w14:textFill>
            <w14:solidFill>
              <w14:schemeClr w14:val="tx1"/>
            </w14:solidFill>
          </w14:textFill>
        </w:rPr>
      </w:pPr>
      <w:r>
        <w:rPr>
          <w:color w:val="000000" w:themeColor="text1"/>
          <w14:textFill>
            <w14:solidFill>
              <w14:schemeClr w14:val="tx1"/>
            </w14:solidFill>
          </w14:textFill>
        </w:rPr>
        <w:t>工作制度：三班制，每班8h，年生产300天。</w:t>
      </w:r>
    </w:p>
    <w:p w14:paraId="119B0319">
      <w:pPr>
        <w:ind w:firstLine="520"/>
        <w:rPr>
          <w:color w:val="000000" w:themeColor="text1"/>
          <w14:textFill>
            <w14:solidFill>
              <w14:schemeClr w14:val="tx1"/>
            </w14:solidFill>
          </w14:textFill>
        </w:rPr>
      </w:pPr>
      <w:r>
        <w:rPr>
          <w:color w:val="000000" w:themeColor="text1"/>
          <w14:textFill>
            <w14:solidFill>
              <w14:schemeClr w14:val="tx1"/>
            </w14:solidFill>
          </w14:textFill>
        </w:rPr>
        <w:t>劳动定员：</w:t>
      </w:r>
      <w:r>
        <w:rPr>
          <w:rFonts w:hint="eastAsia"/>
          <w:color w:val="000000" w:themeColor="text1"/>
          <w14:textFill>
            <w14:solidFill>
              <w14:schemeClr w14:val="tx1"/>
            </w14:solidFill>
          </w14:textFill>
        </w:rPr>
        <w:t>现有260人，本次新增15</w:t>
      </w:r>
      <w:r>
        <w:rPr>
          <w:color w:val="000000" w:themeColor="text1"/>
          <w14:textFill>
            <w14:solidFill>
              <w14:schemeClr w14:val="tx1"/>
            </w14:solidFill>
          </w14:textFill>
        </w:rPr>
        <w:t>人</w:t>
      </w:r>
      <w:r>
        <w:rPr>
          <w:rFonts w:hint="eastAsia"/>
          <w:color w:val="000000" w:themeColor="text1"/>
          <w14:textFill>
            <w14:solidFill>
              <w14:schemeClr w14:val="tx1"/>
            </w14:solidFill>
          </w14:textFill>
        </w:rPr>
        <w:t>，扩建后275人</w:t>
      </w:r>
      <w:r>
        <w:rPr>
          <w:color w:val="000000" w:themeColor="text1"/>
          <w14:textFill>
            <w14:solidFill>
              <w14:schemeClr w14:val="tx1"/>
            </w14:solidFill>
          </w14:textFill>
        </w:rPr>
        <w:t>。</w:t>
      </w:r>
    </w:p>
    <w:p w14:paraId="02D28FEE">
      <w:pPr>
        <w:pStyle w:val="4"/>
        <w:rPr>
          <w:color w:val="000000" w:themeColor="text1"/>
          <w14:textFill>
            <w14:solidFill>
              <w14:schemeClr w14:val="tx1"/>
            </w14:solidFill>
          </w14:textFill>
        </w:rPr>
      </w:pPr>
      <w:bookmarkStart w:id="147" w:name="_Toc30774"/>
      <w:r>
        <w:rPr>
          <w:color w:val="000000" w:themeColor="text1"/>
          <w14:textFill>
            <w14:solidFill>
              <w14:schemeClr w14:val="tx1"/>
            </w14:solidFill>
          </w14:textFill>
        </w:rPr>
        <w:t>产品方案及产能</w:t>
      </w:r>
      <w:bookmarkEnd w:id="147"/>
    </w:p>
    <w:p w14:paraId="62E859A0">
      <w:pPr>
        <w:ind w:firstLine="52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扩建项目产品方案与现有工程相比，新增了</w:t>
      </w:r>
      <w:r>
        <w:rPr>
          <w:color w:val="000000" w:themeColor="text1"/>
          <w14:textFill>
            <w14:solidFill>
              <w14:schemeClr w14:val="tx1"/>
            </w14:solidFill>
          </w14:textFill>
        </w:rPr>
        <w:t>GASKET</w:t>
      </w:r>
      <w:r>
        <w:rPr>
          <w:rFonts w:hint="eastAsia"/>
          <w:color w:val="000000" w:themeColor="text1"/>
          <w14:textFill>
            <w14:solidFill>
              <w14:schemeClr w14:val="tx1"/>
            </w14:solidFill>
          </w14:textFill>
        </w:rPr>
        <w:t>产品</w:t>
      </w:r>
      <w:r>
        <w:rPr>
          <w:rFonts w:hint="eastAsia"/>
          <w:color w:val="000000" w:themeColor="text1"/>
          <w:lang w:val="zh-CN"/>
          <w14:textFill>
            <w14:solidFill>
              <w14:schemeClr w14:val="tx1"/>
            </w14:solidFill>
          </w14:textFill>
        </w:rPr>
        <w:t>，增加了石墨产品等产能，具体详见下表：</w:t>
      </w:r>
    </w:p>
    <w:p w14:paraId="06C349DD">
      <w:pPr>
        <w:ind w:firstLine="520"/>
        <w:rPr>
          <w:color w:val="000000" w:themeColor="text1"/>
          <w:lang w:val="zh-CN"/>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0CF55BA2">
      <w:pPr>
        <w:ind w:firstLine="52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项目产品方案及产能情况</w:t>
      </w:r>
      <w:r>
        <w:rPr>
          <w:rFonts w:hint="eastAsia"/>
          <w:color w:val="000000" w:themeColor="text1"/>
          <w14:textFill>
            <w14:solidFill>
              <w14:schemeClr w14:val="tx1"/>
            </w14:solidFill>
          </w14:textFill>
        </w:rPr>
        <w:t>一览</w:t>
      </w:r>
      <w:r>
        <w:rPr>
          <w:color w:val="000000" w:themeColor="text1"/>
          <w14:textFill>
            <w14:solidFill>
              <w14:schemeClr w14:val="tx1"/>
            </w14:solidFill>
          </w14:textFill>
        </w:rPr>
        <w:t>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716"/>
        <w:gridCol w:w="1543"/>
        <w:gridCol w:w="1554"/>
        <w:gridCol w:w="3163"/>
        <w:gridCol w:w="1590"/>
        <w:gridCol w:w="1874"/>
        <w:gridCol w:w="1730"/>
        <w:gridCol w:w="1069"/>
      </w:tblGrid>
      <w:tr w14:paraId="7FE0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Align w:val="center"/>
          </w:tcPr>
          <w:p w14:paraId="3BC9201B">
            <w:pPr>
              <w:spacing w:line="240" w:lineRule="auto"/>
              <w:ind w:firstLine="0" w:firstLineChars="0"/>
              <w:jc w:val="center"/>
              <w:rPr>
                <w:color w:val="000000" w:themeColor="text1"/>
                <w:sz w:val="22"/>
                <w:szCs w:val="22"/>
                <w14:textFill>
                  <w14:solidFill>
                    <w14:schemeClr w14:val="tx1"/>
                  </w14:solidFill>
                </w14:textFill>
              </w:rPr>
            </w:pPr>
            <w:bookmarkStart w:id="148" w:name="_Hlk198135360"/>
            <w:r>
              <w:rPr>
                <w:color w:val="000000" w:themeColor="text1"/>
                <w:sz w:val="22"/>
                <w:szCs w:val="22"/>
                <w14:textFill>
                  <w14:solidFill>
                    <w14:schemeClr w14:val="tx1"/>
                  </w14:solidFill>
                </w14:textFill>
              </w:rPr>
              <w:t>产品类型</w:t>
            </w:r>
          </w:p>
        </w:tc>
        <w:tc>
          <w:tcPr>
            <w:tcW w:w="253" w:type="pct"/>
            <w:vAlign w:val="center"/>
          </w:tcPr>
          <w:p w14:paraId="2DE185E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序号</w:t>
            </w:r>
          </w:p>
        </w:tc>
        <w:tc>
          <w:tcPr>
            <w:tcW w:w="544" w:type="pct"/>
            <w:vAlign w:val="center"/>
          </w:tcPr>
          <w:p w14:paraId="3FD9A29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产品名称</w:t>
            </w:r>
          </w:p>
        </w:tc>
        <w:tc>
          <w:tcPr>
            <w:tcW w:w="1664" w:type="pct"/>
            <w:gridSpan w:val="2"/>
            <w:vAlign w:val="center"/>
          </w:tcPr>
          <w:p w14:paraId="1B3F47E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主要产品及规格</w:t>
            </w:r>
          </w:p>
        </w:tc>
        <w:tc>
          <w:tcPr>
            <w:tcW w:w="561" w:type="pct"/>
            <w:vAlign w:val="center"/>
          </w:tcPr>
          <w:p w14:paraId="65B5787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现有在建工程产量</w:t>
            </w:r>
          </w:p>
        </w:tc>
        <w:tc>
          <w:tcPr>
            <w:tcW w:w="661" w:type="pct"/>
            <w:vAlign w:val="center"/>
          </w:tcPr>
          <w:p w14:paraId="7DDABB53">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扩建</w:t>
            </w:r>
            <w:r>
              <w:rPr>
                <w:color w:val="000000" w:themeColor="text1"/>
                <w:sz w:val="22"/>
                <w:szCs w:val="22"/>
                <w14:textFill>
                  <w14:solidFill>
                    <w14:schemeClr w14:val="tx1"/>
                  </w14:solidFill>
                </w14:textFill>
              </w:rPr>
              <w:t>工程产量（件/年）</w:t>
            </w:r>
          </w:p>
        </w:tc>
        <w:tc>
          <w:tcPr>
            <w:tcW w:w="610" w:type="pct"/>
            <w:vAlign w:val="center"/>
          </w:tcPr>
          <w:p w14:paraId="4B51606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扩建完成后年产量</w:t>
            </w:r>
          </w:p>
        </w:tc>
        <w:tc>
          <w:tcPr>
            <w:tcW w:w="377" w:type="pct"/>
            <w:vAlign w:val="center"/>
          </w:tcPr>
          <w:p w14:paraId="0BEC360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备注</w:t>
            </w:r>
          </w:p>
        </w:tc>
      </w:tr>
      <w:tr w14:paraId="3FCE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restart"/>
            <w:vAlign w:val="center"/>
          </w:tcPr>
          <w:p w14:paraId="59B6FD1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硅产品</w:t>
            </w:r>
          </w:p>
        </w:tc>
        <w:tc>
          <w:tcPr>
            <w:tcW w:w="253" w:type="pct"/>
            <w:vAlign w:val="center"/>
          </w:tcPr>
          <w:p w14:paraId="5C18DC6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544" w:type="pct"/>
            <w:vAlign w:val="center"/>
          </w:tcPr>
          <w:p w14:paraId="40CD702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单晶硅</w:t>
            </w:r>
          </w:p>
        </w:tc>
        <w:tc>
          <w:tcPr>
            <w:tcW w:w="548" w:type="pct"/>
            <w:vMerge w:val="restart"/>
            <w:vAlign w:val="center"/>
          </w:tcPr>
          <w:p w14:paraId="24557718">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905510" cy="737235"/>
                  <wp:effectExtent l="0" t="0" r="8890" b="5715"/>
                  <wp:docPr id="2075429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29904" name="图片 1"/>
                          <pic:cNvPicPr>
                            <a:picLocks noChangeAspect="1"/>
                          </pic:cNvPicPr>
                        </pic:nvPicPr>
                        <pic:blipFill>
                          <a:blip r:embed="rId22" r:link="rId23"/>
                          <a:stretch>
                            <a:fillRect/>
                          </a:stretch>
                        </pic:blipFill>
                        <pic:spPr>
                          <a:xfrm>
                            <a:off x="0" y="0"/>
                            <a:ext cx="910337" cy="741047"/>
                          </a:xfrm>
                          <a:prstGeom prst="rect">
                            <a:avLst/>
                          </a:prstGeom>
                          <a:noFill/>
                          <a:ln w="9525">
                            <a:noFill/>
                          </a:ln>
                        </pic:spPr>
                      </pic:pic>
                    </a:graphicData>
                  </a:graphic>
                </wp:inline>
              </w:drawing>
            </w:r>
          </w:p>
        </w:tc>
        <w:tc>
          <w:tcPr>
            <w:tcW w:w="1116" w:type="pct"/>
            <w:vAlign w:val="center"/>
          </w:tcPr>
          <w:p w14:paraId="7DC69A2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φ450，单个重约200-500kg</w:t>
            </w:r>
          </w:p>
        </w:tc>
        <w:tc>
          <w:tcPr>
            <w:tcW w:w="561" w:type="pct"/>
            <w:vAlign w:val="center"/>
          </w:tcPr>
          <w:p w14:paraId="47149A1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220 t/a</w:t>
            </w:r>
          </w:p>
        </w:tc>
        <w:tc>
          <w:tcPr>
            <w:tcW w:w="661" w:type="pct"/>
            <w:vAlign w:val="center"/>
          </w:tcPr>
          <w:p w14:paraId="7C69438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610" w:type="pct"/>
            <w:vAlign w:val="center"/>
          </w:tcPr>
          <w:p w14:paraId="6D5112B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220 t/a</w:t>
            </w:r>
          </w:p>
        </w:tc>
        <w:tc>
          <w:tcPr>
            <w:tcW w:w="377" w:type="pct"/>
            <w:vMerge w:val="restart"/>
            <w:vAlign w:val="center"/>
          </w:tcPr>
          <w:p w14:paraId="5A490EE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现有工程产品，本次不涉及</w:t>
            </w:r>
          </w:p>
        </w:tc>
      </w:tr>
      <w:tr w14:paraId="02EA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5DBB4E3A">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75B4E54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p>
        </w:tc>
        <w:tc>
          <w:tcPr>
            <w:tcW w:w="544" w:type="pct"/>
            <w:vAlign w:val="center"/>
          </w:tcPr>
          <w:p w14:paraId="37CBD4D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多晶硅</w:t>
            </w:r>
          </w:p>
        </w:tc>
        <w:tc>
          <w:tcPr>
            <w:tcW w:w="548" w:type="pct"/>
            <w:vMerge w:val="continue"/>
            <w:vAlign w:val="center"/>
          </w:tcPr>
          <w:p w14:paraId="21B0267A">
            <w:pPr>
              <w:spacing w:line="240" w:lineRule="auto"/>
              <w:ind w:firstLine="0" w:firstLineChars="0"/>
              <w:jc w:val="center"/>
              <w:rPr>
                <w:color w:val="000000" w:themeColor="text1"/>
                <w:sz w:val="22"/>
                <w:szCs w:val="22"/>
                <w14:textFill>
                  <w14:solidFill>
                    <w14:schemeClr w14:val="tx1"/>
                  </w14:solidFill>
                </w14:textFill>
              </w:rPr>
            </w:pPr>
          </w:p>
        </w:tc>
        <w:tc>
          <w:tcPr>
            <w:tcW w:w="1116" w:type="pct"/>
            <w:vAlign w:val="center"/>
          </w:tcPr>
          <w:p w14:paraId="7DC0D3E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φ450，单个重约200-500kg</w:t>
            </w:r>
          </w:p>
        </w:tc>
        <w:tc>
          <w:tcPr>
            <w:tcW w:w="561" w:type="pct"/>
            <w:vAlign w:val="center"/>
          </w:tcPr>
          <w:p w14:paraId="698E775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40t/a</w:t>
            </w:r>
          </w:p>
        </w:tc>
        <w:tc>
          <w:tcPr>
            <w:tcW w:w="661" w:type="pct"/>
            <w:vAlign w:val="center"/>
          </w:tcPr>
          <w:p w14:paraId="1984715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610" w:type="pct"/>
            <w:vAlign w:val="center"/>
          </w:tcPr>
          <w:p w14:paraId="08FDB7D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40t/a</w:t>
            </w:r>
          </w:p>
        </w:tc>
        <w:tc>
          <w:tcPr>
            <w:tcW w:w="377" w:type="pct"/>
            <w:vMerge w:val="continue"/>
            <w:vAlign w:val="center"/>
          </w:tcPr>
          <w:p w14:paraId="08821EF4">
            <w:pPr>
              <w:spacing w:line="240" w:lineRule="auto"/>
              <w:ind w:firstLine="0" w:firstLineChars="0"/>
              <w:jc w:val="center"/>
              <w:rPr>
                <w:color w:val="000000" w:themeColor="text1"/>
                <w:sz w:val="22"/>
                <w:szCs w:val="22"/>
                <w14:textFill>
                  <w14:solidFill>
                    <w14:schemeClr w14:val="tx1"/>
                  </w14:solidFill>
                </w14:textFill>
              </w:rPr>
            </w:pPr>
          </w:p>
        </w:tc>
      </w:tr>
      <w:tr w14:paraId="7692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6D2AA963">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18B122AC">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p>
        </w:tc>
        <w:tc>
          <w:tcPr>
            <w:tcW w:w="544" w:type="pct"/>
            <w:vAlign w:val="center"/>
          </w:tcPr>
          <w:p w14:paraId="5E8BD3A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硅环</w:t>
            </w:r>
          </w:p>
        </w:tc>
        <w:tc>
          <w:tcPr>
            <w:tcW w:w="548" w:type="pct"/>
            <w:vAlign w:val="center"/>
          </w:tcPr>
          <w:p w14:paraId="3543D68F">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956945" cy="52006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4" r:link="rId23"/>
                          <a:stretch>
                            <a:fillRect/>
                          </a:stretch>
                        </pic:blipFill>
                        <pic:spPr>
                          <a:xfrm>
                            <a:off x="0" y="0"/>
                            <a:ext cx="962181" cy="522718"/>
                          </a:xfrm>
                          <a:prstGeom prst="rect">
                            <a:avLst/>
                          </a:prstGeom>
                          <a:noFill/>
                          <a:ln w="9525">
                            <a:noFill/>
                          </a:ln>
                        </pic:spPr>
                      </pic:pic>
                    </a:graphicData>
                  </a:graphic>
                </wp:inline>
              </w:drawing>
            </w:r>
          </w:p>
        </w:tc>
        <w:tc>
          <w:tcPr>
            <w:tcW w:w="1116" w:type="pct"/>
            <w:vAlign w:val="center"/>
          </w:tcPr>
          <w:p w14:paraId="068AEF7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150MM-550MM单件重约0.1kg~10kg（平均1kg）</w:t>
            </w:r>
          </w:p>
        </w:tc>
        <w:tc>
          <w:tcPr>
            <w:tcW w:w="561" w:type="pct"/>
            <w:vAlign w:val="center"/>
          </w:tcPr>
          <w:p w14:paraId="1B114E9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36000件/a（约30t/a）</w:t>
            </w:r>
          </w:p>
        </w:tc>
        <w:tc>
          <w:tcPr>
            <w:tcW w:w="661" w:type="pct"/>
            <w:vAlign w:val="center"/>
          </w:tcPr>
          <w:p w14:paraId="0200F710">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w:t>
            </w:r>
          </w:p>
        </w:tc>
        <w:tc>
          <w:tcPr>
            <w:tcW w:w="610" w:type="pct"/>
            <w:vAlign w:val="center"/>
          </w:tcPr>
          <w:p w14:paraId="7A12CC1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36000件/a（约30t/a）</w:t>
            </w:r>
          </w:p>
        </w:tc>
        <w:tc>
          <w:tcPr>
            <w:tcW w:w="377" w:type="pct"/>
            <w:vMerge w:val="continue"/>
            <w:vAlign w:val="center"/>
          </w:tcPr>
          <w:p w14:paraId="3E2D9AA7">
            <w:pPr>
              <w:spacing w:line="240" w:lineRule="auto"/>
              <w:ind w:firstLine="0" w:firstLineChars="0"/>
              <w:jc w:val="center"/>
              <w:rPr>
                <w:color w:val="000000" w:themeColor="text1"/>
                <w:sz w:val="22"/>
                <w:szCs w:val="22"/>
                <w14:textFill>
                  <w14:solidFill>
                    <w14:schemeClr w14:val="tx1"/>
                  </w14:solidFill>
                </w14:textFill>
              </w:rPr>
            </w:pPr>
          </w:p>
        </w:tc>
      </w:tr>
      <w:tr w14:paraId="0A23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7B57833D">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6752AE7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p>
        </w:tc>
        <w:tc>
          <w:tcPr>
            <w:tcW w:w="544" w:type="pct"/>
            <w:vAlign w:val="center"/>
          </w:tcPr>
          <w:p w14:paraId="69FC46C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硅电极</w:t>
            </w:r>
          </w:p>
        </w:tc>
        <w:tc>
          <w:tcPr>
            <w:tcW w:w="548" w:type="pct"/>
            <w:vAlign w:val="center"/>
          </w:tcPr>
          <w:p w14:paraId="0E340C93">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895350" cy="514350"/>
                  <wp:effectExtent l="0" t="0" r="0" b="0"/>
                  <wp:docPr id="4133777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7788" name="图片 6"/>
                          <pic:cNvPicPr>
                            <a:picLocks noChangeAspect="1"/>
                          </pic:cNvPicPr>
                        </pic:nvPicPr>
                        <pic:blipFill>
                          <a:blip r:embed="rId25" r:link="rId23"/>
                          <a:stretch>
                            <a:fillRect/>
                          </a:stretch>
                        </pic:blipFill>
                        <pic:spPr>
                          <a:xfrm>
                            <a:off x="0" y="0"/>
                            <a:ext cx="895350" cy="514350"/>
                          </a:xfrm>
                          <a:prstGeom prst="rect">
                            <a:avLst/>
                          </a:prstGeom>
                          <a:noFill/>
                          <a:ln w="9525">
                            <a:noFill/>
                          </a:ln>
                        </pic:spPr>
                      </pic:pic>
                    </a:graphicData>
                  </a:graphic>
                </wp:inline>
              </w:drawing>
            </w:r>
          </w:p>
        </w:tc>
        <w:tc>
          <w:tcPr>
            <w:tcW w:w="1116" w:type="pct"/>
            <w:vAlign w:val="center"/>
          </w:tcPr>
          <w:p w14:paraId="7DD3136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150MM-550MM单件重约1kg~4kg（平均1.5kg）</w:t>
            </w:r>
          </w:p>
        </w:tc>
        <w:tc>
          <w:tcPr>
            <w:tcW w:w="561" w:type="pct"/>
            <w:vAlign w:val="center"/>
          </w:tcPr>
          <w:p w14:paraId="259D4D5C">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100</w:t>
            </w:r>
            <w:r>
              <w:rPr>
                <w:color w:val="000000" w:themeColor="text1"/>
                <w:sz w:val="22"/>
                <w:szCs w:val="22"/>
                <w14:textFill>
                  <w14:solidFill>
                    <w14:schemeClr w14:val="tx1"/>
                  </w14:solidFill>
                </w14:textFill>
              </w:rPr>
              <w:t>00件/a（约</w:t>
            </w:r>
            <w:r>
              <w:rPr>
                <w:rFonts w:hint="eastAsia"/>
                <w:color w:val="000000" w:themeColor="text1"/>
                <w:sz w:val="22"/>
                <w:szCs w:val="22"/>
                <w14:textFill>
                  <w14:solidFill>
                    <w14:schemeClr w14:val="tx1"/>
                  </w14:solidFill>
                </w14:textFill>
              </w:rPr>
              <w:t>11.6</w:t>
            </w:r>
            <w:r>
              <w:rPr>
                <w:color w:val="000000" w:themeColor="text1"/>
                <w:sz w:val="22"/>
                <w:szCs w:val="22"/>
                <w14:textFill>
                  <w14:solidFill>
                    <w14:schemeClr w14:val="tx1"/>
                  </w14:solidFill>
                </w14:textFill>
              </w:rPr>
              <w:t>t/a）</w:t>
            </w:r>
          </w:p>
        </w:tc>
        <w:tc>
          <w:tcPr>
            <w:tcW w:w="661" w:type="pct"/>
            <w:vAlign w:val="center"/>
          </w:tcPr>
          <w:p w14:paraId="1EAD9991">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w:t>
            </w:r>
          </w:p>
        </w:tc>
        <w:tc>
          <w:tcPr>
            <w:tcW w:w="610" w:type="pct"/>
            <w:vAlign w:val="center"/>
          </w:tcPr>
          <w:p w14:paraId="04E90CAC">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100</w:t>
            </w:r>
            <w:r>
              <w:rPr>
                <w:color w:val="000000" w:themeColor="text1"/>
                <w:sz w:val="22"/>
                <w:szCs w:val="22"/>
                <w14:textFill>
                  <w14:solidFill>
                    <w14:schemeClr w14:val="tx1"/>
                  </w14:solidFill>
                </w14:textFill>
              </w:rPr>
              <w:t>00件/a（约</w:t>
            </w:r>
            <w:r>
              <w:rPr>
                <w:rFonts w:hint="eastAsia"/>
                <w:color w:val="000000" w:themeColor="text1"/>
                <w:sz w:val="22"/>
                <w:szCs w:val="22"/>
                <w14:textFill>
                  <w14:solidFill>
                    <w14:schemeClr w14:val="tx1"/>
                  </w14:solidFill>
                </w14:textFill>
              </w:rPr>
              <w:t>11.6</w:t>
            </w:r>
            <w:r>
              <w:rPr>
                <w:color w:val="000000" w:themeColor="text1"/>
                <w:sz w:val="22"/>
                <w:szCs w:val="22"/>
                <w14:textFill>
                  <w14:solidFill>
                    <w14:schemeClr w14:val="tx1"/>
                  </w14:solidFill>
                </w14:textFill>
              </w:rPr>
              <w:t>t/a）</w:t>
            </w:r>
          </w:p>
        </w:tc>
        <w:tc>
          <w:tcPr>
            <w:tcW w:w="377" w:type="pct"/>
            <w:vMerge w:val="continue"/>
            <w:vAlign w:val="center"/>
          </w:tcPr>
          <w:p w14:paraId="7B97D06A">
            <w:pPr>
              <w:spacing w:line="240" w:lineRule="auto"/>
              <w:ind w:firstLine="0" w:firstLineChars="0"/>
              <w:jc w:val="center"/>
              <w:rPr>
                <w:color w:val="000000" w:themeColor="text1"/>
                <w:sz w:val="22"/>
                <w:szCs w:val="22"/>
                <w14:textFill>
                  <w14:solidFill>
                    <w14:schemeClr w14:val="tx1"/>
                  </w14:solidFill>
                </w14:textFill>
              </w:rPr>
            </w:pPr>
          </w:p>
        </w:tc>
      </w:tr>
      <w:tr w14:paraId="47B6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restart"/>
            <w:vAlign w:val="center"/>
          </w:tcPr>
          <w:p w14:paraId="09318D1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石英产品</w:t>
            </w:r>
          </w:p>
        </w:tc>
        <w:tc>
          <w:tcPr>
            <w:tcW w:w="253" w:type="pct"/>
            <w:vAlign w:val="center"/>
          </w:tcPr>
          <w:p w14:paraId="4CFF6A6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544" w:type="pct"/>
            <w:vAlign w:val="center"/>
          </w:tcPr>
          <w:p w14:paraId="7DA1B53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石英环</w:t>
            </w:r>
          </w:p>
        </w:tc>
        <w:tc>
          <w:tcPr>
            <w:tcW w:w="548" w:type="pct"/>
            <w:vAlign w:val="center"/>
          </w:tcPr>
          <w:p w14:paraId="3FB25AAC">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586105"/>
                  <wp:effectExtent l="0" t="0" r="4445" b="4445"/>
                  <wp:docPr id="97904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4450" name="图片 1"/>
                          <pic:cNvPicPr>
                            <a:picLocks noChangeAspect="1"/>
                          </pic:cNvPicPr>
                        </pic:nvPicPr>
                        <pic:blipFill>
                          <a:blip r:embed="rId22" r:link="rId23"/>
                          <a:stretch>
                            <a:fillRect/>
                          </a:stretch>
                        </pic:blipFill>
                        <pic:spPr>
                          <a:xfrm>
                            <a:off x="0" y="0"/>
                            <a:ext cx="720000" cy="586105"/>
                          </a:xfrm>
                          <a:prstGeom prst="rect">
                            <a:avLst/>
                          </a:prstGeom>
                          <a:noFill/>
                          <a:ln w="9525">
                            <a:noFill/>
                          </a:ln>
                        </pic:spPr>
                      </pic:pic>
                    </a:graphicData>
                  </a:graphic>
                </wp:inline>
              </w:drawing>
            </w:r>
          </w:p>
        </w:tc>
        <w:tc>
          <w:tcPr>
            <w:tcW w:w="1116" w:type="pct"/>
            <w:vAlign w:val="center"/>
          </w:tcPr>
          <w:p w14:paraId="384D41D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每件约0.1kg~20kg（平均</w:t>
            </w:r>
            <w:r>
              <w:rPr>
                <w:rFonts w:hint="eastAsia"/>
                <w:color w:val="000000" w:themeColor="text1"/>
                <w:sz w:val="22"/>
                <w:szCs w:val="22"/>
                <w14:textFill>
                  <w14:solidFill>
                    <w14:schemeClr w14:val="tx1"/>
                  </w14:solidFill>
                </w14:textFill>
              </w:rPr>
              <w:t>2.0</w:t>
            </w:r>
            <w:r>
              <w:rPr>
                <w:color w:val="000000" w:themeColor="text1"/>
                <w:sz w:val="22"/>
                <w:szCs w:val="22"/>
                <w14:textFill>
                  <w14:solidFill>
                    <w14:schemeClr w14:val="tx1"/>
                  </w14:solidFill>
                </w14:textFill>
              </w:rPr>
              <w:t>kg）</w:t>
            </w:r>
          </w:p>
        </w:tc>
        <w:tc>
          <w:tcPr>
            <w:tcW w:w="561" w:type="pct"/>
            <w:vAlign w:val="center"/>
          </w:tcPr>
          <w:p w14:paraId="06E3A84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5400件/a</w:t>
            </w:r>
          </w:p>
          <w:p w14:paraId="66BB771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（约10.8t/a）</w:t>
            </w:r>
          </w:p>
        </w:tc>
        <w:tc>
          <w:tcPr>
            <w:tcW w:w="661" w:type="pct"/>
            <w:vAlign w:val="center"/>
          </w:tcPr>
          <w:p w14:paraId="40D4C29D">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w:t>
            </w:r>
          </w:p>
        </w:tc>
        <w:tc>
          <w:tcPr>
            <w:tcW w:w="610" w:type="pct"/>
            <w:vAlign w:val="center"/>
          </w:tcPr>
          <w:p w14:paraId="3D3AD44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5400件/a</w:t>
            </w:r>
          </w:p>
          <w:p w14:paraId="14EEA06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（约10.8t/a）</w:t>
            </w:r>
          </w:p>
        </w:tc>
        <w:tc>
          <w:tcPr>
            <w:tcW w:w="377" w:type="pct"/>
            <w:vMerge w:val="continue"/>
            <w:vAlign w:val="center"/>
          </w:tcPr>
          <w:p w14:paraId="218D605F">
            <w:pPr>
              <w:spacing w:line="240" w:lineRule="auto"/>
              <w:ind w:firstLine="0" w:firstLineChars="0"/>
              <w:jc w:val="center"/>
              <w:rPr>
                <w:color w:val="000000" w:themeColor="text1"/>
                <w:sz w:val="22"/>
                <w:szCs w:val="22"/>
                <w14:textFill>
                  <w14:solidFill>
                    <w14:schemeClr w14:val="tx1"/>
                  </w14:solidFill>
                </w14:textFill>
              </w:rPr>
            </w:pPr>
          </w:p>
        </w:tc>
      </w:tr>
      <w:tr w14:paraId="5EEE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5027171A">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06AE169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p>
        </w:tc>
        <w:tc>
          <w:tcPr>
            <w:tcW w:w="544" w:type="pct"/>
            <w:vAlign w:val="center"/>
          </w:tcPr>
          <w:p w14:paraId="5FA65A8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石英舟托</w:t>
            </w:r>
          </w:p>
        </w:tc>
        <w:tc>
          <w:tcPr>
            <w:tcW w:w="548" w:type="pct"/>
            <w:vAlign w:val="center"/>
          </w:tcPr>
          <w:p w14:paraId="0BEBD08D">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553720"/>
                  <wp:effectExtent l="0" t="0" r="444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r:link="rId23"/>
                          <a:stretch>
                            <a:fillRect/>
                          </a:stretch>
                        </pic:blipFill>
                        <pic:spPr>
                          <a:xfrm>
                            <a:off x="0" y="0"/>
                            <a:ext cx="720000" cy="554042"/>
                          </a:xfrm>
                          <a:prstGeom prst="rect">
                            <a:avLst/>
                          </a:prstGeom>
                          <a:noFill/>
                          <a:ln w="9525">
                            <a:noFill/>
                          </a:ln>
                        </pic:spPr>
                      </pic:pic>
                    </a:graphicData>
                  </a:graphic>
                </wp:inline>
              </w:drawing>
            </w:r>
          </w:p>
        </w:tc>
        <w:tc>
          <w:tcPr>
            <w:tcW w:w="1116" w:type="pct"/>
            <w:vAlign w:val="center"/>
          </w:tcPr>
          <w:p w14:paraId="70AC6D1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w:t>
            </w:r>
            <w:r>
              <w:rPr>
                <w:rFonts w:hint="eastAsia"/>
                <w:color w:val="000000" w:themeColor="text1"/>
                <w:sz w:val="22"/>
                <w:szCs w:val="22"/>
                <w14:textFill>
                  <w14:solidFill>
                    <w14:schemeClr w14:val="tx1"/>
                  </w14:solidFill>
                </w14:textFill>
              </w:rPr>
              <w:t>1</w:t>
            </w:r>
            <w:r>
              <w:rPr>
                <w:color w:val="000000" w:themeColor="text1"/>
                <w:sz w:val="22"/>
                <w:szCs w:val="22"/>
                <w14:textFill>
                  <w14:solidFill>
                    <w14:schemeClr w14:val="tx1"/>
                  </w14:solidFill>
                </w14:textFill>
              </w:rPr>
              <w:t>kg~</w:t>
            </w:r>
            <w:r>
              <w:rPr>
                <w:rFonts w:hint="eastAsia"/>
                <w:color w:val="000000" w:themeColor="text1"/>
                <w:sz w:val="22"/>
                <w:szCs w:val="22"/>
                <w14:textFill>
                  <w14:solidFill>
                    <w14:schemeClr w14:val="tx1"/>
                  </w14:solidFill>
                </w14:textFill>
              </w:rPr>
              <w:t>10</w:t>
            </w:r>
            <w:r>
              <w:rPr>
                <w:color w:val="000000" w:themeColor="text1"/>
                <w:sz w:val="22"/>
                <w:szCs w:val="22"/>
                <w14:textFill>
                  <w14:solidFill>
                    <w14:schemeClr w14:val="tx1"/>
                  </w14:solidFill>
                </w14:textFill>
              </w:rPr>
              <w:t>kg（平均</w:t>
            </w:r>
            <w:r>
              <w:rPr>
                <w:rFonts w:hint="eastAsia"/>
                <w:color w:val="000000" w:themeColor="text1"/>
                <w:sz w:val="22"/>
                <w:szCs w:val="22"/>
                <w14:textFill>
                  <w14:solidFill>
                    <w14:schemeClr w14:val="tx1"/>
                  </w14:solidFill>
                </w14:textFill>
              </w:rPr>
              <w:t>1.0</w:t>
            </w:r>
            <w:r>
              <w:rPr>
                <w:color w:val="000000" w:themeColor="text1"/>
                <w:sz w:val="22"/>
                <w:szCs w:val="22"/>
                <w14:textFill>
                  <w14:solidFill>
                    <w14:schemeClr w14:val="tx1"/>
                  </w14:solidFill>
                </w14:textFill>
              </w:rPr>
              <w:t>kg）</w:t>
            </w:r>
          </w:p>
        </w:tc>
        <w:tc>
          <w:tcPr>
            <w:tcW w:w="561" w:type="pct"/>
            <w:vAlign w:val="center"/>
          </w:tcPr>
          <w:p w14:paraId="21E1EA3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2400件/a（约</w:t>
            </w:r>
            <w:r>
              <w:rPr>
                <w:rFonts w:hint="eastAsia"/>
                <w:color w:val="000000" w:themeColor="text1"/>
                <w:sz w:val="22"/>
                <w:szCs w:val="22"/>
                <w14:textFill>
                  <w14:solidFill>
                    <w14:schemeClr w14:val="tx1"/>
                  </w14:solidFill>
                </w14:textFill>
              </w:rPr>
              <w:t>2.4</w:t>
            </w:r>
            <w:r>
              <w:rPr>
                <w:color w:val="000000" w:themeColor="text1"/>
                <w:sz w:val="22"/>
                <w:szCs w:val="22"/>
                <w14:textFill>
                  <w14:solidFill>
                    <w14:schemeClr w14:val="tx1"/>
                  </w14:solidFill>
                </w14:textFill>
              </w:rPr>
              <w:t>t/a）</w:t>
            </w:r>
          </w:p>
        </w:tc>
        <w:tc>
          <w:tcPr>
            <w:tcW w:w="661" w:type="pct"/>
            <w:vAlign w:val="center"/>
          </w:tcPr>
          <w:p w14:paraId="72E31851">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w:t>
            </w:r>
          </w:p>
        </w:tc>
        <w:tc>
          <w:tcPr>
            <w:tcW w:w="610" w:type="pct"/>
            <w:vAlign w:val="center"/>
          </w:tcPr>
          <w:p w14:paraId="0D28E18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2400件/a（约</w:t>
            </w:r>
            <w:r>
              <w:rPr>
                <w:rFonts w:hint="eastAsia"/>
                <w:color w:val="000000" w:themeColor="text1"/>
                <w:sz w:val="22"/>
                <w:szCs w:val="22"/>
                <w14:textFill>
                  <w14:solidFill>
                    <w14:schemeClr w14:val="tx1"/>
                  </w14:solidFill>
                </w14:textFill>
              </w:rPr>
              <w:t>2.4</w:t>
            </w:r>
            <w:r>
              <w:rPr>
                <w:color w:val="000000" w:themeColor="text1"/>
                <w:sz w:val="22"/>
                <w:szCs w:val="22"/>
                <w14:textFill>
                  <w14:solidFill>
                    <w14:schemeClr w14:val="tx1"/>
                  </w14:solidFill>
                </w14:textFill>
              </w:rPr>
              <w:t>t/a）</w:t>
            </w:r>
          </w:p>
        </w:tc>
        <w:tc>
          <w:tcPr>
            <w:tcW w:w="377" w:type="pct"/>
            <w:vMerge w:val="continue"/>
            <w:vAlign w:val="center"/>
          </w:tcPr>
          <w:p w14:paraId="74619717">
            <w:pPr>
              <w:spacing w:line="240" w:lineRule="auto"/>
              <w:ind w:firstLine="0" w:firstLineChars="0"/>
              <w:jc w:val="center"/>
              <w:rPr>
                <w:color w:val="000000" w:themeColor="text1"/>
                <w:sz w:val="22"/>
                <w:szCs w:val="22"/>
                <w14:textFill>
                  <w14:solidFill>
                    <w14:schemeClr w14:val="tx1"/>
                  </w14:solidFill>
                </w14:textFill>
              </w:rPr>
            </w:pPr>
          </w:p>
        </w:tc>
      </w:tr>
      <w:tr w14:paraId="23B4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765BE1B1">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3DEE3A7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p>
        </w:tc>
        <w:tc>
          <w:tcPr>
            <w:tcW w:w="544" w:type="pct"/>
            <w:vAlign w:val="center"/>
          </w:tcPr>
          <w:p w14:paraId="7744AD5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石英舟</w:t>
            </w:r>
          </w:p>
        </w:tc>
        <w:tc>
          <w:tcPr>
            <w:tcW w:w="548" w:type="pct"/>
            <w:vAlign w:val="center"/>
          </w:tcPr>
          <w:p w14:paraId="20BA7D22">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591820"/>
                  <wp:effectExtent l="0" t="0" r="444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7" r:link="rId23"/>
                          <a:stretch>
                            <a:fillRect/>
                          </a:stretch>
                        </pic:blipFill>
                        <pic:spPr>
                          <a:xfrm>
                            <a:off x="0" y="0"/>
                            <a:ext cx="720000" cy="592340"/>
                          </a:xfrm>
                          <a:prstGeom prst="rect">
                            <a:avLst/>
                          </a:prstGeom>
                          <a:noFill/>
                          <a:ln w="9525">
                            <a:noFill/>
                          </a:ln>
                        </pic:spPr>
                      </pic:pic>
                    </a:graphicData>
                  </a:graphic>
                </wp:inline>
              </w:drawing>
            </w:r>
          </w:p>
        </w:tc>
        <w:tc>
          <w:tcPr>
            <w:tcW w:w="1116" w:type="pct"/>
            <w:vAlign w:val="center"/>
          </w:tcPr>
          <w:p w14:paraId="2D5F408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w:t>
            </w:r>
            <w:r>
              <w:rPr>
                <w:rFonts w:hint="eastAsia"/>
                <w:color w:val="000000" w:themeColor="text1"/>
                <w:sz w:val="22"/>
                <w:szCs w:val="22"/>
                <w14:textFill>
                  <w14:solidFill>
                    <w14:schemeClr w14:val="tx1"/>
                  </w14:solidFill>
                </w14:textFill>
              </w:rPr>
              <w:t>1</w:t>
            </w:r>
            <w:r>
              <w:rPr>
                <w:color w:val="000000" w:themeColor="text1"/>
                <w:sz w:val="22"/>
                <w:szCs w:val="22"/>
                <w14:textFill>
                  <w14:solidFill>
                    <w14:schemeClr w14:val="tx1"/>
                  </w14:solidFill>
                </w14:textFill>
              </w:rPr>
              <w:t>kg~</w:t>
            </w:r>
            <w:r>
              <w:rPr>
                <w:rFonts w:hint="eastAsia"/>
                <w:color w:val="000000" w:themeColor="text1"/>
                <w:sz w:val="22"/>
                <w:szCs w:val="22"/>
                <w14:textFill>
                  <w14:solidFill>
                    <w14:schemeClr w14:val="tx1"/>
                  </w14:solidFill>
                </w14:textFill>
              </w:rPr>
              <w:t>1.0</w:t>
            </w:r>
            <w:r>
              <w:rPr>
                <w:color w:val="000000" w:themeColor="text1"/>
                <w:sz w:val="22"/>
                <w:szCs w:val="22"/>
                <w14:textFill>
                  <w14:solidFill>
                    <w14:schemeClr w14:val="tx1"/>
                  </w14:solidFill>
                </w14:textFill>
              </w:rPr>
              <w:t>kg（平均</w:t>
            </w:r>
            <w:r>
              <w:rPr>
                <w:rFonts w:hint="eastAsia"/>
                <w:color w:val="000000" w:themeColor="text1"/>
                <w:sz w:val="22"/>
                <w:szCs w:val="22"/>
                <w14:textFill>
                  <w14:solidFill>
                    <w14:schemeClr w14:val="tx1"/>
                  </w14:solidFill>
                </w14:textFill>
              </w:rPr>
              <w:t>0.8</w:t>
            </w:r>
            <w:r>
              <w:rPr>
                <w:color w:val="000000" w:themeColor="text1"/>
                <w:sz w:val="22"/>
                <w:szCs w:val="22"/>
                <w14:textFill>
                  <w14:solidFill>
                    <w14:schemeClr w14:val="tx1"/>
                  </w14:solidFill>
                </w14:textFill>
              </w:rPr>
              <w:t>kg）</w:t>
            </w:r>
          </w:p>
        </w:tc>
        <w:tc>
          <w:tcPr>
            <w:tcW w:w="561" w:type="pct"/>
            <w:vAlign w:val="center"/>
          </w:tcPr>
          <w:p w14:paraId="3A3AE68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36000件/a（约</w:t>
            </w:r>
            <w:r>
              <w:rPr>
                <w:rFonts w:hint="eastAsia"/>
                <w:color w:val="000000" w:themeColor="text1"/>
                <w:sz w:val="22"/>
                <w:szCs w:val="22"/>
                <w14:textFill>
                  <w14:solidFill>
                    <w14:schemeClr w14:val="tx1"/>
                  </w14:solidFill>
                </w14:textFill>
              </w:rPr>
              <w:t>28.8</w:t>
            </w:r>
            <w:r>
              <w:rPr>
                <w:color w:val="000000" w:themeColor="text1"/>
                <w:sz w:val="22"/>
                <w:szCs w:val="22"/>
                <w14:textFill>
                  <w14:solidFill>
                    <w14:schemeClr w14:val="tx1"/>
                  </w14:solidFill>
                </w14:textFill>
              </w:rPr>
              <w:t>t/a）</w:t>
            </w:r>
          </w:p>
        </w:tc>
        <w:tc>
          <w:tcPr>
            <w:tcW w:w="661" w:type="pct"/>
            <w:vAlign w:val="center"/>
          </w:tcPr>
          <w:p w14:paraId="00AA1246">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w:t>
            </w:r>
          </w:p>
        </w:tc>
        <w:tc>
          <w:tcPr>
            <w:tcW w:w="610" w:type="pct"/>
            <w:vAlign w:val="center"/>
          </w:tcPr>
          <w:p w14:paraId="178BC36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36000件/a（约</w:t>
            </w:r>
            <w:r>
              <w:rPr>
                <w:rFonts w:hint="eastAsia"/>
                <w:color w:val="000000" w:themeColor="text1"/>
                <w:sz w:val="22"/>
                <w:szCs w:val="22"/>
                <w14:textFill>
                  <w14:solidFill>
                    <w14:schemeClr w14:val="tx1"/>
                  </w14:solidFill>
                </w14:textFill>
              </w:rPr>
              <w:t>28.8</w:t>
            </w:r>
            <w:r>
              <w:rPr>
                <w:color w:val="000000" w:themeColor="text1"/>
                <w:sz w:val="22"/>
                <w:szCs w:val="22"/>
                <w14:textFill>
                  <w14:solidFill>
                    <w14:schemeClr w14:val="tx1"/>
                  </w14:solidFill>
                </w14:textFill>
              </w:rPr>
              <w:t>t/a）</w:t>
            </w:r>
          </w:p>
        </w:tc>
        <w:tc>
          <w:tcPr>
            <w:tcW w:w="377" w:type="pct"/>
            <w:vMerge w:val="continue"/>
            <w:vAlign w:val="center"/>
          </w:tcPr>
          <w:p w14:paraId="67D2F957">
            <w:pPr>
              <w:spacing w:line="240" w:lineRule="auto"/>
              <w:ind w:firstLine="0" w:firstLineChars="0"/>
              <w:jc w:val="center"/>
              <w:rPr>
                <w:color w:val="000000" w:themeColor="text1"/>
                <w:sz w:val="22"/>
                <w:szCs w:val="22"/>
                <w14:textFill>
                  <w14:solidFill>
                    <w14:schemeClr w14:val="tx1"/>
                  </w14:solidFill>
                </w14:textFill>
              </w:rPr>
            </w:pPr>
          </w:p>
        </w:tc>
      </w:tr>
      <w:tr w14:paraId="1829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598DC527">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2ED15D1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p>
        </w:tc>
        <w:tc>
          <w:tcPr>
            <w:tcW w:w="544" w:type="pct"/>
            <w:vAlign w:val="center"/>
          </w:tcPr>
          <w:p w14:paraId="30ECC86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石英管</w:t>
            </w:r>
          </w:p>
        </w:tc>
        <w:tc>
          <w:tcPr>
            <w:tcW w:w="548" w:type="pct"/>
            <w:vAlign w:val="center"/>
          </w:tcPr>
          <w:p w14:paraId="06D09566">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484505"/>
                  <wp:effectExtent l="0" t="0" r="444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8" r:link="rId23"/>
                          <a:stretch>
                            <a:fillRect/>
                          </a:stretch>
                        </pic:blipFill>
                        <pic:spPr>
                          <a:xfrm>
                            <a:off x="0" y="0"/>
                            <a:ext cx="720000" cy="485106"/>
                          </a:xfrm>
                          <a:prstGeom prst="rect">
                            <a:avLst/>
                          </a:prstGeom>
                          <a:noFill/>
                          <a:ln w="9525">
                            <a:noFill/>
                          </a:ln>
                        </pic:spPr>
                      </pic:pic>
                    </a:graphicData>
                  </a:graphic>
                </wp:inline>
              </w:drawing>
            </w:r>
          </w:p>
        </w:tc>
        <w:tc>
          <w:tcPr>
            <w:tcW w:w="1116" w:type="pct"/>
            <w:vAlign w:val="center"/>
          </w:tcPr>
          <w:p w14:paraId="0B00213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每件约0.5kg~</w:t>
            </w:r>
            <w:r>
              <w:rPr>
                <w:rFonts w:hint="eastAsia"/>
                <w:color w:val="000000" w:themeColor="text1"/>
                <w:sz w:val="22"/>
                <w:szCs w:val="22"/>
                <w14:textFill>
                  <w14:solidFill>
                    <w14:schemeClr w14:val="tx1"/>
                  </w14:solidFill>
                </w14:textFill>
              </w:rPr>
              <w:t>20</w:t>
            </w:r>
            <w:r>
              <w:rPr>
                <w:color w:val="000000" w:themeColor="text1"/>
                <w:sz w:val="22"/>
                <w:szCs w:val="22"/>
                <w14:textFill>
                  <w14:solidFill>
                    <w14:schemeClr w14:val="tx1"/>
                  </w14:solidFill>
                </w14:textFill>
              </w:rPr>
              <w:t>kg（平均</w:t>
            </w:r>
            <w:r>
              <w:rPr>
                <w:rFonts w:hint="eastAsia"/>
                <w:color w:val="000000" w:themeColor="text1"/>
                <w:sz w:val="22"/>
                <w:szCs w:val="22"/>
                <w14:textFill>
                  <w14:solidFill>
                    <w14:schemeClr w14:val="tx1"/>
                  </w14:solidFill>
                </w14:textFill>
              </w:rPr>
              <w:t>1.2</w:t>
            </w:r>
            <w:r>
              <w:rPr>
                <w:color w:val="000000" w:themeColor="text1"/>
                <w:sz w:val="22"/>
                <w:szCs w:val="22"/>
                <w14:textFill>
                  <w14:solidFill>
                    <w14:schemeClr w14:val="tx1"/>
                  </w14:solidFill>
                </w14:textFill>
              </w:rPr>
              <w:t>kg）</w:t>
            </w:r>
          </w:p>
        </w:tc>
        <w:tc>
          <w:tcPr>
            <w:tcW w:w="561" w:type="pct"/>
            <w:vAlign w:val="center"/>
          </w:tcPr>
          <w:p w14:paraId="1F0695B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1217件/a（约</w:t>
            </w:r>
            <w:r>
              <w:rPr>
                <w:rFonts w:hint="eastAsia"/>
                <w:color w:val="000000" w:themeColor="text1"/>
                <w:sz w:val="22"/>
                <w:szCs w:val="22"/>
                <w14:textFill>
                  <w14:solidFill>
                    <w14:schemeClr w14:val="tx1"/>
                  </w14:solidFill>
                </w14:textFill>
              </w:rPr>
              <w:t>1.5</w:t>
            </w:r>
            <w:r>
              <w:rPr>
                <w:color w:val="000000" w:themeColor="text1"/>
                <w:sz w:val="22"/>
                <w:szCs w:val="22"/>
                <w14:textFill>
                  <w14:solidFill>
                    <w14:schemeClr w14:val="tx1"/>
                  </w14:solidFill>
                </w14:textFill>
              </w:rPr>
              <w:t>t/a）</w:t>
            </w:r>
          </w:p>
        </w:tc>
        <w:tc>
          <w:tcPr>
            <w:tcW w:w="661" w:type="pct"/>
            <w:vAlign w:val="center"/>
          </w:tcPr>
          <w:p w14:paraId="5AAB694C">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w:t>
            </w:r>
          </w:p>
        </w:tc>
        <w:tc>
          <w:tcPr>
            <w:tcW w:w="610" w:type="pct"/>
            <w:vAlign w:val="center"/>
          </w:tcPr>
          <w:p w14:paraId="7CF3693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1217件/a（约</w:t>
            </w:r>
            <w:r>
              <w:rPr>
                <w:rFonts w:hint="eastAsia"/>
                <w:color w:val="000000" w:themeColor="text1"/>
                <w:sz w:val="22"/>
                <w:szCs w:val="22"/>
                <w14:textFill>
                  <w14:solidFill>
                    <w14:schemeClr w14:val="tx1"/>
                  </w14:solidFill>
                </w14:textFill>
              </w:rPr>
              <w:t>1.5</w:t>
            </w:r>
            <w:r>
              <w:rPr>
                <w:color w:val="000000" w:themeColor="text1"/>
                <w:sz w:val="22"/>
                <w:szCs w:val="22"/>
                <w14:textFill>
                  <w14:solidFill>
                    <w14:schemeClr w14:val="tx1"/>
                  </w14:solidFill>
                </w14:textFill>
              </w:rPr>
              <w:t>t/a）</w:t>
            </w:r>
          </w:p>
        </w:tc>
        <w:tc>
          <w:tcPr>
            <w:tcW w:w="377" w:type="pct"/>
            <w:vMerge w:val="continue"/>
            <w:vAlign w:val="center"/>
          </w:tcPr>
          <w:p w14:paraId="21175BD0">
            <w:pPr>
              <w:spacing w:line="240" w:lineRule="auto"/>
              <w:ind w:firstLine="0" w:firstLineChars="0"/>
              <w:jc w:val="center"/>
              <w:rPr>
                <w:color w:val="000000" w:themeColor="text1"/>
                <w:sz w:val="22"/>
                <w:szCs w:val="22"/>
                <w14:textFill>
                  <w14:solidFill>
                    <w14:schemeClr w14:val="tx1"/>
                  </w14:solidFill>
                </w14:textFill>
              </w:rPr>
            </w:pPr>
          </w:p>
        </w:tc>
      </w:tr>
      <w:tr w14:paraId="2BA1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Align w:val="center"/>
          </w:tcPr>
          <w:p w14:paraId="1D75321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石墨产品</w:t>
            </w:r>
          </w:p>
        </w:tc>
        <w:tc>
          <w:tcPr>
            <w:tcW w:w="253" w:type="pct"/>
            <w:vAlign w:val="center"/>
          </w:tcPr>
          <w:p w14:paraId="340FAACC">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544" w:type="pct"/>
            <w:vAlign w:val="center"/>
          </w:tcPr>
          <w:p w14:paraId="5818130C">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石墨零部件</w:t>
            </w:r>
          </w:p>
        </w:tc>
        <w:tc>
          <w:tcPr>
            <w:tcW w:w="548" w:type="pct"/>
            <w:vAlign w:val="center"/>
          </w:tcPr>
          <w:p w14:paraId="2E9FA361">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457200"/>
                  <wp:effectExtent l="0" t="0" r="4445" b="0"/>
                  <wp:docPr id="11613426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42699" name="图片 7"/>
                          <pic:cNvPicPr>
                            <a:picLocks noChangeAspect="1"/>
                          </pic:cNvPicPr>
                        </pic:nvPicPr>
                        <pic:blipFill>
                          <a:blip r:embed="rId29" r:link="rId23"/>
                          <a:stretch>
                            <a:fillRect/>
                          </a:stretch>
                        </pic:blipFill>
                        <pic:spPr>
                          <a:xfrm>
                            <a:off x="0" y="0"/>
                            <a:ext cx="720001" cy="457547"/>
                          </a:xfrm>
                          <a:prstGeom prst="rect">
                            <a:avLst/>
                          </a:prstGeom>
                          <a:noFill/>
                          <a:ln w="9525">
                            <a:noFill/>
                          </a:ln>
                        </pic:spPr>
                      </pic:pic>
                    </a:graphicData>
                  </a:graphic>
                </wp:inline>
              </w:drawing>
            </w:r>
          </w:p>
        </w:tc>
        <w:tc>
          <w:tcPr>
            <w:tcW w:w="1116" w:type="pct"/>
            <w:vAlign w:val="center"/>
          </w:tcPr>
          <w:p w14:paraId="3D4B88E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每件约0.1kg~50kg（平均2.3kg</w:t>
            </w:r>
            <w:r>
              <w:rPr>
                <w:rFonts w:hint="eastAsia"/>
                <w:color w:val="000000" w:themeColor="text1"/>
                <w:sz w:val="22"/>
                <w:szCs w:val="22"/>
                <w14:textFill>
                  <w14:solidFill>
                    <w14:schemeClr w14:val="tx1"/>
                  </w14:solidFill>
                </w14:textFill>
              </w:rPr>
              <w:t>，扩能平均0.3kg</w:t>
            </w:r>
            <w:r>
              <w:rPr>
                <w:color w:val="000000" w:themeColor="text1"/>
                <w:sz w:val="22"/>
                <w:szCs w:val="22"/>
                <w14:textFill>
                  <w14:solidFill>
                    <w14:schemeClr w14:val="tx1"/>
                  </w14:solidFill>
                </w14:textFill>
              </w:rPr>
              <w:t>）</w:t>
            </w:r>
          </w:p>
        </w:tc>
        <w:tc>
          <w:tcPr>
            <w:tcW w:w="561" w:type="pct"/>
            <w:vAlign w:val="center"/>
          </w:tcPr>
          <w:p w14:paraId="15D0808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35000件/a（约80.5t/a）</w:t>
            </w:r>
          </w:p>
        </w:tc>
        <w:tc>
          <w:tcPr>
            <w:tcW w:w="661" w:type="pct"/>
            <w:vAlign w:val="center"/>
          </w:tcPr>
          <w:p w14:paraId="7AE0919D">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170</w:t>
            </w:r>
            <w:r>
              <w:rPr>
                <w:color w:val="000000" w:themeColor="text1"/>
                <w:sz w:val="22"/>
                <w:szCs w:val="22"/>
                <w14:textFill>
                  <w14:solidFill>
                    <w14:schemeClr w14:val="tx1"/>
                  </w14:solidFill>
                </w14:textFill>
              </w:rPr>
              <w:t>000件/a（约</w:t>
            </w:r>
            <w:r>
              <w:rPr>
                <w:rFonts w:hint="eastAsia"/>
                <w:color w:val="000000" w:themeColor="text1"/>
                <w:sz w:val="22"/>
                <w:szCs w:val="22"/>
                <w14:textFill>
                  <w14:solidFill>
                    <w14:schemeClr w14:val="tx1"/>
                  </w14:solidFill>
                </w14:textFill>
              </w:rPr>
              <w:t>51.32</w:t>
            </w:r>
            <w:r>
              <w:rPr>
                <w:color w:val="000000" w:themeColor="text1"/>
                <w:sz w:val="22"/>
                <w:szCs w:val="22"/>
                <w14:textFill>
                  <w14:solidFill>
                    <w14:schemeClr w14:val="tx1"/>
                  </w14:solidFill>
                </w14:textFill>
              </w:rPr>
              <w:t>t/a）</w:t>
            </w:r>
          </w:p>
        </w:tc>
        <w:tc>
          <w:tcPr>
            <w:tcW w:w="610" w:type="pct"/>
            <w:vAlign w:val="center"/>
          </w:tcPr>
          <w:p w14:paraId="143F1F8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20</w:t>
            </w:r>
            <w:r>
              <w:rPr>
                <w:color w:val="000000" w:themeColor="text1"/>
                <w:sz w:val="22"/>
                <w:szCs w:val="22"/>
                <w14:textFill>
                  <w14:solidFill>
                    <w14:schemeClr w14:val="tx1"/>
                  </w14:solidFill>
                </w14:textFill>
              </w:rPr>
              <w:t>5000件/a（约</w:t>
            </w:r>
            <w:r>
              <w:rPr>
                <w:rFonts w:hint="eastAsia"/>
                <w:color w:val="000000" w:themeColor="text1"/>
                <w:sz w:val="22"/>
                <w:szCs w:val="22"/>
                <w14:textFill>
                  <w14:solidFill>
                    <w14:schemeClr w14:val="tx1"/>
                  </w14:solidFill>
                </w14:textFill>
              </w:rPr>
              <w:t>131.82</w:t>
            </w:r>
            <w:r>
              <w:rPr>
                <w:color w:val="000000" w:themeColor="text1"/>
                <w:sz w:val="22"/>
                <w:szCs w:val="22"/>
                <w14:textFill>
                  <w14:solidFill>
                    <w14:schemeClr w14:val="tx1"/>
                  </w14:solidFill>
                </w14:textFill>
              </w:rPr>
              <w:t>t/a）</w:t>
            </w:r>
          </w:p>
        </w:tc>
        <w:tc>
          <w:tcPr>
            <w:tcW w:w="377" w:type="pct"/>
            <w:vAlign w:val="center"/>
          </w:tcPr>
          <w:p w14:paraId="54AA7D9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本次</w:t>
            </w:r>
            <w:r>
              <w:rPr>
                <w:rFonts w:hint="eastAsia"/>
                <w:color w:val="000000" w:themeColor="text1"/>
                <w:sz w:val="22"/>
                <w:szCs w:val="22"/>
                <w14:textFill>
                  <w14:solidFill>
                    <w14:schemeClr w14:val="tx1"/>
                  </w14:solidFill>
                </w14:textFill>
              </w:rPr>
              <w:t>扩能</w:t>
            </w:r>
          </w:p>
        </w:tc>
      </w:tr>
      <w:tr w14:paraId="7746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restart"/>
            <w:vAlign w:val="center"/>
          </w:tcPr>
          <w:p w14:paraId="667FDAB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陶瓷产品</w:t>
            </w:r>
          </w:p>
        </w:tc>
        <w:tc>
          <w:tcPr>
            <w:tcW w:w="253" w:type="pct"/>
            <w:vAlign w:val="center"/>
          </w:tcPr>
          <w:p w14:paraId="51F69DDC">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544" w:type="pct"/>
            <w:vAlign w:val="center"/>
          </w:tcPr>
          <w:p w14:paraId="7D12D2A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陶瓷板</w:t>
            </w:r>
          </w:p>
        </w:tc>
        <w:tc>
          <w:tcPr>
            <w:tcW w:w="548" w:type="pct"/>
            <w:vMerge w:val="restart"/>
            <w:vAlign w:val="center"/>
          </w:tcPr>
          <w:p w14:paraId="5628CA7A">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rPr>
              <w:drawing>
                <wp:inline distT="0" distB="0" distL="0" distR="0">
                  <wp:extent cx="719455" cy="673735"/>
                  <wp:effectExtent l="0" t="0" r="4445" b="0"/>
                  <wp:docPr id="17229869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86989"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20000" cy="674182"/>
                          </a:xfrm>
                          <a:prstGeom prst="rect">
                            <a:avLst/>
                          </a:prstGeom>
                          <a:noFill/>
                          <a:ln>
                            <a:noFill/>
                          </a:ln>
                        </pic:spPr>
                      </pic:pic>
                    </a:graphicData>
                  </a:graphic>
                </wp:inline>
              </w:drawing>
            </w:r>
          </w:p>
        </w:tc>
        <w:tc>
          <w:tcPr>
            <w:tcW w:w="1116" w:type="pct"/>
            <w:vAlign w:val="center"/>
          </w:tcPr>
          <w:p w14:paraId="75EC9AE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1套6-10块</w:t>
            </w:r>
          </w:p>
        </w:tc>
        <w:tc>
          <w:tcPr>
            <w:tcW w:w="561" w:type="pct"/>
            <w:vAlign w:val="center"/>
          </w:tcPr>
          <w:p w14:paraId="1100C34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120套</w:t>
            </w:r>
          </w:p>
        </w:tc>
        <w:tc>
          <w:tcPr>
            <w:tcW w:w="661" w:type="pct"/>
            <w:vAlign w:val="center"/>
          </w:tcPr>
          <w:p w14:paraId="654F54F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610" w:type="pct"/>
            <w:vAlign w:val="center"/>
          </w:tcPr>
          <w:p w14:paraId="2F7BD5C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120套</w:t>
            </w:r>
          </w:p>
        </w:tc>
        <w:tc>
          <w:tcPr>
            <w:tcW w:w="377" w:type="pct"/>
            <w:vMerge w:val="restart"/>
            <w:vAlign w:val="center"/>
          </w:tcPr>
          <w:p w14:paraId="3CC5472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现有工程产品</w:t>
            </w:r>
            <w:r>
              <w:rPr>
                <w:rFonts w:hint="eastAsia"/>
                <w:color w:val="000000" w:themeColor="text1"/>
                <w:sz w:val="22"/>
                <w:szCs w:val="22"/>
                <w14:textFill>
                  <w14:solidFill>
                    <w14:schemeClr w14:val="tx1"/>
                  </w14:solidFill>
                </w14:textFill>
              </w:rPr>
              <w:t>，本次不涉及</w:t>
            </w:r>
          </w:p>
        </w:tc>
      </w:tr>
      <w:tr w14:paraId="6B6F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66801DF1">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5C098A4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p>
        </w:tc>
        <w:tc>
          <w:tcPr>
            <w:tcW w:w="544" w:type="pct"/>
            <w:vAlign w:val="center"/>
          </w:tcPr>
          <w:p w14:paraId="750ABCE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陶瓷环</w:t>
            </w:r>
          </w:p>
        </w:tc>
        <w:tc>
          <w:tcPr>
            <w:tcW w:w="548" w:type="pct"/>
            <w:vMerge w:val="continue"/>
            <w:vAlign w:val="center"/>
          </w:tcPr>
          <w:p w14:paraId="37FEC8F5">
            <w:pPr>
              <w:spacing w:line="240" w:lineRule="auto"/>
              <w:ind w:firstLine="0" w:firstLineChars="0"/>
              <w:jc w:val="center"/>
              <w:rPr>
                <w:color w:val="000000" w:themeColor="text1"/>
                <w:sz w:val="22"/>
                <w:szCs w:val="22"/>
                <w14:textFill>
                  <w14:solidFill>
                    <w14:schemeClr w14:val="tx1"/>
                  </w14:solidFill>
                </w14:textFill>
              </w:rPr>
            </w:pPr>
          </w:p>
        </w:tc>
        <w:tc>
          <w:tcPr>
            <w:tcW w:w="1116" w:type="pct"/>
            <w:vAlign w:val="center"/>
          </w:tcPr>
          <w:p w14:paraId="4470386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561" w:type="pct"/>
            <w:vAlign w:val="center"/>
          </w:tcPr>
          <w:p w14:paraId="203048E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2400个</w:t>
            </w:r>
          </w:p>
        </w:tc>
        <w:tc>
          <w:tcPr>
            <w:tcW w:w="661" w:type="pct"/>
            <w:vAlign w:val="center"/>
          </w:tcPr>
          <w:p w14:paraId="776A2B1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610" w:type="pct"/>
            <w:vAlign w:val="center"/>
          </w:tcPr>
          <w:p w14:paraId="3F05369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2400个</w:t>
            </w:r>
          </w:p>
        </w:tc>
        <w:tc>
          <w:tcPr>
            <w:tcW w:w="377" w:type="pct"/>
            <w:vMerge w:val="continue"/>
            <w:vAlign w:val="center"/>
          </w:tcPr>
          <w:p w14:paraId="460C92FA">
            <w:pPr>
              <w:spacing w:line="240" w:lineRule="auto"/>
              <w:ind w:firstLine="0" w:firstLineChars="0"/>
              <w:jc w:val="center"/>
              <w:rPr>
                <w:color w:val="000000" w:themeColor="text1"/>
                <w:sz w:val="22"/>
                <w:szCs w:val="22"/>
                <w14:textFill>
                  <w14:solidFill>
                    <w14:schemeClr w14:val="tx1"/>
                  </w14:solidFill>
                </w14:textFill>
              </w:rPr>
            </w:pPr>
          </w:p>
        </w:tc>
      </w:tr>
      <w:tr w14:paraId="7826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2B406832">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60EA121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p>
        </w:tc>
        <w:tc>
          <w:tcPr>
            <w:tcW w:w="544" w:type="pct"/>
            <w:vAlign w:val="center"/>
          </w:tcPr>
          <w:p w14:paraId="0EC3F01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陶瓷盘、棒</w:t>
            </w:r>
          </w:p>
        </w:tc>
        <w:tc>
          <w:tcPr>
            <w:tcW w:w="548" w:type="pct"/>
            <w:vMerge w:val="continue"/>
            <w:vAlign w:val="center"/>
          </w:tcPr>
          <w:p w14:paraId="0DDE7B00">
            <w:pPr>
              <w:spacing w:line="240" w:lineRule="auto"/>
              <w:ind w:firstLine="0" w:firstLineChars="0"/>
              <w:jc w:val="center"/>
              <w:rPr>
                <w:color w:val="000000" w:themeColor="text1"/>
                <w:sz w:val="22"/>
                <w:szCs w:val="22"/>
                <w14:textFill>
                  <w14:solidFill>
                    <w14:schemeClr w14:val="tx1"/>
                  </w14:solidFill>
                </w14:textFill>
              </w:rPr>
            </w:pPr>
          </w:p>
        </w:tc>
        <w:tc>
          <w:tcPr>
            <w:tcW w:w="1116" w:type="pct"/>
            <w:vAlign w:val="center"/>
          </w:tcPr>
          <w:p w14:paraId="2B215DE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1套6-10块</w:t>
            </w:r>
          </w:p>
        </w:tc>
        <w:tc>
          <w:tcPr>
            <w:tcW w:w="561" w:type="pct"/>
            <w:vAlign w:val="center"/>
          </w:tcPr>
          <w:p w14:paraId="3A1C5BE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12000套</w:t>
            </w:r>
          </w:p>
        </w:tc>
        <w:tc>
          <w:tcPr>
            <w:tcW w:w="661" w:type="pct"/>
            <w:vAlign w:val="center"/>
          </w:tcPr>
          <w:p w14:paraId="6CFDB55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610" w:type="pct"/>
            <w:vAlign w:val="center"/>
          </w:tcPr>
          <w:p w14:paraId="5C225B9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12000套</w:t>
            </w:r>
          </w:p>
        </w:tc>
        <w:tc>
          <w:tcPr>
            <w:tcW w:w="377" w:type="pct"/>
            <w:vMerge w:val="continue"/>
            <w:vAlign w:val="center"/>
          </w:tcPr>
          <w:p w14:paraId="2D2178DE">
            <w:pPr>
              <w:spacing w:line="240" w:lineRule="auto"/>
              <w:ind w:firstLine="0" w:firstLineChars="0"/>
              <w:jc w:val="center"/>
              <w:rPr>
                <w:color w:val="000000" w:themeColor="text1"/>
                <w:sz w:val="22"/>
                <w:szCs w:val="22"/>
                <w14:textFill>
                  <w14:solidFill>
                    <w14:schemeClr w14:val="tx1"/>
                  </w14:solidFill>
                </w14:textFill>
              </w:rPr>
            </w:pPr>
          </w:p>
        </w:tc>
      </w:tr>
      <w:tr w14:paraId="4D5E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7DCF66A0">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18A1036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p>
        </w:tc>
        <w:tc>
          <w:tcPr>
            <w:tcW w:w="544" w:type="pct"/>
            <w:vAlign w:val="center"/>
          </w:tcPr>
          <w:p w14:paraId="740B98CC">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陶瓷滚筒</w:t>
            </w:r>
          </w:p>
        </w:tc>
        <w:tc>
          <w:tcPr>
            <w:tcW w:w="548" w:type="pct"/>
            <w:vAlign w:val="center"/>
          </w:tcPr>
          <w:p w14:paraId="7BF1ADE9">
            <w:pPr>
              <w:spacing w:line="240" w:lineRule="auto"/>
              <w:ind w:firstLine="0" w:firstLineChars="0"/>
              <w:jc w:val="center"/>
              <w:rPr>
                <w:snapToGrid/>
                <w:color w:val="000000" w:themeColor="text1"/>
                <w:sz w:val="22"/>
                <w:szCs w:val="22"/>
                <w14:textFill>
                  <w14:solidFill>
                    <w14:schemeClr w14:val="tx1"/>
                  </w14:solidFill>
                </w14:textFill>
                <w14:ligatures w14:val="standardContextual"/>
              </w:rPr>
            </w:pPr>
            <w:r>
              <w:rPr>
                <w:snapToGrid/>
                <w:color w:val="000000" w:themeColor="text1"/>
                <w14:textFill>
                  <w14:solidFill>
                    <w14:schemeClr w14:val="tx1"/>
                  </w14:solidFill>
                </w14:textFill>
                <w14:ligatures w14:val="standardContextual"/>
              </w:rPr>
              <w:drawing>
                <wp:inline distT="0" distB="0" distL="0" distR="0">
                  <wp:extent cx="719455" cy="568325"/>
                  <wp:effectExtent l="0" t="0" r="4445" b="3175"/>
                  <wp:docPr id="1751358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89" name="图片 11"/>
                          <pic:cNvPicPr>
                            <a:picLocks noChangeAspect="1"/>
                          </pic:cNvPicPr>
                        </pic:nvPicPr>
                        <pic:blipFill>
                          <a:blip r:embed="rId31"/>
                          <a:stretch>
                            <a:fillRect/>
                          </a:stretch>
                        </pic:blipFill>
                        <pic:spPr>
                          <a:xfrm>
                            <a:off x="0" y="0"/>
                            <a:ext cx="720000" cy="568696"/>
                          </a:xfrm>
                          <a:prstGeom prst="rect">
                            <a:avLst/>
                          </a:prstGeom>
                          <a:noFill/>
                          <a:ln w="9525">
                            <a:noFill/>
                          </a:ln>
                        </pic:spPr>
                      </pic:pic>
                    </a:graphicData>
                  </a:graphic>
                </wp:inline>
              </w:drawing>
            </w:r>
          </w:p>
        </w:tc>
        <w:tc>
          <w:tcPr>
            <w:tcW w:w="1116" w:type="pct"/>
            <w:vAlign w:val="center"/>
          </w:tcPr>
          <w:p w14:paraId="01A9C1C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直径30mm，长度180mm每件0.3kg</w:t>
            </w:r>
          </w:p>
        </w:tc>
        <w:tc>
          <w:tcPr>
            <w:tcW w:w="561" w:type="pct"/>
            <w:vAlign w:val="center"/>
          </w:tcPr>
          <w:p w14:paraId="687AB13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4000件/a（约1.2t/a）</w:t>
            </w:r>
          </w:p>
        </w:tc>
        <w:tc>
          <w:tcPr>
            <w:tcW w:w="661" w:type="pct"/>
            <w:vAlign w:val="center"/>
          </w:tcPr>
          <w:p w14:paraId="45ECD230">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w:t>
            </w:r>
          </w:p>
        </w:tc>
        <w:tc>
          <w:tcPr>
            <w:tcW w:w="610" w:type="pct"/>
            <w:vAlign w:val="center"/>
          </w:tcPr>
          <w:p w14:paraId="2948468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4000件/a（约1.2t/a）</w:t>
            </w:r>
          </w:p>
        </w:tc>
        <w:tc>
          <w:tcPr>
            <w:tcW w:w="377" w:type="pct"/>
            <w:vMerge w:val="continue"/>
            <w:vAlign w:val="center"/>
          </w:tcPr>
          <w:p w14:paraId="54C60FF1">
            <w:pPr>
              <w:spacing w:line="240" w:lineRule="auto"/>
              <w:ind w:firstLine="0" w:firstLineChars="0"/>
              <w:jc w:val="center"/>
              <w:rPr>
                <w:color w:val="000000" w:themeColor="text1"/>
                <w:sz w:val="22"/>
                <w:szCs w:val="22"/>
                <w14:textFill>
                  <w14:solidFill>
                    <w14:schemeClr w14:val="tx1"/>
                  </w14:solidFill>
                </w14:textFill>
              </w:rPr>
            </w:pPr>
          </w:p>
        </w:tc>
      </w:tr>
      <w:tr w14:paraId="1772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3B01A60B">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494BC2F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w:t>
            </w:r>
          </w:p>
        </w:tc>
        <w:tc>
          <w:tcPr>
            <w:tcW w:w="544" w:type="pct"/>
            <w:vAlign w:val="center"/>
          </w:tcPr>
          <w:p w14:paraId="7A838F2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陶瓷杆</w:t>
            </w:r>
          </w:p>
        </w:tc>
        <w:tc>
          <w:tcPr>
            <w:tcW w:w="548" w:type="pct"/>
            <w:vAlign w:val="center"/>
          </w:tcPr>
          <w:p w14:paraId="24182DC1">
            <w:pPr>
              <w:spacing w:line="240" w:lineRule="auto"/>
              <w:ind w:firstLine="0" w:firstLineChars="0"/>
              <w:jc w:val="center"/>
              <w:rPr>
                <w:color w:val="000000" w:themeColor="text1"/>
                <w:sz w:val="22"/>
                <w:szCs w:val="22"/>
                <w14:textFill>
                  <w14:solidFill>
                    <w14:schemeClr w14:val="tx1"/>
                  </w14:solidFill>
                </w14:textFill>
              </w:rPr>
            </w:pPr>
            <w:r>
              <w:rPr>
                <w:snapToGrid/>
                <w:color w:val="000000" w:themeColor="text1"/>
                <w14:textFill>
                  <w14:solidFill>
                    <w14:schemeClr w14:val="tx1"/>
                  </w14:solidFill>
                </w14:textFill>
                <w14:ligatures w14:val="standardContextual"/>
              </w:rPr>
              <w:drawing>
                <wp:inline distT="0" distB="0" distL="0" distR="0">
                  <wp:extent cx="719455" cy="577850"/>
                  <wp:effectExtent l="0" t="0" r="4445" b="0"/>
                  <wp:docPr id="20483829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82947" name="图片 12"/>
                          <pic:cNvPicPr>
                            <a:picLocks noChangeAspect="1"/>
                          </pic:cNvPicPr>
                        </pic:nvPicPr>
                        <pic:blipFill>
                          <a:blip r:embed="rId32"/>
                          <a:stretch>
                            <a:fillRect/>
                          </a:stretch>
                        </pic:blipFill>
                        <pic:spPr>
                          <a:xfrm>
                            <a:off x="0" y="0"/>
                            <a:ext cx="720000" cy="578102"/>
                          </a:xfrm>
                          <a:prstGeom prst="rect">
                            <a:avLst/>
                          </a:prstGeom>
                          <a:noFill/>
                          <a:ln w="9525">
                            <a:noFill/>
                          </a:ln>
                        </pic:spPr>
                      </pic:pic>
                    </a:graphicData>
                  </a:graphic>
                </wp:inline>
              </w:drawing>
            </w:r>
          </w:p>
        </w:tc>
        <w:tc>
          <w:tcPr>
            <w:tcW w:w="1116" w:type="pct"/>
            <w:vAlign w:val="center"/>
          </w:tcPr>
          <w:p w14:paraId="4EA0036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直径8mm，长度450mm每件0.1kg</w:t>
            </w:r>
          </w:p>
        </w:tc>
        <w:tc>
          <w:tcPr>
            <w:tcW w:w="561" w:type="pct"/>
            <w:vAlign w:val="center"/>
          </w:tcPr>
          <w:p w14:paraId="6BAE77E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4000件/a（约0.4t/a）</w:t>
            </w:r>
          </w:p>
        </w:tc>
        <w:tc>
          <w:tcPr>
            <w:tcW w:w="661" w:type="pct"/>
            <w:vAlign w:val="center"/>
          </w:tcPr>
          <w:p w14:paraId="1F3AC6B1">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w:t>
            </w:r>
          </w:p>
        </w:tc>
        <w:tc>
          <w:tcPr>
            <w:tcW w:w="610" w:type="pct"/>
            <w:vAlign w:val="center"/>
          </w:tcPr>
          <w:p w14:paraId="2CE52BD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4000件/a（约0.4t/a）</w:t>
            </w:r>
          </w:p>
        </w:tc>
        <w:tc>
          <w:tcPr>
            <w:tcW w:w="377" w:type="pct"/>
            <w:vMerge w:val="continue"/>
            <w:vAlign w:val="center"/>
          </w:tcPr>
          <w:p w14:paraId="6ECF07FB">
            <w:pPr>
              <w:spacing w:line="240" w:lineRule="auto"/>
              <w:ind w:firstLine="0" w:firstLineChars="0"/>
              <w:jc w:val="center"/>
              <w:rPr>
                <w:color w:val="000000" w:themeColor="text1"/>
                <w:sz w:val="22"/>
                <w:szCs w:val="22"/>
                <w14:textFill>
                  <w14:solidFill>
                    <w14:schemeClr w14:val="tx1"/>
                  </w14:solidFill>
                </w14:textFill>
              </w:rPr>
            </w:pPr>
          </w:p>
        </w:tc>
      </w:tr>
      <w:tr w14:paraId="0D9F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restart"/>
            <w:vAlign w:val="center"/>
          </w:tcPr>
          <w:p w14:paraId="0CD8658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碳化硅产品</w:t>
            </w:r>
          </w:p>
        </w:tc>
        <w:tc>
          <w:tcPr>
            <w:tcW w:w="253" w:type="pct"/>
            <w:vAlign w:val="center"/>
          </w:tcPr>
          <w:p w14:paraId="64BB26F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544" w:type="pct"/>
            <w:vAlign w:val="center"/>
          </w:tcPr>
          <w:p w14:paraId="7AD2731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SIC环</w:t>
            </w:r>
          </w:p>
        </w:tc>
        <w:tc>
          <w:tcPr>
            <w:tcW w:w="548" w:type="pct"/>
            <w:vMerge w:val="restart"/>
            <w:vAlign w:val="center"/>
          </w:tcPr>
          <w:p w14:paraId="76957338">
            <w:pPr>
              <w:spacing w:line="240" w:lineRule="auto"/>
              <w:ind w:firstLine="0" w:firstLineChars="0"/>
              <w:jc w:val="center"/>
              <w:rPr>
                <w:snapToGrid/>
                <w:color w:val="000000" w:themeColor="text1"/>
                <w:sz w:val="22"/>
                <w:szCs w:val="22"/>
                <w14:textFill>
                  <w14:solidFill>
                    <w14:schemeClr w14:val="tx1"/>
                  </w14:solidFill>
                </w14:textFill>
                <w14:ligatures w14:val="standardContextual"/>
              </w:rPr>
            </w:pPr>
            <w:r>
              <w:rPr>
                <w:snapToGrid/>
                <w:color w:val="000000" w:themeColor="text1"/>
                <w14:textFill>
                  <w14:solidFill>
                    <w14:schemeClr w14:val="tx1"/>
                  </w14:solidFill>
                </w14:textFill>
                <w14:ligatures w14:val="standardContextual"/>
              </w:rPr>
              <w:drawing>
                <wp:inline distT="0" distB="0" distL="0" distR="0">
                  <wp:extent cx="719455" cy="646430"/>
                  <wp:effectExtent l="0" t="0" r="4445"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3" r:link="rId23"/>
                          <a:stretch>
                            <a:fillRect/>
                          </a:stretch>
                        </pic:blipFill>
                        <pic:spPr>
                          <a:xfrm>
                            <a:off x="0" y="0"/>
                            <a:ext cx="720000" cy="646737"/>
                          </a:xfrm>
                          <a:prstGeom prst="rect">
                            <a:avLst/>
                          </a:prstGeom>
                          <a:noFill/>
                          <a:ln w="9525">
                            <a:noFill/>
                          </a:ln>
                        </pic:spPr>
                      </pic:pic>
                    </a:graphicData>
                  </a:graphic>
                </wp:inline>
              </w:drawing>
            </w:r>
          </w:p>
        </w:tc>
        <w:tc>
          <w:tcPr>
            <w:tcW w:w="1116" w:type="pct"/>
            <w:vAlign w:val="center"/>
          </w:tcPr>
          <w:p w14:paraId="5E722AF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每件约0.5kg~5kg</w:t>
            </w:r>
          </w:p>
        </w:tc>
        <w:tc>
          <w:tcPr>
            <w:tcW w:w="561" w:type="pct"/>
            <w:vAlign w:val="center"/>
          </w:tcPr>
          <w:p w14:paraId="5CE66CA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w:t>
            </w:r>
            <w:r>
              <w:rPr>
                <w:rFonts w:hint="eastAsia"/>
                <w:color w:val="000000" w:themeColor="text1"/>
                <w:sz w:val="22"/>
                <w:szCs w:val="22"/>
                <w:lang w:val="zh-CN"/>
                <w14:textFill>
                  <w14:solidFill>
                    <w14:schemeClr w14:val="tx1"/>
                  </w14:solidFill>
                </w14:textFill>
              </w:rPr>
              <w:t>1</w:t>
            </w:r>
            <w:r>
              <w:rPr>
                <w:color w:val="000000" w:themeColor="text1"/>
                <w:sz w:val="22"/>
                <w:szCs w:val="22"/>
                <w:lang w:val="zh-CN"/>
                <w14:textFill>
                  <w14:solidFill>
                    <w14:schemeClr w14:val="tx1"/>
                  </w14:solidFill>
                </w14:textFill>
              </w:rPr>
              <w:t>800件/a（约35.4t）</w:t>
            </w:r>
          </w:p>
        </w:tc>
        <w:tc>
          <w:tcPr>
            <w:tcW w:w="661" w:type="pct"/>
            <w:vAlign w:val="center"/>
          </w:tcPr>
          <w:p w14:paraId="0EE2AA8B">
            <w:pPr>
              <w:spacing w:line="240" w:lineRule="auto"/>
              <w:ind w:firstLine="0" w:firstLineChars="0"/>
              <w:jc w:val="center"/>
              <w:rPr>
                <w:color w:val="000000" w:themeColor="text1"/>
                <w:sz w:val="22"/>
                <w:szCs w:val="22"/>
                <w14:textFill>
                  <w14:solidFill>
                    <w14:schemeClr w14:val="tx1"/>
                  </w14:solidFill>
                </w14:textFill>
              </w:rPr>
            </w:pPr>
          </w:p>
        </w:tc>
        <w:tc>
          <w:tcPr>
            <w:tcW w:w="610" w:type="pct"/>
            <w:vAlign w:val="center"/>
          </w:tcPr>
          <w:p w14:paraId="28B55D9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lang w:val="zh-CN"/>
                <w14:textFill>
                  <w14:solidFill>
                    <w14:schemeClr w14:val="tx1"/>
                  </w14:solidFill>
                </w14:textFill>
              </w:rPr>
              <w:t>1</w:t>
            </w:r>
            <w:r>
              <w:rPr>
                <w:rFonts w:hint="eastAsia"/>
                <w:color w:val="000000" w:themeColor="text1"/>
                <w:sz w:val="22"/>
                <w:szCs w:val="22"/>
                <w:lang w:val="zh-CN"/>
                <w14:textFill>
                  <w14:solidFill>
                    <w14:schemeClr w14:val="tx1"/>
                  </w14:solidFill>
                </w14:textFill>
              </w:rPr>
              <w:t>1</w:t>
            </w:r>
            <w:r>
              <w:rPr>
                <w:color w:val="000000" w:themeColor="text1"/>
                <w:sz w:val="22"/>
                <w:szCs w:val="22"/>
                <w:lang w:val="zh-CN"/>
                <w14:textFill>
                  <w14:solidFill>
                    <w14:schemeClr w14:val="tx1"/>
                  </w14:solidFill>
                </w14:textFill>
              </w:rPr>
              <w:t>800件/a（约35.4t）</w:t>
            </w:r>
          </w:p>
        </w:tc>
        <w:tc>
          <w:tcPr>
            <w:tcW w:w="377" w:type="pct"/>
            <w:vMerge w:val="continue"/>
            <w:vAlign w:val="center"/>
          </w:tcPr>
          <w:p w14:paraId="50D4C53F">
            <w:pPr>
              <w:spacing w:line="240" w:lineRule="auto"/>
              <w:ind w:firstLine="0" w:firstLineChars="0"/>
              <w:jc w:val="center"/>
              <w:rPr>
                <w:color w:val="000000" w:themeColor="text1"/>
                <w:sz w:val="22"/>
                <w:szCs w:val="22"/>
                <w14:textFill>
                  <w14:solidFill>
                    <w14:schemeClr w14:val="tx1"/>
                  </w14:solidFill>
                </w14:textFill>
              </w:rPr>
            </w:pPr>
          </w:p>
        </w:tc>
      </w:tr>
      <w:tr w14:paraId="5D2D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47D74A97">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29554CA9">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w:t>
            </w:r>
          </w:p>
        </w:tc>
        <w:tc>
          <w:tcPr>
            <w:tcW w:w="544" w:type="pct"/>
            <w:vAlign w:val="center"/>
          </w:tcPr>
          <w:p w14:paraId="486AC603">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碳化硅涂层部件</w:t>
            </w:r>
          </w:p>
        </w:tc>
        <w:tc>
          <w:tcPr>
            <w:tcW w:w="548" w:type="pct"/>
            <w:vMerge w:val="continue"/>
            <w:vAlign w:val="center"/>
          </w:tcPr>
          <w:p w14:paraId="433B3A08">
            <w:pPr>
              <w:spacing w:line="240" w:lineRule="auto"/>
              <w:ind w:firstLine="0" w:firstLineChars="0"/>
              <w:jc w:val="center"/>
              <w:rPr>
                <w:snapToGrid/>
                <w:color w:val="000000" w:themeColor="text1"/>
                <w14:textFill>
                  <w14:solidFill>
                    <w14:schemeClr w14:val="tx1"/>
                  </w14:solidFill>
                </w14:textFill>
                <w14:ligatures w14:val="standardContextual"/>
              </w:rPr>
            </w:pPr>
          </w:p>
        </w:tc>
        <w:tc>
          <w:tcPr>
            <w:tcW w:w="1116" w:type="pct"/>
            <w:vAlign w:val="center"/>
          </w:tcPr>
          <w:p w14:paraId="522E0FA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1套4~20个0.53kg~1.7kg（平均1.2kg）</w:t>
            </w:r>
          </w:p>
        </w:tc>
        <w:tc>
          <w:tcPr>
            <w:tcW w:w="561" w:type="pct"/>
            <w:vAlign w:val="center"/>
          </w:tcPr>
          <w:p w14:paraId="4C1C910D">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w:t>
            </w:r>
          </w:p>
        </w:tc>
        <w:tc>
          <w:tcPr>
            <w:tcW w:w="661" w:type="pct"/>
            <w:vAlign w:val="center"/>
          </w:tcPr>
          <w:p w14:paraId="7EF58FD0">
            <w:pPr>
              <w:spacing w:line="240" w:lineRule="auto"/>
              <w:ind w:firstLine="0" w:firstLineChars="0"/>
              <w:jc w:val="center"/>
              <w:rPr>
                <w:color w:val="000000" w:themeColor="text1"/>
                <w:sz w:val="22"/>
                <w:szCs w:val="22"/>
                <w:lang w:val="zh-CN"/>
                <w14:textFill>
                  <w14:solidFill>
                    <w14:schemeClr w14:val="tx1"/>
                  </w14:solidFill>
                </w14:textFill>
              </w:rPr>
            </w:pPr>
            <w:r>
              <w:rPr>
                <w:color w:val="000000" w:themeColor="text1"/>
                <w:sz w:val="22"/>
                <w:szCs w:val="22"/>
                <w:lang w:val="zh-CN"/>
                <w14:textFill>
                  <w14:solidFill>
                    <w14:schemeClr w14:val="tx1"/>
                  </w14:solidFill>
                </w14:textFill>
              </w:rPr>
              <w:t>1</w:t>
            </w:r>
            <w:r>
              <w:rPr>
                <w:rFonts w:hint="eastAsia"/>
                <w:color w:val="000000" w:themeColor="text1"/>
                <w:sz w:val="22"/>
                <w:szCs w:val="22"/>
                <w:lang w:val="zh-CN"/>
                <w14:textFill>
                  <w14:solidFill>
                    <w14:schemeClr w14:val="tx1"/>
                  </w14:solidFill>
                </w14:textFill>
              </w:rPr>
              <w:t>0</w:t>
            </w:r>
            <w:r>
              <w:rPr>
                <w:color w:val="000000" w:themeColor="text1"/>
                <w:sz w:val="22"/>
                <w:szCs w:val="22"/>
                <w:lang w:val="zh-CN"/>
                <w14:textFill>
                  <w14:solidFill>
                    <w14:schemeClr w14:val="tx1"/>
                  </w14:solidFill>
                </w14:textFill>
              </w:rPr>
              <w:t>00</w:t>
            </w:r>
            <w:r>
              <w:rPr>
                <w:rFonts w:hint="eastAsia"/>
                <w:color w:val="000000" w:themeColor="text1"/>
                <w:sz w:val="22"/>
                <w:szCs w:val="22"/>
                <w:lang w:val="zh-CN"/>
                <w14:textFill>
                  <w14:solidFill>
                    <w14:schemeClr w14:val="tx1"/>
                  </w14:solidFill>
                </w14:textFill>
              </w:rPr>
              <w:t>套</w:t>
            </w:r>
            <w:r>
              <w:rPr>
                <w:color w:val="000000" w:themeColor="text1"/>
                <w:sz w:val="22"/>
                <w:szCs w:val="22"/>
                <w:lang w:val="zh-CN"/>
                <w14:textFill>
                  <w14:solidFill>
                    <w14:schemeClr w14:val="tx1"/>
                  </w14:solidFill>
                </w14:textFill>
              </w:rPr>
              <w:t>/a（约</w:t>
            </w:r>
            <w:r>
              <w:rPr>
                <w:rFonts w:hint="eastAsia"/>
                <w:color w:val="000000" w:themeColor="text1"/>
                <w:sz w:val="22"/>
                <w:szCs w:val="22"/>
                <w:lang w:val="zh-CN"/>
                <w14:textFill>
                  <w14:solidFill>
                    <w14:schemeClr w14:val="tx1"/>
                  </w14:solidFill>
                </w14:textFill>
              </w:rPr>
              <w:t>2</w:t>
            </w:r>
            <w:r>
              <w:rPr>
                <w:color w:val="000000" w:themeColor="text1"/>
                <w:sz w:val="22"/>
                <w:szCs w:val="22"/>
                <w:lang w:val="zh-CN"/>
                <w14:textFill>
                  <w14:solidFill>
                    <w14:schemeClr w14:val="tx1"/>
                  </w14:solidFill>
                </w14:textFill>
              </w:rPr>
              <w:t>.4t）</w:t>
            </w:r>
          </w:p>
        </w:tc>
        <w:tc>
          <w:tcPr>
            <w:tcW w:w="610" w:type="pct"/>
            <w:vAlign w:val="center"/>
          </w:tcPr>
          <w:p w14:paraId="2D9B1493">
            <w:pPr>
              <w:spacing w:line="240" w:lineRule="auto"/>
              <w:ind w:firstLine="0" w:firstLineChars="0"/>
              <w:jc w:val="center"/>
              <w:rPr>
                <w:color w:val="000000" w:themeColor="text1"/>
                <w:sz w:val="22"/>
                <w:szCs w:val="22"/>
                <w:lang w:val="zh-CN"/>
                <w14:textFill>
                  <w14:solidFill>
                    <w14:schemeClr w14:val="tx1"/>
                  </w14:solidFill>
                </w14:textFill>
              </w:rPr>
            </w:pPr>
            <w:r>
              <w:rPr>
                <w:color w:val="000000" w:themeColor="text1"/>
                <w:sz w:val="22"/>
                <w:szCs w:val="22"/>
                <w:lang w:val="zh-CN"/>
                <w14:textFill>
                  <w14:solidFill>
                    <w14:schemeClr w14:val="tx1"/>
                  </w14:solidFill>
                </w14:textFill>
              </w:rPr>
              <w:t>1</w:t>
            </w:r>
            <w:r>
              <w:rPr>
                <w:rFonts w:hint="eastAsia"/>
                <w:color w:val="000000" w:themeColor="text1"/>
                <w:sz w:val="22"/>
                <w:szCs w:val="22"/>
                <w:lang w:val="zh-CN"/>
                <w14:textFill>
                  <w14:solidFill>
                    <w14:schemeClr w14:val="tx1"/>
                  </w14:solidFill>
                </w14:textFill>
              </w:rPr>
              <w:t>0</w:t>
            </w:r>
            <w:r>
              <w:rPr>
                <w:color w:val="000000" w:themeColor="text1"/>
                <w:sz w:val="22"/>
                <w:szCs w:val="22"/>
                <w:lang w:val="zh-CN"/>
                <w14:textFill>
                  <w14:solidFill>
                    <w14:schemeClr w14:val="tx1"/>
                  </w14:solidFill>
                </w14:textFill>
              </w:rPr>
              <w:t>00</w:t>
            </w:r>
            <w:r>
              <w:rPr>
                <w:rFonts w:hint="eastAsia"/>
                <w:color w:val="000000" w:themeColor="text1"/>
                <w:sz w:val="22"/>
                <w:szCs w:val="22"/>
                <w:lang w:val="zh-CN"/>
                <w14:textFill>
                  <w14:solidFill>
                    <w14:schemeClr w14:val="tx1"/>
                  </w14:solidFill>
                </w14:textFill>
              </w:rPr>
              <w:t>套</w:t>
            </w:r>
            <w:r>
              <w:rPr>
                <w:color w:val="000000" w:themeColor="text1"/>
                <w:sz w:val="22"/>
                <w:szCs w:val="22"/>
                <w:lang w:val="zh-CN"/>
                <w14:textFill>
                  <w14:solidFill>
                    <w14:schemeClr w14:val="tx1"/>
                  </w14:solidFill>
                </w14:textFill>
              </w:rPr>
              <w:t>/a（约</w:t>
            </w:r>
            <w:r>
              <w:rPr>
                <w:rFonts w:hint="eastAsia"/>
                <w:color w:val="000000" w:themeColor="text1"/>
                <w:sz w:val="22"/>
                <w:szCs w:val="22"/>
                <w:lang w:val="zh-CN"/>
                <w14:textFill>
                  <w14:solidFill>
                    <w14:schemeClr w14:val="tx1"/>
                  </w14:solidFill>
                </w14:textFill>
              </w:rPr>
              <w:t>2</w:t>
            </w:r>
            <w:r>
              <w:rPr>
                <w:color w:val="000000" w:themeColor="text1"/>
                <w:sz w:val="22"/>
                <w:szCs w:val="22"/>
                <w:lang w:val="zh-CN"/>
                <w14:textFill>
                  <w14:solidFill>
                    <w14:schemeClr w14:val="tx1"/>
                  </w14:solidFill>
                </w14:textFill>
              </w:rPr>
              <w:t>.4t）</w:t>
            </w:r>
          </w:p>
        </w:tc>
        <w:tc>
          <w:tcPr>
            <w:tcW w:w="377" w:type="pct"/>
            <w:vMerge w:val="restart"/>
            <w:vAlign w:val="center"/>
          </w:tcPr>
          <w:p w14:paraId="3171288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本次新增产品</w:t>
            </w:r>
          </w:p>
        </w:tc>
      </w:tr>
      <w:tr w14:paraId="0775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restart"/>
            <w:vAlign w:val="center"/>
          </w:tcPr>
          <w:p w14:paraId="2385C3B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GASKET</w:t>
            </w:r>
            <w:r>
              <w:rPr>
                <w:rFonts w:hint="eastAsia"/>
                <w:color w:val="000000" w:themeColor="text1"/>
                <w:sz w:val="22"/>
                <w:szCs w:val="22"/>
                <w14:textFill>
                  <w14:solidFill>
                    <w14:schemeClr w14:val="tx1"/>
                  </w14:solidFill>
                </w14:textFill>
              </w:rPr>
              <w:t>（垫圈、衬垫、密封垫）产品</w:t>
            </w:r>
          </w:p>
        </w:tc>
        <w:tc>
          <w:tcPr>
            <w:tcW w:w="253" w:type="pct"/>
            <w:vAlign w:val="center"/>
          </w:tcPr>
          <w:p w14:paraId="5DB32EBB">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w:t>
            </w:r>
          </w:p>
        </w:tc>
        <w:tc>
          <w:tcPr>
            <w:tcW w:w="544" w:type="pct"/>
            <w:vAlign w:val="center"/>
          </w:tcPr>
          <w:p w14:paraId="3E14AC8D">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垫片</w:t>
            </w:r>
          </w:p>
        </w:tc>
        <w:tc>
          <w:tcPr>
            <w:tcW w:w="548" w:type="pct"/>
            <w:vAlign w:val="center"/>
          </w:tcPr>
          <w:p w14:paraId="3A2C774A">
            <w:pPr>
              <w:spacing w:line="240" w:lineRule="auto"/>
              <w:ind w:firstLine="0" w:firstLineChars="0"/>
              <w:jc w:val="center"/>
              <w:rPr>
                <w:snapToGrid/>
                <w:color w:val="000000" w:themeColor="text1"/>
                <w14:textFill>
                  <w14:solidFill>
                    <w14:schemeClr w14:val="tx1"/>
                  </w14:solidFill>
                </w14:textFill>
                <w14:ligatures w14:val="standardContextual"/>
              </w:rPr>
            </w:pPr>
            <w:r>
              <w:rPr>
                <w:snapToGrid/>
                <w:color w:val="000000" w:themeColor="text1"/>
                <w14:textFill>
                  <w14:solidFill>
                    <w14:schemeClr w14:val="tx1"/>
                  </w14:solidFill>
                </w14:textFill>
                <w14:ligatures w14:val="standardContextual"/>
              </w:rPr>
              <w:drawing>
                <wp:inline distT="0" distB="0" distL="0" distR="0">
                  <wp:extent cx="621030" cy="682625"/>
                  <wp:effectExtent l="0" t="0" r="7620" b="3175"/>
                  <wp:docPr id="811340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4080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t="12247" r="5783" b="10006"/>
                          <a:stretch>
                            <a:fillRect/>
                          </a:stretch>
                        </pic:blipFill>
                        <pic:spPr>
                          <a:xfrm>
                            <a:off x="0" y="0"/>
                            <a:ext cx="635705" cy="699117"/>
                          </a:xfrm>
                          <a:prstGeom prst="rect">
                            <a:avLst/>
                          </a:prstGeom>
                          <a:noFill/>
                          <a:ln>
                            <a:noFill/>
                          </a:ln>
                        </pic:spPr>
                      </pic:pic>
                    </a:graphicData>
                  </a:graphic>
                </wp:inline>
              </w:drawing>
            </w:r>
          </w:p>
        </w:tc>
        <w:tc>
          <w:tcPr>
            <w:tcW w:w="1116" w:type="pct"/>
            <w:vAlign w:val="center"/>
          </w:tcPr>
          <w:p w14:paraId="56E9121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w:t>
            </w:r>
            <w:r>
              <w:rPr>
                <w:rFonts w:hint="eastAsia"/>
                <w:color w:val="000000" w:themeColor="text1"/>
                <w:sz w:val="22"/>
                <w:szCs w:val="22"/>
                <w14:textFill>
                  <w14:solidFill>
                    <w14:schemeClr w14:val="tx1"/>
                  </w14:solidFill>
                </w14:textFill>
              </w:rPr>
              <w:t>个</w:t>
            </w:r>
            <w:r>
              <w:rPr>
                <w:color w:val="000000" w:themeColor="text1"/>
                <w:sz w:val="22"/>
                <w:szCs w:val="22"/>
                <w14:textFill>
                  <w14:solidFill>
                    <w14:schemeClr w14:val="tx1"/>
                  </w14:solidFill>
                </w14:textFill>
              </w:rPr>
              <w:t>约0.</w:t>
            </w:r>
            <w:r>
              <w:rPr>
                <w:rFonts w:hint="eastAsia"/>
                <w:color w:val="000000" w:themeColor="text1"/>
                <w:sz w:val="22"/>
                <w:szCs w:val="22"/>
                <w14:textFill>
                  <w14:solidFill>
                    <w14:schemeClr w14:val="tx1"/>
                  </w14:solidFill>
                </w14:textFill>
              </w:rPr>
              <w:t>3</w:t>
            </w:r>
            <w:r>
              <w:rPr>
                <w:color w:val="000000" w:themeColor="text1"/>
                <w:sz w:val="22"/>
                <w:szCs w:val="22"/>
                <w14:textFill>
                  <w14:solidFill>
                    <w14:schemeClr w14:val="tx1"/>
                  </w14:solidFill>
                </w14:textFill>
              </w:rPr>
              <w:t>g~</w:t>
            </w:r>
            <w:r>
              <w:rPr>
                <w:rFonts w:hint="eastAsia"/>
                <w:color w:val="000000" w:themeColor="text1"/>
                <w:sz w:val="22"/>
                <w:szCs w:val="22"/>
                <w14:textFill>
                  <w14:solidFill>
                    <w14:schemeClr w14:val="tx1"/>
                  </w14:solidFill>
                </w14:textFill>
              </w:rPr>
              <w:t>0.</w:t>
            </w:r>
            <w:r>
              <w:rPr>
                <w:color w:val="000000" w:themeColor="text1"/>
                <w:sz w:val="22"/>
                <w:szCs w:val="22"/>
                <w14:textFill>
                  <w14:solidFill>
                    <w14:schemeClr w14:val="tx1"/>
                  </w14:solidFill>
                </w14:textFill>
              </w:rPr>
              <w:t>5g</w:t>
            </w:r>
          </w:p>
        </w:tc>
        <w:tc>
          <w:tcPr>
            <w:tcW w:w="561" w:type="pct"/>
            <w:vAlign w:val="center"/>
          </w:tcPr>
          <w:p w14:paraId="4668161C">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w:t>
            </w:r>
          </w:p>
        </w:tc>
        <w:tc>
          <w:tcPr>
            <w:tcW w:w="661" w:type="pct"/>
            <w:vAlign w:val="center"/>
          </w:tcPr>
          <w:p w14:paraId="2224FF86">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83000个/a</w:t>
            </w:r>
            <w:r>
              <w:rPr>
                <w:color w:val="000000" w:themeColor="text1"/>
                <w:sz w:val="22"/>
                <w:szCs w:val="22"/>
                <w:lang w:val="zh-CN"/>
                <w14:textFill>
                  <w14:solidFill>
                    <w14:schemeClr w14:val="tx1"/>
                  </w14:solidFill>
                </w14:textFill>
              </w:rPr>
              <w:t>（约</w:t>
            </w:r>
            <w:r>
              <w:rPr>
                <w:rFonts w:hint="eastAsia"/>
                <w:color w:val="000000" w:themeColor="text1"/>
                <w:sz w:val="22"/>
                <w:szCs w:val="22"/>
                <w:lang w:val="zh-CN"/>
                <w14:textFill>
                  <w14:solidFill>
                    <w14:schemeClr w14:val="tx1"/>
                  </w14:solidFill>
                </w14:textFill>
              </w:rPr>
              <w:t>33.2kg</w:t>
            </w:r>
            <w:r>
              <w:rPr>
                <w:color w:val="000000" w:themeColor="text1"/>
                <w:sz w:val="22"/>
                <w:szCs w:val="22"/>
                <w:lang w:val="zh-CN"/>
                <w14:textFill>
                  <w14:solidFill>
                    <w14:schemeClr w14:val="tx1"/>
                  </w14:solidFill>
                </w14:textFill>
              </w:rPr>
              <w:t>）</w:t>
            </w:r>
          </w:p>
        </w:tc>
        <w:tc>
          <w:tcPr>
            <w:tcW w:w="610" w:type="pct"/>
            <w:vAlign w:val="center"/>
          </w:tcPr>
          <w:p w14:paraId="006B78DF">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83000个/a</w:t>
            </w:r>
            <w:r>
              <w:rPr>
                <w:color w:val="000000" w:themeColor="text1"/>
                <w:sz w:val="22"/>
                <w:szCs w:val="22"/>
                <w:lang w:val="zh-CN"/>
                <w14:textFill>
                  <w14:solidFill>
                    <w14:schemeClr w14:val="tx1"/>
                  </w14:solidFill>
                </w14:textFill>
              </w:rPr>
              <w:t>（约</w:t>
            </w:r>
            <w:r>
              <w:rPr>
                <w:rFonts w:hint="eastAsia"/>
                <w:color w:val="000000" w:themeColor="text1"/>
                <w:sz w:val="22"/>
                <w:szCs w:val="22"/>
                <w:lang w:val="zh-CN"/>
                <w14:textFill>
                  <w14:solidFill>
                    <w14:schemeClr w14:val="tx1"/>
                  </w14:solidFill>
                </w14:textFill>
              </w:rPr>
              <w:t>33.2kg</w:t>
            </w:r>
            <w:r>
              <w:rPr>
                <w:color w:val="000000" w:themeColor="text1"/>
                <w:sz w:val="22"/>
                <w:szCs w:val="22"/>
                <w:lang w:val="zh-CN"/>
                <w14:textFill>
                  <w14:solidFill>
                    <w14:schemeClr w14:val="tx1"/>
                  </w14:solidFill>
                </w14:textFill>
              </w:rPr>
              <w:t>）</w:t>
            </w:r>
          </w:p>
        </w:tc>
        <w:tc>
          <w:tcPr>
            <w:tcW w:w="377" w:type="pct"/>
            <w:vMerge w:val="continue"/>
            <w:vAlign w:val="center"/>
          </w:tcPr>
          <w:p w14:paraId="3608B78A">
            <w:pPr>
              <w:spacing w:line="240" w:lineRule="auto"/>
              <w:ind w:firstLine="0" w:firstLineChars="0"/>
              <w:jc w:val="center"/>
              <w:rPr>
                <w:color w:val="000000" w:themeColor="text1"/>
                <w:sz w:val="22"/>
                <w:szCs w:val="22"/>
                <w14:textFill>
                  <w14:solidFill>
                    <w14:schemeClr w14:val="tx1"/>
                  </w14:solidFill>
                </w14:textFill>
              </w:rPr>
            </w:pPr>
          </w:p>
        </w:tc>
      </w:tr>
      <w:tr w14:paraId="1C45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5182F3F3">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27D5A318">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w:t>
            </w:r>
          </w:p>
        </w:tc>
        <w:tc>
          <w:tcPr>
            <w:tcW w:w="544" w:type="pct"/>
            <w:vAlign w:val="center"/>
          </w:tcPr>
          <w:p w14:paraId="49DEA630">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塑料零部件</w:t>
            </w:r>
          </w:p>
        </w:tc>
        <w:tc>
          <w:tcPr>
            <w:tcW w:w="548" w:type="pct"/>
            <w:vAlign w:val="center"/>
          </w:tcPr>
          <w:p w14:paraId="7D9A4A70">
            <w:pPr>
              <w:spacing w:line="240" w:lineRule="auto"/>
              <w:ind w:firstLine="0" w:firstLineChars="0"/>
              <w:jc w:val="center"/>
              <w:rPr>
                <w:snapToGrid/>
                <w:color w:val="000000" w:themeColor="text1"/>
                <w14:textFill>
                  <w14:solidFill>
                    <w14:schemeClr w14:val="tx1"/>
                  </w14:solidFill>
                </w14:textFill>
                <w14:ligatures w14:val="standardContextual"/>
              </w:rPr>
            </w:pPr>
            <w:r>
              <w:rPr>
                <w:snapToGrid/>
                <w:color w:val="000000" w:themeColor="text1"/>
                <w14:textFill>
                  <w14:solidFill>
                    <w14:schemeClr w14:val="tx1"/>
                  </w14:solidFill>
                </w14:textFill>
                <w14:ligatures w14:val="standardContextual"/>
              </w:rPr>
              <w:drawing>
                <wp:inline distT="0" distB="0" distL="0" distR="0">
                  <wp:extent cx="655320" cy="578485"/>
                  <wp:effectExtent l="0" t="0" r="0" b="0"/>
                  <wp:docPr id="18393533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53361"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l="15081" t="43323" r="15188" b="10510"/>
                          <a:stretch>
                            <a:fillRect/>
                          </a:stretch>
                        </pic:blipFill>
                        <pic:spPr>
                          <a:xfrm>
                            <a:off x="0" y="0"/>
                            <a:ext cx="663940" cy="586044"/>
                          </a:xfrm>
                          <a:prstGeom prst="rect">
                            <a:avLst/>
                          </a:prstGeom>
                          <a:noFill/>
                          <a:ln>
                            <a:noFill/>
                          </a:ln>
                        </pic:spPr>
                      </pic:pic>
                    </a:graphicData>
                  </a:graphic>
                </wp:inline>
              </w:drawing>
            </w:r>
          </w:p>
        </w:tc>
        <w:tc>
          <w:tcPr>
            <w:tcW w:w="1116" w:type="pct"/>
            <w:vAlign w:val="center"/>
          </w:tcPr>
          <w:p w14:paraId="2326A41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w:t>
            </w:r>
            <w:r>
              <w:rPr>
                <w:rFonts w:hint="eastAsia"/>
                <w:color w:val="000000" w:themeColor="text1"/>
                <w:sz w:val="22"/>
                <w:szCs w:val="22"/>
                <w14:textFill>
                  <w14:solidFill>
                    <w14:schemeClr w14:val="tx1"/>
                  </w14:solidFill>
                </w14:textFill>
              </w:rPr>
              <w:t>个</w:t>
            </w:r>
            <w:r>
              <w:rPr>
                <w:color w:val="000000" w:themeColor="text1"/>
                <w:sz w:val="22"/>
                <w:szCs w:val="22"/>
                <w14:textFill>
                  <w14:solidFill>
                    <w14:schemeClr w14:val="tx1"/>
                  </w14:solidFill>
                </w14:textFill>
              </w:rPr>
              <w:t>约0.</w:t>
            </w:r>
            <w:r>
              <w:rPr>
                <w:rFonts w:hint="eastAsia"/>
                <w:color w:val="000000" w:themeColor="text1"/>
                <w:sz w:val="22"/>
                <w:szCs w:val="22"/>
                <w14:textFill>
                  <w14:solidFill>
                    <w14:schemeClr w14:val="tx1"/>
                  </w14:solidFill>
                </w14:textFill>
              </w:rPr>
              <w:t>3</w:t>
            </w:r>
            <w:r>
              <w:rPr>
                <w:color w:val="000000" w:themeColor="text1"/>
                <w:sz w:val="22"/>
                <w:szCs w:val="22"/>
                <w14:textFill>
                  <w14:solidFill>
                    <w14:schemeClr w14:val="tx1"/>
                  </w14:solidFill>
                </w14:textFill>
              </w:rPr>
              <w:t>g~</w:t>
            </w:r>
            <w:r>
              <w:rPr>
                <w:rFonts w:hint="eastAsia"/>
                <w:color w:val="000000" w:themeColor="text1"/>
                <w:sz w:val="22"/>
                <w:szCs w:val="22"/>
                <w14:textFill>
                  <w14:solidFill>
                    <w14:schemeClr w14:val="tx1"/>
                  </w14:solidFill>
                </w14:textFill>
              </w:rPr>
              <w:t>0.</w:t>
            </w:r>
            <w:r>
              <w:rPr>
                <w:color w:val="000000" w:themeColor="text1"/>
                <w:sz w:val="22"/>
                <w:szCs w:val="22"/>
                <w14:textFill>
                  <w14:solidFill>
                    <w14:schemeClr w14:val="tx1"/>
                  </w14:solidFill>
                </w14:textFill>
              </w:rPr>
              <w:t>5g</w:t>
            </w:r>
          </w:p>
        </w:tc>
        <w:tc>
          <w:tcPr>
            <w:tcW w:w="561" w:type="pct"/>
            <w:vAlign w:val="center"/>
          </w:tcPr>
          <w:p w14:paraId="1C712A45">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w:t>
            </w:r>
          </w:p>
        </w:tc>
        <w:tc>
          <w:tcPr>
            <w:tcW w:w="661" w:type="pct"/>
            <w:vAlign w:val="center"/>
          </w:tcPr>
          <w:p w14:paraId="3C6F69D7">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55000个/a</w:t>
            </w:r>
            <w:r>
              <w:rPr>
                <w:color w:val="000000" w:themeColor="text1"/>
                <w:sz w:val="22"/>
                <w:szCs w:val="22"/>
                <w:lang w:val="zh-CN"/>
                <w14:textFill>
                  <w14:solidFill>
                    <w14:schemeClr w14:val="tx1"/>
                  </w14:solidFill>
                </w14:textFill>
              </w:rPr>
              <w:t>（约</w:t>
            </w:r>
            <w:r>
              <w:rPr>
                <w:rFonts w:hint="eastAsia"/>
                <w:color w:val="000000" w:themeColor="text1"/>
                <w:sz w:val="22"/>
                <w:szCs w:val="22"/>
                <w:lang w:val="zh-CN"/>
                <w14:textFill>
                  <w14:solidFill>
                    <w14:schemeClr w14:val="tx1"/>
                  </w14:solidFill>
                </w14:textFill>
              </w:rPr>
              <w:t>22kg</w:t>
            </w:r>
            <w:r>
              <w:rPr>
                <w:color w:val="000000" w:themeColor="text1"/>
                <w:sz w:val="22"/>
                <w:szCs w:val="22"/>
                <w:lang w:val="zh-CN"/>
                <w14:textFill>
                  <w14:solidFill>
                    <w14:schemeClr w14:val="tx1"/>
                  </w14:solidFill>
                </w14:textFill>
              </w:rPr>
              <w:t>）</w:t>
            </w:r>
          </w:p>
        </w:tc>
        <w:tc>
          <w:tcPr>
            <w:tcW w:w="610" w:type="pct"/>
            <w:vAlign w:val="center"/>
          </w:tcPr>
          <w:p w14:paraId="193C2F9B">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55000个/a</w:t>
            </w:r>
            <w:r>
              <w:rPr>
                <w:color w:val="000000" w:themeColor="text1"/>
                <w:sz w:val="22"/>
                <w:szCs w:val="22"/>
                <w:lang w:val="zh-CN"/>
                <w14:textFill>
                  <w14:solidFill>
                    <w14:schemeClr w14:val="tx1"/>
                  </w14:solidFill>
                </w14:textFill>
              </w:rPr>
              <w:t>（约</w:t>
            </w:r>
            <w:r>
              <w:rPr>
                <w:rFonts w:hint="eastAsia"/>
                <w:color w:val="000000" w:themeColor="text1"/>
                <w:sz w:val="22"/>
                <w:szCs w:val="22"/>
                <w:lang w:val="zh-CN"/>
                <w14:textFill>
                  <w14:solidFill>
                    <w14:schemeClr w14:val="tx1"/>
                  </w14:solidFill>
                </w14:textFill>
              </w:rPr>
              <w:t>22kg</w:t>
            </w:r>
            <w:r>
              <w:rPr>
                <w:color w:val="000000" w:themeColor="text1"/>
                <w:sz w:val="22"/>
                <w:szCs w:val="22"/>
                <w:lang w:val="zh-CN"/>
                <w14:textFill>
                  <w14:solidFill>
                    <w14:schemeClr w14:val="tx1"/>
                  </w14:solidFill>
                </w14:textFill>
              </w:rPr>
              <w:t>）</w:t>
            </w:r>
          </w:p>
        </w:tc>
        <w:tc>
          <w:tcPr>
            <w:tcW w:w="377" w:type="pct"/>
            <w:vMerge w:val="continue"/>
            <w:vAlign w:val="center"/>
          </w:tcPr>
          <w:p w14:paraId="34FB0043">
            <w:pPr>
              <w:spacing w:line="240" w:lineRule="auto"/>
              <w:ind w:firstLine="0" w:firstLineChars="0"/>
              <w:jc w:val="center"/>
              <w:rPr>
                <w:color w:val="000000" w:themeColor="text1"/>
                <w:sz w:val="22"/>
                <w:szCs w:val="22"/>
                <w14:textFill>
                  <w14:solidFill>
                    <w14:schemeClr w14:val="tx1"/>
                  </w14:solidFill>
                </w14:textFill>
              </w:rPr>
            </w:pPr>
          </w:p>
        </w:tc>
      </w:tr>
      <w:tr w14:paraId="33C3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 w:type="pct"/>
            <w:vMerge w:val="continue"/>
            <w:vAlign w:val="center"/>
          </w:tcPr>
          <w:p w14:paraId="3D86AA75">
            <w:pPr>
              <w:spacing w:line="240" w:lineRule="auto"/>
              <w:ind w:firstLine="0" w:firstLineChars="0"/>
              <w:jc w:val="center"/>
              <w:rPr>
                <w:color w:val="000000" w:themeColor="text1"/>
                <w:sz w:val="22"/>
                <w:szCs w:val="22"/>
                <w14:textFill>
                  <w14:solidFill>
                    <w14:schemeClr w14:val="tx1"/>
                  </w14:solidFill>
                </w14:textFill>
              </w:rPr>
            </w:pPr>
          </w:p>
        </w:tc>
        <w:tc>
          <w:tcPr>
            <w:tcW w:w="253" w:type="pct"/>
            <w:vAlign w:val="center"/>
          </w:tcPr>
          <w:p w14:paraId="7246161B">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p>
        </w:tc>
        <w:tc>
          <w:tcPr>
            <w:tcW w:w="544" w:type="pct"/>
            <w:vAlign w:val="center"/>
          </w:tcPr>
          <w:p w14:paraId="05CAEE37">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金属零部件</w:t>
            </w:r>
          </w:p>
        </w:tc>
        <w:tc>
          <w:tcPr>
            <w:tcW w:w="548" w:type="pct"/>
            <w:vAlign w:val="center"/>
          </w:tcPr>
          <w:p w14:paraId="552176BE">
            <w:pPr>
              <w:spacing w:line="240" w:lineRule="auto"/>
              <w:ind w:firstLine="0" w:firstLineChars="0"/>
              <w:jc w:val="center"/>
              <w:rPr>
                <w:snapToGrid/>
                <w:color w:val="000000" w:themeColor="text1"/>
                <w14:textFill>
                  <w14:solidFill>
                    <w14:schemeClr w14:val="tx1"/>
                  </w14:solidFill>
                </w14:textFill>
                <w14:ligatures w14:val="standardContextual"/>
              </w:rPr>
            </w:pPr>
            <w:r>
              <w:rPr>
                <w:snapToGrid/>
                <w:color w:val="000000" w:themeColor="text1"/>
                <w14:textFill>
                  <w14:solidFill>
                    <w14:schemeClr w14:val="tx1"/>
                  </w14:solidFill>
                </w14:textFill>
                <w14:ligatures w14:val="standardContextual"/>
              </w:rPr>
              <w:drawing>
                <wp:inline distT="0" distB="0" distL="0" distR="0">
                  <wp:extent cx="646430" cy="539115"/>
                  <wp:effectExtent l="0" t="0" r="1270" b="0"/>
                  <wp:docPr id="6319491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49102" name="图片 14"/>
                          <pic:cNvPicPr>
                            <a:picLocks noChangeAspect="1" noChangeArrowheads="1"/>
                          </pic:cNvPicPr>
                        </pic:nvPicPr>
                        <pic:blipFill>
                          <a:blip r:embed="rId43" cstate="print">
                            <a:extLst>
                              <a:ext uri="{28A0092B-C50C-407E-A947-70E740481C1C}">
                                <a14:useLocalDpi xmlns:a14="http://schemas.microsoft.com/office/drawing/2010/main" val="0"/>
                              </a:ext>
                            </a:extLst>
                          </a:blip>
                          <a:srcRect t="19066" r="14407"/>
                          <a:stretch>
                            <a:fillRect/>
                          </a:stretch>
                        </pic:blipFill>
                        <pic:spPr>
                          <a:xfrm>
                            <a:off x="0" y="0"/>
                            <a:ext cx="683549" cy="569983"/>
                          </a:xfrm>
                          <a:prstGeom prst="rect">
                            <a:avLst/>
                          </a:prstGeom>
                          <a:noFill/>
                          <a:ln>
                            <a:noFill/>
                          </a:ln>
                        </pic:spPr>
                      </pic:pic>
                    </a:graphicData>
                  </a:graphic>
                </wp:inline>
              </w:drawing>
            </w:r>
          </w:p>
        </w:tc>
        <w:tc>
          <w:tcPr>
            <w:tcW w:w="1116" w:type="pct"/>
            <w:vAlign w:val="center"/>
          </w:tcPr>
          <w:p w14:paraId="7FD52AC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每</w:t>
            </w:r>
            <w:r>
              <w:rPr>
                <w:rFonts w:hint="eastAsia"/>
                <w:color w:val="000000" w:themeColor="text1"/>
                <w:sz w:val="22"/>
                <w:szCs w:val="22"/>
                <w14:textFill>
                  <w14:solidFill>
                    <w14:schemeClr w14:val="tx1"/>
                  </w14:solidFill>
                </w14:textFill>
              </w:rPr>
              <w:t>个</w:t>
            </w:r>
            <w:r>
              <w:rPr>
                <w:color w:val="000000" w:themeColor="text1"/>
                <w:sz w:val="22"/>
                <w:szCs w:val="22"/>
                <w14:textFill>
                  <w14:solidFill>
                    <w14:schemeClr w14:val="tx1"/>
                  </w14:solidFill>
                </w14:textFill>
              </w:rPr>
              <w:t>约</w:t>
            </w:r>
            <w:r>
              <w:rPr>
                <w:rFonts w:hint="eastAsia"/>
                <w:color w:val="000000" w:themeColor="text1"/>
                <w:sz w:val="22"/>
                <w:szCs w:val="22"/>
                <w14:textFill>
                  <w14:solidFill>
                    <w14:schemeClr w14:val="tx1"/>
                  </w14:solidFill>
                </w14:textFill>
              </w:rPr>
              <w:t>2.0</w:t>
            </w:r>
            <w:r>
              <w:rPr>
                <w:color w:val="000000" w:themeColor="text1"/>
                <w:sz w:val="22"/>
                <w:szCs w:val="22"/>
                <w14:textFill>
                  <w14:solidFill>
                    <w14:schemeClr w14:val="tx1"/>
                  </w14:solidFill>
                </w14:textFill>
              </w:rPr>
              <w:t>g~</w:t>
            </w:r>
            <w:r>
              <w:rPr>
                <w:rFonts w:hint="eastAsia"/>
                <w:color w:val="000000" w:themeColor="text1"/>
                <w:sz w:val="22"/>
                <w:szCs w:val="22"/>
                <w14:textFill>
                  <w14:solidFill>
                    <w14:schemeClr w14:val="tx1"/>
                  </w14:solidFill>
                </w14:textFill>
              </w:rPr>
              <w:t>5.0</w:t>
            </w:r>
            <w:r>
              <w:rPr>
                <w:color w:val="000000" w:themeColor="text1"/>
                <w:sz w:val="22"/>
                <w:szCs w:val="22"/>
                <w14:textFill>
                  <w14:solidFill>
                    <w14:schemeClr w14:val="tx1"/>
                  </w14:solidFill>
                </w14:textFill>
              </w:rPr>
              <w:t>g</w:t>
            </w:r>
          </w:p>
        </w:tc>
        <w:tc>
          <w:tcPr>
            <w:tcW w:w="561" w:type="pct"/>
            <w:vAlign w:val="center"/>
          </w:tcPr>
          <w:p w14:paraId="2FD78A6F">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w:t>
            </w:r>
          </w:p>
        </w:tc>
        <w:tc>
          <w:tcPr>
            <w:tcW w:w="661" w:type="pct"/>
            <w:vAlign w:val="center"/>
          </w:tcPr>
          <w:p w14:paraId="7AE69252">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51000个/a</w:t>
            </w:r>
            <w:r>
              <w:rPr>
                <w:color w:val="000000" w:themeColor="text1"/>
                <w:sz w:val="22"/>
                <w:szCs w:val="22"/>
                <w:lang w:val="zh-CN"/>
                <w14:textFill>
                  <w14:solidFill>
                    <w14:schemeClr w14:val="tx1"/>
                  </w14:solidFill>
                </w14:textFill>
              </w:rPr>
              <w:t>（约</w:t>
            </w:r>
            <w:r>
              <w:rPr>
                <w:rFonts w:hint="eastAsia"/>
                <w:color w:val="000000" w:themeColor="text1"/>
                <w:sz w:val="22"/>
                <w:szCs w:val="22"/>
                <w:lang w:val="zh-CN"/>
                <w14:textFill>
                  <w14:solidFill>
                    <w14:schemeClr w14:val="tx1"/>
                  </w14:solidFill>
                </w14:textFill>
              </w:rPr>
              <w:t>178.5kg</w:t>
            </w:r>
            <w:r>
              <w:rPr>
                <w:color w:val="000000" w:themeColor="text1"/>
                <w:sz w:val="22"/>
                <w:szCs w:val="22"/>
                <w:lang w:val="zh-CN"/>
                <w14:textFill>
                  <w14:solidFill>
                    <w14:schemeClr w14:val="tx1"/>
                  </w14:solidFill>
                </w14:textFill>
              </w:rPr>
              <w:t>）</w:t>
            </w:r>
          </w:p>
        </w:tc>
        <w:tc>
          <w:tcPr>
            <w:tcW w:w="610" w:type="pct"/>
            <w:vAlign w:val="center"/>
          </w:tcPr>
          <w:p w14:paraId="7A88575C">
            <w:pPr>
              <w:spacing w:line="240" w:lineRule="auto"/>
              <w:ind w:firstLine="0" w:firstLineChars="0"/>
              <w:jc w:val="center"/>
              <w:rPr>
                <w:color w:val="000000" w:themeColor="text1"/>
                <w:sz w:val="22"/>
                <w:szCs w:val="22"/>
                <w:lang w:val="zh-CN"/>
                <w14:textFill>
                  <w14:solidFill>
                    <w14:schemeClr w14:val="tx1"/>
                  </w14:solidFill>
                </w14:textFill>
              </w:rPr>
            </w:pPr>
            <w:r>
              <w:rPr>
                <w:rFonts w:hint="eastAsia"/>
                <w:color w:val="000000" w:themeColor="text1"/>
                <w:sz w:val="22"/>
                <w:szCs w:val="22"/>
                <w:lang w:val="zh-CN"/>
                <w14:textFill>
                  <w14:solidFill>
                    <w14:schemeClr w14:val="tx1"/>
                  </w14:solidFill>
                </w14:textFill>
              </w:rPr>
              <w:t>51000个/a</w:t>
            </w:r>
            <w:r>
              <w:rPr>
                <w:color w:val="000000" w:themeColor="text1"/>
                <w:sz w:val="22"/>
                <w:szCs w:val="22"/>
                <w:lang w:val="zh-CN"/>
                <w14:textFill>
                  <w14:solidFill>
                    <w14:schemeClr w14:val="tx1"/>
                  </w14:solidFill>
                </w14:textFill>
              </w:rPr>
              <w:t>（约</w:t>
            </w:r>
            <w:r>
              <w:rPr>
                <w:rFonts w:hint="eastAsia"/>
                <w:color w:val="000000" w:themeColor="text1"/>
                <w:sz w:val="22"/>
                <w:szCs w:val="22"/>
                <w:lang w:val="zh-CN"/>
                <w14:textFill>
                  <w14:solidFill>
                    <w14:schemeClr w14:val="tx1"/>
                  </w14:solidFill>
                </w14:textFill>
              </w:rPr>
              <w:t>178.5kg</w:t>
            </w:r>
            <w:r>
              <w:rPr>
                <w:color w:val="000000" w:themeColor="text1"/>
                <w:sz w:val="22"/>
                <w:szCs w:val="22"/>
                <w:lang w:val="zh-CN"/>
                <w14:textFill>
                  <w14:solidFill>
                    <w14:schemeClr w14:val="tx1"/>
                  </w14:solidFill>
                </w14:textFill>
              </w:rPr>
              <w:t>）</w:t>
            </w:r>
          </w:p>
        </w:tc>
        <w:tc>
          <w:tcPr>
            <w:tcW w:w="377" w:type="pct"/>
            <w:vMerge w:val="continue"/>
            <w:vAlign w:val="center"/>
          </w:tcPr>
          <w:p w14:paraId="5B8C6320">
            <w:pPr>
              <w:spacing w:line="240" w:lineRule="auto"/>
              <w:ind w:firstLine="0" w:firstLineChars="0"/>
              <w:jc w:val="center"/>
              <w:rPr>
                <w:color w:val="000000" w:themeColor="text1"/>
                <w:sz w:val="22"/>
                <w:szCs w:val="22"/>
                <w14:textFill>
                  <w14:solidFill>
                    <w14:schemeClr w14:val="tx1"/>
                  </w14:solidFill>
                </w14:textFill>
              </w:rPr>
            </w:pPr>
          </w:p>
        </w:tc>
      </w:tr>
      <w:bookmarkEnd w:id="148"/>
    </w:tbl>
    <w:p w14:paraId="733C488E">
      <w:pPr>
        <w:ind w:firstLine="0" w:firstLineChars="0"/>
        <w:rPr>
          <w:color w:val="000000" w:themeColor="text1"/>
          <w:lang w:val="zh-CN"/>
          <w14:textFill>
            <w14:solidFill>
              <w14:schemeClr w14:val="tx1"/>
            </w14:solidFill>
          </w14:textFill>
        </w:rPr>
      </w:pPr>
    </w:p>
    <w:p w14:paraId="6AB8588F">
      <w:pPr>
        <w:ind w:firstLine="520"/>
        <w:rPr>
          <w:color w:val="000000" w:themeColor="text1"/>
          <w:lang w:val="zh-CN"/>
          <w14:textFill>
            <w14:solidFill>
              <w14:schemeClr w14:val="tx1"/>
            </w14:solidFill>
          </w14:textFill>
        </w:rPr>
        <w:sectPr>
          <w:pgSz w:w="16838" w:h="11906" w:orient="landscape"/>
          <w:pgMar w:top="1800" w:right="1440" w:bottom="1800" w:left="1440" w:header="851" w:footer="992" w:gutter="0"/>
          <w:cols w:space="720" w:num="1"/>
          <w:docGrid w:type="lines" w:linePitch="354" w:charSpace="0"/>
        </w:sectPr>
      </w:pPr>
    </w:p>
    <w:p w14:paraId="3D2A5239">
      <w:pPr>
        <w:pStyle w:val="4"/>
        <w:rPr>
          <w:color w:val="000000" w:themeColor="text1"/>
          <w14:textFill>
            <w14:solidFill>
              <w14:schemeClr w14:val="tx1"/>
            </w14:solidFill>
          </w14:textFill>
        </w:rPr>
      </w:pPr>
      <w:bookmarkStart w:id="149" w:name="_Toc13986"/>
      <w:r>
        <w:rPr>
          <w:color w:val="000000" w:themeColor="text1"/>
          <w14:textFill>
            <w14:solidFill>
              <w14:schemeClr w14:val="tx1"/>
            </w14:solidFill>
          </w14:textFill>
        </w:rPr>
        <w:t>项目组成</w:t>
      </w:r>
      <w:bookmarkEnd w:id="149"/>
    </w:p>
    <w:p w14:paraId="1BA11A3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扩建项目在两个地块建设，其中</w:t>
      </w:r>
      <w:r>
        <w:rPr>
          <w:color w:val="000000" w:themeColor="text1"/>
          <w14:textFill>
            <w14:solidFill>
              <w14:schemeClr w14:val="tx1"/>
            </w14:solidFill>
          </w14:textFill>
        </w:rPr>
        <w:t>GASKET</w:t>
      </w:r>
      <w:r>
        <w:rPr>
          <w:rFonts w:hint="eastAsia"/>
          <w:color w:val="000000" w:themeColor="text1"/>
          <w14:textFill>
            <w14:solidFill>
              <w14:schemeClr w14:val="tx1"/>
            </w14:solidFill>
          </w14:textFill>
        </w:rPr>
        <w:t>产品及石墨零部件加工</w:t>
      </w:r>
      <w:r>
        <w:rPr>
          <w:color w:val="000000" w:themeColor="text1"/>
          <w14:textFill>
            <w14:solidFill>
              <w14:schemeClr w14:val="tx1"/>
            </w14:solidFill>
          </w14:textFill>
        </w:rPr>
        <w:t>租赁</w:t>
      </w:r>
      <w:r>
        <w:rPr>
          <w:rFonts w:hint="eastAsia"/>
          <w:color w:val="000000" w:themeColor="text1"/>
          <w14:textFill>
            <w14:solidFill>
              <w14:schemeClr w14:val="tx1"/>
            </w14:solidFill>
          </w14:textFill>
        </w:rPr>
        <w:t>臻宝科技公司厂房进行建设，石墨纯化及碳化硅涂层生产线利用公司现有厂房进行建设具体如下：</w:t>
      </w:r>
    </w:p>
    <w:p w14:paraId="0E788595">
      <w:pPr>
        <w:spacing w:line="240" w:lineRule="auto"/>
        <w:ind w:firstLine="520"/>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3939540</wp:posOffset>
                </wp:positionH>
                <wp:positionV relativeFrom="paragraph">
                  <wp:posOffset>1137285</wp:posOffset>
                </wp:positionV>
                <wp:extent cx="890270" cy="211455"/>
                <wp:effectExtent l="0" t="381000" r="290830" b="17145"/>
                <wp:wrapNone/>
                <wp:docPr id="271030021" name="对话气泡: 矩形 20"/>
                <wp:cNvGraphicFramePr/>
                <a:graphic xmlns:a="http://schemas.openxmlformats.org/drawingml/2006/main">
                  <a:graphicData uri="http://schemas.microsoft.com/office/word/2010/wordprocessingShape">
                    <wps:wsp>
                      <wps:cNvSpPr/>
                      <wps:spPr>
                        <a:xfrm>
                          <a:off x="0" y="0"/>
                          <a:ext cx="890270" cy="211455"/>
                        </a:xfrm>
                        <a:prstGeom prst="wedgeRectCallout">
                          <a:avLst>
                            <a:gd name="adj1" fmla="val 73679"/>
                            <a:gd name="adj2" fmla="val -21403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8AEBF">
                            <w:pPr>
                              <w:spacing w:line="240" w:lineRule="auto"/>
                              <w:ind w:firstLine="0" w:firstLineChars="0"/>
                              <w:rPr>
                                <w:color w:val="EE0000"/>
                                <w:sz w:val="21"/>
                                <w:szCs w:val="21"/>
                              </w:rPr>
                            </w:pPr>
                            <w:r>
                              <w:rPr>
                                <w:rFonts w:hint="eastAsia"/>
                                <w:color w:val="EE0000"/>
                                <w:sz w:val="21"/>
                                <w:szCs w:val="21"/>
                              </w:rPr>
                              <w:t>臻宝科技厂区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310.2pt;margin-top:89.55pt;height:16.65pt;width:70.1pt;z-index:251683840;v-text-anchor:middle;mso-width-relative:page;mso-height-relative:page;" fillcolor="#4472C4 [3204]" filled="t" stroked="t" coordsize="21600,21600" o:gfxdata="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D+fL37XAAAA&#10;CwEAAA8AAAAAAAAAAQAgAAAAIgAAAGRycy9kb3ducmV2LnhtbFBLAQIUABQAAAAIAIdO4kAq1Cjw&#10;yQIAAIUFAAAOAAAAAAAAAAEAIAAAACYBAABkcnMvZTJvRG9jLnhtbFBLBQYAAAAABgAGAFkBAABh&#10;BgAAAAA=&#10;" adj="26715,-35432">
                <v:fill on="t" focussize="0,0"/>
                <v:stroke weight="1pt" color="#172C51 [3204]" miterlimit="8" joinstyle="miter"/>
                <v:imagedata o:title=""/>
                <o:lock v:ext="edit" aspectratio="f"/>
                <v:textbox inset="0mm,0mm,0mm,0mm">
                  <w:txbxContent>
                    <w:p w14:paraId="0D08AEBF">
                      <w:pPr>
                        <w:spacing w:line="240" w:lineRule="auto"/>
                        <w:ind w:firstLine="0" w:firstLineChars="0"/>
                        <w:rPr>
                          <w:color w:val="EE0000"/>
                          <w:sz w:val="21"/>
                          <w:szCs w:val="21"/>
                        </w:rPr>
                      </w:pPr>
                      <w:r>
                        <w:rPr>
                          <w:rFonts w:hint="eastAsia"/>
                          <w:color w:val="EE0000"/>
                          <w:sz w:val="21"/>
                          <w:szCs w:val="21"/>
                        </w:rPr>
                        <w:t>臻宝科技厂区</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662940</wp:posOffset>
                </wp:positionH>
                <wp:positionV relativeFrom="paragraph">
                  <wp:posOffset>956945</wp:posOffset>
                </wp:positionV>
                <wp:extent cx="1005840" cy="211455"/>
                <wp:effectExtent l="0" t="381000" r="137160" b="17145"/>
                <wp:wrapNone/>
                <wp:docPr id="461236613" name="对话气泡: 矩形 20"/>
                <wp:cNvGraphicFramePr/>
                <a:graphic xmlns:a="http://schemas.openxmlformats.org/drawingml/2006/main">
                  <a:graphicData uri="http://schemas.microsoft.com/office/word/2010/wordprocessingShape">
                    <wps:wsp>
                      <wps:cNvSpPr/>
                      <wps:spPr>
                        <a:xfrm>
                          <a:off x="0" y="0"/>
                          <a:ext cx="1005840" cy="211455"/>
                        </a:xfrm>
                        <a:prstGeom prst="wedgeRectCallout">
                          <a:avLst>
                            <a:gd name="adj1" fmla="val 58339"/>
                            <a:gd name="adj2" fmla="val -21684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DCD560">
                            <w:pPr>
                              <w:spacing w:line="240" w:lineRule="auto"/>
                              <w:ind w:firstLine="0" w:firstLineChars="0"/>
                              <w:rPr>
                                <w:color w:val="EE0000"/>
                                <w:sz w:val="21"/>
                                <w:szCs w:val="21"/>
                              </w:rPr>
                            </w:pPr>
                            <w:r>
                              <w:rPr>
                                <w:rFonts w:hint="eastAsia"/>
                                <w:color w:val="EE0000"/>
                                <w:sz w:val="21"/>
                                <w:szCs w:val="21"/>
                              </w:rPr>
                              <w:t>臻宝半导体厂区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52.2pt;margin-top:75.35pt;height:16.65pt;width:79.2pt;z-index:251682816;v-text-anchor:middle;mso-width-relative:page;mso-height-relative:page;" fillcolor="#4472C4 [3204]" filled="t" stroked="t" coordsize="21600,21600" o:gfxdata="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GMjy2dgA&#10;AAALAQAADwAAAAAAAAABACAAAAAiAAAAZHJzL2Rvd25yZXYueG1sUEsBAhQAFAAAAAgAh07iQJpP&#10;tUDKAgAAhgUAAA4AAAAAAAAAAQAgAAAAJwEAAGRycy9lMm9Eb2MueG1sUEsFBgAAAAAGAAYAWQEA&#10;AGMGAAAAAA==&#10;" adj="23401,-36039">
                <v:fill on="t" focussize="0,0"/>
                <v:stroke weight="1pt" color="#172C51 [3204]" miterlimit="8" joinstyle="miter"/>
                <v:imagedata o:title=""/>
                <o:lock v:ext="edit" aspectratio="f"/>
                <v:textbox inset="0mm,0mm,0mm,0mm">
                  <w:txbxContent>
                    <w:p w14:paraId="11DCD560">
                      <w:pPr>
                        <w:spacing w:line="240" w:lineRule="auto"/>
                        <w:ind w:firstLine="0" w:firstLineChars="0"/>
                        <w:rPr>
                          <w:color w:val="EE0000"/>
                          <w:sz w:val="21"/>
                          <w:szCs w:val="21"/>
                        </w:rPr>
                      </w:pPr>
                      <w:r>
                        <w:rPr>
                          <w:rFonts w:hint="eastAsia"/>
                          <w:color w:val="EE0000"/>
                          <w:sz w:val="21"/>
                          <w:szCs w:val="21"/>
                        </w:rPr>
                        <w:t>臻宝半导体厂区</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2981325</wp:posOffset>
                </wp:positionH>
                <wp:positionV relativeFrom="paragraph">
                  <wp:posOffset>1818005</wp:posOffset>
                </wp:positionV>
                <wp:extent cx="453390" cy="211455"/>
                <wp:effectExtent l="0" t="0" r="60960" b="169545"/>
                <wp:wrapNone/>
                <wp:docPr id="456282011" name="对话气泡: 矩形 20"/>
                <wp:cNvGraphicFramePr/>
                <a:graphic xmlns:a="http://schemas.openxmlformats.org/drawingml/2006/main">
                  <a:graphicData uri="http://schemas.microsoft.com/office/word/2010/wordprocessingShape">
                    <wps:wsp>
                      <wps:cNvSpPr/>
                      <wps:spPr>
                        <a:xfrm>
                          <a:off x="0" y="0"/>
                          <a:ext cx="453390" cy="211455"/>
                        </a:xfrm>
                        <a:prstGeom prst="wedgeRectCallout">
                          <a:avLst>
                            <a:gd name="adj1" fmla="val 52584"/>
                            <a:gd name="adj2" fmla="val 10888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EDD3F8">
                            <w:pPr>
                              <w:spacing w:line="240" w:lineRule="auto"/>
                              <w:ind w:firstLine="0" w:firstLineChars="0"/>
                              <w:rPr>
                                <w:sz w:val="21"/>
                                <w:szCs w:val="21"/>
                              </w:rPr>
                            </w:pPr>
                            <w:r>
                              <w:rPr>
                                <w:rFonts w:hint="eastAsia"/>
                                <w:sz w:val="21"/>
                                <w:szCs w:val="21"/>
                              </w:rPr>
                              <w:t>走心机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234.75pt;margin-top:143.15pt;height:16.65pt;width:35.7pt;z-index:251681792;v-text-anchor:middle;mso-width-relative:page;mso-height-relative:page;" fillcolor="#4472C4 [3204]" filled="t" stroked="t" coordsize="21600,21600" o:gfxdata="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qSgYx&#10;3AAAAAsBAAAPAAAAAAAAAAEAIAAAACIAAABkcnMvZG93bnJldi54bWxQSwECFAAUAAAACACHTuJA&#10;5QwLs8gCAACEBQAADgAAAAAAAAABACAAAAArAQAAZHJzL2Uyb0RvYy54bWxQSwUGAAAAAAYABgBZ&#10;AQAAZQYAAAAA&#10;" adj="22158,34319">
                <v:fill on="t" focussize="0,0"/>
                <v:stroke weight="1pt" color="#172C51 [3204]" miterlimit="8" joinstyle="miter"/>
                <v:imagedata o:title=""/>
                <o:lock v:ext="edit" aspectratio="f"/>
                <v:textbox inset="0mm,0mm,0mm,0mm">
                  <w:txbxContent>
                    <w:p w14:paraId="72EDD3F8">
                      <w:pPr>
                        <w:spacing w:line="240" w:lineRule="auto"/>
                        <w:ind w:firstLine="0" w:firstLineChars="0"/>
                        <w:rPr>
                          <w:sz w:val="21"/>
                          <w:szCs w:val="21"/>
                        </w:rPr>
                      </w:pPr>
                      <w:r>
                        <w:rPr>
                          <w:rFonts w:hint="eastAsia"/>
                          <w:sz w:val="21"/>
                          <w:szCs w:val="21"/>
                        </w:rPr>
                        <w:t>走心机</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3943985</wp:posOffset>
                </wp:positionH>
                <wp:positionV relativeFrom="paragraph">
                  <wp:posOffset>1924685</wp:posOffset>
                </wp:positionV>
                <wp:extent cx="854710" cy="211455"/>
                <wp:effectExtent l="419100" t="0" r="21590" b="112395"/>
                <wp:wrapNone/>
                <wp:docPr id="2025958167" name="对话气泡: 矩形 20"/>
                <wp:cNvGraphicFramePr/>
                <a:graphic xmlns:a="http://schemas.openxmlformats.org/drawingml/2006/main">
                  <a:graphicData uri="http://schemas.microsoft.com/office/word/2010/wordprocessingShape">
                    <wps:wsp>
                      <wps:cNvSpPr/>
                      <wps:spPr>
                        <a:xfrm>
                          <a:off x="0" y="0"/>
                          <a:ext cx="854710" cy="211455"/>
                        </a:xfrm>
                        <a:prstGeom prst="wedgeRectCallout">
                          <a:avLst>
                            <a:gd name="adj1" fmla="val -92783"/>
                            <a:gd name="adj2" fmla="val 8080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E42FCF">
                            <w:pPr>
                              <w:spacing w:line="240" w:lineRule="auto"/>
                              <w:ind w:firstLine="0" w:firstLineChars="0"/>
                              <w:rPr>
                                <w:sz w:val="21"/>
                                <w:szCs w:val="21"/>
                              </w:rPr>
                            </w:pPr>
                            <w:r>
                              <w:rPr>
                                <w:sz w:val="21"/>
                                <w:szCs w:val="21"/>
                              </w:rPr>
                              <w:t>GASKET</w:t>
                            </w:r>
                            <w:r>
                              <w:rPr>
                                <w:rFonts w:hint="eastAsia"/>
                                <w:sz w:val="21"/>
                                <w:szCs w:val="21"/>
                              </w:rPr>
                              <w:t>区域</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310.55pt;margin-top:151.55pt;height:16.65pt;width:67.3pt;z-index:251680768;v-text-anchor:middle;mso-width-relative:page;mso-height-relative:page;" fillcolor="#4472C4 [3204]" filled="t" stroked="t" coordsize="21600,21600" o:gfxdata="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ichEV1wAA&#10;AAsBAAAPAAAAAAAAAAEAIAAAACIAAABkcnMvZG93bnJldi54bWxQSwECFAAUAAAACACHTuJAG4N+&#10;jsoCAACFBQAADgAAAAAAAAABACAAAAAmAQAAZHJzL2Uyb0RvYy54bWxQSwUGAAAAAAYABgBZAQAA&#10;YgYAAAAA&#10;" adj="-9241,28253">
                <v:fill on="t" focussize="0,0"/>
                <v:stroke weight="1pt" color="#172C51 [3204]" miterlimit="8" joinstyle="miter"/>
                <v:imagedata o:title=""/>
                <o:lock v:ext="edit" aspectratio="f"/>
                <v:textbox inset="0mm,0mm,0mm,0mm">
                  <w:txbxContent>
                    <w:p w14:paraId="2BE42FCF">
                      <w:pPr>
                        <w:spacing w:line="240" w:lineRule="auto"/>
                        <w:ind w:firstLine="0" w:firstLineChars="0"/>
                        <w:rPr>
                          <w:sz w:val="21"/>
                          <w:szCs w:val="21"/>
                        </w:rPr>
                      </w:pPr>
                      <w:r>
                        <w:rPr>
                          <w:sz w:val="21"/>
                          <w:szCs w:val="21"/>
                        </w:rPr>
                        <w:t>GASKET</w:t>
                      </w:r>
                      <w:r>
                        <w:rPr>
                          <w:rFonts w:hint="eastAsia"/>
                          <w:sz w:val="21"/>
                          <w:szCs w:val="21"/>
                        </w:rPr>
                        <w:t>区域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3945255</wp:posOffset>
                </wp:positionH>
                <wp:positionV relativeFrom="paragraph">
                  <wp:posOffset>1917065</wp:posOffset>
                </wp:positionV>
                <wp:extent cx="854710" cy="211455"/>
                <wp:effectExtent l="342900" t="0" r="21590" b="283845"/>
                <wp:wrapNone/>
                <wp:docPr id="681865771" name="对话气泡: 矩形 20"/>
                <wp:cNvGraphicFramePr/>
                <a:graphic xmlns:a="http://schemas.openxmlformats.org/drawingml/2006/main">
                  <a:graphicData uri="http://schemas.microsoft.com/office/word/2010/wordprocessingShape">
                    <wps:wsp>
                      <wps:cNvSpPr/>
                      <wps:spPr>
                        <a:xfrm>
                          <a:off x="0" y="0"/>
                          <a:ext cx="854710" cy="211455"/>
                        </a:xfrm>
                        <a:prstGeom prst="wedgeRectCallout">
                          <a:avLst>
                            <a:gd name="adj1" fmla="val -85836"/>
                            <a:gd name="adj2" fmla="val 15942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2B86E2">
                            <w:pPr>
                              <w:spacing w:line="240" w:lineRule="auto"/>
                              <w:ind w:firstLine="0" w:firstLineChars="0"/>
                              <w:rPr>
                                <w:sz w:val="21"/>
                                <w:szCs w:val="21"/>
                              </w:rPr>
                            </w:pPr>
                            <w:r>
                              <w:rPr>
                                <w:sz w:val="21"/>
                                <w:szCs w:val="21"/>
                              </w:rPr>
                              <w:t>GASKET</w:t>
                            </w:r>
                            <w:r>
                              <w:rPr>
                                <w:rFonts w:hint="eastAsia"/>
                                <w:sz w:val="21"/>
                                <w:szCs w:val="21"/>
                              </w:rPr>
                              <w:t>区域</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310.65pt;margin-top:150.95pt;height:16.65pt;width:67.3pt;z-index:251679744;v-text-anchor:middle;mso-width-relative:page;mso-height-relative:page;" fillcolor="#4472C4 [3204]" filled="t" stroked="t" coordsize="21600,21600" o:gfxdata="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RU+0PZ&#10;AAAACwEAAA8AAAAAAAAAAQAgAAAAIgAAAGRycy9kb3ducmV2LnhtbFBLAQIUABQAAAAIAIdO4kAX&#10;KdjaygIAAIUFAAAOAAAAAAAAAAEAIAAAACgBAABkcnMvZTJvRG9jLnhtbFBLBQYAAAAABgAGAFkB&#10;AABkBgAAAAA=&#10;" adj="-7741,45236">
                <v:fill on="t" focussize="0,0"/>
                <v:stroke weight="1pt" color="#172C51 [3204]" miterlimit="8" joinstyle="miter"/>
                <v:imagedata o:title=""/>
                <o:lock v:ext="edit" aspectratio="f"/>
                <v:textbox inset="0mm,0mm,0mm,0mm">
                  <w:txbxContent>
                    <w:p w14:paraId="772B86E2">
                      <w:pPr>
                        <w:spacing w:line="240" w:lineRule="auto"/>
                        <w:ind w:firstLine="0" w:firstLineChars="0"/>
                        <w:rPr>
                          <w:sz w:val="21"/>
                          <w:szCs w:val="21"/>
                        </w:rPr>
                      </w:pPr>
                      <w:r>
                        <w:rPr>
                          <w:sz w:val="21"/>
                          <w:szCs w:val="21"/>
                        </w:rPr>
                        <w:t>GASKET</w:t>
                      </w:r>
                      <w:r>
                        <w:rPr>
                          <w:rFonts w:hint="eastAsia"/>
                          <w:sz w:val="21"/>
                          <w:szCs w:val="21"/>
                        </w:rPr>
                        <w:t>区域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3860800</wp:posOffset>
                </wp:positionH>
                <wp:positionV relativeFrom="paragraph">
                  <wp:posOffset>389255</wp:posOffset>
                </wp:positionV>
                <wp:extent cx="854710" cy="211455"/>
                <wp:effectExtent l="457200" t="247650" r="21590" b="17145"/>
                <wp:wrapNone/>
                <wp:docPr id="314891745" name="对话气泡: 矩形 20"/>
                <wp:cNvGraphicFramePr/>
                <a:graphic xmlns:a="http://schemas.openxmlformats.org/drawingml/2006/main">
                  <a:graphicData uri="http://schemas.microsoft.com/office/word/2010/wordprocessingShape">
                    <wps:wsp>
                      <wps:cNvSpPr/>
                      <wps:spPr>
                        <a:xfrm>
                          <a:off x="0" y="0"/>
                          <a:ext cx="854710" cy="211529"/>
                        </a:xfrm>
                        <a:prstGeom prst="wedgeRectCallout">
                          <a:avLst>
                            <a:gd name="adj1" fmla="val -96951"/>
                            <a:gd name="adj2" fmla="val -15226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E471169">
                            <w:pPr>
                              <w:spacing w:line="240" w:lineRule="auto"/>
                              <w:ind w:firstLine="0" w:firstLineChars="0"/>
                              <w:rPr>
                                <w:sz w:val="21"/>
                                <w:szCs w:val="21"/>
                              </w:rPr>
                            </w:pPr>
                            <w:r>
                              <w:rPr>
                                <w:rFonts w:hint="eastAsia"/>
                                <w:sz w:val="21"/>
                                <w:szCs w:val="21"/>
                              </w:rPr>
                              <w:t>石墨机加区域</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304pt;margin-top:30.65pt;height:16.65pt;width:67.3pt;z-index:251678720;v-text-anchor:middle;mso-width-relative:page;mso-height-relative:page;" fillcolor="#4472C4 [3204]" filled="t" stroked="t" coordsize="21600,21600" o:gfxdata="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4WnJjZ&#10;AAAACQEAAA8AAAAAAAAAAQAgAAAAIgAAAGRycy9kb3ducmV2LnhtbFBLAQIUABQAAAAIAIdO4kBV&#10;8NjsygIAAIYFAAAOAAAAAAAAAAEAIAAAACgBAABkcnMvZTJvRG9jLnhtbFBLBQYAAAAABgAGAFkB&#10;AABkBgAAAAA=&#10;" adj="-10141,-22088">
                <v:fill on="t" focussize="0,0"/>
                <v:stroke weight="1pt" color="#172C51 [3204]" miterlimit="8" joinstyle="miter"/>
                <v:imagedata o:title=""/>
                <o:lock v:ext="edit" aspectratio="f"/>
                <v:textbox inset="0mm,0mm,0mm,0mm">
                  <w:txbxContent>
                    <w:p w14:paraId="1E471169">
                      <w:pPr>
                        <w:spacing w:line="240" w:lineRule="auto"/>
                        <w:ind w:firstLine="0" w:firstLineChars="0"/>
                        <w:rPr>
                          <w:sz w:val="21"/>
                          <w:szCs w:val="21"/>
                        </w:rPr>
                      </w:pPr>
                      <w:r>
                        <w:rPr>
                          <w:rFonts w:hint="eastAsia"/>
                          <w:sz w:val="21"/>
                          <w:szCs w:val="21"/>
                        </w:rPr>
                        <w:t>石墨机加区域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608330</wp:posOffset>
                </wp:positionH>
                <wp:positionV relativeFrom="paragraph">
                  <wp:posOffset>2162175</wp:posOffset>
                </wp:positionV>
                <wp:extent cx="854710" cy="349885"/>
                <wp:effectExtent l="0" t="0" r="116840" b="564515"/>
                <wp:wrapNone/>
                <wp:docPr id="1785708562" name="对话气泡: 矩形 20"/>
                <wp:cNvGraphicFramePr/>
                <a:graphic xmlns:a="http://schemas.openxmlformats.org/drawingml/2006/main">
                  <a:graphicData uri="http://schemas.microsoft.com/office/word/2010/wordprocessingShape">
                    <wps:wsp>
                      <wps:cNvSpPr/>
                      <wps:spPr>
                        <a:xfrm>
                          <a:off x="0" y="0"/>
                          <a:ext cx="854710" cy="349885"/>
                        </a:xfrm>
                        <a:prstGeom prst="wedgeRectCallout">
                          <a:avLst>
                            <a:gd name="adj1" fmla="val 57272"/>
                            <a:gd name="adj2" fmla="val 19563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FE06E3">
                            <w:pPr>
                              <w:spacing w:line="240" w:lineRule="auto"/>
                              <w:ind w:firstLine="0" w:firstLineChars="0"/>
                              <w:rPr>
                                <w:sz w:val="21"/>
                                <w:szCs w:val="21"/>
                              </w:rPr>
                            </w:pPr>
                            <w:r>
                              <w:rPr>
                                <w:rFonts w:hint="eastAsia"/>
                                <w:sz w:val="21"/>
                                <w:szCs w:val="21"/>
                              </w:rPr>
                              <w:t>石墨纯化及碳化硅涂层区域</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47.9pt;margin-top:170.25pt;height:27.55pt;width:67.3pt;z-index:251677696;v-text-anchor:middle;mso-width-relative:page;mso-height-relative:page;" fillcolor="#4472C4 [3204]" filled="t" stroked="t" coordsize="21600,21600" o:gfxdata="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CDl0oNYA&#10;AAAKAQAADwAAAAAAAAABACAAAAAiAAAAZHJzL2Rvd25yZXYueG1sUEsBAhQAFAAAAAgAh07iQF7Z&#10;uj7MAgAAhQUAAA4AAAAAAAAAAQAgAAAAJQEAAGRycy9lMm9Eb2MueG1sUEsFBgAAAAAGAAYAWQEA&#10;AGMGAAAAAA==&#10;" adj="23171,53056">
                <v:fill on="t" focussize="0,0"/>
                <v:stroke weight="1pt" color="#172C51 [3204]" miterlimit="8" joinstyle="miter"/>
                <v:imagedata o:title=""/>
                <o:lock v:ext="edit" aspectratio="f"/>
                <v:textbox inset="0mm,0mm,0mm,0mm">
                  <w:txbxContent>
                    <w:p w14:paraId="1CFE06E3">
                      <w:pPr>
                        <w:spacing w:line="240" w:lineRule="auto"/>
                        <w:ind w:firstLine="0" w:firstLineChars="0"/>
                        <w:rPr>
                          <w:sz w:val="21"/>
                          <w:szCs w:val="21"/>
                        </w:rPr>
                      </w:pPr>
                      <w:r>
                        <w:rPr>
                          <w:rFonts w:hint="eastAsia"/>
                          <w:sz w:val="21"/>
                          <w:szCs w:val="21"/>
                        </w:rPr>
                        <w:t>石墨纯化及碳化硅涂层区域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1486535</wp:posOffset>
                </wp:positionH>
                <wp:positionV relativeFrom="paragraph">
                  <wp:posOffset>3032125</wp:posOffset>
                </wp:positionV>
                <wp:extent cx="135890" cy="198755"/>
                <wp:effectExtent l="0" t="0" r="17145" b="11430"/>
                <wp:wrapNone/>
                <wp:docPr id="261823062" name="矩形 19"/>
                <wp:cNvGraphicFramePr/>
                <a:graphic xmlns:a="http://schemas.openxmlformats.org/drawingml/2006/main">
                  <a:graphicData uri="http://schemas.microsoft.com/office/word/2010/wordprocessingShape">
                    <wps:wsp>
                      <wps:cNvSpPr/>
                      <wps:spPr>
                        <a:xfrm>
                          <a:off x="0" y="0"/>
                          <a:ext cx="135802" cy="198573"/>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117.05pt;margin-top:238.75pt;height:15.65pt;width:10.7pt;z-index:251674624;v-text-anchor:middle;mso-width-relative:page;mso-height-relative:page;" filled="f" stroked="t" coordsize="21600,21600" o:gfxdata="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p6eidsAAAALAQAADwAAAAAAAAABACAAAAAiAAAAZHJz&#10;L2Rvd25yZXYueG1sUEsBAhQAFAAAAAgAh07iQMHD3BJzAgAA0wQAAA4AAAAAAAAAAQAgAAAAKgEA&#10;AGRycy9lMm9Eb2MueG1sUEsFBgAAAAAGAAYAWQEAAA8GAAAAAA==&#10;">
                <v:fill on="f" focussize="0,0"/>
                <v:stroke weight="1pt" color="#0000FF [3204]" miterlimit="8" joinstyle="miter"/>
                <v:imagedata o:title=""/>
                <o:lock v:ext="edit" aspectratio="f"/>
              </v:rect>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3419475</wp:posOffset>
                </wp:positionH>
                <wp:positionV relativeFrom="paragraph">
                  <wp:posOffset>2145030</wp:posOffset>
                </wp:positionV>
                <wp:extent cx="189865" cy="153670"/>
                <wp:effectExtent l="0" t="0" r="19685" b="18415"/>
                <wp:wrapNone/>
                <wp:docPr id="1658631285" name="矩形 19"/>
                <wp:cNvGraphicFramePr/>
                <a:graphic xmlns:a="http://schemas.openxmlformats.org/drawingml/2006/main">
                  <a:graphicData uri="http://schemas.microsoft.com/office/word/2010/wordprocessingShape">
                    <wps:wsp>
                      <wps:cNvSpPr/>
                      <wps:spPr>
                        <a:xfrm>
                          <a:off x="0" y="0"/>
                          <a:ext cx="190123" cy="153626"/>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269.25pt;margin-top:168.9pt;height:12.1pt;width:14.95pt;z-index:251675648;v-text-anchor:middle;mso-width-relative:page;mso-height-relative:page;" filled="f" stroked="t" coordsize="21600,21600" o:gfxdata="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&#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7oh8w2wAAAAsBAAAPAAAAAAAAAAEAIAAAACIAAABk&#10;cnMvZG93bnJldi54bWxQSwECFAAUAAAACACHTuJAJlAmuHUCAADUBAAADgAAAAAAAAABACAAAAAq&#10;AQAAZHJzL2Uyb0RvYy54bWxQSwUGAAAAAAYABgBZAQAAEQYAAAAA&#10;">
                <v:fill on="f" focussize="0,0"/>
                <v:stroke weight="1pt" color="#0000FF [3204]" miterlimit="8" joinstyle="miter"/>
                <v:imagedata o:title=""/>
                <o:lock v:ext="edit" aspectratio="f"/>
              </v:rect>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3491865</wp:posOffset>
                </wp:positionH>
                <wp:positionV relativeFrom="paragraph">
                  <wp:posOffset>2353310</wp:posOffset>
                </wp:positionV>
                <wp:extent cx="189865" cy="288925"/>
                <wp:effectExtent l="0" t="0" r="19685" b="15875"/>
                <wp:wrapNone/>
                <wp:docPr id="1028525553" name="矩形 19"/>
                <wp:cNvGraphicFramePr/>
                <a:graphic xmlns:a="http://schemas.openxmlformats.org/drawingml/2006/main">
                  <a:graphicData uri="http://schemas.microsoft.com/office/word/2010/wordprocessingShape">
                    <wps:wsp>
                      <wps:cNvSpPr/>
                      <wps:spPr>
                        <a:xfrm>
                          <a:off x="0" y="0"/>
                          <a:ext cx="190123" cy="289070"/>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274.95pt;margin-top:185.3pt;height:22.75pt;width:14.95pt;z-index:251676672;v-text-anchor:middle;mso-width-relative:page;mso-height-relative:page;" filled="f" stroked="t" coordsize="21600,21600" o:gfxdata="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DZM3b2wAAAAsBAAAPAAAAAAAAAAEAIAAAACIAAABkcnMv&#10;ZG93bnJldi54bWxQSwECFAAUAAAACACHTuJAQvSejnICAADUBAAADgAAAAAAAAABACAAAAAqAQAA&#10;ZHJzL2Uyb0RvYy54bWxQSwUGAAAAAAYABgBZAQAADgYAAAAA&#10;">
                <v:fill on="f" focussize="0,0"/>
                <v:stroke weight="1pt" color="#0000FF [3204]" miterlimit="8" joinstyle="miter"/>
                <v:imagedata o:title=""/>
                <o:lock v:ext="edit" aspectratio="f"/>
              </v:rect>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3229610</wp:posOffset>
                </wp:positionH>
                <wp:positionV relativeFrom="paragraph">
                  <wp:posOffset>85090</wp:posOffset>
                </wp:positionV>
                <wp:extent cx="561340" cy="85725"/>
                <wp:effectExtent l="0" t="0" r="10795" b="28575"/>
                <wp:wrapNone/>
                <wp:docPr id="1148243489" name="矩形 19"/>
                <wp:cNvGraphicFramePr/>
                <a:graphic xmlns:a="http://schemas.openxmlformats.org/drawingml/2006/main">
                  <a:graphicData uri="http://schemas.microsoft.com/office/word/2010/wordprocessingShape">
                    <wps:wsp>
                      <wps:cNvSpPr/>
                      <wps:spPr>
                        <a:xfrm>
                          <a:off x="0" y="0"/>
                          <a:ext cx="561315" cy="86008"/>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254.3pt;margin-top:6.7pt;height:6.75pt;width:44.2pt;z-index:251673600;v-text-anchor:middle;mso-width-relative:page;mso-height-relative:page;" filled="f" stroked="t" coordsize="21600,21600" o:gfxdata="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rnmr7ZAAAACQEAAA8AAAAAAAAAAQAgAAAAIgAAAGRycy9k&#10;b3ducmV2LnhtbFBLAQIUABQAAAAIAIdO4kA5v9xpcwIAANMEAAAOAAAAAAAAAAEAIAAAACgBAABk&#10;cnMvZTJvRG9jLnhtbFBLBQYAAAAABgAGAFkBAAANBgAAAAA=&#10;">
                <v:fill on="f" focussize="0,0"/>
                <v:stroke weight="1pt" color="#0000FF [3204]" miterlimit="8" joinstyle="miter"/>
                <v:imagedata o:title=""/>
                <o:lock v:ext="edit" aspectratio="f"/>
              </v:rect>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2578100</wp:posOffset>
                </wp:positionH>
                <wp:positionV relativeFrom="paragraph">
                  <wp:posOffset>55880</wp:posOffset>
                </wp:positionV>
                <wp:extent cx="2496820" cy="3358515"/>
                <wp:effectExtent l="0" t="19050" r="37465" b="32385"/>
                <wp:wrapNone/>
                <wp:docPr id="1695505453" name="任意多边形: 形状 18"/>
                <wp:cNvGraphicFramePr/>
                <a:graphic xmlns:a="http://schemas.openxmlformats.org/drawingml/2006/main">
                  <a:graphicData uri="http://schemas.microsoft.com/office/word/2010/wordprocessingShape">
                    <wps:wsp>
                      <wps:cNvSpPr/>
                      <wps:spPr>
                        <a:xfrm>
                          <a:off x="0" y="0"/>
                          <a:ext cx="2496713" cy="3358515"/>
                        </a:xfrm>
                        <a:custGeom>
                          <a:avLst/>
                          <a:gdLst>
                            <a:gd name="connsiteX0" fmla="*/ 0 w 2496713"/>
                            <a:gd name="connsiteY0" fmla="*/ 3299795 h 3339551"/>
                            <a:gd name="connsiteX1" fmla="*/ 87465 w 2496713"/>
                            <a:gd name="connsiteY1" fmla="*/ 3291843 h 3339551"/>
                            <a:gd name="connsiteX2" fmla="*/ 87460 w 2496713"/>
                            <a:gd name="connsiteY2" fmla="*/ 3291844 h 3339551"/>
                            <a:gd name="connsiteX3" fmla="*/ 2488759 w 2496713"/>
                            <a:gd name="connsiteY3" fmla="*/ 3339551 h 3339551"/>
                            <a:gd name="connsiteX4" fmla="*/ 2496713 w 2496713"/>
                            <a:gd name="connsiteY4" fmla="*/ 0 h 3339551"/>
                            <a:gd name="connsiteX5" fmla="*/ 0 w 2496713"/>
                            <a:gd name="connsiteY5" fmla="*/ 7955 h 3339551"/>
                            <a:gd name="connsiteX6" fmla="*/ 0 w 2496713"/>
                            <a:gd name="connsiteY6" fmla="*/ 3299795 h 3339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96713" h="3339551">
                              <a:moveTo>
                                <a:pt x="0" y="3299795"/>
                              </a:moveTo>
                              <a:lnTo>
                                <a:pt x="87465" y="3291843"/>
                              </a:lnTo>
                              <a:cubicBezTo>
                                <a:pt x="102042" y="3290518"/>
                                <a:pt x="87462" y="3291844"/>
                                <a:pt x="87460" y="3291844"/>
                              </a:cubicBezTo>
                              <a:lnTo>
                                <a:pt x="2488759" y="3339551"/>
                              </a:lnTo>
                              <a:cubicBezTo>
                                <a:pt x="2491410" y="2226367"/>
                                <a:pt x="2494062" y="1113184"/>
                                <a:pt x="2496713" y="0"/>
                              </a:cubicBezTo>
                              <a:lnTo>
                                <a:pt x="0" y="7955"/>
                              </a:lnTo>
                              <a:lnTo>
                                <a:pt x="0" y="3299795"/>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8" o:spid="_x0000_s1026" o:spt="100" style="position:absolute;left:0pt;margin-left:203pt;margin-top:4.4pt;height:264.45pt;width:196.6pt;z-index:251672576;v-text-anchor:middle;mso-width-relative:page;mso-height-relative:page;" filled="f" stroked="t" coordsize="2496713,3339551" o:gfxdata="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Jdu38nYAAAACQEAAA8AAAAAAAAAAQAgAAAAIgAAAGRycy9kb3ducmV2&#10;LnhtbFBLAQIUABQAAAAIAIdO4kDmGKJ9NgQAALALAAAOAAAAAAAAAAEAIAAAACcBAABkcnMvZTJv&#10;RG9jLnhtbFBLBQYAAAAABgAGAFkBAADPBwAAAAA=&#10;" path="m0,3299795l87465,3291843c102042,3290518,87462,3291844,87460,3291844l2488759,3339551c2491410,2226367,2494062,1113184,2496713,0l0,7955,0,3299795xe">
                <v:path o:connectlocs="0,3318533;87465,3310536;87460,3310537;2488759,3358515;2496713,0;0,8000;0,3318533" o:connectangles="0,0,0,0,0,0,0"/>
                <v:fill on="f" focussize="0,0"/>
                <v:stroke weight="1pt" color="#EE0000 [3204]" miterlimit="8" joinstyle="miter"/>
                <v:imagedata o:title=""/>
                <o:lock v:ext="edit" aspectratio="f"/>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447040</wp:posOffset>
                </wp:positionH>
                <wp:positionV relativeFrom="paragraph">
                  <wp:posOffset>397510</wp:posOffset>
                </wp:positionV>
                <wp:extent cx="1582420" cy="2917825"/>
                <wp:effectExtent l="19050" t="19050" r="18415" b="34925"/>
                <wp:wrapNone/>
                <wp:docPr id="238648334" name="任意多边形: 形状 17"/>
                <wp:cNvGraphicFramePr/>
                <a:graphic xmlns:a="http://schemas.openxmlformats.org/drawingml/2006/main">
                  <a:graphicData uri="http://schemas.microsoft.com/office/word/2010/wordprocessingShape">
                    <wps:wsp>
                      <wps:cNvSpPr/>
                      <wps:spPr>
                        <a:xfrm>
                          <a:off x="0" y="0"/>
                          <a:ext cx="1582309" cy="2918129"/>
                        </a:xfrm>
                        <a:custGeom>
                          <a:avLst/>
                          <a:gdLst>
                            <a:gd name="connsiteX0" fmla="*/ 15902 w 1582309"/>
                            <a:gd name="connsiteY0" fmla="*/ 2918129 h 2918129"/>
                            <a:gd name="connsiteX1" fmla="*/ 1566407 w 1582309"/>
                            <a:gd name="connsiteY1" fmla="*/ 2902226 h 2918129"/>
                            <a:gd name="connsiteX2" fmla="*/ 1582309 w 1582309"/>
                            <a:gd name="connsiteY2" fmla="*/ 1383527 h 2918129"/>
                            <a:gd name="connsiteX3" fmla="*/ 1566407 w 1582309"/>
                            <a:gd name="connsiteY3" fmla="*/ 683812 h 2918129"/>
                            <a:gd name="connsiteX4" fmla="*/ 1399429 w 1582309"/>
                            <a:gd name="connsiteY4" fmla="*/ 326003 h 2918129"/>
                            <a:gd name="connsiteX5" fmla="*/ 1208598 w 1582309"/>
                            <a:gd name="connsiteY5" fmla="*/ 7951 h 2918129"/>
                            <a:gd name="connsiteX6" fmla="*/ 0 w 1582309"/>
                            <a:gd name="connsiteY6" fmla="*/ 0 h 2918129"/>
                            <a:gd name="connsiteX7" fmla="*/ 15902 w 1582309"/>
                            <a:gd name="connsiteY7" fmla="*/ 2918129 h 2918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2309" h="2918129">
                              <a:moveTo>
                                <a:pt x="15902" y="2918129"/>
                              </a:moveTo>
                              <a:lnTo>
                                <a:pt x="1566407" y="2902226"/>
                              </a:lnTo>
                              <a:lnTo>
                                <a:pt x="1582309" y="1383527"/>
                              </a:lnTo>
                              <a:lnTo>
                                <a:pt x="1566407" y="683812"/>
                              </a:lnTo>
                              <a:lnTo>
                                <a:pt x="1399429" y="326003"/>
                              </a:lnTo>
                              <a:lnTo>
                                <a:pt x="1208598" y="7951"/>
                              </a:lnTo>
                              <a:lnTo>
                                <a:pt x="0" y="0"/>
                              </a:lnTo>
                              <a:cubicBezTo>
                                <a:pt x="5301" y="975360"/>
                                <a:pt x="10601" y="1950720"/>
                                <a:pt x="15902" y="2918129"/>
                              </a:cubicBez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7" o:spid="_x0000_s1026" o:spt="100" style="position:absolute;left:0pt;margin-left:35.2pt;margin-top:31.3pt;height:229.75pt;width:124.6pt;z-index:251671552;v-text-anchor:middle;mso-width-relative:page;mso-height-relative:page;" filled="f" stroked="t" coordsize="1582309,2918129" o:gfxdata="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LqVQPnWAAAACQEAAA8AAAAAAAAAAQAgAAAAIgAAAGRycy9k&#10;b3ducmV2LnhtbFBLAQIUABQAAAAIAIdO4kCYIFI+PgQAAE0MAAAOAAAAAAAAAAEAIAAAACUBAABk&#10;cnMvZTJvRG9jLnhtbFBLBQYAAAAABgAGAFkBAADVBwAAAAA=&#10;" path="m15902,2918129l1566407,2902226,1582309,1383527,1566407,683812,1399429,326003,1208598,7951,0,0c5301,975360,10601,1950720,15902,2918129xe">
                <v:path o:connectlocs="15902,2918129;1566407,2902226;1582309,1383527;1566407,683812;1399429,326003;1208598,7951;0,0;15902,2918129" o:connectangles="0,0,0,0,0,0,0,0"/>
                <v:fill on="f" focussize="0,0"/>
                <v:stroke weight="1pt" color="#EE0000 [3204]" miterlimit="8" joinstyle="miter"/>
                <v:imagedata o:title=""/>
                <o:lock v:ext="edit" aspectratio="f"/>
              </v:shape>
            </w:pict>
          </mc:Fallback>
        </mc:AlternateContent>
      </w:r>
      <w:r>
        <w:rPr>
          <w:snapToGrid/>
          <w:color w:val="000000" w:themeColor="text1"/>
          <w14:textFill>
            <w14:solidFill>
              <w14:schemeClr w14:val="tx1"/>
            </w14:solidFill>
          </w14:textFill>
        </w:rPr>
        <w:drawing>
          <wp:inline distT="0" distB="0" distL="0" distR="0">
            <wp:extent cx="1905000" cy="3431540"/>
            <wp:effectExtent l="0" t="0" r="0" b="0"/>
            <wp:docPr id="804583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83342" name="图片 1"/>
                    <pic:cNvPicPr>
                      <a:picLocks noChangeAspect="1"/>
                    </pic:cNvPicPr>
                  </pic:nvPicPr>
                  <pic:blipFill>
                    <a:blip r:embed="rId44"/>
                    <a:stretch>
                      <a:fillRect/>
                    </a:stretch>
                  </pic:blipFill>
                  <pic:spPr>
                    <a:xfrm>
                      <a:off x="0" y="0"/>
                      <a:ext cx="1908379" cy="3437655"/>
                    </a:xfrm>
                    <a:prstGeom prst="rect">
                      <a:avLst/>
                    </a:prstGeom>
                  </pic:spPr>
                </pic:pic>
              </a:graphicData>
            </a:graphic>
          </wp:inline>
        </w:drawing>
      </w:r>
      <w:r>
        <w:rPr>
          <w:rFonts w:hint="eastAsia"/>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2759075" cy="3408680"/>
            <wp:effectExtent l="0" t="0" r="3175" b="1270"/>
            <wp:docPr id="787079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9851" name="图片 1"/>
                    <pic:cNvPicPr>
                      <a:picLocks noChangeAspect="1"/>
                    </pic:cNvPicPr>
                  </pic:nvPicPr>
                  <pic:blipFill>
                    <a:blip r:embed="rId45"/>
                    <a:stretch>
                      <a:fillRect/>
                    </a:stretch>
                  </pic:blipFill>
                  <pic:spPr>
                    <a:xfrm>
                      <a:off x="0" y="0"/>
                      <a:ext cx="2794251" cy="3452583"/>
                    </a:xfrm>
                    <a:prstGeom prst="rect">
                      <a:avLst/>
                    </a:prstGeom>
                  </pic:spPr>
                </pic:pic>
              </a:graphicData>
            </a:graphic>
          </wp:inline>
        </w:drawing>
      </w:r>
    </w:p>
    <w:p w14:paraId="40A95C6D">
      <w:pPr>
        <w:ind w:firstLine="10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臻宝半导体厂区                   臻宝科技厂区</w:t>
      </w:r>
    </w:p>
    <w:p w14:paraId="3C4B9D63">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石墨纯化及碳化硅涂层生产线项目组成（臻宝半导体厂区）</w:t>
      </w:r>
    </w:p>
    <w:p w14:paraId="3BE1A5FF">
      <w:pPr>
        <w:ind w:firstLine="52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r>
        <w:rPr>
          <w:rFonts w:hint="eastAsia"/>
          <w:color w:val="000000" w:themeColor="text1"/>
          <w14:textFill>
            <w14:solidFill>
              <w14:schemeClr w14:val="tx1"/>
            </w14:solidFill>
          </w14:textFill>
        </w:rPr>
        <w:t>扩建项目石墨纯化及碳化硅涂层产品依托现有工程1#厂房</w:t>
      </w:r>
      <w:r>
        <w:rPr>
          <w:color w:val="000000" w:themeColor="text1"/>
          <w14:textFill>
            <w14:solidFill>
              <w14:schemeClr w14:val="tx1"/>
            </w14:solidFill>
          </w14:textFill>
        </w:rPr>
        <w:t>建设</w:t>
      </w:r>
      <w:r>
        <w:rPr>
          <w:rFonts w:hint="eastAsia"/>
          <w:color w:val="000000" w:themeColor="text1"/>
          <w14:textFill>
            <w14:solidFill>
              <w14:schemeClr w14:val="tx1"/>
            </w14:solidFill>
          </w14:textFill>
        </w:rPr>
        <w:t>，其公辅及环保工程均依托臻宝半导体公司现有已建成工程，项目组成详见下表3.3-1，依托可行性分析件下表3.3-2：</w:t>
      </w:r>
    </w:p>
    <w:p w14:paraId="5AAA08F8">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石墨纯化及碳化硅涂层生产线（臻宝半导体公司厂区）项目组成一览表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947"/>
        <w:gridCol w:w="4899"/>
        <w:gridCol w:w="1729"/>
        <w:gridCol w:w="4754"/>
        <w:gridCol w:w="1069"/>
      </w:tblGrid>
      <w:tr w14:paraId="597C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trPr>
        <w:tc>
          <w:tcPr>
            <w:tcW w:w="274" w:type="pct"/>
            <w:vAlign w:val="center"/>
          </w:tcPr>
          <w:p w14:paraId="4826EA0F">
            <w:pPr>
              <w:pStyle w:val="1535"/>
            </w:pPr>
            <w:r>
              <w:t>类别</w:t>
            </w:r>
          </w:p>
        </w:tc>
        <w:tc>
          <w:tcPr>
            <w:tcW w:w="334" w:type="pct"/>
            <w:vAlign w:val="center"/>
          </w:tcPr>
          <w:p w14:paraId="17EE24BB">
            <w:pPr>
              <w:pStyle w:val="1535"/>
            </w:pPr>
            <w:r>
              <w:t>名称</w:t>
            </w:r>
          </w:p>
        </w:tc>
        <w:tc>
          <w:tcPr>
            <w:tcW w:w="1728" w:type="pct"/>
            <w:vAlign w:val="center"/>
          </w:tcPr>
          <w:p w14:paraId="2603E743">
            <w:pPr>
              <w:pStyle w:val="1535"/>
            </w:pPr>
            <w:r>
              <w:rPr>
                <w:rFonts w:hint="eastAsia"/>
              </w:rPr>
              <w:t>现有工程</w:t>
            </w:r>
            <w:r>
              <w:t>规模和内容</w:t>
            </w:r>
          </w:p>
        </w:tc>
        <w:tc>
          <w:tcPr>
            <w:tcW w:w="610" w:type="pct"/>
            <w:vAlign w:val="center"/>
          </w:tcPr>
          <w:p w14:paraId="7ECBBA32">
            <w:pPr>
              <w:pStyle w:val="1535"/>
            </w:pPr>
            <w:r>
              <w:rPr>
                <w:rFonts w:hint="eastAsia"/>
              </w:rPr>
              <w:t>扩建项目</w:t>
            </w:r>
            <w:r>
              <w:t>规模和内容</w:t>
            </w:r>
          </w:p>
        </w:tc>
        <w:tc>
          <w:tcPr>
            <w:tcW w:w="1677" w:type="pct"/>
            <w:vAlign w:val="center"/>
          </w:tcPr>
          <w:p w14:paraId="68B30D98">
            <w:pPr>
              <w:pStyle w:val="1535"/>
            </w:pPr>
            <w:r>
              <w:rPr>
                <w:rFonts w:hint="eastAsia"/>
              </w:rPr>
              <w:t>扩建后全厂规模和内容</w:t>
            </w:r>
          </w:p>
        </w:tc>
        <w:tc>
          <w:tcPr>
            <w:tcW w:w="377" w:type="pct"/>
            <w:vAlign w:val="center"/>
          </w:tcPr>
          <w:p w14:paraId="381D5CC2">
            <w:pPr>
              <w:pStyle w:val="1535"/>
            </w:pPr>
            <w:r>
              <w:rPr>
                <w:rFonts w:hint="eastAsia"/>
              </w:rPr>
              <w:t>备注</w:t>
            </w:r>
          </w:p>
        </w:tc>
      </w:tr>
      <w:tr w14:paraId="09C4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restart"/>
            <w:vAlign w:val="center"/>
          </w:tcPr>
          <w:p w14:paraId="0E7539B8">
            <w:pPr>
              <w:pStyle w:val="1535"/>
            </w:pPr>
            <w:r>
              <w:t>主体工程</w:t>
            </w:r>
          </w:p>
        </w:tc>
        <w:tc>
          <w:tcPr>
            <w:tcW w:w="334" w:type="pct"/>
            <w:vAlign w:val="center"/>
          </w:tcPr>
          <w:p w14:paraId="4233FD31">
            <w:pPr>
              <w:pStyle w:val="1535"/>
            </w:pPr>
            <w:r>
              <w:t>1</w:t>
            </w:r>
            <w:r>
              <w:rPr>
                <w:vertAlign w:val="superscript"/>
              </w:rPr>
              <w:t>#</w:t>
            </w:r>
            <w:r>
              <w:t>厂房</w:t>
            </w:r>
          </w:p>
        </w:tc>
        <w:tc>
          <w:tcPr>
            <w:tcW w:w="1728" w:type="pct"/>
            <w:vAlign w:val="center"/>
          </w:tcPr>
          <w:p w14:paraId="5F85273A">
            <w:pPr>
              <w:pStyle w:val="1535"/>
            </w:pPr>
            <w:r>
              <w:t>位于地块南侧，</w:t>
            </w:r>
            <w:r>
              <w:rPr>
                <w:rFonts w:hint="eastAsia"/>
              </w:rPr>
              <w:t>建筑面积7</w:t>
            </w:r>
            <w:r>
              <w:t>878.23</w:t>
            </w:r>
            <w:r>
              <w:rPr>
                <w:rFonts w:hint="eastAsia"/>
              </w:rPr>
              <w:t>m</w:t>
            </w:r>
            <w:r>
              <w:rPr>
                <w:vertAlign w:val="superscript"/>
              </w:rPr>
              <w:t>2</w:t>
            </w:r>
            <w:r>
              <w:rPr>
                <w:rFonts w:hint="eastAsia"/>
              </w:rPr>
              <w:t>，钢混结构，</w:t>
            </w:r>
            <w:r>
              <w:t>厂房西侧大部分为生产厂房，东侧小部分为附属用房。生产厂房建设2层结构，1层分设单晶硅、多晶硅生产线、陶瓷成型加工生产线、粉末烧结造粒生产线及高纯度高强度固态碳化硅生产线，其中仅单晶硅、多晶硅生产线区域建设为2层；附属用房为1层结构，自北向南设置氮气使用区、气站、设备维修间、危险废物贮存库、化学品储存间。</w:t>
            </w:r>
          </w:p>
        </w:tc>
        <w:tc>
          <w:tcPr>
            <w:tcW w:w="610" w:type="pct"/>
            <w:vAlign w:val="center"/>
          </w:tcPr>
          <w:p w14:paraId="123EC187">
            <w:pPr>
              <w:pStyle w:val="1535"/>
            </w:pPr>
            <w:r>
              <w:rPr>
                <w:rFonts w:hint="eastAsia"/>
              </w:rPr>
              <w:t>在1#厂房东南角面积约270m</w:t>
            </w:r>
            <w:r>
              <w:rPr>
                <w:rFonts w:hint="eastAsia"/>
                <w:vertAlign w:val="superscript"/>
              </w:rPr>
              <w:t>2</w:t>
            </w:r>
            <w:r>
              <w:rPr>
                <w:rFonts w:hint="eastAsia"/>
              </w:rPr>
              <w:t>区域，布置石墨纯化、石墨化及石墨碳化硅涂层生产线。</w:t>
            </w:r>
          </w:p>
        </w:tc>
        <w:tc>
          <w:tcPr>
            <w:tcW w:w="1677" w:type="pct"/>
            <w:vAlign w:val="center"/>
          </w:tcPr>
          <w:p w14:paraId="0C930946">
            <w:pPr>
              <w:pStyle w:val="1535"/>
            </w:pPr>
            <w:r>
              <w:t>位于地块南侧，</w:t>
            </w:r>
            <w:r>
              <w:rPr>
                <w:rFonts w:hint="eastAsia"/>
              </w:rPr>
              <w:t>建筑面积7</w:t>
            </w:r>
            <w:r>
              <w:t>878.23</w:t>
            </w:r>
            <w:r>
              <w:rPr>
                <w:rFonts w:hint="eastAsia"/>
              </w:rPr>
              <w:t>m</w:t>
            </w:r>
            <w:r>
              <w:rPr>
                <w:vertAlign w:val="superscript"/>
              </w:rPr>
              <w:t>2</w:t>
            </w:r>
            <w:r>
              <w:rPr>
                <w:rFonts w:hint="eastAsia"/>
              </w:rPr>
              <w:t>，钢混结构，</w:t>
            </w:r>
            <w:r>
              <w:t>厂房西侧大部分为生产厂房，东侧小部分为附属用房。生产厂房建设2层结构，1层分设单晶硅、多晶硅生产线、陶瓷成型加工生产线、粉末烧结造粒生产线及高纯度高强度固态碳化硅生产线，其中仅单晶硅、多晶硅生产线区域建设为2层；</w:t>
            </w:r>
            <w:r>
              <w:rPr>
                <w:rFonts w:hint="eastAsia"/>
              </w:rPr>
              <w:t>东南角面积约270m</w:t>
            </w:r>
            <w:r>
              <w:rPr>
                <w:rFonts w:hint="eastAsia"/>
                <w:vertAlign w:val="superscript"/>
              </w:rPr>
              <w:t>2</w:t>
            </w:r>
            <w:r>
              <w:rPr>
                <w:rFonts w:hint="eastAsia"/>
              </w:rPr>
              <w:t>区域，布置石墨纯化、石墨化机石墨碳化硅涂层生产线。</w:t>
            </w:r>
            <w:r>
              <w:t>附属用房为1层结构，自北向南设置氮气使用区、气站、设备维修间、危险废物贮存库、化学品储存间。</w:t>
            </w:r>
          </w:p>
        </w:tc>
        <w:tc>
          <w:tcPr>
            <w:tcW w:w="377" w:type="pct"/>
            <w:vAlign w:val="center"/>
          </w:tcPr>
          <w:p w14:paraId="7FD782DD">
            <w:pPr>
              <w:pStyle w:val="1535"/>
            </w:pPr>
            <w:r>
              <w:rPr>
                <w:rFonts w:hint="eastAsia"/>
              </w:rPr>
              <w:t>厂房依托</w:t>
            </w:r>
          </w:p>
        </w:tc>
      </w:tr>
      <w:tr w14:paraId="2AD8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4DB9F730">
            <w:pPr>
              <w:pStyle w:val="1535"/>
            </w:pPr>
          </w:p>
        </w:tc>
        <w:tc>
          <w:tcPr>
            <w:tcW w:w="334" w:type="pct"/>
            <w:vAlign w:val="center"/>
          </w:tcPr>
          <w:p w14:paraId="724CDC14">
            <w:pPr>
              <w:pStyle w:val="1535"/>
            </w:pPr>
            <w:r>
              <w:t>2</w:t>
            </w:r>
            <w:r>
              <w:rPr>
                <w:vertAlign w:val="superscript"/>
              </w:rPr>
              <w:t>#</w:t>
            </w:r>
            <w:r>
              <w:t>厂房</w:t>
            </w:r>
          </w:p>
        </w:tc>
        <w:tc>
          <w:tcPr>
            <w:tcW w:w="1728" w:type="pct"/>
            <w:vAlign w:val="center"/>
          </w:tcPr>
          <w:p w14:paraId="09A3DDD6">
            <w:pPr>
              <w:pStyle w:val="1535"/>
            </w:pPr>
            <w:r>
              <w:t>位于地块中东侧，</w:t>
            </w:r>
            <w:r>
              <w:rPr>
                <w:rFonts w:hint="eastAsia"/>
              </w:rPr>
              <w:t>建筑面积1</w:t>
            </w:r>
            <w:r>
              <w:t>3636.30</w:t>
            </w:r>
            <w:r>
              <w:rPr>
                <w:rFonts w:hint="eastAsia"/>
              </w:rPr>
              <w:t>m</w:t>
            </w:r>
            <w:r>
              <w:rPr>
                <w:vertAlign w:val="superscript"/>
              </w:rPr>
              <w:t>2</w:t>
            </w:r>
            <w:r>
              <w:rPr>
                <w:rFonts w:hint="eastAsia"/>
              </w:rPr>
              <w:t>，</w:t>
            </w:r>
            <w:r>
              <w:t>厂房西侧大部分为生产厂房，东侧小部分为附属用房。生产厂房建设2层结构，1层主要布设半导体硅产品生产线，西南侧设办公室、会议室，2层主要设置为清洗及包装区域；附属用房自北向南设污水处理站、纯水制备站、空压机房、切削液回收操作间、配电房、柴油发电机房，其中污水处理站设生产污水处理站，其余辅助用房屋顶预留中央空调外机机位。</w:t>
            </w:r>
          </w:p>
        </w:tc>
        <w:tc>
          <w:tcPr>
            <w:tcW w:w="610" w:type="pct"/>
            <w:vAlign w:val="center"/>
          </w:tcPr>
          <w:p w14:paraId="6E8203E0">
            <w:pPr>
              <w:pStyle w:val="1535"/>
            </w:pPr>
            <w:r>
              <w:rPr>
                <w:rFonts w:hint="eastAsia"/>
              </w:rPr>
              <w:t>本次租赁臻宝科技公司联合厂房生产的GASKET产品清洗依托臻宝半导体现有项目位于2#厂房2F的清洗线</w:t>
            </w:r>
          </w:p>
        </w:tc>
        <w:tc>
          <w:tcPr>
            <w:tcW w:w="1677" w:type="pct"/>
            <w:vAlign w:val="center"/>
          </w:tcPr>
          <w:p w14:paraId="0CDB9DDE">
            <w:pPr>
              <w:pStyle w:val="1535"/>
            </w:pPr>
            <w:r>
              <w:t>位于地块中东侧，</w:t>
            </w:r>
            <w:r>
              <w:rPr>
                <w:rFonts w:hint="eastAsia"/>
              </w:rPr>
              <w:t>建筑面积1</w:t>
            </w:r>
            <w:r>
              <w:t>3636.30</w:t>
            </w:r>
            <w:r>
              <w:rPr>
                <w:rFonts w:hint="eastAsia"/>
              </w:rPr>
              <w:t>m</w:t>
            </w:r>
            <w:r>
              <w:rPr>
                <w:vertAlign w:val="superscript"/>
              </w:rPr>
              <w:t>2</w:t>
            </w:r>
            <w:r>
              <w:rPr>
                <w:rFonts w:hint="eastAsia"/>
              </w:rPr>
              <w:t>，</w:t>
            </w:r>
            <w:r>
              <w:t>厂房西侧大部分为生产厂房，东侧小部分为附属用房。生产厂房建设2层结构，1层主要布设半导体硅产品生产线，西南侧设办公室、会议室，2层主要设置为清洗及包装区域；附属用房自北向南设污水处理站、纯水制备站、空压机房、切削液回收操作间、配电房、柴油发电机房，其中污水处理站设生产污水处理站，其余辅助用房屋顶预留中央空调外机机位。</w:t>
            </w:r>
          </w:p>
        </w:tc>
        <w:tc>
          <w:tcPr>
            <w:tcW w:w="377" w:type="pct"/>
            <w:vAlign w:val="center"/>
          </w:tcPr>
          <w:p w14:paraId="6043F9EE">
            <w:pPr>
              <w:pStyle w:val="1535"/>
            </w:pPr>
            <w:r>
              <w:rPr>
                <w:rFonts w:hint="eastAsia"/>
              </w:rPr>
              <w:t>仅依托清洗线中1个浸洗槽、1个超声槽及1个冲淋槽。</w:t>
            </w:r>
          </w:p>
        </w:tc>
      </w:tr>
      <w:tr w14:paraId="7B0C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Align w:val="center"/>
          </w:tcPr>
          <w:p w14:paraId="3C86597F">
            <w:pPr>
              <w:pStyle w:val="1535"/>
            </w:pPr>
            <w:r>
              <w:t>辅助工程</w:t>
            </w:r>
          </w:p>
        </w:tc>
        <w:tc>
          <w:tcPr>
            <w:tcW w:w="334" w:type="pct"/>
            <w:vAlign w:val="center"/>
          </w:tcPr>
          <w:p w14:paraId="09242DC3">
            <w:pPr>
              <w:pStyle w:val="1535"/>
            </w:pPr>
            <w:r>
              <w:rPr>
                <w:rFonts w:hint="eastAsia"/>
              </w:rPr>
              <w:t>办公楼</w:t>
            </w:r>
          </w:p>
        </w:tc>
        <w:tc>
          <w:tcPr>
            <w:tcW w:w="1728" w:type="pct"/>
            <w:vAlign w:val="center"/>
          </w:tcPr>
          <w:p w14:paraId="4BFC5666">
            <w:pPr>
              <w:pStyle w:val="1535"/>
            </w:pPr>
            <w:r>
              <w:t>位于地块中部，</w:t>
            </w:r>
            <w:r>
              <w:rPr>
                <w:rFonts w:hint="eastAsia"/>
              </w:rPr>
              <w:t>建筑面积6</w:t>
            </w:r>
            <w:r>
              <w:t>300.44</w:t>
            </w:r>
            <w:r>
              <w:rPr>
                <w:rFonts w:hint="eastAsia"/>
              </w:rPr>
              <w:t>m</w:t>
            </w:r>
            <w:r>
              <w:rPr>
                <w:vertAlign w:val="superscript"/>
              </w:rPr>
              <w:t>2</w:t>
            </w:r>
            <w:r>
              <w:rPr>
                <w:rFonts w:hint="eastAsia"/>
              </w:rPr>
              <w:t>，</w:t>
            </w:r>
            <w:r>
              <w:t>用于办公及产品研发</w:t>
            </w:r>
            <w:r>
              <w:rPr>
                <w:rFonts w:hint="eastAsia"/>
              </w:rPr>
              <w:t>。</w:t>
            </w:r>
          </w:p>
        </w:tc>
        <w:tc>
          <w:tcPr>
            <w:tcW w:w="610" w:type="pct"/>
            <w:vAlign w:val="center"/>
          </w:tcPr>
          <w:p w14:paraId="2A8B689D">
            <w:pPr>
              <w:pStyle w:val="1535"/>
            </w:pPr>
            <w:r>
              <w:rPr>
                <w:rFonts w:hint="eastAsia"/>
              </w:rPr>
              <w:t>本次依托</w:t>
            </w:r>
          </w:p>
        </w:tc>
        <w:tc>
          <w:tcPr>
            <w:tcW w:w="1677" w:type="pct"/>
            <w:vAlign w:val="center"/>
          </w:tcPr>
          <w:p w14:paraId="4139158B">
            <w:pPr>
              <w:pStyle w:val="1535"/>
            </w:pPr>
            <w:r>
              <w:t>位于地块中部，</w:t>
            </w:r>
            <w:r>
              <w:rPr>
                <w:rFonts w:hint="eastAsia"/>
              </w:rPr>
              <w:t>建筑面积6</w:t>
            </w:r>
            <w:r>
              <w:t>300.44</w:t>
            </w:r>
            <w:r>
              <w:rPr>
                <w:rFonts w:hint="eastAsia"/>
              </w:rPr>
              <w:t>m</w:t>
            </w:r>
            <w:r>
              <w:rPr>
                <w:vertAlign w:val="superscript"/>
              </w:rPr>
              <w:t>2</w:t>
            </w:r>
            <w:r>
              <w:rPr>
                <w:rFonts w:hint="eastAsia"/>
              </w:rPr>
              <w:t>，</w:t>
            </w:r>
            <w:r>
              <w:t>用于办公及产品研发</w:t>
            </w:r>
            <w:r>
              <w:rPr>
                <w:rFonts w:hint="eastAsia"/>
              </w:rPr>
              <w:t>。</w:t>
            </w:r>
          </w:p>
        </w:tc>
        <w:tc>
          <w:tcPr>
            <w:tcW w:w="377" w:type="pct"/>
            <w:vAlign w:val="center"/>
          </w:tcPr>
          <w:p w14:paraId="45FC4C6A">
            <w:pPr>
              <w:pStyle w:val="1535"/>
            </w:pPr>
            <w:r>
              <w:rPr>
                <w:rFonts w:hint="eastAsia"/>
              </w:rPr>
              <w:t>依托</w:t>
            </w:r>
          </w:p>
        </w:tc>
      </w:tr>
      <w:tr w14:paraId="2E34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restart"/>
            <w:vAlign w:val="center"/>
          </w:tcPr>
          <w:p w14:paraId="21F133AA">
            <w:pPr>
              <w:pStyle w:val="1535"/>
            </w:pPr>
            <w:r>
              <w:t>公用工程</w:t>
            </w:r>
          </w:p>
        </w:tc>
        <w:tc>
          <w:tcPr>
            <w:tcW w:w="334" w:type="pct"/>
            <w:vAlign w:val="center"/>
          </w:tcPr>
          <w:p w14:paraId="3D57C086">
            <w:pPr>
              <w:pStyle w:val="1535"/>
            </w:pPr>
            <w:r>
              <w:t>供水</w:t>
            </w:r>
          </w:p>
        </w:tc>
        <w:tc>
          <w:tcPr>
            <w:tcW w:w="1728" w:type="pct"/>
            <w:vAlign w:val="center"/>
          </w:tcPr>
          <w:p w14:paraId="6A819E42">
            <w:pPr>
              <w:pStyle w:val="1535"/>
            </w:pPr>
            <w:r>
              <w:t>市政给水管网引入自来水，市政供水压力0.30MPa</w:t>
            </w:r>
          </w:p>
        </w:tc>
        <w:tc>
          <w:tcPr>
            <w:tcW w:w="610" w:type="pct"/>
            <w:vAlign w:val="center"/>
          </w:tcPr>
          <w:p w14:paraId="09A1320E">
            <w:pPr>
              <w:pStyle w:val="1535"/>
            </w:pPr>
            <w:r>
              <w:rPr>
                <w:rFonts w:hint="eastAsia"/>
              </w:rPr>
              <w:t>本次依托</w:t>
            </w:r>
          </w:p>
        </w:tc>
        <w:tc>
          <w:tcPr>
            <w:tcW w:w="1677" w:type="pct"/>
            <w:vAlign w:val="center"/>
          </w:tcPr>
          <w:p w14:paraId="080A0208">
            <w:pPr>
              <w:pStyle w:val="1535"/>
            </w:pPr>
            <w:r>
              <w:t>市政给水管网引入自来水，市政供水压力0.30MPa</w:t>
            </w:r>
          </w:p>
        </w:tc>
        <w:tc>
          <w:tcPr>
            <w:tcW w:w="377" w:type="pct"/>
            <w:vAlign w:val="center"/>
          </w:tcPr>
          <w:p w14:paraId="02FC9034">
            <w:pPr>
              <w:pStyle w:val="1535"/>
            </w:pPr>
            <w:r>
              <w:rPr>
                <w:rFonts w:hint="eastAsia"/>
              </w:rPr>
              <w:t>依托</w:t>
            </w:r>
          </w:p>
        </w:tc>
      </w:tr>
      <w:tr w14:paraId="5A90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384B7B70">
            <w:pPr>
              <w:pStyle w:val="1535"/>
            </w:pPr>
          </w:p>
        </w:tc>
        <w:tc>
          <w:tcPr>
            <w:tcW w:w="334" w:type="pct"/>
            <w:vAlign w:val="center"/>
          </w:tcPr>
          <w:p w14:paraId="42CB58B8">
            <w:pPr>
              <w:pStyle w:val="1535"/>
            </w:pPr>
            <w:r>
              <w:t>排水</w:t>
            </w:r>
          </w:p>
        </w:tc>
        <w:tc>
          <w:tcPr>
            <w:tcW w:w="1728" w:type="pct"/>
            <w:vAlign w:val="center"/>
          </w:tcPr>
          <w:p w14:paraId="0E176D4E">
            <w:pPr>
              <w:pStyle w:val="1535"/>
            </w:pPr>
            <w:r>
              <w:t>厂区排水采用雨、污分流和清、污分流排水体制。</w:t>
            </w:r>
          </w:p>
        </w:tc>
        <w:tc>
          <w:tcPr>
            <w:tcW w:w="610" w:type="pct"/>
            <w:vAlign w:val="center"/>
          </w:tcPr>
          <w:p w14:paraId="33C8F060">
            <w:pPr>
              <w:pStyle w:val="1535"/>
            </w:pPr>
            <w:r>
              <w:rPr>
                <w:rFonts w:hint="eastAsia"/>
              </w:rPr>
              <w:t>本次依托</w:t>
            </w:r>
          </w:p>
        </w:tc>
        <w:tc>
          <w:tcPr>
            <w:tcW w:w="1677" w:type="pct"/>
            <w:vAlign w:val="center"/>
          </w:tcPr>
          <w:p w14:paraId="3EBA5EB4">
            <w:pPr>
              <w:pStyle w:val="1535"/>
            </w:pPr>
            <w:r>
              <w:t>厂区排水采用雨、污分流和清、污分流排水体制。</w:t>
            </w:r>
          </w:p>
        </w:tc>
        <w:tc>
          <w:tcPr>
            <w:tcW w:w="377" w:type="pct"/>
            <w:vAlign w:val="center"/>
          </w:tcPr>
          <w:p w14:paraId="0ECFF257">
            <w:pPr>
              <w:pStyle w:val="1535"/>
            </w:pPr>
            <w:r>
              <w:rPr>
                <w:rFonts w:hint="eastAsia"/>
              </w:rPr>
              <w:t>依托</w:t>
            </w:r>
          </w:p>
        </w:tc>
      </w:tr>
      <w:tr w14:paraId="4240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7AD6BD41">
            <w:pPr>
              <w:pStyle w:val="1535"/>
            </w:pPr>
          </w:p>
        </w:tc>
        <w:tc>
          <w:tcPr>
            <w:tcW w:w="334" w:type="pct"/>
            <w:vAlign w:val="center"/>
          </w:tcPr>
          <w:p w14:paraId="1B275F1A">
            <w:pPr>
              <w:pStyle w:val="1535"/>
            </w:pPr>
            <w:r>
              <w:t>纯水制备装置</w:t>
            </w:r>
          </w:p>
        </w:tc>
        <w:tc>
          <w:tcPr>
            <w:tcW w:w="1728" w:type="pct"/>
            <w:vAlign w:val="center"/>
          </w:tcPr>
          <w:p w14:paraId="50781EEB">
            <w:pPr>
              <w:pStyle w:val="1535"/>
            </w:pPr>
            <w:r>
              <w:rPr>
                <w:rFonts w:hint="eastAsia"/>
              </w:rPr>
              <w:t>共设置2套，其中</w:t>
            </w:r>
            <w:r>
              <w:t>纯水制备装置</w:t>
            </w:r>
            <w:r>
              <w:rPr>
                <w:rFonts w:hint="eastAsia"/>
              </w:rPr>
              <w:t>1</w:t>
            </w:r>
            <w:r>
              <w:t>设在</w:t>
            </w:r>
            <w:r>
              <w:rPr>
                <w:rFonts w:hint="eastAsia"/>
              </w:rPr>
              <w:t>2#厂房</w:t>
            </w:r>
            <w:r>
              <w:t>附属用房内，为半导体硅产品生产线清洗工序提供纯水，采用多介质+活性炭过滤+保安过滤器+二级RO反渗透+EDI工艺，纯水制备总能力约5</w:t>
            </w:r>
            <w:r>
              <w:rPr>
                <w:rFonts w:hint="eastAsia"/>
              </w:rPr>
              <w:t>m</w:t>
            </w:r>
            <w:r>
              <w:rPr>
                <w:rFonts w:hint="eastAsia"/>
                <w:vertAlign w:val="superscript"/>
              </w:rPr>
              <w:t>3</w:t>
            </w:r>
            <w:r>
              <w:t>/h</w:t>
            </w:r>
            <w:r>
              <w:rPr>
                <w:rFonts w:hint="eastAsia"/>
              </w:rPr>
              <w:t>。</w:t>
            </w:r>
            <w:r>
              <w:t>纯水制备装置</w:t>
            </w:r>
            <w:r>
              <w:rPr>
                <w:rFonts w:hint="eastAsia"/>
              </w:rPr>
              <w:t>2</w:t>
            </w:r>
            <w:r>
              <w:t>设在</w:t>
            </w:r>
            <w:r>
              <w:rPr>
                <w:rFonts w:hint="eastAsia"/>
              </w:rPr>
              <w:t>1#</w:t>
            </w:r>
            <w:r>
              <w:t>附属用房内，为清洗工序提供纯水，采用多介质+活性炭过滤+保安过滤器+二级RO反渗透+EDI工艺，</w:t>
            </w:r>
            <w:r>
              <w:rPr>
                <w:rFonts w:hint="eastAsia"/>
              </w:rPr>
              <w:t>拟布置3台制备能力为10m</w:t>
            </w:r>
            <w:r>
              <w:rPr>
                <w:rFonts w:hint="eastAsia"/>
                <w:vertAlign w:val="superscript"/>
              </w:rPr>
              <w:t>3</w:t>
            </w:r>
            <w:r>
              <w:rPr>
                <w:rFonts w:hint="eastAsia"/>
              </w:rPr>
              <w:t>/h的纯水设备，</w:t>
            </w:r>
            <w:r>
              <w:t>纯水制备总能力约</w:t>
            </w:r>
            <w:r>
              <w:rPr>
                <w:rFonts w:hint="eastAsia"/>
              </w:rPr>
              <w:t>30m</w:t>
            </w:r>
            <w:r>
              <w:rPr>
                <w:rFonts w:hint="eastAsia"/>
                <w:vertAlign w:val="superscript"/>
              </w:rPr>
              <w:t>3</w:t>
            </w:r>
            <w:r>
              <w:t>/h</w:t>
            </w:r>
            <w:r>
              <w:rPr>
                <w:rFonts w:hint="eastAsia"/>
              </w:rPr>
              <w:t>，纯水设备的产水率为75%。</w:t>
            </w:r>
          </w:p>
        </w:tc>
        <w:tc>
          <w:tcPr>
            <w:tcW w:w="610" w:type="pct"/>
            <w:vAlign w:val="center"/>
          </w:tcPr>
          <w:p w14:paraId="2B46F93C">
            <w:pPr>
              <w:pStyle w:val="1535"/>
            </w:pPr>
            <w:r>
              <w:rPr>
                <w:rFonts w:hint="eastAsia"/>
              </w:rPr>
              <w:t>本次依托纯水制备装置1</w:t>
            </w:r>
          </w:p>
        </w:tc>
        <w:tc>
          <w:tcPr>
            <w:tcW w:w="1677" w:type="pct"/>
            <w:vAlign w:val="center"/>
          </w:tcPr>
          <w:p w14:paraId="5CD440CC">
            <w:pPr>
              <w:pStyle w:val="1535"/>
            </w:pPr>
            <w:r>
              <w:rPr>
                <w:rFonts w:hint="eastAsia"/>
              </w:rPr>
              <w:t>共设置2套，其中</w:t>
            </w:r>
            <w:r>
              <w:t>纯水制备装置</w:t>
            </w:r>
            <w:r>
              <w:rPr>
                <w:rFonts w:hint="eastAsia"/>
              </w:rPr>
              <w:t>1</w:t>
            </w:r>
            <w:r>
              <w:t>设在</w:t>
            </w:r>
            <w:r>
              <w:rPr>
                <w:rFonts w:hint="eastAsia"/>
              </w:rPr>
              <w:t>2#厂房</w:t>
            </w:r>
            <w:r>
              <w:t>附属用房内，为半导体硅产品生产线清洗工序提供纯水，采用多介质+活性炭过滤+保安过滤器+二级RO反渗透+EDI工艺，纯水制备总能力约5</w:t>
            </w:r>
            <w:r>
              <w:rPr>
                <w:rFonts w:hint="eastAsia"/>
              </w:rPr>
              <w:t>m</w:t>
            </w:r>
            <w:r>
              <w:rPr>
                <w:rFonts w:hint="eastAsia"/>
                <w:vertAlign w:val="superscript"/>
              </w:rPr>
              <w:t>3</w:t>
            </w:r>
            <w:r>
              <w:t>/h</w:t>
            </w:r>
            <w:r>
              <w:rPr>
                <w:rFonts w:hint="eastAsia"/>
              </w:rPr>
              <w:t>。</w:t>
            </w:r>
            <w:r>
              <w:t>纯水制备装置</w:t>
            </w:r>
            <w:r>
              <w:rPr>
                <w:rFonts w:hint="eastAsia"/>
              </w:rPr>
              <w:t>2</w:t>
            </w:r>
            <w:r>
              <w:t>设在</w:t>
            </w:r>
            <w:r>
              <w:rPr>
                <w:rFonts w:hint="eastAsia"/>
              </w:rPr>
              <w:t>1#</w:t>
            </w:r>
            <w:r>
              <w:t>附属用房内，为清洗工序提供纯水，采用多介质+活性炭过滤+保安过滤器+二级RO反渗透+EDI工艺，</w:t>
            </w:r>
            <w:r>
              <w:rPr>
                <w:rFonts w:hint="eastAsia"/>
              </w:rPr>
              <w:t>拟布置3台制备能力为10m</w:t>
            </w:r>
            <w:r>
              <w:rPr>
                <w:rFonts w:hint="eastAsia"/>
                <w:vertAlign w:val="superscript"/>
              </w:rPr>
              <w:t>3</w:t>
            </w:r>
            <w:r>
              <w:rPr>
                <w:rFonts w:hint="eastAsia"/>
              </w:rPr>
              <w:t>/h的纯水设备，</w:t>
            </w:r>
            <w:r>
              <w:t>纯水制备总能力约</w:t>
            </w:r>
            <w:r>
              <w:rPr>
                <w:rFonts w:hint="eastAsia"/>
              </w:rPr>
              <w:t>30m</w:t>
            </w:r>
            <w:r>
              <w:rPr>
                <w:rFonts w:hint="eastAsia"/>
                <w:vertAlign w:val="superscript"/>
              </w:rPr>
              <w:t>3</w:t>
            </w:r>
            <w:r>
              <w:t>/h</w:t>
            </w:r>
            <w:r>
              <w:rPr>
                <w:rFonts w:hint="eastAsia"/>
              </w:rPr>
              <w:t>，纯水设备的产水率为75%。</w:t>
            </w:r>
          </w:p>
        </w:tc>
        <w:tc>
          <w:tcPr>
            <w:tcW w:w="377" w:type="pct"/>
            <w:vMerge w:val="restart"/>
            <w:vAlign w:val="center"/>
          </w:tcPr>
          <w:p w14:paraId="55C6AF52">
            <w:pPr>
              <w:pStyle w:val="1535"/>
            </w:pPr>
            <w:r>
              <w:rPr>
                <w:rFonts w:hint="eastAsia"/>
              </w:rPr>
              <w:t>依托</w:t>
            </w:r>
          </w:p>
        </w:tc>
      </w:tr>
      <w:tr w14:paraId="7F9C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477192BF">
            <w:pPr>
              <w:pStyle w:val="1535"/>
            </w:pPr>
          </w:p>
        </w:tc>
        <w:tc>
          <w:tcPr>
            <w:tcW w:w="334" w:type="pct"/>
            <w:vAlign w:val="center"/>
          </w:tcPr>
          <w:p w14:paraId="6B178878">
            <w:pPr>
              <w:pStyle w:val="1535"/>
            </w:pPr>
            <w:r>
              <w:t>空压机房</w:t>
            </w:r>
          </w:p>
        </w:tc>
        <w:tc>
          <w:tcPr>
            <w:tcW w:w="1728" w:type="pct"/>
            <w:vAlign w:val="center"/>
          </w:tcPr>
          <w:p w14:paraId="00DB50B2">
            <w:pPr>
              <w:pStyle w:val="1535"/>
            </w:pPr>
            <w:r>
              <w:rPr>
                <w:rFonts w:hint="eastAsia"/>
              </w:rPr>
              <w:t>现有工程共设置2个空压站，其中空压站1位于</w:t>
            </w:r>
            <w:r>
              <w:t>2</w:t>
            </w:r>
            <w:r>
              <w:rPr>
                <w:vertAlign w:val="superscript"/>
              </w:rPr>
              <w:t>#</w:t>
            </w:r>
            <w:r>
              <w:t>厂房</w:t>
            </w:r>
            <w:r>
              <w:rPr>
                <w:rFonts w:hint="eastAsia"/>
              </w:rPr>
              <w:t>，主要</w:t>
            </w:r>
            <w:r>
              <w:t>为</w:t>
            </w:r>
            <w:r>
              <w:rPr>
                <w:rFonts w:hint="eastAsia"/>
              </w:rPr>
              <w:t>三期A项目</w:t>
            </w:r>
            <w:r>
              <w:t>提供压缩空气</w:t>
            </w:r>
            <w:r>
              <w:rPr>
                <w:rFonts w:hint="eastAsia"/>
              </w:rPr>
              <w:t>，</w:t>
            </w:r>
            <w:r>
              <w:t>设3台无油螺杆机，单台45</w:t>
            </w:r>
            <w:r>
              <w:rPr>
                <w:rFonts w:hint="eastAsia"/>
              </w:rPr>
              <w:t xml:space="preserve"> m</w:t>
            </w:r>
            <w:r>
              <w:rPr>
                <w:rFonts w:hint="eastAsia"/>
                <w:vertAlign w:val="superscript"/>
              </w:rPr>
              <w:t>3</w:t>
            </w:r>
            <w:r>
              <w:t>/min，为生产车间提供压缩空气。</w:t>
            </w:r>
            <w:r>
              <w:rPr>
                <w:rFonts w:hint="eastAsia"/>
              </w:rPr>
              <w:t>空压站2位于1</w:t>
            </w:r>
            <w:r>
              <w:rPr>
                <w:rFonts w:hint="eastAsia"/>
                <w:vertAlign w:val="superscript"/>
              </w:rPr>
              <w:t>#</w:t>
            </w:r>
            <w:r>
              <w:rPr>
                <w:rFonts w:hint="eastAsia"/>
              </w:rPr>
              <w:t>附属用房内</w:t>
            </w:r>
            <w:r>
              <w:t>设空压站，</w:t>
            </w:r>
            <w:r>
              <w:rPr>
                <w:rFonts w:hint="eastAsia"/>
              </w:rPr>
              <w:t>布置</w:t>
            </w:r>
            <w:r>
              <w:t>3台无油螺杆机，单台45</w:t>
            </w:r>
            <w:r>
              <w:rPr>
                <w:rFonts w:hint="eastAsia"/>
              </w:rPr>
              <w:t xml:space="preserve"> m</w:t>
            </w:r>
            <w:r>
              <w:rPr>
                <w:rFonts w:hint="eastAsia"/>
                <w:vertAlign w:val="superscript"/>
              </w:rPr>
              <w:t>3</w:t>
            </w:r>
            <w:r>
              <w:t>/min</w:t>
            </w:r>
            <w:r>
              <w:rPr>
                <w:rFonts w:hint="eastAsia"/>
              </w:rPr>
              <w:t>，</w:t>
            </w:r>
            <w:r>
              <w:t>为</w:t>
            </w:r>
            <w:r>
              <w:rPr>
                <w:rFonts w:hint="eastAsia"/>
              </w:rPr>
              <w:t>现有项目</w:t>
            </w:r>
            <w:r>
              <w:t>提供压缩空气。</w:t>
            </w:r>
          </w:p>
        </w:tc>
        <w:tc>
          <w:tcPr>
            <w:tcW w:w="610" w:type="pct"/>
            <w:vAlign w:val="center"/>
          </w:tcPr>
          <w:p w14:paraId="78B35BC2">
            <w:pPr>
              <w:pStyle w:val="1535"/>
            </w:pPr>
            <w:r>
              <w:rPr>
                <w:rFonts w:hint="eastAsia"/>
              </w:rPr>
              <w:t>本次依托空压站1</w:t>
            </w:r>
          </w:p>
        </w:tc>
        <w:tc>
          <w:tcPr>
            <w:tcW w:w="1677" w:type="pct"/>
            <w:vAlign w:val="center"/>
          </w:tcPr>
          <w:p w14:paraId="13D409EE">
            <w:pPr>
              <w:pStyle w:val="1535"/>
            </w:pPr>
            <w:r>
              <w:rPr>
                <w:rFonts w:hint="eastAsia"/>
              </w:rPr>
              <w:t>共设置2个空压站，其中空压站1位于</w:t>
            </w:r>
            <w:r>
              <w:t>2</w:t>
            </w:r>
            <w:r>
              <w:rPr>
                <w:vertAlign w:val="superscript"/>
              </w:rPr>
              <w:t>#</w:t>
            </w:r>
            <w:r>
              <w:t>厂房</w:t>
            </w:r>
            <w:r>
              <w:rPr>
                <w:rFonts w:hint="eastAsia"/>
              </w:rPr>
              <w:t>，主要</w:t>
            </w:r>
            <w:r>
              <w:t>为</w:t>
            </w:r>
            <w:r>
              <w:rPr>
                <w:rFonts w:hint="eastAsia"/>
              </w:rPr>
              <w:t>三期A项目</w:t>
            </w:r>
            <w:r>
              <w:t>提供压缩空气</w:t>
            </w:r>
            <w:r>
              <w:rPr>
                <w:rFonts w:hint="eastAsia"/>
              </w:rPr>
              <w:t>，</w:t>
            </w:r>
            <w:r>
              <w:t>设3台无油螺杆机，单台45</w:t>
            </w:r>
            <w:r>
              <w:rPr>
                <w:rFonts w:hint="eastAsia"/>
              </w:rPr>
              <w:t xml:space="preserve"> m</w:t>
            </w:r>
            <w:r>
              <w:rPr>
                <w:rFonts w:hint="eastAsia"/>
                <w:vertAlign w:val="superscript"/>
              </w:rPr>
              <w:t>3</w:t>
            </w:r>
            <w:r>
              <w:t>/min，为生产车间提供压缩空气。</w:t>
            </w:r>
            <w:r>
              <w:rPr>
                <w:rFonts w:hint="eastAsia"/>
              </w:rPr>
              <w:t>空压站2位于1</w:t>
            </w:r>
            <w:r>
              <w:rPr>
                <w:rFonts w:hint="eastAsia"/>
                <w:vertAlign w:val="superscript"/>
              </w:rPr>
              <w:t>#</w:t>
            </w:r>
            <w:r>
              <w:rPr>
                <w:rFonts w:hint="eastAsia"/>
              </w:rPr>
              <w:t>附属用房内</w:t>
            </w:r>
            <w:r>
              <w:t>设空压站，</w:t>
            </w:r>
            <w:r>
              <w:rPr>
                <w:rFonts w:hint="eastAsia"/>
              </w:rPr>
              <w:t>布置</w:t>
            </w:r>
            <w:r>
              <w:t>3台无油螺杆机，单台45</w:t>
            </w:r>
            <w:r>
              <w:rPr>
                <w:rFonts w:hint="eastAsia"/>
              </w:rPr>
              <w:t xml:space="preserve"> m</w:t>
            </w:r>
            <w:r>
              <w:rPr>
                <w:rFonts w:hint="eastAsia"/>
                <w:vertAlign w:val="superscript"/>
              </w:rPr>
              <w:t>3</w:t>
            </w:r>
            <w:r>
              <w:t>/min</w:t>
            </w:r>
            <w:r>
              <w:rPr>
                <w:rFonts w:hint="eastAsia"/>
              </w:rPr>
              <w:t>，</w:t>
            </w:r>
            <w:r>
              <w:t>为</w:t>
            </w:r>
            <w:r>
              <w:rPr>
                <w:rFonts w:hint="eastAsia"/>
              </w:rPr>
              <w:t>现有项目</w:t>
            </w:r>
            <w:r>
              <w:t>提供压缩空气。</w:t>
            </w:r>
          </w:p>
        </w:tc>
        <w:tc>
          <w:tcPr>
            <w:tcW w:w="377" w:type="pct"/>
            <w:vMerge w:val="continue"/>
            <w:vAlign w:val="center"/>
          </w:tcPr>
          <w:p w14:paraId="488DB66B">
            <w:pPr>
              <w:pStyle w:val="1535"/>
            </w:pPr>
          </w:p>
        </w:tc>
      </w:tr>
      <w:tr w14:paraId="4CC8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1EE836E3">
            <w:pPr>
              <w:pStyle w:val="1535"/>
            </w:pPr>
          </w:p>
        </w:tc>
        <w:tc>
          <w:tcPr>
            <w:tcW w:w="334" w:type="pct"/>
            <w:vAlign w:val="center"/>
          </w:tcPr>
          <w:p w14:paraId="4D8E5F15">
            <w:pPr>
              <w:pStyle w:val="1535"/>
            </w:pPr>
            <w:r>
              <w:t>气站</w:t>
            </w:r>
          </w:p>
        </w:tc>
        <w:tc>
          <w:tcPr>
            <w:tcW w:w="1728" w:type="pct"/>
            <w:vAlign w:val="center"/>
          </w:tcPr>
          <w:p w14:paraId="69E28071">
            <w:pPr>
              <w:pStyle w:val="1535"/>
            </w:pPr>
            <w:r>
              <w:rPr>
                <w:rFonts w:hint="eastAsia"/>
              </w:rPr>
              <w:t>共设置2个，其中气站1</w:t>
            </w:r>
            <w:r>
              <w:t>位于1</w:t>
            </w:r>
            <w:r>
              <w:rPr>
                <w:vertAlign w:val="superscript"/>
              </w:rPr>
              <w:t>#</w:t>
            </w:r>
            <w:r>
              <w:t>厂房辅房，分别设氩气、氮气、氢气储存区域</w:t>
            </w:r>
            <w:r>
              <w:rPr>
                <w:rFonts w:hint="eastAsia"/>
              </w:rPr>
              <w:t>。气站2</w:t>
            </w:r>
            <w:r>
              <w:t>位于</w:t>
            </w:r>
            <w:r>
              <w:rPr>
                <w:rFonts w:hint="eastAsia"/>
              </w:rPr>
              <w:t>3</w:t>
            </w:r>
            <w:r>
              <w:t>#</w:t>
            </w:r>
            <w:r>
              <w:rPr>
                <w:rFonts w:hint="eastAsia"/>
              </w:rPr>
              <w:t>附属用房内</w:t>
            </w:r>
            <w:r>
              <w:t>，分别设氩气、氮气、氢气储存区域。</w:t>
            </w:r>
          </w:p>
        </w:tc>
        <w:tc>
          <w:tcPr>
            <w:tcW w:w="610" w:type="pct"/>
            <w:vAlign w:val="center"/>
          </w:tcPr>
          <w:p w14:paraId="31666AC2">
            <w:pPr>
              <w:pStyle w:val="1535"/>
            </w:pPr>
            <w:r>
              <w:rPr>
                <w:rFonts w:hint="eastAsia"/>
              </w:rPr>
              <w:t>本次依托气站1</w:t>
            </w:r>
          </w:p>
        </w:tc>
        <w:tc>
          <w:tcPr>
            <w:tcW w:w="1677" w:type="pct"/>
            <w:vAlign w:val="center"/>
          </w:tcPr>
          <w:p w14:paraId="411A6A0C">
            <w:pPr>
              <w:pStyle w:val="1535"/>
            </w:pPr>
            <w:r>
              <w:rPr>
                <w:rFonts w:hint="eastAsia"/>
              </w:rPr>
              <w:t>共设置2个，其中气站1</w:t>
            </w:r>
            <w:r>
              <w:t>位于1</w:t>
            </w:r>
            <w:r>
              <w:rPr>
                <w:vertAlign w:val="superscript"/>
              </w:rPr>
              <w:t>#</w:t>
            </w:r>
            <w:r>
              <w:t>厂房辅房，分别设氩气、氮气、氢气储存区域</w:t>
            </w:r>
            <w:r>
              <w:rPr>
                <w:rFonts w:hint="eastAsia"/>
              </w:rPr>
              <w:t>。气站2</w:t>
            </w:r>
            <w:r>
              <w:t>位于</w:t>
            </w:r>
            <w:r>
              <w:rPr>
                <w:rFonts w:hint="eastAsia"/>
              </w:rPr>
              <w:t>3</w:t>
            </w:r>
            <w:r>
              <w:t>#</w:t>
            </w:r>
            <w:r>
              <w:rPr>
                <w:rFonts w:hint="eastAsia"/>
              </w:rPr>
              <w:t>附属用房内</w:t>
            </w:r>
            <w:r>
              <w:t>，分别设氩气、氮气、氢气储存区域。</w:t>
            </w:r>
          </w:p>
        </w:tc>
        <w:tc>
          <w:tcPr>
            <w:tcW w:w="377" w:type="pct"/>
            <w:vMerge w:val="continue"/>
            <w:vAlign w:val="center"/>
          </w:tcPr>
          <w:p w14:paraId="2D631278">
            <w:pPr>
              <w:pStyle w:val="1535"/>
            </w:pPr>
          </w:p>
        </w:tc>
      </w:tr>
      <w:tr w14:paraId="2266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3EA5CFA0">
            <w:pPr>
              <w:pStyle w:val="1535"/>
            </w:pPr>
          </w:p>
        </w:tc>
        <w:tc>
          <w:tcPr>
            <w:tcW w:w="334" w:type="pct"/>
            <w:vAlign w:val="center"/>
          </w:tcPr>
          <w:p w14:paraId="7A1B01CA">
            <w:pPr>
              <w:pStyle w:val="1535"/>
            </w:pPr>
            <w:r>
              <w:t>供电</w:t>
            </w:r>
          </w:p>
        </w:tc>
        <w:tc>
          <w:tcPr>
            <w:tcW w:w="1728" w:type="pct"/>
            <w:vAlign w:val="center"/>
          </w:tcPr>
          <w:p w14:paraId="7920AC53">
            <w:pPr>
              <w:pStyle w:val="1535"/>
            </w:pPr>
            <w:r>
              <w:t>电源采用10kV进线，市政供电。</w:t>
            </w:r>
          </w:p>
        </w:tc>
        <w:tc>
          <w:tcPr>
            <w:tcW w:w="610" w:type="pct"/>
            <w:vAlign w:val="center"/>
          </w:tcPr>
          <w:p w14:paraId="757FD56C">
            <w:pPr>
              <w:pStyle w:val="1535"/>
            </w:pPr>
            <w:r>
              <w:rPr>
                <w:rFonts w:hint="eastAsia"/>
              </w:rPr>
              <w:t>本次依托</w:t>
            </w:r>
          </w:p>
        </w:tc>
        <w:tc>
          <w:tcPr>
            <w:tcW w:w="1677" w:type="pct"/>
            <w:vAlign w:val="center"/>
          </w:tcPr>
          <w:p w14:paraId="442B9861">
            <w:pPr>
              <w:pStyle w:val="1535"/>
            </w:pPr>
            <w:r>
              <w:t>电源采用10kV进线，市政供电。</w:t>
            </w:r>
          </w:p>
        </w:tc>
        <w:tc>
          <w:tcPr>
            <w:tcW w:w="377" w:type="pct"/>
            <w:vAlign w:val="center"/>
          </w:tcPr>
          <w:p w14:paraId="57819CBA">
            <w:pPr>
              <w:pStyle w:val="1535"/>
            </w:pPr>
            <w:r>
              <w:rPr>
                <w:rFonts w:hint="eastAsia"/>
              </w:rPr>
              <w:t>依托</w:t>
            </w:r>
          </w:p>
        </w:tc>
      </w:tr>
      <w:tr w14:paraId="3F55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Align w:val="center"/>
          </w:tcPr>
          <w:p w14:paraId="4C0E2D2C">
            <w:pPr>
              <w:pStyle w:val="1535"/>
            </w:pPr>
            <w:r>
              <w:t>储运工程</w:t>
            </w:r>
          </w:p>
        </w:tc>
        <w:tc>
          <w:tcPr>
            <w:tcW w:w="334" w:type="pct"/>
            <w:vAlign w:val="center"/>
          </w:tcPr>
          <w:p w14:paraId="56E7C773">
            <w:pPr>
              <w:pStyle w:val="1535"/>
            </w:pPr>
            <w:r>
              <w:t>化学品库</w:t>
            </w:r>
          </w:p>
        </w:tc>
        <w:tc>
          <w:tcPr>
            <w:tcW w:w="1728" w:type="pct"/>
            <w:vAlign w:val="center"/>
          </w:tcPr>
          <w:p w14:paraId="14DB7826">
            <w:pPr>
              <w:pStyle w:val="1535"/>
            </w:pPr>
            <w:r>
              <w:rPr>
                <w:rFonts w:hint="eastAsia"/>
              </w:rPr>
              <w:t>共设置2个，其中</w:t>
            </w:r>
            <w:r>
              <w:t>化学品库</w:t>
            </w:r>
            <w:r>
              <w:rPr>
                <w:rFonts w:hint="eastAsia"/>
              </w:rPr>
              <w:t>1位于1</w:t>
            </w:r>
            <w:r>
              <w:rPr>
                <w:rFonts w:hint="eastAsia"/>
                <w:vertAlign w:val="superscript"/>
              </w:rPr>
              <w:t>#</w:t>
            </w:r>
            <w:r>
              <w:rPr>
                <w:rFonts w:hint="eastAsia"/>
              </w:rPr>
              <w:t>厂房，面积200m</w:t>
            </w:r>
            <w:r>
              <w:rPr>
                <w:rFonts w:hint="eastAsia"/>
                <w:vertAlign w:val="superscript"/>
              </w:rPr>
              <w:t>2</w:t>
            </w:r>
            <w:r>
              <w:rPr>
                <w:rFonts w:hint="eastAsia"/>
              </w:rPr>
              <w:t>，</w:t>
            </w:r>
            <w:r>
              <w:t>采用汽车运输进厂，酸、清洗剂等化学品存放</w:t>
            </w:r>
            <w:r>
              <w:rPr>
                <w:rFonts w:hint="eastAsia"/>
              </w:rPr>
              <w:t>。</w:t>
            </w:r>
            <w:r>
              <w:t>化学品库</w:t>
            </w:r>
            <w:r>
              <w:rPr>
                <w:rFonts w:hint="eastAsia"/>
              </w:rPr>
              <w:t>2位于3</w:t>
            </w:r>
            <w:r>
              <w:rPr>
                <w:rFonts w:hint="eastAsia"/>
                <w:vertAlign w:val="superscript"/>
              </w:rPr>
              <w:t>#</w:t>
            </w:r>
            <w:r>
              <w:rPr>
                <w:rFonts w:hint="eastAsia"/>
              </w:rPr>
              <w:t>附属厂房，面积200m</w:t>
            </w:r>
            <w:r>
              <w:rPr>
                <w:rFonts w:hint="eastAsia"/>
                <w:vertAlign w:val="superscript"/>
              </w:rPr>
              <w:t>2</w:t>
            </w:r>
            <w:r>
              <w:rPr>
                <w:rFonts w:hint="eastAsia"/>
              </w:rPr>
              <w:t>，</w:t>
            </w:r>
            <w:r>
              <w:t>采用汽车运输进厂，酸、清洗剂等化学品存放</w:t>
            </w:r>
            <w:r>
              <w:rPr>
                <w:rFonts w:hint="eastAsia"/>
              </w:rPr>
              <w:t>。</w:t>
            </w:r>
          </w:p>
        </w:tc>
        <w:tc>
          <w:tcPr>
            <w:tcW w:w="610" w:type="pct"/>
            <w:vAlign w:val="center"/>
          </w:tcPr>
          <w:p w14:paraId="429CF676">
            <w:pPr>
              <w:pStyle w:val="1535"/>
            </w:pPr>
            <w:r>
              <w:rPr>
                <w:rFonts w:hint="eastAsia"/>
              </w:rPr>
              <w:t>本次依托</w:t>
            </w:r>
            <w:r>
              <w:t>化学品库</w:t>
            </w:r>
            <w:r>
              <w:rPr>
                <w:rFonts w:hint="eastAsia"/>
              </w:rPr>
              <w:t>1</w:t>
            </w:r>
          </w:p>
        </w:tc>
        <w:tc>
          <w:tcPr>
            <w:tcW w:w="1677" w:type="pct"/>
            <w:vAlign w:val="center"/>
          </w:tcPr>
          <w:p w14:paraId="1AA7F099">
            <w:pPr>
              <w:pStyle w:val="1535"/>
            </w:pPr>
            <w:r>
              <w:rPr>
                <w:rFonts w:hint="eastAsia"/>
              </w:rPr>
              <w:t>共设置2个，其中</w:t>
            </w:r>
            <w:r>
              <w:t>化学品库</w:t>
            </w:r>
            <w:r>
              <w:rPr>
                <w:rFonts w:hint="eastAsia"/>
              </w:rPr>
              <w:t>1位于1</w:t>
            </w:r>
            <w:r>
              <w:rPr>
                <w:rFonts w:hint="eastAsia"/>
                <w:vertAlign w:val="superscript"/>
              </w:rPr>
              <w:t>#</w:t>
            </w:r>
            <w:r>
              <w:rPr>
                <w:rFonts w:hint="eastAsia"/>
              </w:rPr>
              <w:t>厂房，面积200m</w:t>
            </w:r>
            <w:r>
              <w:rPr>
                <w:rFonts w:hint="eastAsia"/>
                <w:vertAlign w:val="superscript"/>
              </w:rPr>
              <w:t>2</w:t>
            </w:r>
            <w:r>
              <w:rPr>
                <w:rFonts w:hint="eastAsia"/>
              </w:rPr>
              <w:t>，</w:t>
            </w:r>
            <w:r>
              <w:t>采用汽车运输进厂，酸、清洗剂等化学品存放</w:t>
            </w:r>
            <w:r>
              <w:rPr>
                <w:rFonts w:hint="eastAsia"/>
              </w:rPr>
              <w:t>。</w:t>
            </w:r>
            <w:r>
              <w:t>化学品库</w:t>
            </w:r>
            <w:r>
              <w:rPr>
                <w:rFonts w:hint="eastAsia"/>
              </w:rPr>
              <w:t>2位于3</w:t>
            </w:r>
            <w:r>
              <w:rPr>
                <w:rFonts w:hint="eastAsia"/>
                <w:vertAlign w:val="superscript"/>
              </w:rPr>
              <w:t>#</w:t>
            </w:r>
            <w:r>
              <w:rPr>
                <w:rFonts w:hint="eastAsia"/>
              </w:rPr>
              <w:t>附属厂房，面积200m</w:t>
            </w:r>
            <w:r>
              <w:rPr>
                <w:rFonts w:hint="eastAsia"/>
                <w:vertAlign w:val="superscript"/>
              </w:rPr>
              <w:t>2</w:t>
            </w:r>
            <w:r>
              <w:rPr>
                <w:rFonts w:hint="eastAsia"/>
              </w:rPr>
              <w:t>，</w:t>
            </w:r>
            <w:r>
              <w:t>采用汽车运输进厂，酸、清洗剂等化学品存放</w:t>
            </w:r>
            <w:r>
              <w:rPr>
                <w:rFonts w:hint="eastAsia"/>
              </w:rPr>
              <w:t>。</w:t>
            </w:r>
          </w:p>
        </w:tc>
        <w:tc>
          <w:tcPr>
            <w:tcW w:w="377" w:type="pct"/>
            <w:vAlign w:val="center"/>
          </w:tcPr>
          <w:p w14:paraId="37C5EE5B">
            <w:pPr>
              <w:pStyle w:val="1535"/>
            </w:pPr>
            <w:r>
              <w:rPr>
                <w:rFonts w:hint="eastAsia"/>
              </w:rPr>
              <w:t>依托</w:t>
            </w:r>
          </w:p>
        </w:tc>
      </w:tr>
      <w:tr w14:paraId="0D38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restart"/>
            <w:vAlign w:val="center"/>
          </w:tcPr>
          <w:p w14:paraId="5E3A7FE6">
            <w:pPr>
              <w:pStyle w:val="1535"/>
            </w:pPr>
            <w:r>
              <w:t>环保工程</w:t>
            </w:r>
          </w:p>
        </w:tc>
        <w:tc>
          <w:tcPr>
            <w:tcW w:w="334" w:type="pct"/>
            <w:vMerge w:val="restart"/>
            <w:vAlign w:val="center"/>
          </w:tcPr>
          <w:p w14:paraId="0549882E">
            <w:pPr>
              <w:pStyle w:val="1535"/>
            </w:pPr>
            <w:r>
              <w:t>废气</w:t>
            </w:r>
          </w:p>
        </w:tc>
        <w:tc>
          <w:tcPr>
            <w:tcW w:w="1728" w:type="pct"/>
            <w:vAlign w:val="center"/>
          </w:tcPr>
          <w:p w14:paraId="70F9F638">
            <w:pPr>
              <w:pStyle w:val="1535"/>
            </w:pPr>
            <w:r>
              <w:rPr>
                <w:rFonts w:hint="eastAsia"/>
              </w:rPr>
              <w:t>碳化硅生产线2台再生炉废气排入1#四级酸雾喷淋塔处理后经DA004排气筒排放；</w:t>
            </w:r>
          </w:p>
        </w:tc>
        <w:tc>
          <w:tcPr>
            <w:tcW w:w="610" w:type="pct"/>
            <w:vAlign w:val="center"/>
          </w:tcPr>
          <w:p w14:paraId="4067B44F">
            <w:pPr>
              <w:pStyle w:val="1535"/>
            </w:pPr>
            <w:r>
              <w:rPr>
                <w:rFonts w:hint="eastAsia"/>
              </w:rPr>
              <w:t>本次石墨纯化及碳化硅涂层产品废气依托该废气治理设施。</w:t>
            </w:r>
          </w:p>
        </w:tc>
        <w:tc>
          <w:tcPr>
            <w:tcW w:w="1677" w:type="pct"/>
            <w:vAlign w:val="center"/>
          </w:tcPr>
          <w:p w14:paraId="657D1F2D">
            <w:pPr>
              <w:pStyle w:val="1535"/>
            </w:pPr>
            <w:r>
              <w:rPr>
                <w:rFonts w:hint="eastAsia"/>
              </w:rPr>
              <w:t>碳化硅生产线2台再生炉+石墨纯化+碳化硅涂层废气排入1#四级酸雾喷淋塔处理后经DA004排气筒排放；</w:t>
            </w:r>
          </w:p>
        </w:tc>
        <w:tc>
          <w:tcPr>
            <w:tcW w:w="377" w:type="pct"/>
            <w:vAlign w:val="center"/>
          </w:tcPr>
          <w:p w14:paraId="0C21F172">
            <w:pPr>
              <w:pStyle w:val="1535"/>
            </w:pPr>
            <w:r>
              <w:rPr>
                <w:rFonts w:hint="eastAsia"/>
              </w:rPr>
              <w:t>依托</w:t>
            </w:r>
          </w:p>
        </w:tc>
      </w:tr>
      <w:tr w14:paraId="67BC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43BCEF17">
            <w:pPr>
              <w:pStyle w:val="1535"/>
            </w:pPr>
          </w:p>
        </w:tc>
        <w:tc>
          <w:tcPr>
            <w:tcW w:w="334" w:type="pct"/>
            <w:vMerge w:val="continue"/>
            <w:vAlign w:val="center"/>
          </w:tcPr>
          <w:p w14:paraId="422D0FC2">
            <w:pPr>
              <w:pStyle w:val="1535"/>
            </w:pPr>
          </w:p>
        </w:tc>
        <w:tc>
          <w:tcPr>
            <w:tcW w:w="1728" w:type="pct"/>
            <w:vAlign w:val="center"/>
          </w:tcPr>
          <w:p w14:paraId="55C26D7A">
            <w:pPr>
              <w:pStyle w:val="1535"/>
            </w:pPr>
            <w:r>
              <w:rPr>
                <w:rFonts w:hint="eastAsia"/>
                <w:snapToGrid/>
              </w:rPr>
              <w:t>硅</w:t>
            </w:r>
            <w:r>
              <w:rPr>
                <w:snapToGrid/>
              </w:rPr>
              <w:t>蚀刻废气+清洗线废气通风柜内密闭抽风收集</w:t>
            </w:r>
            <w:r>
              <w:rPr>
                <w:rFonts w:hint="eastAsia"/>
                <w:snapToGrid/>
              </w:rPr>
              <w:t>送入</w:t>
            </w:r>
            <w:r>
              <w:rPr>
                <w:snapToGrid/>
              </w:rPr>
              <w:t>酸碱雾净化塔处理</w:t>
            </w:r>
            <w:r>
              <w:rPr>
                <w:rFonts w:hint="eastAsia"/>
                <w:snapToGrid/>
              </w:rPr>
              <w:t>后</w:t>
            </w:r>
            <w:r>
              <w:rPr>
                <w:snapToGrid/>
              </w:rPr>
              <w:t>，经</w:t>
            </w:r>
            <w:r>
              <w:rPr>
                <w:rFonts w:hint="eastAsia"/>
                <w:snapToGrid/>
              </w:rPr>
              <w:t>DA005</w:t>
            </w:r>
            <w:r>
              <w:rPr>
                <w:snapToGrid/>
              </w:rPr>
              <w:t>排气筒排放</w:t>
            </w:r>
            <w:r>
              <w:rPr>
                <w:rFonts w:hint="eastAsia"/>
                <w:snapToGrid/>
              </w:rPr>
              <w:t>；</w:t>
            </w:r>
          </w:p>
        </w:tc>
        <w:tc>
          <w:tcPr>
            <w:tcW w:w="610" w:type="pct"/>
            <w:vAlign w:val="center"/>
          </w:tcPr>
          <w:p w14:paraId="1EEEBFA8">
            <w:pPr>
              <w:pStyle w:val="1535"/>
            </w:pPr>
            <w:r>
              <w:rPr>
                <w:rFonts w:hint="eastAsia"/>
              </w:rPr>
              <w:t>本次GASKET产品清洗依托该清洗线</w:t>
            </w:r>
          </w:p>
        </w:tc>
        <w:tc>
          <w:tcPr>
            <w:tcW w:w="1677" w:type="pct"/>
            <w:vAlign w:val="center"/>
          </w:tcPr>
          <w:p w14:paraId="483B5DCF">
            <w:pPr>
              <w:pStyle w:val="1535"/>
            </w:pPr>
            <w:r>
              <w:rPr>
                <w:rFonts w:hint="eastAsia"/>
                <w:snapToGrid/>
              </w:rPr>
              <w:t>硅</w:t>
            </w:r>
            <w:r>
              <w:rPr>
                <w:snapToGrid/>
              </w:rPr>
              <w:t>蚀刻废气+清洗线废气通风柜内密闭抽风收集</w:t>
            </w:r>
            <w:r>
              <w:rPr>
                <w:rFonts w:hint="eastAsia"/>
                <w:snapToGrid/>
              </w:rPr>
              <w:t>送入</w:t>
            </w:r>
            <w:r>
              <w:rPr>
                <w:snapToGrid/>
              </w:rPr>
              <w:t>酸碱雾净化塔处理</w:t>
            </w:r>
            <w:r>
              <w:rPr>
                <w:rFonts w:hint="eastAsia"/>
                <w:snapToGrid/>
              </w:rPr>
              <w:t>后</w:t>
            </w:r>
            <w:r>
              <w:rPr>
                <w:snapToGrid/>
              </w:rPr>
              <w:t>，经</w:t>
            </w:r>
            <w:r>
              <w:rPr>
                <w:rFonts w:hint="eastAsia"/>
                <w:snapToGrid/>
              </w:rPr>
              <w:t>DA005</w:t>
            </w:r>
            <w:r>
              <w:rPr>
                <w:snapToGrid/>
              </w:rPr>
              <w:t>排气筒排放</w:t>
            </w:r>
            <w:r>
              <w:rPr>
                <w:rFonts w:hint="eastAsia"/>
                <w:snapToGrid/>
              </w:rPr>
              <w:t>；</w:t>
            </w:r>
          </w:p>
        </w:tc>
        <w:tc>
          <w:tcPr>
            <w:tcW w:w="377" w:type="pct"/>
            <w:vAlign w:val="center"/>
          </w:tcPr>
          <w:p w14:paraId="288A9682">
            <w:pPr>
              <w:pStyle w:val="1535"/>
            </w:pPr>
            <w:r>
              <w:rPr>
                <w:rFonts w:hint="eastAsia"/>
              </w:rPr>
              <w:t>/</w:t>
            </w:r>
          </w:p>
        </w:tc>
      </w:tr>
      <w:tr w14:paraId="4796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4DDB144F">
            <w:pPr>
              <w:pStyle w:val="1535"/>
            </w:pPr>
          </w:p>
        </w:tc>
        <w:tc>
          <w:tcPr>
            <w:tcW w:w="334" w:type="pct"/>
            <w:vMerge w:val="restart"/>
            <w:vAlign w:val="center"/>
          </w:tcPr>
          <w:p w14:paraId="68A70459">
            <w:pPr>
              <w:pStyle w:val="1535"/>
            </w:pPr>
            <w:r>
              <w:t>废水</w:t>
            </w:r>
          </w:p>
        </w:tc>
        <w:tc>
          <w:tcPr>
            <w:tcW w:w="1728" w:type="pct"/>
            <w:vAlign w:val="center"/>
          </w:tcPr>
          <w:p w14:paraId="6A5EA884">
            <w:pPr>
              <w:pStyle w:val="1535"/>
            </w:pPr>
            <w:r>
              <w:t>生活污水经生化池（20</w:t>
            </w:r>
            <w:r>
              <w:rPr>
                <w:rFonts w:hint="eastAsia"/>
              </w:rPr>
              <w:t xml:space="preserve"> m</w:t>
            </w:r>
            <w:r>
              <w:rPr>
                <w:rFonts w:hint="eastAsia"/>
                <w:vertAlign w:val="superscript"/>
              </w:rPr>
              <w:t>3</w:t>
            </w:r>
            <w:r>
              <w:t>/d）处理达《电子工业水污染物排放标准》（GB39731-2020）间接排放标准（动植物油执行《污水综合排放标准》（GB8978-1996）三级标准）后与处理后的生产废水一起排入市政污水管网系统。</w:t>
            </w:r>
          </w:p>
        </w:tc>
        <w:tc>
          <w:tcPr>
            <w:tcW w:w="610" w:type="pct"/>
            <w:vAlign w:val="center"/>
          </w:tcPr>
          <w:p w14:paraId="4C73B628">
            <w:pPr>
              <w:pStyle w:val="1535"/>
            </w:pPr>
            <w:r>
              <w:rPr>
                <w:rFonts w:hint="eastAsia"/>
              </w:rPr>
              <w:t>本次依托</w:t>
            </w:r>
          </w:p>
        </w:tc>
        <w:tc>
          <w:tcPr>
            <w:tcW w:w="1677" w:type="pct"/>
            <w:vAlign w:val="center"/>
          </w:tcPr>
          <w:p w14:paraId="0E1FED15">
            <w:pPr>
              <w:pStyle w:val="1535"/>
            </w:pPr>
            <w:r>
              <w:t>生活污水经生化池（20</w:t>
            </w:r>
            <w:r>
              <w:rPr>
                <w:rFonts w:hint="eastAsia"/>
              </w:rPr>
              <w:t xml:space="preserve"> m</w:t>
            </w:r>
            <w:r>
              <w:rPr>
                <w:rFonts w:hint="eastAsia"/>
                <w:vertAlign w:val="superscript"/>
              </w:rPr>
              <w:t>3</w:t>
            </w:r>
            <w:r>
              <w:t>/d）处理达《电子工业水污染物排放标准》（GB39731-2020）间接排放标准（动植物油执行《污水综合排放标准》（GB8978-1996）三级标准）后与处理后的生产废水一起排入市政污水管网系统。</w:t>
            </w:r>
          </w:p>
        </w:tc>
        <w:tc>
          <w:tcPr>
            <w:tcW w:w="377" w:type="pct"/>
            <w:vAlign w:val="center"/>
          </w:tcPr>
          <w:p w14:paraId="79D6FC37">
            <w:pPr>
              <w:pStyle w:val="1535"/>
            </w:pPr>
            <w:r>
              <w:rPr>
                <w:rFonts w:hint="eastAsia"/>
              </w:rPr>
              <w:t>依托</w:t>
            </w:r>
          </w:p>
        </w:tc>
      </w:tr>
      <w:tr w14:paraId="3213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009D6A64">
            <w:pPr>
              <w:pStyle w:val="1535"/>
            </w:pPr>
          </w:p>
        </w:tc>
        <w:tc>
          <w:tcPr>
            <w:tcW w:w="334" w:type="pct"/>
            <w:vMerge w:val="continue"/>
            <w:vAlign w:val="center"/>
          </w:tcPr>
          <w:p w14:paraId="3207395F">
            <w:pPr>
              <w:pStyle w:val="1535"/>
            </w:pPr>
          </w:p>
        </w:tc>
        <w:tc>
          <w:tcPr>
            <w:tcW w:w="1728" w:type="pct"/>
            <w:vAlign w:val="center"/>
          </w:tcPr>
          <w:p w14:paraId="5A30D072">
            <w:pPr>
              <w:pStyle w:val="1535"/>
            </w:pPr>
            <w:r>
              <w:rPr>
                <w:rFonts w:hint="eastAsia"/>
              </w:rPr>
              <w:t>厂区共设置2套</w:t>
            </w:r>
            <w:r>
              <w:t>综合废水处理站</w:t>
            </w:r>
            <w:r>
              <w:rPr>
                <w:rFonts w:hint="eastAsia"/>
              </w:rPr>
              <w:t>处理生产废水，设计处理能力均为</w:t>
            </w:r>
            <w:r>
              <w:t>150</w:t>
            </w:r>
            <w:r>
              <w:rPr>
                <w:rFonts w:hint="eastAsia"/>
              </w:rPr>
              <w:t xml:space="preserve"> m</w:t>
            </w:r>
            <w:r>
              <w:rPr>
                <w:rFonts w:hint="eastAsia"/>
                <w:vertAlign w:val="superscript"/>
              </w:rPr>
              <w:t>3</w:t>
            </w:r>
            <w:r>
              <w:t>/d，</w:t>
            </w:r>
            <w:r>
              <w:rPr>
                <w:rFonts w:hint="eastAsia"/>
              </w:rPr>
              <w:t>均采用“调节+气浮+三级絮凝沉淀”处理工艺，其中</w:t>
            </w:r>
            <w:r>
              <w:t>综合废水处理站</w:t>
            </w:r>
            <w:r>
              <w:rPr>
                <w:rFonts w:hint="eastAsia"/>
              </w:rPr>
              <w:t>1位于2#厂房东北角，</w:t>
            </w:r>
            <w:r>
              <w:t>综合废水处理站</w:t>
            </w:r>
            <w:r>
              <w:rPr>
                <w:rFonts w:hint="eastAsia"/>
              </w:rPr>
              <w:t>2位于3#附属厂房南侧。生产废水</w:t>
            </w:r>
            <w:r>
              <w:t>处理达《电子工业水污染物排放标准》（GB39731-2020）间接排放标准后与生活污水</w:t>
            </w:r>
            <w:r>
              <w:rPr>
                <w:rFonts w:hint="eastAsia"/>
              </w:rPr>
              <w:t>一并</w:t>
            </w:r>
            <w:r>
              <w:t>接入市政污水管网</w:t>
            </w:r>
            <w:r>
              <w:rPr>
                <w:rFonts w:hint="eastAsia"/>
              </w:rPr>
              <w:t>，经市政污水管网送至西彭工业园污水处理厂处理达标后排放</w:t>
            </w:r>
            <w:r>
              <w:t>。</w:t>
            </w:r>
          </w:p>
        </w:tc>
        <w:tc>
          <w:tcPr>
            <w:tcW w:w="610" w:type="pct"/>
            <w:vAlign w:val="center"/>
          </w:tcPr>
          <w:p w14:paraId="1DB99014">
            <w:pPr>
              <w:pStyle w:val="1535"/>
            </w:pPr>
            <w:r>
              <w:rPr>
                <w:rFonts w:hint="eastAsia"/>
              </w:rPr>
              <w:t>本次依托</w:t>
            </w:r>
            <w:r>
              <w:t>综合废水处理站</w:t>
            </w:r>
            <w:r>
              <w:rPr>
                <w:rFonts w:hint="eastAsia"/>
              </w:rPr>
              <w:t>1</w:t>
            </w:r>
          </w:p>
        </w:tc>
        <w:tc>
          <w:tcPr>
            <w:tcW w:w="1677" w:type="pct"/>
            <w:vAlign w:val="center"/>
          </w:tcPr>
          <w:p w14:paraId="72D90536">
            <w:pPr>
              <w:pStyle w:val="1535"/>
            </w:pPr>
            <w:r>
              <w:rPr>
                <w:rFonts w:hint="eastAsia"/>
              </w:rPr>
              <w:t>厂区共设置2套</w:t>
            </w:r>
            <w:r>
              <w:t>综合废水处理站</w:t>
            </w:r>
            <w:r>
              <w:rPr>
                <w:rFonts w:hint="eastAsia"/>
              </w:rPr>
              <w:t>处理生产废水，设计处理能力均为</w:t>
            </w:r>
            <w:r>
              <w:t>150</w:t>
            </w:r>
            <w:r>
              <w:rPr>
                <w:rFonts w:hint="eastAsia"/>
              </w:rPr>
              <w:t xml:space="preserve"> m</w:t>
            </w:r>
            <w:r>
              <w:rPr>
                <w:rFonts w:hint="eastAsia"/>
                <w:vertAlign w:val="superscript"/>
              </w:rPr>
              <w:t>3</w:t>
            </w:r>
            <w:r>
              <w:t>/d，</w:t>
            </w:r>
            <w:r>
              <w:rPr>
                <w:rFonts w:hint="eastAsia"/>
              </w:rPr>
              <w:t>均采用“调节+气浮+三级絮凝沉淀”处理工艺，其中</w:t>
            </w:r>
            <w:r>
              <w:t>综合废水处理站</w:t>
            </w:r>
            <w:r>
              <w:rPr>
                <w:rFonts w:hint="eastAsia"/>
              </w:rPr>
              <w:t>1位于2#厂房东北角，</w:t>
            </w:r>
            <w:r>
              <w:t>综合废水处理站</w:t>
            </w:r>
            <w:r>
              <w:rPr>
                <w:rFonts w:hint="eastAsia"/>
              </w:rPr>
              <w:t>2位于3#附属厂房南侧。生产废水</w:t>
            </w:r>
            <w:r>
              <w:t>处理达《电子工业水污染物排放标准》（GB39731-2020）间接排放标准后与生活污水</w:t>
            </w:r>
            <w:r>
              <w:rPr>
                <w:rFonts w:hint="eastAsia"/>
              </w:rPr>
              <w:t>一并</w:t>
            </w:r>
            <w:r>
              <w:t>接入市政污水管网</w:t>
            </w:r>
            <w:r>
              <w:rPr>
                <w:rFonts w:hint="eastAsia"/>
              </w:rPr>
              <w:t>，经市政污水管网送至西彭工业园污水处理厂处理达标后排放</w:t>
            </w:r>
            <w:r>
              <w:t>。</w:t>
            </w:r>
          </w:p>
        </w:tc>
        <w:tc>
          <w:tcPr>
            <w:tcW w:w="377" w:type="pct"/>
            <w:vAlign w:val="center"/>
          </w:tcPr>
          <w:p w14:paraId="0AA9E06E">
            <w:pPr>
              <w:pStyle w:val="1535"/>
            </w:pPr>
            <w:r>
              <w:rPr>
                <w:rFonts w:hint="eastAsia"/>
              </w:rPr>
              <w:t>依托</w:t>
            </w:r>
          </w:p>
        </w:tc>
      </w:tr>
      <w:tr w14:paraId="0439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3601EFE0">
            <w:pPr>
              <w:pStyle w:val="1535"/>
            </w:pPr>
          </w:p>
        </w:tc>
        <w:tc>
          <w:tcPr>
            <w:tcW w:w="334" w:type="pct"/>
            <w:vMerge w:val="restart"/>
            <w:vAlign w:val="center"/>
          </w:tcPr>
          <w:p w14:paraId="035C2AE3">
            <w:pPr>
              <w:pStyle w:val="1535"/>
            </w:pPr>
            <w:r>
              <w:t>固体废物</w:t>
            </w:r>
          </w:p>
        </w:tc>
        <w:tc>
          <w:tcPr>
            <w:tcW w:w="1728" w:type="pct"/>
            <w:vAlign w:val="center"/>
          </w:tcPr>
          <w:p w14:paraId="01E5F706">
            <w:pPr>
              <w:pStyle w:val="1535"/>
            </w:pPr>
            <w:r>
              <w:rPr>
                <w:rFonts w:hint="eastAsia"/>
              </w:rPr>
              <w:t>共设置2个一般固废贮存点，其中一般固废贮存点1位于1#厂房附属厂房南侧，一般固废贮存点2位于1#附属用房北侧，用均于报废的包材等一般工业固废存放，定期交于物资回收公司回收处置</w:t>
            </w:r>
            <w:r>
              <w:t>。</w:t>
            </w:r>
          </w:p>
        </w:tc>
        <w:tc>
          <w:tcPr>
            <w:tcW w:w="610" w:type="pct"/>
            <w:vAlign w:val="center"/>
          </w:tcPr>
          <w:p w14:paraId="6E424944">
            <w:pPr>
              <w:pStyle w:val="1535"/>
            </w:pPr>
            <w:r>
              <w:rPr>
                <w:rFonts w:hint="eastAsia"/>
              </w:rPr>
              <w:t>本次依托一般固废贮存点1</w:t>
            </w:r>
          </w:p>
        </w:tc>
        <w:tc>
          <w:tcPr>
            <w:tcW w:w="1677" w:type="pct"/>
            <w:vAlign w:val="center"/>
          </w:tcPr>
          <w:p w14:paraId="0001965E">
            <w:pPr>
              <w:pStyle w:val="1535"/>
            </w:pPr>
            <w:r>
              <w:rPr>
                <w:rFonts w:hint="eastAsia"/>
              </w:rPr>
              <w:t>共设置2个一般固废贮存点，其中一般固废贮存点1位于1#厂房附属厂房南侧，一般固废贮存点2位于1#附属用房北侧，用均于报废的包材等一般工业固废存放，定期交于物资回收公司回收处置</w:t>
            </w:r>
            <w:r>
              <w:t>。</w:t>
            </w:r>
          </w:p>
        </w:tc>
        <w:tc>
          <w:tcPr>
            <w:tcW w:w="377" w:type="pct"/>
            <w:vAlign w:val="center"/>
          </w:tcPr>
          <w:p w14:paraId="57F2447A">
            <w:pPr>
              <w:pStyle w:val="1535"/>
            </w:pPr>
            <w:r>
              <w:rPr>
                <w:rFonts w:hint="eastAsia"/>
              </w:rPr>
              <w:t>依托</w:t>
            </w:r>
          </w:p>
        </w:tc>
      </w:tr>
      <w:tr w14:paraId="6339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3AC297F4">
            <w:pPr>
              <w:pStyle w:val="1535"/>
            </w:pPr>
          </w:p>
        </w:tc>
        <w:tc>
          <w:tcPr>
            <w:tcW w:w="334" w:type="pct"/>
            <w:vMerge w:val="continue"/>
            <w:vAlign w:val="center"/>
          </w:tcPr>
          <w:p w14:paraId="564C4148">
            <w:pPr>
              <w:pStyle w:val="1535"/>
            </w:pPr>
          </w:p>
        </w:tc>
        <w:tc>
          <w:tcPr>
            <w:tcW w:w="1728" w:type="pct"/>
            <w:vAlign w:val="center"/>
          </w:tcPr>
          <w:p w14:paraId="46715899">
            <w:pPr>
              <w:pStyle w:val="1535"/>
            </w:pPr>
            <w:r>
              <w:t>在2</w:t>
            </w:r>
            <w:r>
              <w:rPr>
                <w:vertAlign w:val="superscript"/>
              </w:rPr>
              <w:t>#</w:t>
            </w:r>
            <w:r>
              <w:t>厂房的附属用房内建设1座切削液回收车间，占地面积约255</w:t>
            </w:r>
            <w:r>
              <w:rPr>
                <w:rFonts w:hint="eastAsia"/>
              </w:rPr>
              <w:t xml:space="preserve"> m</w:t>
            </w:r>
            <w:r>
              <w:rPr>
                <w:rFonts w:hint="eastAsia"/>
                <w:vertAlign w:val="superscript"/>
              </w:rPr>
              <w:t>2</w:t>
            </w:r>
            <w:r>
              <w:t>，含废屑的切削液收集后在切削液回收车间内经压滤、三级过滤处理后回用于生产，压滤产生的含切削液的污泥作为危险废物处置。</w:t>
            </w:r>
          </w:p>
        </w:tc>
        <w:tc>
          <w:tcPr>
            <w:tcW w:w="610" w:type="pct"/>
            <w:vAlign w:val="center"/>
          </w:tcPr>
          <w:p w14:paraId="0560BF93">
            <w:pPr>
              <w:pStyle w:val="1535"/>
            </w:pPr>
            <w:r>
              <w:rPr>
                <w:rFonts w:hint="eastAsia"/>
              </w:rPr>
              <w:t>本次依托</w:t>
            </w:r>
          </w:p>
        </w:tc>
        <w:tc>
          <w:tcPr>
            <w:tcW w:w="1677" w:type="pct"/>
            <w:vAlign w:val="center"/>
          </w:tcPr>
          <w:p w14:paraId="6BA223A5">
            <w:pPr>
              <w:pStyle w:val="1535"/>
            </w:pPr>
            <w:r>
              <w:t>在2</w:t>
            </w:r>
            <w:r>
              <w:rPr>
                <w:vertAlign w:val="superscript"/>
              </w:rPr>
              <w:t>#</w:t>
            </w:r>
            <w:r>
              <w:t>厂房的附属用房内建设1座切削液回收车间，占地面积约255</w:t>
            </w:r>
            <w:r>
              <w:rPr>
                <w:rFonts w:hint="eastAsia"/>
              </w:rPr>
              <w:t xml:space="preserve"> m</w:t>
            </w:r>
            <w:r>
              <w:rPr>
                <w:rFonts w:hint="eastAsia"/>
                <w:vertAlign w:val="superscript"/>
              </w:rPr>
              <w:t>2</w:t>
            </w:r>
            <w:r>
              <w:t>，含废屑的切削液收集后在切削液回收车间内经压滤、三级过滤处理后回用于生产，压滤产生的含切削液的污泥作为危险废物处置。</w:t>
            </w:r>
          </w:p>
        </w:tc>
        <w:tc>
          <w:tcPr>
            <w:tcW w:w="377" w:type="pct"/>
            <w:vAlign w:val="center"/>
          </w:tcPr>
          <w:p w14:paraId="463E6874">
            <w:pPr>
              <w:pStyle w:val="1535"/>
            </w:pPr>
            <w:r>
              <w:rPr>
                <w:rFonts w:hint="eastAsia"/>
              </w:rPr>
              <w:t>依托</w:t>
            </w:r>
          </w:p>
        </w:tc>
      </w:tr>
      <w:tr w14:paraId="5C9B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4219987B">
            <w:pPr>
              <w:pStyle w:val="1535"/>
            </w:pPr>
          </w:p>
        </w:tc>
        <w:tc>
          <w:tcPr>
            <w:tcW w:w="334" w:type="pct"/>
            <w:vMerge w:val="continue"/>
            <w:vAlign w:val="center"/>
          </w:tcPr>
          <w:p w14:paraId="6AFB6BB1">
            <w:pPr>
              <w:pStyle w:val="1535"/>
            </w:pPr>
          </w:p>
        </w:tc>
        <w:tc>
          <w:tcPr>
            <w:tcW w:w="1728" w:type="pct"/>
            <w:vAlign w:val="center"/>
          </w:tcPr>
          <w:p w14:paraId="4A5F4A4E">
            <w:pPr>
              <w:pStyle w:val="1535"/>
            </w:pPr>
            <w:r>
              <w:rPr>
                <w:rFonts w:hint="eastAsia"/>
              </w:rPr>
              <w:t>共设置2个危险废物贮存库，其中危险废物贮存库1位于1#厂房附属厂房，危险废物贮存库2位于3#附属用房。占地面积均为100 m</w:t>
            </w:r>
            <w:r>
              <w:rPr>
                <w:rFonts w:hint="eastAsia"/>
                <w:vertAlign w:val="superscript"/>
              </w:rPr>
              <w:t>2</w:t>
            </w:r>
            <w:r>
              <w:rPr>
                <w:rFonts w:hint="eastAsia"/>
              </w:rPr>
              <w:t>，均用于危险废物临时贮存，定期由有资质的第三方单位运走进行处理</w:t>
            </w:r>
            <w:r>
              <w:t>。</w:t>
            </w:r>
          </w:p>
        </w:tc>
        <w:tc>
          <w:tcPr>
            <w:tcW w:w="610" w:type="pct"/>
            <w:vAlign w:val="center"/>
          </w:tcPr>
          <w:p w14:paraId="44B2667B">
            <w:pPr>
              <w:pStyle w:val="1535"/>
            </w:pPr>
            <w:r>
              <w:rPr>
                <w:rFonts w:hint="eastAsia"/>
              </w:rPr>
              <w:t>本次依托危险废物贮存库1</w:t>
            </w:r>
          </w:p>
        </w:tc>
        <w:tc>
          <w:tcPr>
            <w:tcW w:w="1677" w:type="pct"/>
            <w:vAlign w:val="center"/>
          </w:tcPr>
          <w:p w14:paraId="0B1255DA">
            <w:pPr>
              <w:pStyle w:val="1535"/>
            </w:pPr>
            <w:r>
              <w:rPr>
                <w:rFonts w:hint="eastAsia"/>
              </w:rPr>
              <w:t>共设置2个危险废物贮存库，其中危险废物贮存库1位于1#厂房附属厂房，危险废物贮存库2位于3#附属用房。占地面积均为100 m</w:t>
            </w:r>
            <w:r>
              <w:rPr>
                <w:rFonts w:hint="eastAsia"/>
                <w:vertAlign w:val="superscript"/>
              </w:rPr>
              <w:t>2</w:t>
            </w:r>
            <w:r>
              <w:rPr>
                <w:rFonts w:hint="eastAsia"/>
              </w:rPr>
              <w:t>，均用于危险废物临时贮存，定期由有资质的第三方单位运走进行处理</w:t>
            </w:r>
            <w:r>
              <w:t>。</w:t>
            </w:r>
          </w:p>
        </w:tc>
        <w:tc>
          <w:tcPr>
            <w:tcW w:w="377" w:type="pct"/>
            <w:vAlign w:val="center"/>
          </w:tcPr>
          <w:p w14:paraId="59744584">
            <w:pPr>
              <w:pStyle w:val="1535"/>
            </w:pPr>
            <w:r>
              <w:rPr>
                <w:rFonts w:hint="eastAsia"/>
              </w:rPr>
              <w:t>/</w:t>
            </w:r>
          </w:p>
        </w:tc>
      </w:tr>
      <w:tr w14:paraId="2C46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5BE4CA64">
            <w:pPr>
              <w:pStyle w:val="1535"/>
            </w:pPr>
          </w:p>
        </w:tc>
        <w:tc>
          <w:tcPr>
            <w:tcW w:w="334" w:type="pct"/>
            <w:vAlign w:val="center"/>
          </w:tcPr>
          <w:p w14:paraId="733549C6">
            <w:pPr>
              <w:pStyle w:val="1535"/>
            </w:pPr>
            <w:r>
              <w:t>噪声</w:t>
            </w:r>
          </w:p>
        </w:tc>
        <w:tc>
          <w:tcPr>
            <w:tcW w:w="1728" w:type="pct"/>
            <w:vAlign w:val="center"/>
          </w:tcPr>
          <w:p w14:paraId="5E5C1CE6">
            <w:pPr>
              <w:pStyle w:val="1535"/>
            </w:pPr>
            <w:r>
              <w:t>高噪声设备采取减振、隔声、消声等措施。</w:t>
            </w:r>
          </w:p>
        </w:tc>
        <w:tc>
          <w:tcPr>
            <w:tcW w:w="610" w:type="pct"/>
            <w:vAlign w:val="center"/>
          </w:tcPr>
          <w:p w14:paraId="0ECD9A05">
            <w:pPr>
              <w:pStyle w:val="1535"/>
            </w:pPr>
            <w:r>
              <w:rPr>
                <w:rFonts w:hint="eastAsia"/>
              </w:rPr>
              <w:t>本次高噪声设备采取减振、隔声、消声等措施。</w:t>
            </w:r>
          </w:p>
        </w:tc>
        <w:tc>
          <w:tcPr>
            <w:tcW w:w="1677" w:type="pct"/>
            <w:vAlign w:val="center"/>
          </w:tcPr>
          <w:p w14:paraId="009A6BF7">
            <w:pPr>
              <w:pStyle w:val="1535"/>
            </w:pPr>
            <w:r>
              <w:t>高噪声设备采取减振、隔声、消声等措施。</w:t>
            </w:r>
          </w:p>
        </w:tc>
        <w:tc>
          <w:tcPr>
            <w:tcW w:w="377" w:type="pct"/>
            <w:vAlign w:val="center"/>
          </w:tcPr>
          <w:p w14:paraId="3F2C9469">
            <w:pPr>
              <w:pStyle w:val="1535"/>
            </w:pPr>
            <w:r>
              <w:rPr>
                <w:rFonts w:hint="eastAsia"/>
              </w:rPr>
              <w:t>新建</w:t>
            </w:r>
          </w:p>
        </w:tc>
      </w:tr>
      <w:tr w14:paraId="31F0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4" w:type="pct"/>
            <w:vMerge w:val="continue"/>
            <w:vAlign w:val="center"/>
          </w:tcPr>
          <w:p w14:paraId="1EACBB94">
            <w:pPr>
              <w:pStyle w:val="1535"/>
            </w:pPr>
          </w:p>
        </w:tc>
        <w:tc>
          <w:tcPr>
            <w:tcW w:w="334" w:type="pct"/>
            <w:vAlign w:val="center"/>
          </w:tcPr>
          <w:p w14:paraId="63A4D9FB">
            <w:pPr>
              <w:pStyle w:val="1535"/>
            </w:pPr>
            <w:r>
              <w:t>风险防范</w:t>
            </w:r>
          </w:p>
        </w:tc>
        <w:tc>
          <w:tcPr>
            <w:tcW w:w="1728" w:type="pct"/>
            <w:vAlign w:val="center"/>
          </w:tcPr>
          <w:p w14:paraId="464B5B62">
            <w:pPr>
              <w:pStyle w:val="1535"/>
            </w:pPr>
            <w:r>
              <w:t>切削液回收车间及危废贮存设施四周设置地沟收集；设置容积为270</w:t>
            </w:r>
            <w:r>
              <w:rPr>
                <w:rFonts w:hint="eastAsia"/>
              </w:rPr>
              <w:t xml:space="preserve"> m</w:t>
            </w:r>
            <w:r>
              <w:rPr>
                <w:rFonts w:hint="eastAsia"/>
                <w:vertAlign w:val="superscript"/>
              </w:rPr>
              <w:t>3</w:t>
            </w:r>
            <w:r>
              <w:t>事故池，收集</w:t>
            </w:r>
            <w:r>
              <w:rPr>
                <w:rFonts w:hint="eastAsia"/>
              </w:rPr>
              <w:t>厂区</w:t>
            </w:r>
            <w:r>
              <w:t>事故废水</w:t>
            </w:r>
            <w:r>
              <w:rPr>
                <w:rFonts w:hint="eastAsia"/>
              </w:rPr>
              <w:t>。</w:t>
            </w:r>
          </w:p>
        </w:tc>
        <w:tc>
          <w:tcPr>
            <w:tcW w:w="610" w:type="pct"/>
            <w:vAlign w:val="center"/>
          </w:tcPr>
          <w:p w14:paraId="53FD9957">
            <w:pPr>
              <w:pStyle w:val="1535"/>
            </w:pPr>
            <w:r>
              <w:rPr>
                <w:rFonts w:hint="eastAsia"/>
              </w:rPr>
              <w:t>本次依托</w:t>
            </w:r>
          </w:p>
        </w:tc>
        <w:tc>
          <w:tcPr>
            <w:tcW w:w="1677" w:type="pct"/>
            <w:vAlign w:val="center"/>
          </w:tcPr>
          <w:p w14:paraId="42F0772C">
            <w:pPr>
              <w:pStyle w:val="1535"/>
            </w:pPr>
            <w:r>
              <w:t>切削液回收车间及危废贮存设施四周设置地沟收集；设置容积为270</w:t>
            </w:r>
            <w:r>
              <w:rPr>
                <w:rFonts w:hint="eastAsia"/>
              </w:rPr>
              <w:t xml:space="preserve"> m</w:t>
            </w:r>
            <w:r>
              <w:rPr>
                <w:rFonts w:hint="eastAsia"/>
                <w:vertAlign w:val="superscript"/>
              </w:rPr>
              <w:t>3</w:t>
            </w:r>
            <w:r>
              <w:t>事故池，收集</w:t>
            </w:r>
            <w:r>
              <w:rPr>
                <w:rFonts w:hint="eastAsia"/>
              </w:rPr>
              <w:t>厂区</w:t>
            </w:r>
            <w:r>
              <w:t>事故废水</w:t>
            </w:r>
            <w:r>
              <w:rPr>
                <w:rFonts w:hint="eastAsia"/>
              </w:rPr>
              <w:t>。</w:t>
            </w:r>
          </w:p>
        </w:tc>
        <w:tc>
          <w:tcPr>
            <w:tcW w:w="377" w:type="pct"/>
            <w:vAlign w:val="center"/>
          </w:tcPr>
          <w:p w14:paraId="1E18A149">
            <w:pPr>
              <w:pStyle w:val="1535"/>
            </w:pPr>
            <w:r>
              <w:rPr>
                <w:rFonts w:hint="eastAsia"/>
              </w:rPr>
              <w:t>依托</w:t>
            </w:r>
          </w:p>
        </w:tc>
      </w:tr>
    </w:tbl>
    <w:p w14:paraId="68DD5261">
      <w:pPr>
        <w:autoSpaceDE w:val="0"/>
        <w:autoSpaceDN w:val="0"/>
        <w:ind w:firstLine="520"/>
        <w:rPr>
          <w:color w:val="000000" w:themeColor="text1"/>
          <w:szCs w:val="26"/>
          <w14:textFill>
            <w14:solidFill>
              <w14:schemeClr w14:val="tx1"/>
            </w14:solidFill>
          </w14:textFill>
        </w:rPr>
      </w:pPr>
      <w:bookmarkStart w:id="150" w:name="_Toc515446808"/>
      <w:bookmarkStart w:id="151" w:name="_Toc56245887"/>
      <w:bookmarkStart w:id="152" w:name="_Toc459967517"/>
      <w:bookmarkStart w:id="153" w:name="_Toc65751227"/>
      <w:bookmarkStart w:id="154" w:name="_Toc22217"/>
      <w:bookmarkStart w:id="155" w:name="_Toc343261963"/>
      <w:r>
        <w:rPr>
          <w:rFonts w:hint="eastAsia"/>
          <w:color w:val="000000" w:themeColor="text1"/>
          <w:szCs w:val="26"/>
          <w14:textFill>
            <w14:solidFill>
              <w14:schemeClr w14:val="tx1"/>
            </w14:solidFill>
          </w14:textFill>
        </w:rPr>
        <w:t>扩建项目依托现有工程主体厂房工程、公用工程、辅助工程、储运工程及环保工程，依托可行性分析详见下表。</w:t>
      </w:r>
    </w:p>
    <w:p w14:paraId="0DAE3480">
      <w:pPr>
        <w:autoSpaceDE w:val="0"/>
        <w:autoSpaceDN w:val="0"/>
        <w:ind w:firstLine="520"/>
        <w:jc w:val="center"/>
        <w:rPr>
          <w:color w:val="000000" w:themeColor="text1"/>
          <w:szCs w:val="26"/>
          <w14:textFill>
            <w14:solidFill>
              <w14:schemeClr w14:val="tx1"/>
            </w14:solidFill>
          </w14:textFill>
        </w:rPr>
      </w:pPr>
      <w:r>
        <w:rPr>
          <w:color w:val="000000" w:themeColor="text1"/>
          <w:szCs w:val="26"/>
          <w14:textFill>
            <w14:solidFill>
              <w14:schemeClr w14:val="tx1"/>
            </w14:solidFill>
          </w14:textFill>
        </w:rPr>
        <w:t>表</w:t>
      </w:r>
      <w:r>
        <w:rPr>
          <w:rFonts w:hint="eastAsia"/>
          <w:color w:val="000000" w:themeColor="text1"/>
          <w:szCs w:val="26"/>
          <w14:textFill>
            <w14:solidFill>
              <w14:schemeClr w14:val="tx1"/>
            </w14:solidFill>
          </w14:textFill>
        </w:rPr>
        <w:t>3.3-2</w:t>
      </w:r>
      <w:r>
        <w:rPr>
          <w:color w:val="000000" w:themeColor="text1"/>
          <w:szCs w:val="26"/>
          <w14:textFill>
            <w14:solidFill>
              <w14:schemeClr w14:val="tx1"/>
            </w14:solidFill>
          </w14:textFill>
        </w:rPr>
        <w:t xml:space="preserve">  </w:t>
      </w:r>
      <w:r>
        <w:rPr>
          <w:rFonts w:hint="eastAsia"/>
          <w:color w:val="000000" w:themeColor="text1"/>
          <w:szCs w:val="26"/>
          <w14:textFill>
            <w14:solidFill>
              <w14:schemeClr w14:val="tx1"/>
            </w14:solidFill>
          </w14:textFill>
        </w:rPr>
        <w:t xml:space="preserve">  扩建</w:t>
      </w:r>
      <w:r>
        <w:rPr>
          <w:color w:val="000000" w:themeColor="text1"/>
          <w:szCs w:val="26"/>
          <w14:textFill>
            <w14:solidFill>
              <w14:schemeClr w14:val="tx1"/>
            </w14:solidFill>
          </w14:textFill>
        </w:rPr>
        <w:t>项目</w:t>
      </w:r>
      <w:r>
        <w:rPr>
          <w:rFonts w:hint="eastAsia"/>
          <w:color w:val="000000" w:themeColor="text1"/>
          <w:szCs w:val="26"/>
          <w14:textFill>
            <w14:solidFill>
              <w14:schemeClr w14:val="tx1"/>
            </w14:solidFill>
          </w14:textFill>
        </w:rPr>
        <w:t>依托可行性分析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865"/>
        <w:gridCol w:w="1009"/>
        <w:gridCol w:w="5474"/>
        <w:gridCol w:w="6112"/>
      </w:tblGrid>
      <w:tr w14:paraId="27DA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6F20BD22">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序号</w:t>
            </w:r>
          </w:p>
        </w:tc>
        <w:tc>
          <w:tcPr>
            <w:tcW w:w="661" w:type="pct"/>
            <w:gridSpan w:val="2"/>
            <w:vAlign w:val="center"/>
          </w:tcPr>
          <w:p w14:paraId="5604A8C0">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内容</w:t>
            </w:r>
          </w:p>
        </w:tc>
        <w:tc>
          <w:tcPr>
            <w:tcW w:w="1931" w:type="pct"/>
            <w:vAlign w:val="center"/>
          </w:tcPr>
          <w:p w14:paraId="0BCAC111">
            <w:pPr>
              <w:spacing w:line="240" w:lineRule="auto"/>
              <w:ind w:firstLine="44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建设情况</w:t>
            </w:r>
          </w:p>
        </w:tc>
        <w:tc>
          <w:tcPr>
            <w:tcW w:w="2156" w:type="pct"/>
            <w:vAlign w:val="center"/>
          </w:tcPr>
          <w:p w14:paraId="7C5D718E">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依托关系及可行性</w:t>
            </w:r>
          </w:p>
        </w:tc>
      </w:tr>
      <w:tr w14:paraId="7475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7ADFFE90">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305" w:type="pct"/>
            <w:vMerge w:val="restart"/>
            <w:vAlign w:val="center"/>
          </w:tcPr>
          <w:p w14:paraId="7E35CB4D">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主体工程</w:t>
            </w:r>
          </w:p>
        </w:tc>
        <w:tc>
          <w:tcPr>
            <w:tcW w:w="356" w:type="pct"/>
            <w:vAlign w:val="center"/>
          </w:tcPr>
          <w:p w14:paraId="70C545E0">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1#厂房</w:t>
            </w:r>
          </w:p>
        </w:tc>
        <w:tc>
          <w:tcPr>
            <w:tcW w:w="1931" w:type="pct"/>
            <w:vAlign w:val="center"/>
          </w:tcPr>
          <w:p w14:paraId="5B169AC9">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在地块南侧已建成1#厂房，建筑面积7878.23m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，钢混结构。</w:t>
            </w:r>
          </w:p>
        </w:tc>
        <w:tc>
          <w:tcPr>
            <w:tcW w:w="2156" w:type="pct"/>
            <w:vAlign w:val="center"/>
          </w:tcPr>
          <w:p w14:paraId="0D3CE6F7">
            <w:pPr>
              <w:widowControl/>
              <w:spacing w:line="240" w:lineRule="auto"/>
              <w:ind w:firstLine="0" w:firstLineChars="0"/>
              <w:jc w:val="center"/>
              <w:textAlignment w:val="center"/>
              <w:rPr>
                <w:color w:val="000000" w:themeColor="text1"/>
                <w:sz w:val="22"/>
                <w:szCs w:val="22"/>
                <w14:textFill>
                  <w14:solidFill>
                    <w14:schemeClr w14:val="tx1"/>
                  </w14:solidFill>
                </w14:textFill>
              </w:rPr>
            </w:pPr>
            <w:bookmarkStart w:id="156" w:name="OLE_LINK5"/>
            <w:r>
              <w:rPr>
                <w:color w:val="000000" w:themeColor="text1"/>
                <w:sz w:val="22"/>
                <w:szCs w:val="22"/>
                <w14:textFill>
                  <w14:solidFill>
                    <w14:schemeClr w14:val="tx1"/>
                  </w14:solidFill>
                </w14:textFill>
              </w:rPr>
              <w:t>扩建项目</w:t>
            </w:r>
            <w:bookmarkEnd w:id="156"/>
            <w:r>
              <w:rPr>
                <w:rFonts w:hint="eastAsia"/>
                <w:color w:val="000000" w:themeColor="text1"/>
                <w:sz w:val="22"/>
                <w:szCs w:val="22"/>
                <w14:textFill>
                  <w14:solidFill>
                    <w14:schemeClr w14:val="tx1"/>
                  </w14:solidFill>
                </w14:textFill>
              </w:rPr>
              <w:t>在1#厂房东南角面积约270m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闲置区域，布置石墨纯化、石墨化及石墨碳化硅涂层生产线。 厂房闲置区域面积能够满足本次扩建需求，故本次可依托。</w:t>
            </w:r>
          </w:p>
        </w:tc>
      </w:tr>
      <w:tr w14:paraId="2DDB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53E3DD4B">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67AD676D">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Align w:val="center"/>
          </w:tcPr>
          <w:p w14:paraId="0265B0FF">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2#厂房</w:t>
            </w:r>
          </w:p>
        </w:tc>
        <w:tc>
          <w:tcPr>
            <w:tcW w:w="1931" w:type="pct"/>
            <w:vAlign w:val="center"/>
          </w:tcPr>
          <w:p w14:paraId="1243C56F">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在2#厂房2层设置清洗区域，主要布置1条清洗线，其中超声槽17个、浸洗槽25个、冲淋槽2个、</w:t>
            </w:r>
          </w:p>
        </w:tc>
        <w:tc>
          <w:tcPr>
            <w:tcW w:w="2156" w:type="pct"/>
            <w:vAlign w:val="center"/>
          </w:tcPr>
          <w:p w14:paraId="4CF9FFE7">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扩建项目仅依托清洗线中1个超声槽、1个浸洗槽和1个冲淋槽，通过增加该槽体中清洗水的更换频率（由每2天变更为每1.5天更换一次）和扩建项目生产时间168h，现有工程清洗区域生产时间3000h，扩建完成后总生产时间3168h，因此清洗线可依托。</w:t>
            </w:r>
          </w:p>
        </w:tc>
      </w:tr>
      <w:tr w14:paraId="45D5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4AFA2680">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w:t>
            </w:r>
          </w:p>
        </w:tc>
        <w:tc>
          <w:tcPr>
            <w:tcW w:w="305" w:type="pct"/>
            <w:vAlign w:val="center"/>
          </w:tcPr>
          <w:p w14:paraId="79A3D5F6">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辅助工程</w:t>
            </w:r>
          </w:p>
        </w:tc>
        <w:tc>
          <w:tcPr>
            <w:tcW w:w="356" w:type="pct"/>
            <w:vAlign w:val="center"/>
          </w:tcPr>
          <w:p w14:paraId="1D5439ED">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办公楼</w:t>
            </w:r>
          </w:p>
        </w:tc>
        <w:tc>
          <w:tcPr>
            <w:tcW w:w="1931" w:type="pct"/>
            <w:vAlign w:val="center"/>
          </w:tcPr>
          <w:p w14:paraId="433F00CE">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在地块中部已建成办公楼，建筑面积6300.44m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，用于办公及产品研发。</w:t>
            </w:r>
          </w:p>
        </w:tc>
        <w:tc>
          <w:tcPr>
            <w:tcW w:w="2156" w:type="pct"/>
            <w:vAlign w:val="center"/>
          </w:tcPr>
          <w:p w14:paraId="630EB228">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本次</w:t>
            </w:r>
            <w:r>
              <w:rPr>
                <w:color w:val="000000" w:themeColor="text1"/>
                <w:sz w:val="22"/>
                <w:szCs w:val="22"/>
                <w14:textFill>
                  <w14:solidFill>
                    <w14:schemeClr w14:val="tx1"/>
                  </w14:solidFill>
                </w14:textFill>
              </w:rPr>
              <w:t>扩建</w:t>
            </w:r>
            <w:r>
              <w:rPr>
                <w:rFonts w:hint="eastAsia"/>
                <w:color w:val="000000" w:themeColor="text1"/>
                <w:sz w:val="22"/>
                <w:szCs w:val="22"/>
                <w14:textFill>
                  <w14:solidFill>
                    <w14:schemeClr w14:val="tx1"/>
                  </w14:solidFill>
                </w14:textFill>
              </w:rPr>
              <w:t>新增职工约15人，在办公楼计划规模范围内，本次可依托</w:t>
            </w:r>
          </w:p>
        </w:tc>
      </w:tr>
      <w:tr w14:paraId="0E4E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Align w:val="center"/>
          </w:tcPr>
          <w:p w14:paraId="2AE04938">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p>
        </w:tc>
        <w:tc>
          <w:tcPr>
            <w:tcW w:w="305" w:type="pct"/>
            <w:vAlign w:val="center"/>
          </w:tcPr>
          <w:p w14:paraId="7965BD56">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储运工程</w:t>
            </w:r>
          </w:p>
        </w:tc>
        <w:tc>
          <w:tcPr>
            <w:tcW w:w="356" w:type="pct"/>
            <w:vAlign w:val="center"/>
          </w:tcPr>
          <w:p w14:paraId="4F1D7DD5">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化学品库</w:t>
            </w:r>
          </w:p>
        </w:tc>
        <w:tc>
          <w:tcPr>
            <w:tcW w:w="1931" w:type="pct"/>
            <w:vAlign w:val="center"/>
          </w:tcPr>
          <w:p w14:paraId="39713C4E">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现有工程在1#厂房东侧已建成化学品库1，面积200m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，主要贮存酸、清洗剂等化学品，采用汽车运输。</w:t>
            </w:r>
          </w:p>
        </w:tc>
        <w:tc>
          <w:tcPr>
            <w:tcW w:w="2156" w:type="pct"/>
            <w:vAlign w:val="center"/>
          </w:tcPr>
          <w:p w14:paraId="482353B4">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扩建项目涉及使用的</w:t>
            </w:r>
            <w:r>
              <w:rPr>
                <w:rFonts w:hint="eastAsia"/>
                <w:color w:val="000000" w:themeColor="text1"/>
                <w:sz w:val="22"/>
                <w:szCs w:val="22"/>
                <w14:textFill>
                  <w14:solidFill>
                    <w14:schemeClr w14:val="tx1"/>
                  </w14:solidFill>
                </w14:textFill>
              </w:rPr>
              <w:t>切削液</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MTS</w:t>
            </w:r>
            <w:r>
              <w:rPr>
                <w:color w:val="000000" w:themeColor="text1"/>
                <w:sz w:val="22"/>
                <w:szCs w:val="22"/>
                <w14:textFill>
                  <w14:solidFill>
                    <w14:schemeClr w14:val="tx1"/>
                  </w14:solidFill>
                </w14:textFill>
              </w:rPr>
              <w:t>等物料</w:t>
            </w:r>
            <w:r>
              <w:rPr>
                <w:rFonts w:hint="eastAsia"/>
                <w:color w:val="000000" w:themeColor="text1"/>
                <w:sz w:val="22"/>
                <w:szCs w:val="22"/>
                <w14:textFill>
                  <w14:solidFill>
                    <w14:schemeClr w14:val="tx1"/>
                  </w14:solidFill>
                </w14:textFill>
              </w:rPr>
              <w:t>依托</w:t>
            </w:r>
            <w:r>
              <w:rPr>
                <w:color w:val="000000" w:themeColor="text1"/>
                <w:sz w:val="22"/>
                <w:szCs w:val="22"/>
                <w14:textFill>
                  <w14:solidFill>
                    <w14:schemeClr w14:val="tx1"/>
                  </w14:solidFill>
                </w14:textFill>
              </w:rPr>
              <w:t>该</w:t>
            </w:r>
            <w:r>
              <w:rPr>
                <w:rFonts w:hint="eastAsia"/>
                <w:color w:val="000000" w:themeColor="text1"/>
                <w:sz w:val="22"/>
                <w:szCs w:val="22"/>
                <w14:textFill>
                  <w14:solidFill>
                    <w14:schemeClr w14:val="tx1"/>
                  </w14:solidFill>
                </w14:textFill>
              </w:rPr>
              <w:t>库房贮存</w:t>
            </w:r>
            <w:r>
              <w:rPr>
                <w:color w:val="000000" w:themeColor="text1"/>
                <w:sz w:val="22"/>
                <w:szCs w:val="22"/>
                <w14:textFill>
                  <w14:solidFill>
                    <w14:schemeClr w14:val="tx1"/>
                  </w14:solidFill>
                </w14:textFill>
              </w:rPr>
              <w:t>，该</w:t>
            </w:r>
            <w:r>
              <w:rPr>
                <w:rFonts w:hint="eastAsia"/>
                <w:color w:val="000000" w:themeColor="text1"/>
                <w:sz w:val="22"/>
                <w:szCs w:val="22"/>
                <w14:textFill>
                  <w14:solidFill>
                    <w14:schemeClr w14:val="tx1"/>
                  </w14:solidFill>
                </w14:textFill>
              </w:rPr>
              <w:t>库房</w:t>
            </w:r>
            <w:r>
              <w:rPr>
                <w:color w:val="000000" w:themeColor="text1"/>
                <w:sz w:val="22"/>
                <w:szCs w:val="22"/>
                <w14:textFill>
                  <w14:solidFill>
                    <w14:schemeClr w14:val="tx1"/>
                  </w14:solidFill>
                </w14:textFill>
              </w:rPr>
              <w:t>现状使用面积约</w:t>
            </w:r>
            <w:r>
              <w:rPr>
                <w:rFonts w:hint="eastAsia"/>
                <w:color w:val="000000" w:themeColor="text1"/>
                <w:sz w:val="22"/>
                <w:szCs w:val="22"/>
                <w14:textFill>
                  <w14:solidFill>
                    <w14:schemeClr w14:val="tx1"/>
                  </w14:solidFill>
                </w14:textFill>
              </w:rPr>
              <w:t>80</w:t>
            </w:r>
            <w:r>
              <w:rPr>
                <w:color w:val="000000" w:themeColor="text1"/>
                <w:sz w:val="22"/>
                <w:szCs w:val="22"/>
                <w14:textFill>
                  <w14:solidFill>
                    <w14:schemeClr w14:val="tx1"/>
                  </w14:solidFill>
                </w14:textFill>
              </w:rPr>
              <w:t>m</w:t>
            </w:r>
            <w:r>
              <w:rPr>
                <w:color w:val="000000" w:themeColor="text1"/>
                <w:sz w:val="22"/>
                <w:szCs w:val="22"/>
                <w:vertAlign w:val="superscript"/>
                <w14:textFill>
                  <w14:solidFill>
                    <w14:schemeClr w14:val="tx1"/>
                  </w14:solidFill>
                </w14:textFill>
              </w:rPr>
              <w:t>2</w:t>
            </w:r>
            <w:r>
              <w:rPr>
                <w:color w:val="000000" w:themeColor="text1"/>
                <w:sz w:val="22"/>
                <w:szCs w:val="22"/>
                <w14:textFill>
                  <w14:solidFill>
                    <w14:schemeClr w14:val="tx1"/>
                  </w14:solidFill>
                </w14:textFill>
              </w:rPr>
              <w:t>，剩余使用面积</w:t>
            </w:r>
            <w:r>
              <w:rPr>
                <w:rFonts w:hint="eastAsia"/>
                <w:color w:val="000000" w:themeColor="text1"/>
                <w:sz w:val="22"/>
                <w:szCs w:val="22"/>
                <w14:textFill>
                  <w14:solidFill>
                    <w14:schemeClr w14:val="tx1"/>
                  </w14:solidFill>
                </w14:textFill>
              </w:rPr>
              <w:t>120</w:t>
            </w:r>
            <w:r>
              <w:rPr>
                <w:color w:val="000000" w:themeColor="text1"/>
                <w:sz w:val="22"/>
                <w:szCs w:val="22"/>
                <w14:textFill>
                  <w14:solidFill>
                    <w14:schemeClr w14:val="tx1"/>
                  </w14:solidFill>
                </w14:textFill>
              </w:rPr>
              <w:t>m</w:t>
            </w:r>
            <w:r>
              <w:rPr>
                <w:color w:val="000000" w:themeColor="text1"/>
                <w:sz w:val="22"/>
                <w:szCs w:val="22"/>
                <w:vertAlign w:val="superscript"/>
                <w14:textFill>
                  <w14:solidFill>
                    <w14:schemeClr w14:val="tx1"/>
                  </w14:solidFill>
                </w14:textFill>
              </w:rPr>
              <w:t>2</w:t>
            </w:r>
            <w:r>
              <w:rPr>
                <w:color w:val="000000" w:themeColor="text1"/>
                <w:sz w:val="22"/>
                <w:szCs w:val="22"/>
                <w14:textFill>
                  <w14:solidFill>
                    <w14:schemeClr w14:val="tx1"/>
                  </w14:solidFill>
                </w14:textFill>
              </w:rPr>
              <w:t>，且进行</w:t>
            </w:r>
            <w:r>
              <w:rPr>
                <w:rFonts w:hint="eastAsia"/>
                <w:color w:val="000000" w:themeColor="text1"/>
                <w:sz w:val="22"/>
                <w:szCs w:val="22"/>
                <w14:textFill>
                  <w14:solidFill>
                    <w14:schemeClr w14:val="tx1"/>
                  </w14:solidFill>
                </w14:textFill>
              </w:rPr>
              <w:t>了</w:t>
            </w:r>
            <w:r>
              <w:rPr>
                <w:color w:val="000000" w:themeColor="text1"/>
                <w:sz w:val="22"/>
                <w:szCs w:val="22"/>
                <w14:textFill>
                  <w14:solidFill>
                    <w14:schemeClr w14:val="tx1"/>
                  </w14:solidFill>
                </w14:textFill>
              </w:rPr>
              <w:t>重点防渗</w:t>
            </w:r>
            <w:r>
              <w:rPr>
                <w:rFonts w:hint="eastAsia"/>
                <w:color w:val="000000" w:themeColor="text1"/>
                <w:sz w:val="22"/>
                <w:szCs w:val="22"/>
                <w14:textFill>
                  <w14:solidFill>
                    <w14:schemeClr w14:val="tx1"/>
                  </w14:solidFill>
                </w14:textFill>
              </w:rPr>
              <w:t>、防腐</w:t>
            </w:r>
            <w:r>
              <w:rPr>
                <w:color w:val="000000" w:themeColor="text1"/>
                <w:sz w:val="22"/>
                <w:szCs w:val="22"/>
                <w14:textFill>
                  <w14:solidFill>
                    <w14:schemeClr w14:val="tx1"/>
                  </w14:solidFill>
                </w14:textFill>
              </w:rPr>
              <w:t>处置，满足扩建项目</w:t>
            </w:r>
            <w:r>
              <w:rPr>
                <w:rFonts w:hint="eastAsia"/>
                <w:color w:val="000000" w:themeColor="text1"/>
                <w:sz w:val="22"/>
                <w:szCs w:val="22"/>
                <w14:textFill>
                  <w14:solidFill>
                    <w14:schemeClr w14:val="tx1"/>
                  </w14:solidFill>
                </w14:textFill>
              </w:rPr>
              <w:t>原辅材料贮存和1月1次周转</w:t>
            </w:r>
            <w:r>
              <w:rPr>
                <w:color w:val="000000" w:themeColor="text1"/>
                <w:sz w:val="22"/>
                <w:szCs w:val="22"/>
                <w14:textFill>
                  <w14:solidFill>
                    <w14:schemeClr w14:val="tx1"/>
                  </w14:solidFill>
                </w14:textFill>
              </w:rPr>
              <w:t>需求</w:t>
            </w:r>
            <w:r>
              <w:rPr>
                <w:rFonts w:hint="eastAsia"/>
                <w:color w:val="000000" w:themeColor="text1"/>
                <w:sz w:val="22"/>
                <w:szCs w:val="22"/>
                <w14:textFill>
                  <w14:solidFill>
                    <w14:schemeClr w14:val="tx1"/>
                  </w14:solidFill>
                </w14:textFill>
              </w:rPr>
              <w:t>，本次可依托</w:t>
            </w:r>
          </w:p>
        </w:tc>
      </w:tr>
      <w:tr w14:paraId="4AEB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05B1C8D1">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w:t>
            </w:r>
          </w:p>
        </w:tc>
        <w:tc>
          <w:tcPr>
            <w:tcW w:w="305" w:type="pct"/>
            <w:vMerge w:val="restart"/>
            <w:vAlign w:val="center"/>
          </w:tcPr>
          <w:p w14:paraId="1071BBCA">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公用工程</w:t>
            </w:r>
          </w:p>
        </w:tc>
        <w:tc>
          <w:tcPr>
            <w:tcW w:w="356" w:type="pct"/>
            <w:vAlign w:val="center"/>
          </w:tcPr>
          <w:p w14:paraId="763E014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供水</w:t>
            </w:r>
          </w:p>
        </w:tc>
        <w:tc>
          <w:tcPr>
            <w:tcW w:w="1931" w:type="pct"/>
            <w:vAlign w:val="center"/>
          </w:tcPr>
          <w:p w14:paraId="43C328C1">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市政给水管网引入自来水，市政供水压力0.30MPa</w:t>
            </w:r>
          </w:p>
        </w:tc>
        <w:tc>
          <w:tcPr>
            <w:tcW w:w="2156" w:type="pct"/>
            <w:vAlign w:val="center"/>
          </w:tcPr>
          <w:p w14:paraId="30FF3D9F">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供水水量、水压能够满足本次扩建需求，本次可</w:t>
            </w:r>
            <w:r>
              <w:rPr>
                <w:color w:val="000000" w:themeColor="text1"/>
                <w:sz w:val="22"/>
                <w:szCs w:val="22"/>
                <w14:textFill>
                  <w14:solidFill>
                    <w14:schemeClr w14:val="tx1"/>
                  </w14:solidFill>
                </w14:textFill>
              </w:rPr>
              <w:t>依托</w:t>
            </w:r>
            <w:r>
              <w:rPr>
                <w:rFonts w:hint="eastAsia"/>
                <w:color w:val="000000" w:themeColor="text1"/>
                <w:sz w:val="22"/>
                <w:szCs w:val="22"/>
                <w14:textFill>
                  <w14:solidFill>
                    <w14:schemeClr w14:val="tx1"/>
                  </w14:solidFill>
                </w14:textFill>
              </w:rPr>
              <w:t>，</w:t>
            </w:r>
          </w:p>
        </w:tc>
      </w:tr>
      <w:tr w14:paraId="4A96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4FEBB949">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2130152A">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Align w:val="center"/>
          </w:tcPr>
          <w:p w14:paraId="4CA8B87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排水</w:t>
            </w:r>
          </w:p>
        </w:tc>
        <w:tc>
          <w:tcPr>
            <w:tcW w:w="1931" w:type="pct"/>
            <w:vAlign w:val="center"/>
          </w:tcPr>
          <w:p w14:paraId="7FB9564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厂区排水采用雨、污分流和清、污分流排水体制。</w:t>
            </w:r>
          </w:p>
        </w:tc>
        <w:tc>
          <w:tcPr>
            <w:tcW w:w="2156" w:type="pct"/>
            <w:vAlign w:val="center"/>
          </w:tcPr>
          <w:p w14:paraId="04304368">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排水管网已覆盖本次扩建区域，本次可依托</w:t>
            </w:r>
          </w:p>
        </w:tc>
      </w:tr>
      <w:tr w14:paraId="75CA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0F1BDAD3">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3AA68F11">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Align w:val="center"/>
          </w:tcPr>
          <w:p w14:paraId="22CB64C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供电</w:t>
            </w:r>
          </w:p>
        </w:tc>
        <w:tc>
          <w:tcPr>
            <w:tcW w:w="1931" w:type="pct"/>
            <w:vAlign w:val="center"/>
          </w:tcPr>
          <w:p w14:paraId="6FE60BD1">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电源采用10kV进线，市政供电。</w:t>
            </w:r>
          </w:p>
        </w:tc>
        <w:tc>
          <w:tcPr>
            <w:tcW w:w="2156" w:type="pct"/>
            <w:vAlign w:val="center"/>
          </w:tcPr>
          <w:p w14:paraId="676055D9">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供电系统电压电量满足本次扩建需求，本次可</w:t>
            </w:r>
            <w:r>
              <w:rPr>
                <w:color w:val="000000" w:themeColor="text1"/>
                <w:sz w:val="22"/>
                <w:szCs w:val="22"/>
                <w14:textFill>
                  <w14:solidFill>
                    <w14:schemeClr w14:val="tx1"/>
                  </w14:solidFill>
                </w14:textFill>
              </w:rPr>
              <w:t>依托</w:t>
            </w:r>
            <w:r>
              <w:rPr>
                <w:rFonts w:hint="eastAsia"/>
                <w:color w:val="000000" w:themeColor="text1"/>
                <w:sz w:val="22"/>
                <w:szCs w:val="22"/>
                <w14:textFill>
                  <w14:solidFill>
                    <w14:schemeClr w14:val="tx1"/>
                  </w14:solidFill>
                </w14:textFill>
              </w:rPr>
              <w:t>。</w:t>
            </w:r>
          </w:p>
        </w:tc>
      </w:tr>
      <w:tr w14:paraId="66F3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6C526BA2">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30F829F4">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Align w:val="center"/>
          </w:tcPr>
          <w:p w14:paraId="3B6E321C">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纯水制备装置</w:t>
            </w:r>
          </w:p>
        </w:tc>
        <w:tc>
          <w:tcPr>
            <w:tcW w:w="1931" w:type="pct"/>
            <w:vAlign w:val="center"/>
          </w:tcPr>
          <w:p w14:paraId="0D85260E">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在2#厂房附属用房内建设纯水制备装置1，为清洗工序提供纯水，采用多介质+活性炭过滤+保安过滤器+二级RO反渗透+EDI工艺，纯水制备总能力约5m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/h，纯水设备的产水率为75%。</w:t>
            </w:r>
          </w:p>
        </w:tc>
        <w:tc>
          <w:tcPr>
            <w:tcW w:w="2156" w:type="pct"/>
            <w:vAlign w:val="center"/>
          </w:tcPr>
          <w:p w14:paraId="48119E4F">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现有项目纯水用量3m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/h，剩余制备能力2m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/h能够满足本次扩建0.47m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/h纯水使用需求，本次可依托。</w:t>
            </w:r>
          </w:p>
        </w:tc>
      </w:tr>
      <w:tr w14:paraId="3324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15F3E679">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48DD6A8D">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Align w:val="center"/>
          </w:tcPr>
          <w:p w14:paraId="714D7EB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供气</w:t>
            </w:r>
          </w:p>
        </w:tc>
        <w:tc>
          <w:tcPr>
            <w:tcW w:w="1931" w:type="pct"/>
            <w:vAlign w:val="center"/>
          </w:tcPr>
          <w:p w14:paraId="4502DDA4">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在2#厂房建设了空压站1，布置3台</w:t>
            </w:r>
            <w:r>
              <w:rPr>
                <w:color w:val="000000" w:themeColor="text1"/>
                <w:sz w:val="22"/>
                <w:szCs w:val="22"/>
                <w14:textFill>
                  <w14:solidFill>
                    <w14:schemeClr w14:val="tx1"/>
                  </w14:solidFill>
                </w14:textFill>
              </w:rPr>
              <w:t>45 m</w:t>
            </w:r>
            <w:r>
              <w:rPr>
                <w:color w:val="000000" w:themeColor="text1"/>
                <w:sz w:val="22"/>
                <w:szCs w:val="22"/>
                <w:vertAlign w:val="superscript"/>
                <w14:textFill>
                  <w14:solidFill>
                    <w14:schemeClr w14:val="tx1"/>
                  </w14:solidFill>
                </w14:textFill>
              </w:rPr>
              <w:t>3</w:t>
            </w:r>
            <w:r>
              <w:rPr>
                <w:color w:val="000000" w:themeColor="text1"/>
                <w:sz w:val="22"/>
                <w:szCs w:val="22"/>
                <w14:textFill>
                  <w14:solidFill>
                    <w14:schemeClr w14:val="tx1"/>
                  </w14:solidFill>
                </w14:textFill>
              </w:rPr>
              <w:t>/min</w:t>
            </w:r>
            <w:r>
              <w:rPr>
                <w:rFonts w:hint="eastAsia"/>
                <w:color w:val="000000" w:themeColor="text1"/>
                <w:sz w:val="22"/>
                <w:szCs w:val="22"/>
                <w14:textFill>
                  <w14:solidFill>
                    <w14:schemeClr w14:val="tx1"/>
                  </w14:solidFill>
                </w14:textFill>
              </w:rPr>
              <w:t>无油螺杆。</w:t>
            </w:r>
          </w:p>
        </w:tc>
        <w:tc>
          <w:tcPr>
            <w:tcW w:w="2156" w:type="pct"/>
            <w:vAlign w:val="center"/>
          </w:tcPr>
          <w:p w14:paraId="19FDA809">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现有3台45m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空压机压缩空气供气能力为135m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/min，现有工程使用约95m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/min，剩余45m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/min供气能力能够满足本次扩建15m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/min供气能力需求，本次可依托</w:t>
            </w:r>
          </w:p>
        </w:tc>
      </w:tr>
      <w:tr w14:paraId="4212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09BB5AE2">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739A3CC2">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Align w:val="center"/>
          </w:tcPr>
          <w:p w14:paraId="7F19C234">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气站</w:t>
            </w:r>
          </w:p>
        </w:tc>
        <w:tc>
          <w:tcPr>
            <w:tcW w:w="1931" w:type="pct"/>
            <w:vAlign w:val="center"/>
          </w:tcPr>
          <w:p w14:paraId="1A3C3C1B">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在1#厂房东侧辅房设置了气站1，布置氩气、氮气、氢气储存区域。</w:t>
            </w:r>
          </w:p>
        </w:tc>
        <w:tc>
          <w:tcPr>
            <w:tcW w:w="2156" w:type="pct"/>
            <w:vAlign w:val="center"/>
          </w:tcPr>
          <w:p w14:paraId="13DA8AFD">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现有氩气、氮气、氢气储存规模满足本次扩建需求，本次依托现有储罐，不新增。</w:t>
            </w:r>
          </w:p>
        </w:tc>
      </w:tr>
      <w:tr w14:paraId="151A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649E26A0">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w:t>
            </w:r>
          </w:p>
        </w:tc>
        <w:tc>
          <w:tcPr>
            <w:tcW w:w="305" w:type="pct"/>
            <w:vMerge w:val="restart"/>
            <w:vAlign w:val="center"/>
          </w:tcPr>
          <w:p w14:paraId="223CBB38">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环保工程</w:t>
            </w:r>
          </w:p>
        </w:tc>
        <w:tc>
          <w:tcPr>
            <w:tcW w:w="356" w:type="pct"/>
            <w:vMerge w:val="restart"/>
            <w:vAlign w:val="center"/>
          </w:tcPr>
          <w:p w14:paraId="0EE706D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废水</w:t>
            </w:r>
          </w:p>
        </w:tc>
        <w:tc>
          <w:tcPr>
            <w:tcW w:w="1931" w:type="pct"/>
            <w:vAlign w:val="center"/>
          </w:tcPr>
          <w:p w14:paraId="4FFD77F6">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生活污水经生化池（20</w:t>
            </w:r>
            <w:r>
              <w:rPr>
                <w:rFonts w:hint="eastAsia"/>
                <w:color w:val="000000" w:themeColor="text1"/>
                <w:sz w:val="22"/>
                <w:szCs w:val="22"/>
                <w14:textFill>
                  <w14:solidFill>
                    <w14:schemeClr w14:val="tx1"/>
                  </w14:solidFill>
                </w14:textFill>
              </w:rPr>
              <w:t xml:space="preserve"> m</w:t>
            </w:r>
            <w:r>
              <w:rPr>
                <w:rFonts w:hint="eastAsia"/>
                <w:color w:val="000000" w:themeColor="text1"/>
                <w:sz w:val="22"/>
                <w:szCs w:val="22"/>
                <w:vertAlign w:val="superscript"/>
                <w14:textFill>
                  <w14:solidFill>
                    <w14:schemeClr w14:val="tx1"/>
                  </w14:solidFill>
                </w14:textFill>
              </w:rPr>
              <w:t>3</w:t>
            </w:r>
            <w:r>
              <w:rPr>
                <w:color w:val="000000" w:themeColor="text1"/>
                <w:sz w:val="22"/>
                <w:szCs w:val="22"/>
                <w14:textFill>
                  <w14:solidFill>
                    <w14:schemeClr w14:val="tx1"/>
                  </w14:solidFill>
                </w14:textFill>
              </w:rPr>
              <w:t>/d）处理达《电子工业水污染物排放标准》（GB39731-2020）间接排放标准（动植物油执行《污水综合排放标准》（GB8978-1996）三级标准）后与处理后的生产废水一起排入市政污水管网系统。</w:t>
            </w:r>
          </w:p>
        </w:tc>
        <w:tc>
          <w:tcPr>
            <w:tcW w:w="2156" w:type="pct"/>
            <w:vAlign w:val="center"/>
          </w:tcPr>
          <w:p w14:paraId="49EFF1C2">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生化池设计处理规模为20m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/.d，现有工程废水量为10.8m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/d，剩余处理能力为9.2m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/d</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扩建</w:t>
            </w:r>
            <w:r>
              <w:rPr>
                <w:color w:val="000000" w:themeColor="text1"/>
                <w:sz w:val="22"/>
                <w:szCs w:val="22"/>
                <w14:textFill>
                  <w14:solidFill>
                    <w14:schemeClr w14:val="tx1"/>
                  </w14:solidFill>
                </w14:textFill>
              </w:rPr>
              <w:t>项目产生的生活污水量为</w:t>
            </w:r>
            <w:r>
              <w:rPr>
                <w:rFonts w:hint="eastAsia"/>
                <w:color w:val="000000" w:themeColor="text1"/>
                <w:sz w:val="22"/>
                <w:szCs w:val="22"/>
                <w14:textFill>
                  <w14:solidFill>
                    <w14:schemeClr w14:val="tx1"/>
                  </w14:solidFill>
                </w14:textFill>
              </w:rPr>
              <w:t>1.0</w:t>
            </w:r>
            <w:r>
              <w:rPr>
                <w:color w:val="000000" w:themeColor="text1"/>
                <w:sz w:val="22"/>
                <w:szCs w:val="22"/>
                <w14:textFill>
                  <w14:solidFill>
                    <w14:schemeClr w14:val="tx1"/>
                  </w14:solidFill>
                </w14:textFill>
              </w:rPr>
              <w:t>m</w:t>
            </w:r>
            <w:r>
              <w:rPr>
                <w:color w:val="000000" w:themeColor="text1"/>
                <w:sz w:val="22"/>
                <w:szCs w:val="22"/>
                <w:vertAlign w:val="superscript"/>
                <w14:textFill>
                  <w14:solidFill>
                    <w14:schemeClr w14:val="tx1"/>
                  </w14:solidFill>
                </w14:textFill>
              </w:rPr>
              <w:t>3</w:t>
            </w:r>
            <w:r>
              <w:rPr>
                <w:color w:val="000000" w:themeColor="text1"/>
                <w:sz w:val="22"/>
                <w:szCs w:val="22"/>
                <w14:textFill>
                  <w14:solidFill>
                    <w14:schemeClr w14:val="tx1"/>
                  </w14:solidFill>
                </w14:textFill>
              </w:rPr>
              <w:t>/d，</w:t>
            </w:r>
            <w:r>
              <w:rPr>
                <w:rFonts w:hint="eastAsia"/>
                <w:color w:val="000000" w:themeColor="text1"/>
                <w:sz w:val="22"/>
                <w:szCs w:val="22"/>
                <w14:textFill>
                  <w14:solidFill>
                    <w14:schemeClr w14:val="tx1"/>
                  </w14:solidFill>
                </w14:textFill>
              </w:rPr>
              <w:t>生化池</w:t>
            </w:r>
            <w:r>
              <w:rPr>
                <w:color w:val="000000" w:themeColor="text1"/>
                <w:sz w:val="22"/>
                <w:szCs w:val="22"/>
                <w14:textFill>
                  <w14:solidFill>
                    <w14:schemeClr w14:val="tx1"/>
                  </w14:solidFill>
                </w14:textFill>
              </w:rPr>
              <w:t>剩余处理规模</w:t>
            </w:r>
            <w:r>
              <w:rPr>
                <w:rFonts w:hint="eastAsia"/>
                <w:color w:val="000000" w:themeColor="text1"/>
                <w:sz w:val="22"/>
                <w:szCs w:val="22"/>
                <w14:textFill>
                  <w14:solidFill>
                    <w14:schemeClr w14:val="tx1"/>
                  </w14:solidFill>
                </w14:textFill>
              </w:rPr>
              <w:t>能够</w:t>
            </w:r>
            <w:r>
              <w:rPr>
                <w:color w:val="000000" w:themeColor="text1"/>
                <w:sz w:val="22"/>
                <w:szCs w:val="22"/>
                <w14:textFill>
                  <w14:solidFill>
                    <w14:schemeClr w14:val="tx1"/>
                  </w14:solidFill>
                </w14:textFill>
              </w:rPr>
              <w:t>满足</w:t>
            </w:r>
            <w:r>
              <w:rPr>
                <w:rFonts w:hint="eastAsia"/>
                <w:color w:val="000000" w:themeColor="text1"/>
                <w:sz w:val="22"/>
                <w:szCs w:val="22"/>
                <w14:textFill>
                  <w14:solidFill>
                    <w14:schemeClr w14:val="tx1"/>
                  </w14:solidFill>
                </w14:textFill>
              </w:rPr>
              <w:t>扩建</w:t>
            </w:r>
            <w:r>
              <w:rPr>
                <w:color w:val="000000" w:themeColor="text1"/>
                <w:sz w:val="22"/>
                <w:szCs w:val="22"/>
                <w14:textFill>
                  <w14:solidFill>
                    <w14:schemeClr w14:val="tx1"/>
                  </w14:solidFill>
                </w14:textFill>
              </w:rPr>
              <w:t>项目</w:t>
            </w:r>
            <w:r>
              <w:rPr>
                <w:rFonts w:hint="eastAsia"/>
                <w:color w:val="000000" w:themeColor="text1"/>
                <w:sz w:val="22"/>
                <w:szCs w:val="22"/>
                <w14:textFill>
                  <w14:solidFill>
                    <w14:schemeClr w14:val="tx1"/>
                  </w14:solidFill>
                </w14:textFill>
              </w:rPr>
              <w:t>生活污水</w:t>
            </w:r>
            <w:r>
              <w:rPr>
                <w:color w:val="000000" w:themeColor="text1"/>
                <w:sz w:val="22"/>
                <w:szCs w:val="22"/>
                <w14:textFill>
                  <w14:solidFill>
                    <w14:schemeClr w14:val="tx1"/>
                  </w14:solidFill>
                </w14:textFill>
              </w:rPr>
              <w:t>处理需求</w:t>
            </w:r>
            <w:r>
              <w:rPr>
                <w:rFonts w:hint="eastAsia"/>
                <w:color w:val="000000" w:themeColor="text1"/>
                <w:sz w:val="22"/>
                <w:szCs w:val="22"/>
                <w14:textFill>
                  <w14:solidFill>
                    <w14:schemeClr w14:val="tx1"/>
                  </w14:solidFill>
                </w14:textFill>
              </w:rPr>
              <w:t>，本次可依托。</w:t>
            </w:r>
          </w:p>
        </w:tc>
      </w:tr>
      <w:tr w14:paraId="4B7F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31EF5E25">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46FB7D6B">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Merge w:val="continue"/>
            <w:vAlign w:val="center"/>
          </w:tcPr>
          <w:p w14:paraId="390752C1">
            <w:pPr>
              <w:spacing w:line="240" w:lineRule="auto"/>
              <w:ind w:firstLine="0" w:firstLineChars="0"/>
              <w:jc w:val="center"/>
              <w:rPr>
                <w:color w:val="000000" w:themeColor="text1"/>
                <w:sz w:val="22"/>
                <w:szCs w:val="22"/>
                <w14:textFill>
                  <w14:solidFill>
                    <w14:schemeClr w14:val="tx1"/>
                  </w14:solidFill>
                </w14:textFill>
              </w:rPr>
            </w:pPr>
          </w:p>
        </w:tc>
        <w:tc>
          <w:tcPr>
            <w:tcW w:w="1931" w:type="pct"/>
            <w:vAlign w:val="center"/>
          </w:tcPr>
          <w:p w14:paraId="68FE8AA1">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现有工程2#厂房东北角已建成</w:t>
            </w:r>
            <w:r>
              <w:rPr>
                <w:color w:val="000000" w:themeColor="text1"/>
                <w:sz w:val="22"/>
                <w:szCs w:val="22"/>
                <w14:textFill>
                  <w14:solidFill>
                    <w14:schemeClr w14:val="tx1"/>
                  </w14:solidFill>
                </w14:textFill>
              </w:rPr>
              <w:t>综合废水处理站</w:t>
            </w:r>
            <w:r>
              <w:rPr>
                <w:rFonts w:hint="eastAsia"/>
                <w:color w:val="000000" w:themeColor="text1"/>
                <w:sz w:val="22"/>
                <w:szCs w:val="22"/>
                <w14:textFill>
                  <w14:solidFill>
                    <w14:schemeClr w14:val="tx1"/>
                  </w14:solidFill>
                </w14:textFill>
              </w:rPr>
              <w:t>1，设计处理能力均为</w:t>
            </w:r>
            <w:r>
              <w:rPr>
                <w:color w:val="000000" w:themeColor="text1"/>
                <w:sz w:val="22"/>
                <w:szCs w:val="22"/>
                <w14:textFill>
                  <w14:solidFill>
                    <w14:schemeClr w14:val="tx1"/>
                  </w14:solidFill>
                </w14:textFill>
              </w:rPr>
              <w:t>150</w:t>
            </w:r>
            <w:r>
              <w:rPr>
                <w:rFonts w:hint="eastAsia"/>
                <w:color w:val="000000" w:themeColor="text1"/>
                <w:sz w:val="22"/>
                <w:szCs w:val="22"/>
                <w14:textFill>
                  <w14:solidFill>
                    <w14:schemeClr w14:val="tx1"/>
                  </w14:solidFill>
                </w14:textFill>
              </w:rPr>
              <w:t xml:space="preserve"> m</w:t>
            </w:r>
            <w:r>
              <w:rPr>
                <w:rFonts w:hint="eastAsia"/>
                <w:color w:val="000000" w:themeColor="text1"/>
                <w:sz w:val="22"/>
                <w:szCs w:val="22"/>
                <w:vertAlign w:val="superscript"/>
                <w14:textFill>
                  <w14:solidFill>
                    <w14:schemeClr w14:val="tx1"/>
                  </w14:solidFill>
                </w14:textFill>
              </w:rPr>
              <w:t>3</w:t>
            </w:r>
            <w:r>
              <w:rPr>
                <w:color w:val="000000" w:themeColor="text1"/>
                <w:sz w:val="22"/>
                <w:szCs w:val="22"/>
                <w14:textFill>
                  <w14:solidFill>
                    <w14:schemeClr w14:val="tx1"/>
                  </w14:solidFill>
                </w14:textFill>
              </w:rPr>
              <w:t>/d，</w:t>
            </w:r>
            <w:r>
              <w:rPr>
                <w:rFonts w:hint="eastAsia"/>
                <w:color w:val="000000" w:themeColor="text1"/>
                <w:sz w:val="22"/>
                <w:szCs w:val="22"/>
                <w14:textFill>
                  <w14:solidFill>
                    <w14:schemeClr w14:val="tx1"/>
                  </w14:solidFill>
                </w14:textFill>
              </w:rPr>
              <w:t>采用“调节+气浮+三级絮凝沉淀”处理工艺。生产废水</w:t>
            </w:r>
            <w:r>
              <w:rPr>
                <w:color w:val="000000" w:themeColor="text1"/>
                <w:sz w:val="22"/>
                <w:szCs w:val="22"/>
                <w14:textFill>
                  <w14:solidFill>
                    <w14:schemeClr w14:val="tx1"/>
                  </w14:solidFill>
                </w14:textFill>
              </w:rPr>
              <w:t>处理达《电子工业水污染物排放标准》（GB39731-2020）间接排放标准后与生活污水</w:t>
            </w:r>
            <w:r>
              <w:rPr>
                <w:rFonts w:hint="eastAsia"/>
                <w:color w:val="000000" w:themeColor="text1"/>
                <w:sz w:val="22"/>
                <w:szCs w:val="22"/>
                <w14:textFill>
                  <w14:solidFill>
                    <w14:schemeClr w14:val="tx1"/>
                  </w14:solidFill>
                </w14:textFill>
              </w:rPr>
              <w:t>一并</w:t>
            </w:r>
            <w:r>
              <w:rPr>
                <w:color w:val="000000" w:themeColor="text1"/>
                <w:sz w:val="22"/>
                <w:szCs w:val="22"/>
                <w14:textFill>
                  <w14:solidFill>
                    <w14:schemeClr w14:val="tx1"/>
                  </w14:solidFill>
                </w14:textFill>
              </w:rPr>
              <w:t>接入市政污水管网</w:t>
            </w:r>
            <w:r>
              <w:rPr>
                <w:rFonts w:hint="eastAsia"/>
                <w:color w:val="000000" w:themeColor="text1"/>
                <w:sz w:val="22"/>
                <w:szCs w:val="22"/>
                <w14:textFill>
                  <w14:solidFill>
                    <w14:schemeClr w14:val="tx1"/>
                  </w14:solidFill>
                </w14:textFill>
              </w:rPr>
              <w:t>，经市政污水管网送至西彭工业园污水处理厂处理达标后排放</w:t>
            </w:r>
            <w:r>
              <w:rPr>
                <w:color w:val="000000" w:themeColor="text1"/>
                <w:sz w:val="22"/>
                <w:szCs w:val="22"/>
                <w14:textFill>
                  <w14:solidFill>
                    <w14:schemeClr w14:val="tx1"/>
                  </w14:solidFill>
                </w14:textFill>
              </w:rPr>
              <w:t>。</w:t>
            </w:r>
          </w:p>
        </w:tc>
        <w:tc>
          <w:tcPr>
            <w:tcW w:w="2156" w:type="pct"/>
            <w:vAlign w:val="center"/>
          </w:tcPr>
          <w:p w14:paraId="08193E80">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目前该</w:t>
            </w:r>
            <w:r>
              <w:rPr>
                <w:color w:val="000000" w:themeColor="text1"/>
                <w:sz w:val="22"/>
                <w:szCs w:val="22"/>
                <w14:textFill>
                  <w14:solidFill>
                    <w14:schemeClr w14:val="tx1"/>
                  </w14:solidFill>
                </w14:textFill>
              </w:rPr>
              <w:t>综合废水处理站</w:t>
            </w:r>
            <w:r>
              <w:rPr>
                <w:rFonts w:hint="eastAsia"/>
                <w:color w:val="000000" w:themeColor="text1"/>
                <w:sz w:val="22"/>
                <w:szCs w:val="22"/>
                <w14:textFill>
                  <w14:solidFill>
                    <w14:schemeClr w14:val="tx1"/>
                  </w14:solidFill>
                </w14:textFill>
              </w:rPr>
              <w:t>现有工程处理规模为86.5m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/d，剩余处理能力为65.5m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/d</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扩建</w:t>
            </w:r>
            <w:r>
              <w:rPr>
                <w:color w:val="000000" w:themeColor="text1"/>
                <w:sz w:val="22"/>
                <w:szCs w:val="22"/>
                <w14:textFill>
                  <w14:solidFill>
                    <w14:schemeClr w14:val="tx1"/>
                  </w14:solidFill>
                </w14:textFill>
              </w:rPr>
              <w:t>项目产生的</w:t>
            </w:r>
            <w:r>
              <w:rPr>
                <w:rFonts w:hint="eastAsia"/>
                <w:color w:val="000000" w:themeColor="text1"/>
                <w:sz w:val="22"/>
                <w:szCs w:val="22"/>
                <w14:textFill>
                  <w14:solidFill>
                    <w14:schemeClr w14:val="tx1"/>
                  </w14:solidFill>
                </w14:textFill>
              </w:rPr>
              <w:t>生产废水</w:t>
            </w:r>
            <w:r>
              <w:rPr>
                <w:color w:val="000000" w:themeColor="text1"/>
                <w:sz w:val="22"/>
                <w:szCs w:val="22"/>
                <w14:textFill>
                  <w14:solidFill>
                    <w14:schemeClr w14:val="tx1"/>
                  </w14:solidFill>
                </w14:textFill>
              </w:rPr>
              <w:t>量为</w:t>
            </w:r>
            <w:r>
              <w:rPr>
                <w:rFonts w:hint="eastAsia"/>
                <w:color w:val="000000" w:themeColor="text1"/>
                <w:sz w:val="22"/>
                <w:szCs w:val="22"/>
                <w14:textFill>
                  <w14:solidFill>
                    <w14:schemeClr w14:val="tx1"/>
                  </w14:solidFill>
                </w14:textFill>
              </w:rPr>
              <w:t>9.36</w:t>
            </w:r>
            <w:r>
              <w:rPr>
                <w:color w:val="000000" w:themeColor="text1"/>
                <w:sz w:val="22"/>
                <w:szCs w:val="22"/>
                <w14:textFill>
                  <w14:solidFill>
                    <w14:schemeClr w14:val="tx1"/>
                  </w14:solidFill>
                </w14:textFill>
              </w:rPr>
              <w:t>m</w:t>
            </w:r>
            <w:r>
              <w:rPr>
                <w:color w:val="000000" w:themeColor="text1"/>
                <w:sz w:val="22"/>
                <w:szCs w:val="22"/>
                <w:vertAlign w:val="superscript"/>
                <w14:textFill>
                  <w14:solidFill>
                    <w14:schemeClr w14:val="tx1"/>
                  </w14:solidFill>
                </w14:textFill>
              </w:rPr>
              <w:t>3</w:t>
            </w:r>
            <w:r>
              <w:rPr>
                <w:color w:val="000000" w:themeColor="text1"/>
                <w:sz w:val="22"/>
                <w:szCs w:val="22"/>
                <w14:textFill>
                  <w14:solidFill>
                    <w14:schemeClr w14:val="tx1"/>
                  </w14:solidFill>
                </w14:textFill>
              </w:rPr>
              <w:t>/d，</w:t>
            </w:r>
            <w:r>
              <w:rPr>
                <w:rFonts w:hint="eastAsia"/>
                <w:color w:val="000000" w:themeColor="text1"/>
                <w:sz w:val="22"/>
                <w:szCs w:val="22"/>
                <w14:textFill>
                  <w14:solidFill>
                    <w14:schemeClr w14:val="tx1"/>
                  </w14:solidFill>
                </w14:textFill>
              </w:rPr>
              <w:t>综合废水处理站</w:t>
            </w:r>
            <w:r>
              <w:rPr>
                <w:color w:val="000000" w:themeColor="text1"/>
                <w:sz w:val="22"/>
                <w:szCs w:val="22"/>
                <w14:textFill>
                  <w14:solidFill>
                    <w14:schemeClr w14:val="tx1"/>
                  </w14:solidFill>
                </w14:textFill>
              </w:rPr>
              <w:t>剩余处理规模</w:t>
            </w:r>
            <w:r>
              <w:rPr>
                <w:rFonts w:hint="eastAsia"/>
                <w:color w:val="000000" w:themeColor="text1"/>
                <w:sz w:val="22"/>
                <w:szCs w:val="22"/>
                <w14:textFill>
                  <w14:solidFill>
                    <w14:schemeClr w14:val="tx1"/>
                  </w14:solidFill>
                </w14:textFill>
              </w:rPr>
              <w:t>能够</w:t>
            </w:r>
            <w:r>
              <w:rPr>
                <w:color w:val="000000" w:themeColor="text1"/>
                <w:sz w:val="22"/>
                <w:szCs w:val="22"/>
                <w14:textFill>
                  <w14:solidFill>
                    <w14:schemeClr w14:val="tx1"/>
                  </w14:solidFill>
                </w14:textFill>
              </w:rPr>
              <w:t>满足</w:t>
            </w:r>
            <w:r>
              <w:rPr>
                <w:rFonts w:hint="eastAsia"/>
                <w:color w:val="000000" w:themeColor="text1"/>
                <w:sz w:val="22"/>
                <w:szCs w:val="22"/>
                <w14:textFill>
                  <w14:solidFill>
                    <w14:schemeClr w14:val="tx1"/>
                  </w14:solidFill>
                </w14:textFill>
              </w:rPr>
              <w:t>扩建</w:t>
            </w:r>
            <w:r>
              <w:rPr>
                <w:color w:val="000000" w:themeColor="text1"/>
                <w:sz w:val="22"/>
                <w:szCs w:val="22"/>
                <w14:textFill>
                  <w14:solidFill>
                    <w14:schemeClr w14:val="tx1"/>
                  </w14:solidFill>
                </w14:textFill>
              </w:rPr>
              <w:t>项目</w:t>
            </w:r>
            <w:r>
              <w:rPr>
                <w:rFonts w:hint="eastAsia"/>
                <w:color w:val="000000" w:themeColor="text1"/>
                <w:sz w:val="22"/>
                <w:szCs w:val="22"/>
                <w14:textFill>
                  <w14:solidFill>
                    <w14:schemeClr w14:val="tx1"/>
                  </w14:solidFill>
                </w14:textFill>
              </w:rPr>
              <w:t>生活污水</w:t>
            </w:r>
            <w:r>
              <w:rPr>
                <w:color w:val="000000" w:themeColor="text1"/>
                <w:sz w:val="22"/>
                <w:szCs w:val="22"/>
                <w14:textFill>
                  <w14:solidFill>
                    <w14:schemeClr w14:val="tx1"/>
                  </w14:solidFill>
                </w14:textFill>
              </w:rPr>
              <w:t>处理需求</w:t>
            </w:r>
            <w:r>
              <w:rPr>
                <w:rFonts w:hint="eastAsia"/>
                <w:color w:val="000000" w:themeColor="text1"/>
                <w:sz w:val="22"/>
                <w:szCs w:val="22"/>
                <w14:textFill>
                  <w14:solidFill>
                    <w14:schemeClr w14:val="tx1"/>
                  </w14:solidFill>
                </w14:textFill>
              </w:rPr>
              <w:t>，本次可依托。</w:t>
            </w:r>
          </w:p>
        </w:tc>
      </w:tr>
      <w:tr w14:paraId="15A9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6F8E6CF7">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45F745B4">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Merge w:val="restart"/>
            <w:vAlign w:val="center"/>
          </w:tcPr>
          <w:p w14:paraId="3A39DB8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废气</w:t>
            </w:r>
          </w:p>
        </w:tc>
        <w:tc>
          <w:tcPr>
            <w:tcW w:w="1931" w:type="pct"/>
            <w:vAlign w:val="center"/>
          </w:tcPr>
          <w:p w14:paraId="58A80C1B">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碳化硅生产线2台炉废气排入1#四级酸雾喷淋塔处理后经DA004排气筒排放，</w:t>
            </w:r>
            <w:r>
              <w:rPr>
                <w:color w:val="000000" w:themeColor="text1"/>
                <w:sz w:val="22"/>
                <w:szCs w:val="22"/>
                <w14:textFill>
                  <w14:solidFill>
                    <w14:schemeClr w14:val="tx1"/>
                  </w14:solidFill>
                </w14:textFill>
              </w:rPr>
              <w:t>现状风机</w:t>
            </w:r>
            <w:r>
              <w:rPr>
                <w:rFonts w:hint="eastAsia"/>
                <w:color w:val="000000" w:themeColor="text1"/>
                <w:sz w:val="22"/>
                <w:szCs w:val="22"/>
                <w14:textFill>
                  <w14:solidFill>
                    <w14:schemeClr w14:val="tx1"/>
                  </w14:solidFill>
                </w14:textFill>
              </w:rPr>
              <w:t>设计</w:t>
            </w:r>
            <w:r>
              <w:rPr>
                <w:color w:val="000000" w:themeColor="text1"/>
                <w:sz w:val="22"/>
                <w:szCs w:val="22"/>
                <w14:textFill>
                  <w14:solidFill>
                    <w14:schemeClr w14:val="tx1"/>
                  </w14:solidFill>
                </w14:textFill>
              </w:rPr>
              <w:t>风量为</w:t>
            </w:r>
            <w:r>
              <w:rPr>
                <w:rFonts w:hint="eastAsia"/>
                <w:color w:val="000000" w:themeColor="text1"/>
                <w:sz w:val="22"/>
                <w:szCs w:val="22"/>
                <w14:textFill>
                  <w14:solidFill>
                    <w14:schemeClr w14:val="tx1"/>
                  </w14:solidFill>
                </w14:textFill>
              </w:rPr>
              <w:t>20</w:t>
            </w:r>
            <w:r>
              <w:rPr>
                <w:color w:val="000000" w:themeColor="text1"/>
                <w:sz w:val="22"/>
                <w:szCs w:val="22"/>
                <w14:textFill>
                  <w14:solidFill>
                    <w14:schemeClr w14:val="tx1"/>
                  </w14:solidFill>
                </w14:textFill>
              </w:rPr>
              <w:t>00</w:t>
            </w:r>
            <w:r>
              <w:rPr>
                <w:rFonts w:hint="eastAsia"/>
                <w:color w:val="000000" w:themeColor="text1"/>
                <w:sz w:val="22"/>
                <w:szCs w:val="22"/>
                <w14:textFill>
                  <w14:solidFill>
                    <w14:schemeClr w14:val="tx1"/>
                  </w14:solidFill>
                </w14:textFill>
              </w:rPr>
              <w:t>0</w:t>
            </w:r>
            <w:r>
              <w:rPr>
                <w:color w:val="000000" w:themeColor="text1"/>
                <w:sz w:val="22"/>
                <w:szCs w:val="22"/>
                <w14:textFill>
                  <w14:solidFill>
                    <w14:schemeClr w14:val="tx1"/>
                  </w14:solidFill>
                </w14:textFill>
              </w:rPr>
              <w:t>m</w:t>
            </w:r>
            <w:r>
              <w:rPr>
                <w:color w:val="000000" w:themeColor="text1"/>
                <w:sz w:val="22"/>
                <w:szCs w:val="22"/>
                <w:vertAlign w:val="superscript"/>
                <w14:textFill>
                  <w14:solidFill>
                    <w14:schemeClr w14:val="tx1"/>
                  </w14:solidFill>
                </w14:textFill>
              </w:rPr>
              <w:t>3</w:t>
            </w:r>
            <w:r>
              <w:rPr>
                <w:color w:val="000000" w:themeColor="text1"/>
                <w:sz w:val="22"/>
                <w:szCs w:val="22"/>
                <w14:textFill>
                  <w14:solidFill>
                    <w14:schemeClr w14:val="tx1"/>
                  </w14:solidFill>
                </w14:textFill>
              </w:rPr>
              <w:t>/h</w:t>
            </w:r>
            <w:r>
              <w:rPr>
                <w:rFonts w:hint="eastAsia"/>
                <w:color w:val="000000" w:themeColor="text1"/>
                <w:sz w:val="22"/>
                <w:szCs w:val="22"/>
                <w14:textFill>
                  <w14:solidFill>
                    <w14:schemeClr w14:val="tx1"/>
                  </w14:solidFill>
                </w14:textFill>
              </w:rPr>
              <w:t>。</w:t>
            </w:r>
          </w:p>
        </w:tc>
        <w:tc>
          <w:tcPr>
            <w:tcW w:w="2156" w:type="pct"/>
            <w:vAlign w:val="center"/>
          </w:tcPr>
          <w:p w14:paraId="41E552E2">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1#四级酸雾喷淋塔设计处理能力为20000</w:t>
            </w:r>
            <w:r>
              <w:rPr>
                <w:color w:val="000000" w:themeColor="text1"/>
                <w:sz w:val="22"/>
                <w:szCs w:val="22"/>
                <w14:textFill>
                  <w14:solidFill>
                    <w14:schemeClr w14:val="tx1"/>
                  </w14:solidFill>
                </w14:textFill>
              </w:rPr>
              <w:t>m</w:t>
            </w:r>
            <w:r>
              <w:rPr>
                <w:color w:val="000000" w:themeColor="text1"/>
                <w:sz w:val="22"/>
                <w:szCs w:val="22"/>
                <w:vertAlign w:val="superscript"/>
                <w14:textFill>
                  <w14:solidFill>
                    <w14:schemeClr w14:val="tx1"/>
                  </w14:solidFill>
                </w14:textFill>
              </w:rPr>
              <w:t>3</w:t>
            </w:r>
            <w:r>
              <w:rPr>
                <w:color w:val="000000" w:themeColor="text1"/>
                <w:sz w:val="22"/>
                <w:szCs w:val="22"/>
                <w14:textFill>
                  <w14:solidFill>
                    <w14:schemeClr w14:val="tx1"/>
                  </w14:solidFill>
                </w14:textFill>
              </w:rPr>
              <w:t>/h，</w:t>
            </w:r>
            <w:r>
              <w:rPr>
                <w:rFonts w:hint="eastAsia"/>
                <w:color w:val="000000" w:themeColor="text1"/>
                <w:sz w:val="22"/>
                <w:szCs w:val="22"/>
                <w14:textFill>
                  <w14:solidFill>
                    <w14:schemeClr w14:val="tx1"/>
                  </w14:solidFill>
                </w14:textFill>
              </w:rPr>
              <w:t>剩余处理能力能够满足本次</w:t>
            </w:r>
            <w:r>
              <w:rPr>
                <w:color w:val="000000" w:themeColor="text1"/>
                <w:sz w:val="22"/>
                <w:szCs w:val="22"/>
                <w14:textFill>
                  <w14:solidFill>
                    <w14:schemeClr w14:val="tx1"/>
                  </w14:solidFill>
                </w14:textFill>
              </w:rPr>
              <w:t>扩建项目</w:t>
            </w:r>
            <w:r>
              <w:rPr>
                <w:rFonts w:hint="eastAsia"/>
                <w:color w:val="000000" w:themeColor="text1"/>
                <w:sz w:val="22"/>
                <w:szCs w:val="22"/>
                <w14:textFill>
                  <w14:solidFill>
                    <w14:schemeClr w14:val="tx1"/>
                  </w14:solidFill>
                </w14:textFill>
              </w:rPr>
              <w:t>石墨纯化及碳化硅涂层生产废气量10000m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/h需求，本次可依托</w:t>
            </w:r>
            <w:r>
              <w:rPr>
                <w:color w:val="000000" w:themeColor="text1"/>
                <w:sz w:val="22"/>
                <w:szCs w:val="22"/>
                <w14:textFill>
                  <w14:solidFill>
                    <w14:schemeClr w14:val="tx1"/>
                  </w14:solidFill>
                </w14:textFill>
              </w:rPr>
              <w:t>。</w:t>
            </w:r>
          </w:p>
        </w:tc>
      </w:tr>
      <w:tr w14:paraId="5A16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2069C911">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1553427B">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Merge w:val="continue"/>
            <w:vAlign w:val="center"/>
          </w:tcPr>
          <w:p w14:paraId="362A3017">
            <w:pPr>
              <w:spacing w:line="240" w:lineRule="auto"/>
              <w:ind w:firstLine="0" w:firstLineChars="0"/>
              <w:jc w:val="center"/>
              <w:rPr>
                <w:color w:val="000000" w:themeColor="text1"/>
                <w:sz w:val="22"/>
                <w:szCs w:val="22"/>
                <w14:textFill>
                  <w14:solidFill>
                    <w14:schemeClr w14:val="tx1"/>
                  </w14:solidFill>
                </w14:textFill>
              </w:rPr>
            </w:pPr>
          </w:p>
        </w:tc>
        <w:tc>
          <w:tcPr>
            <w:tcW w:w="1931" w:type="pct"/>
            <w:vAlign w:val="center"/>
          </w:tcPr>
          <w:p w14:paraId="0B83C02B">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硅蚀刻废气+清洗线废气通风柜内密闭抽风收集送入酸碱雾净化塔处理后，经DA005排气筒排放；</w:t>
            </w:r>
          </w:p>
        </w:tc>
        <w:tc>
          <w:tcPr>
            <w:tcW w:w="2156" w:type="pct"/>
            <w:vAlign w:val="center"/>
          </w:tcPr>
          <w:p w14:paraId="586FF4FB">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本次GASKET产品清洗依托该清洗线，清洗线废气经酸雾喷淋塔净化塔处理后，仍经DA005排气筒排放</w:t>
            </w:r>
            <w:r>
              <w:rPr>
                <w:color w:val="000000" w:themeColor="text1"/>
                <w:sz w:val="22"/>
                <w:szCs w:val="22"/>
                <w14:textFill>
                  <w14:solidFill>
                    <w14:schemeClr w14:val="tx1"/>
                  </w14:solidFill>
                </w14:textFill>
              </w:rPr>
              <w:t>。</w:t>
            </w:r>
          </w:p>
        </w:tc>
      </w:tr>
      <w:tr w14:paraId="594B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1EC99353">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3625A813">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Merge w:val="restart"/>
            <w:vAlign w:val="center"/>
          </w:tcPr>
          <w:p w14:paraId="5DADC155">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固废</w:t>
            </w:r>
          </w:p>
        </w:tc>
        <w:tc>
          <w:tcPr>
            <w:tcW w:w="1931" w:type="pct"/>
            <w:vAlign w:val="center"/>
          </w:tcPr>
          <w:p w14:paraId="6DDED150">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现有一般固废贮存点1位于1#厂房附属厂房南侧</w:t>
            </w:r>
            <w:r>
              <w:rPr>
                <w:bCs/>
                <w:color w:val="000000" w:themeColor="text1"/>
                <w:sz w:val="22"/>
                <w:szCs w:val="22"/>
                <w:lang w:bidi="ar"/>
                <w14:textFill>
                  <w14:solidFill>
                    <w14:schemeClr w14:val="tx1"/>
                  </w14:solidFill>
                </w14:textFill>
              </w:rPr>
              <w:t>，占地面积约</w:t>
            </w:r>
            <w:r>
              <w:rPr>
                <w:rFonts w:hint="eastAsia"/>
                <w:bCs/>
                <w:color w:val="000000" w:themeColor="text1"/>
                <w:sz w:val="22"/>
                <w:szCs w:val="22"/>
                <w:lang w:bidi="ar"/>
                <w14:textFill>
                  <w14:solidFill>
                    <w14:schemeClr w14:val="tx1"/>
                  </w14:solidFill>
                </w14:textFill>
              </w:rPr>
              <w:t>8</w:t>
            </w:r>
            <w:r>
              <w:rPr>
                <w:bCs/>
                <w:color w:val="000000" w:themeColor="text1"/>
                <w:sz w:val="22"/>
                <w:szCs w:val="22"/>
                <w:lang w:bidi="ar"/>
                <w14:textFill>
                  <w14:solidFill>
                    <w14:schemeClr w14:val="tx1"/>
                  </w14:solidFill>
                </w14:textFill>
              </w:rPr>
              <w:t>0m</w:t>
            </w:r>
            <w:r>
              <w:rPr>
                <w:bCs/>
                <w:color w:val="000000" w:themeColor="text1"/>
                <w:sz w:val="22"/>
                <w:szCs w:val="22"/>
                <w:vertAlign w:val="superscript"/>
                <w:lang w:bidi="ar"/>
                <w14:textFill>
                  <w14:solidFill>
                    <w14:schemeClr w14:val="tx1"/>
                  </w14:solidFill>
                </w14:textFill>
              </w:rPr>
              <w:t>2</w:t>
            </w:r>
            <w:r>
              <w:rPr>
                <w:bCs/>
                <w:color w:val="000000" w:themeColor="text1"/>
                <w:sz w:val="22"/>
                <w:szCs w:val="22"/>
                <w:lang w:bidi="ar"/>
                <w14:textFill>
                  <w14:solidFill>
                    <w14:schemeClr w14:val="tx1"/>
                  </w14:solidFill>
                </w14:textFill>
              </w:rPr>
              <w:t>，用于暂存一般固体废物。</w:t>
            </w:r>
          </w:p>
        </w:tc>
        <w:tc>
          <w:tcPr>
            <w:tcW w:w="2156" w:type="pct"/>
            <w:vAlign w:val="center"/>
          </w:tcPr>
          <w:p w14:paraId="1810D86F">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现有一般固废</w:t>
            </w:r>
            <w:r>
              <w:rPr>
                <w:rFonts w:hint="eastAsia"/>
                <w:color w:val="000000" w:themeColor="text1"/>
                <w:sz w:val="22"/>
                <w:szCs w:val="22"/>
                <w14:textFill>
                  <w14:solidFill>
                    <w14:schemeClr w14:val="tx1"/>
                  </w14:solidFill>
                </w14:textFill>
              </w:rPr>
              <w:t>贮存点满足防渗漏、防雨淋、防扬尘等生态环境保护要求</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目前现有工程</w:t>
            </w:r>
            <w:r>
              <w:rPr>
                <w:color w:val="000000" w:themeColor="text1"/>
                <w:sz w:val="22"/>
                <w:szCs w:val="22"/>
                <w14:textFill>
                  <w14:solidFill>
                    <w14:schemeClr w14:val="tx1"/>
                  </w14:solidFill>
                </w14:textFill>
              </w:rPr>
              <w:t>使用面积约</w:t>
            </w:r>
            <w:r>
              <w:rPr>
                <w:rFonts w:hint="eastAsia"/>
                <w:color w:val="000000" w:themeColor="text1"/>
                <w:sz w:val="22"/>
                <w:szCs w:val="22"/>
                <w14:textFill>
                  <w14:solidFill>
                    <w14:schemeClr w14:val="tx1"/>
                  </w14:solidFill>
                </w14:textFill>
              </w:rPr>
              <w:t>5</w:t>
            </w:r>
            <w:r>
              <w:rPr>
                <w:color w:val="000000" w:themeColor="text1"/>
                <w:sz w:val="22"/>
                <w:szCs w:val="22"/>
                <w14:textFill>
                  <w14:solidFill>
                    <w14:schemeClr w14:val="tx1"/>
                  </w14:solidFill>
                </w14:textFill>
              </w:rPr>
              <w:t>5m</w:t>
            </w:r>
            <w:r>
              <w:rPr>
                <w:color w:val="000000" w:themeColor="text1"/>
                <w:sz w:val="22"/>
                <w:szCs w:val="22"/>
                <w:vertAlign w:val="superscript"/>
                <w14:textFill>
                  <w14:solidFill>
                    <w14:schemeClr w14:val="tx1"/>
                  </w14:solidFill>
                </w14:textFill>
              </w:rPr>
              <w:t>2</w:t>
            </w:r>
            <w:r>
              <w:rPr>
                <w:color w:val="000000" w:themeColor="text1"/>
                <w:sz w:val="22"/>
                <w:szCs w:val="22"/>
                <w14:textFill>
                  <w14:solidFill>
                    <w14:schemeClr w14:val="tx1"/>
                  </w14:solidFill>
                </w14:textFill>
              </w:rPr>
              <w:t>，剩余</w:t>
            </w:r>
            <w:r>
              <w:rPr>
                <w:rFonts w:hint="eastAsia"/>
                <w:color w:val="000000" w:themeColor="text1"/>
                <w:sz w:val="22"/>
                <w:szCs w:val="22"/>
                <w14:textFill>
                  <w14:solidFill>
                    <w14:schemeClr w14:val="tx1"/>
                  </w14:solidFill>
                </w14:textFill>
              </w:rPr>
              <w:t>2</w:t>
            </w:r>
            <w:r>
              <w:rPr>
                <w:color w:val="000000" w:themeColor="text1"/>
                <w:sz w:val="22"/>
                <w:szCs w:val="22"/>
                <w14:textFill>
                  <w14:solidFill>
                    <w14:schemeClr w14:val="tx1"/>
                  </w14:solidFill>
                </w14:textFill>
              </w:rPr>
              <w:t>5m</w:t>
            </w:r>
            <w:r>
              <w:rPr>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满足本次扩建需要，本次可</w:t>
            </w:r>
            <w:r>
              <w:rPr>
                <w:color w:val="000000" w:themeColor="text1"/>
                <w:sz w:val="22"/>
                <w:szCs w:val="22"/>
                <w14:textFill>
                  <w14:solidFill>
                    <w14:schemeClr w14:val="tx1"/>
                  </w14:solidFill>
                </w14:textFill>
              </w:rPr>
              <w:t>依托</w:t>
            </w:r>
            <w:r>
              <w:rPr>
                <w:rFonts w:hint="eastAsia"/>
                <w:color w:val="000000" w:themeColor="text1"/>
                <w:sz w:val="22"/>
                <w:szCs w:val="22"/>
                <w14:textFill>
                  <w14:solidFill>
                    <w14:schemeClr w14:val="tx1"/>
                  </w14:solidFill>
                </w14:textFill>
              </w:rPr>
              <w:t>。</w:t>
            </w:r>
          </w:p>
        </w:tc>
      </w:tr>
      <w:tr w14:paraId="4420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4F591E28">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28E6C890">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Merge w:val="continue"/>
            <w:vAlign w:val="center"/>
          </w:tcPr>
          <w:p w14:paraId="38A90299">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1931" w:type="pct"/>
            <w:vAlign w:val="center"/>
          </w:tcPr>
          <w:p w14:paraId="46D56998">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现有2#厂房的附属用房内建设了切削液回收车间，占地面积约255 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，含废屑的切削液收集后在切削液回收车间内经压滤、三级过滤处理后回用于生产，压滤产生的含切削液的污泥作为危险废物处置。</w:t>
            </w:r>
          </w:p>
        </w:tc>
        <w:tc>
          <w:tcPr>
            <w:tcW w:w="2156" w:type="pct"/>
            <w:vAlign w:val="center"/>
          </w:tcPr>
          <w:p w14:paraId="0440C709">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切削液回收系统剩余处理能力能够满足本次扩建需求，本次可依托。</w:t>
            </w:r>
          </w:p>
        </w:tc>
      </w:tr>
      <w:tr w14:paraId="6EAA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28AD823B">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2369E488">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Merge w:val="continue"/>
            <w:vAlign w:val="center"/>
          </w:tcPr>
          <w:p w14:paraId="3070F9BE">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1931" w:type="pct"/>
            <w:vAlign w:val="center"/>
          </w:tcPr>
          <w:p w14:paraId="7929BAAC">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bCs/>
                <w:color w:val="000000" w:themeColor="text1"/>
                <w:sz w:val="22"/>
                <w:szCs w:val="22"/>
                <w:lang w:bidi="ar"/>
                <w14:textFill>
                  <w14:solidFill>
                    <w14:schemeClr w14:val="tx1"/>
                  </w14:solidFill>
                </w14:textFill>
              </w:rPr>
              <w:t>现有位于1#厂房附属厂房的危险废物贮存库1已建成，占地面积均为100 m</w:t>
            </w:r>
            <w:r>
              <w:rPr>
                <w:rFonts w:hint="eastAsia"/>
                <w:bCs/>
                <w:color w:val="000000" w:themeColor="text1"/>
                <w:sz w:val="22"/>
                <w:szCs w:val="22"/>
                <w:vertAlign w:val="superscript"/>
                <w:lang w:bidi="ar"/>
                <w14:textFill>
                  <w14:solidFill>
                    <w14:schemeClr w14:val="tx1"/>
                  </w14:solidFill>
                </w14:textFill>
              </w:rPr>
              <w:t>2</w:t>
            </w:r>
            <w:r>
              <w:rPr>
                <w:rFonts w:hint="eastAsia"/>
                <w:bCs/>
                <w:color w:val="000000" w:themeColor="text1"/>
                <w:sz w:val="22"/>
                <w:szCs w:val="22"/>
                <w:lang w:bidi="ar"/>
                <w14:textFill>
                  <w14:solidFill>
                    <w14:schemeClr w14:val="tx1"/>
                  </w14:solidFill>
                </w14:textFill>
              </w:rPr>
              <w:t>，用于危险废物临时贮存，定期交由</w:t>
            </w:r>
            <w:r>
              <w:rPr>
                <w:rFonts w:hint="eastAsia"/>
                <w:color w:val="000000" w:themeColor="text1"/>
                <w:sz w:val="22"/>
                <w:szCs w:val="22"/>
                <w14:textFill>
                  <w14:solidFill>
                    <w14:schemeClr w14:val="tx1"/>
                  </w14:solidFill>
                </w14:textFill>
              </w:rPr>
              <w:t>具有危废处置资质的单位处置</w:t>
            </w:r>
            <w:r>
              <w:rPr>
                <w:rFonts w:hint="eastAsia"/>
                <w:bCs/>
                <w:color w:val="000000" w:themeColor="text1"/>
                <w:sz w:val="22"/>
                <w:szCs w:val="22"/>
                <w:lang w:bidi="ar"/>
                <w14:textFill>
                  <w14:solidFill>
                    <w14:schemeClr w14:val="tx1"/>
                  </w14:solidFill>
                </w14:textFill>
              </w:rPr>
              <w:t>。</w:t>
            </w:r>
          </w:p>
        </w:tc>
        <w:tc>
          <w:tcPr>
            <w:tcW w:w="2156" w:type="pct"/>
            <w:vAlign w:val="center"/>
          </w:tcPr>
          <w:p w14:paraId="50EB51B8">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现有</w:t>
            </w:r>
            <w:r>
              <w:rPr>
                <w:rFonts w:hint="eastAsia"/>
                <w:color w:val="000000" w:themeColor="text1"/>
                <w:sz w:val="22"/>
                <w:szCs w:val="22"/>
                <w14:textFill>
                  <w14:solidFill>
                    <w14:schemeClr w14:val="tx1"/>
                  </w14:solidFill>
                </w14:textFill>
              </w:rPr>
              <w:t>危险废物贮存库满足《危险废物贮存污染控制标准》(GB18597-2023)相关要求</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目前现有工程</w:t>
            </w:r>
            <w:r>
              <w:rPr>
                <w:color w:val="000000" w:themeColor="text1"/>
                <w:sz w:val="22"/>
                <w:szCs w:val="22"/>
                <w14:textFill>
                  <w14:solidFill>
                    <w14:schemeClr w14:val="tx1"/>
                  </w14:solidFill>
                </w14:textFill>
              </w:rPr>
              <w:t>使用面积约</w:t>
            </w:r>
            <w:r>
              <w:rPr>
                <w:rFonts w:hint="eastAsia"/>
                <w:color w:val="000000" w:themeColor="text1"/>
                <w:sz w:val="22"/>
                <w:szCs w:val="22"/>
                <w14:textFill>
                  <w14:solidFill>
                    <w14:schemeClr w14:val="tx1"/>
                  </w14:solidFill>
                </w14:textFill>
              </w:rPr>
              <w:t>6</w:t>
            </w:r>
            <w:r>
              <w:rPr>
                <w:color w:val="000000" w:themeColor="text1"/>
                <w:sz w:val="22"/>
                <w:szCs w:val="22"/>
                <w14:textFill>
                  <w14:solidFill>
                    <w14:schemeClr w14:val="tx1"/>
                  </w14:solidFill>
                </w14:textFill>
              </w:rPr>
              <w:t>5m</w:t>
            </w:r>
            <w:r>
              <w:rPr>
                <w:color w:val="000000" w:themeColor="text1"/>
                <w:sz w:val="22"/>
                <w:szCs w:val="22"/>
                <w:vertAlign w:val="superscript"/>
                <w14:textFill>
                  <w14:solidFill>
                    <w14:schemeClr w14:val="tx1"/>
                  </w14:solidFill>
                </w14:textFill>
              </w:rPr>
              <w:t>2</w:t>
            </w:r>
            <w:r>
              <w:rPr>
                <w:color w:val="000000" w:themeColor="text1"/>
                <w:sz w:val="22"/>
                <w:szCs w:val="22"/>
                <w14:textFill>
                  <w14:solidFill>
                    <w14:schemeClr w14:val="tx1"/>
                  </w14:solidFill>
                </w14:textFill>
              </w:rPr>
              <w:t>，剩余</w:t>
            </w:r>
            <w:r>
              <w:rPr>
                <w:rFonts w:hint="eastAsia"/>
                <w:color w:val="000000" w:themeColor="text1"/>
                <w:sz w:val="22"/>
                <w:szCs w:val="22"/>
                <w14:textFill>
                  <w14:solidFill>
                    <w14:schemeClr w14:val="tx1"/>
                  </w14:solidFill>
                </w14:textFill>
              </w:rPr>
              <w:t>3</w:t>
            </w:r>
            <w:r>
              <w:rPr>
                <w:color w:val="000000" w:themeColor="text1"/>
                <w:sz w:val="22"/>
                <w:szCs w:val="22"/>
                <w14:textFill>
                  <w14:solidFill>
                    <w14:schemeClr w14:val="tx1"/>
                  </w14:solidFill>
                </w14:textFill>
              </w:rPr>
              <w:t>5m</w:t>
            </w:r>
            <w:r>
              <w:rPr>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满足本次扩建需要，本次可</w:t>
            </w:r>
            <w:r>
              <w:rPr>
                <w:color w:val="000000" w:themeColor="text1"/>
                <w:sz w:val="22"/>
                <w:szCs w:val="22"/>
                <w14:textFill>
                  <w14:solidFill>
                    <w14:schemeClr w14:val="tx1"/>
                  </w14:solidFill>
                </w14:textFill>
              </w:rPr>
              <w:t>依托</w:t>
            </w:r>
            <w:r>
              <w:rPr>
                <w:rFonts w:hint="eastAsia"/>
                <w:color w:val="000000" w:themeColor="text1"/>
                <w:sz w:val="22"/>
                <w:szCs w:val="22"/>
                <w14:textFill>
                  <w14:solidFill>
                    <w14:schemeClr w14:val="tx1"/>
                  </w14:solidFill>
                </w14:textFill>
              </w:rPr>
              <w:t>。</w:t>
            </w:r>
          </w:p>
        </w:tc>
      </w:tr>
      <w:tr w14:paraId="6459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2AD866F9">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05" w:type="pct"/>
            <w:vMerge w:val="continue"/>
            <w:vAlign w:val="center"/>
          </w:tcPr>
          <w:p w14:paraId="4AF3281C">
            <w:pPr>
              <w:widowControl/>
              <w:spacing w:line="240" w:lineRule="auto"/>
              <w:ind w:firstLine="0" w:firstLineChars="0"/>
              <w:jc w:val="center"/>
              <w:textAlignment w:val="center"/>
              <w:rPr>
                <w:color w:val="000000" w:themeColor="text1"/>
                <w:sz w:val="22"/>
                <w:szCs w:val="22"/>
                <w14:textFill>
                  <w14:solidFill>
                    <w14:schemeClr w14:val="tx1"/>
                  </w14:solidFill>
                </w14:textFill>
              </w:rPr>
            </w:pPr>
          </w:p>
        </w:tc>
        <w:tc>
          <w:tcPr>
            <w:tcW w:w="356" w:type="pct"/>
            <w:vAlign w:val="center"/>
          </w:tcPr>
          <w:p w14:paraId="6D56A937">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风险防范</w:t>
            </w:r>
          </w:p>
        </w:tc>
        <w:tc>
          <w:tcPr>
            <w:tcW w:w="1931" w:type="pct"/>
            <w:vAlign w:val="center"/>
          </w:tcPr>
          <w:p w14:paraId="30A6842A">
            <w:pPr>
              <w:widowControl/>
              <w:spacing w:line="240" w:lineRule="auto"/>
              <w:ind w:firstLine="0" w:firstLineChars="0"/>
              <w:jc w:val="center"/>
              <w:textAlignment w:val="center"/>
              <w:rPr>
                <w:bCs/>
                <w:color w:val="000000" w:themeColor="text1"/>
                <w:sz w:val="22"/>
                <w:szCs w:val="22"/>
                <w:lang w:bidi="ar"/>
                <w14:textFill>
                  <w14:solidFill>
                    <w14:schemeClr w14:val="tx1"/>
                  </w14:solidFill>
                </w14:textFill>
              </w:rPr>
            </w:pPr>
            <w:r>
              <w:rPr>
                <w:rFonts w:hint="eastAsia"/>
                <w:color w:val="000000" w:themeColor="text1"/>
                <w:sz w:val="22"/>
                <w:szCs w:val="22"/>
                <w14:textFill>
                  <w14:solidFill>
                    <w14:schemeClr w14:val="tx1"/>
                  </w14:solidFill>
                </w14:textFill>
              </w:rPr>
              <w:t>切削液回收车间及危废贮存设施四周设置地沟收集；设置容积为270 m</w:t>
            </w:r>
            <w:r>
              <w:rPr>
                <w:rFonts w:hint="eastAsia"/>
                <w:color w:val="000000" w:themeColor="text1"/>
                <w:sz w:val="22"/>
                <w:szCs w:val="22"/>
                <w:vertAlign w:val="superscript"/>
                <w14:textFill>
                  <w14:solidFill>
                    <w14:schemeClr w14:val="tx1"/>
                  </w14:solidFill>
                </w14:textFill>
              </w:rPr>
              <w:t>3</w:t>
            </w:r>
            <w:r>
              <w:rPr>
                <w:rFonts w:hint="eastAsia"/>
                <w:color w:val="000000" w:themeColor="text1"/>
                <w:sz w:val="22"/>
                <w:szCs w:val="22"/>
                <w14:textFill>
                  <w14:solidFill>
                    <w14:schemeClr w14:val="tx1"/>
                  </w14:solidFill>
                </w14:textFill>
              </w:rPr>
              <w:t>事故池，收集厂区事故废水。</w:t>
            </w:r>
          </w:p>
        </w:tc>
        <w:tc>
          <w:tcPr>
            <w:tcW w:w="2156" w:type="pct"/>
            <w:vAlign w:val="center"/>
          </w:tcPr>
          <w:p w14:paraId="7F29095C">
            <w:pPr>
              <w:widowControl/>
              <w:spacing w:line="240" w:lineRule="auto"/>
              <w:ind w:firstLine="0" w:firstLineChars="0"/>
              <w:jc w:val="center"/>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本次扩建不增加企业环境风险等级，现有环境风险防范措施能够满足本次扩建需求，本次可依托。</w:t>
            </w:r>
          </w:p>
        </w:tc>
      </w:tr>
    </w:tbl>
    <w:p w14:paraId="4584D977">
      <w:pPr>
        <w:pStyle w:val="4"/>
        <w:rPr>
          <w:color w:val="000000" w:themeColor="text1"/>
          <w14:textFill>
            <w14:solidFill>
              <w14:schemeClr w14:val="tx1"/>
            </w14:solidFill>
          </w14:textFill>
        </w:rPr>
        <w:sectPr>
          <w:pgSz w:w="16838" w:h="11906" w:orient="landscape"/>
          <w:pgMar w:top="1800" w:right="1440" w:bottom="1800" w:left="1440" w:header="851" w:footer="992" w:gutter="0"/>
          <w:cols w:space="720" w:num="1"/>
          <w:docGrid w:type="lines" w:linePitch="354" w:charSpace="0"/>
        </w:sectPr>
      </w:pPr>
    </w:p>
    <w:p w14:paraId="14977683">
      <w:pPr>
        <w:pStyle w:val="5"/>
        <w:rPr>
          <w:color w:val="000000" w:themeColor="text1"/>
          <w14:textFill>
            <w14:solidFill>
              <w14:schemeClr w14:val="tx1"/>
            </w14:solidFill>
          </w14:textFill>
        </w:rPr>
      </w:pPr>
      <w:r>
        <w:rPr>
          <w:color w:val="000000" w:themeColor="text1"/>
          <w14:textFill>
            <w14:solidFill>
              <w14:schemeClr w14:val="tx1"/>
            </w14:solidFill>
          </w14:textFill>
        </w:rPr>
        <w:t>GASKET</w:t>
      </w:r>
      <w:r>
        <w:rPr>
          <w:rFonts w:hint="eastAsia"/>
          <w:color w:val="000000" w:themeColor="text1"/>
          <w14:textFill>
            <w14:solidFill>
              <w14:schemeClr w14:val="tx1"/>
            </w14:solidFill>
          </w14:textFill>
        </w:rPr>
        <w:t>产品及石墨零部件生产线（臻宝科技公司厂区）项目组成</w:t>
      </w:r>
    </w:p>
    <w:p w14:paraId="11AA2F9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（1）项目组成</w:t>
      </w:r>
    </w:p>
    <w:p w14:paraId="48F1AAC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扩建项目GASKET产品及石墨零部件加工租赁臻宝科技公司厂房及附属用房01建设。具体情况如下：</w:t>
      </w:r>
    </w:p>
    <w:p w14:paraId="7A322B3F">
      <w:pPr>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表</w:t>
      </w:r>
      <w:r>
        <w:rPr>
          <w:rFonts w:hint="eastAsia"/>
          <w:color w:val="000000" w:themeColor="text1"/>
          <w:sz w:val="22"/>
          <w:szCs w:val="22"/>
          <w14:textFill>
            <w14:solidFill>
              <w14:schemeClr w14:val="tx1"/>
            </w14:solidFill>
          </w14:textFill>
        </w:rPr>
        <w:t xml:space="preserve">3.3-3  </w:t>
      </w:r>
      <w:r>
        <w:rPr>
          <w:color w:val="000000" w:themeColor="text1"/>
          <w:sz w:val="22"/>
          <w:szCs w:val="22"/>
          <w14:textFill>
            <w14:solidFill>
              <w14:schemeClr w14:val="tx1"/>
            </w14:solidFill>
          </w14:textFill>
        </w:rPr>
        <w:t>GASKET</w:t>
      </w:r>
      <w:r>
        <w:rPr>
          <w:rFonts w:hint="eastAsia"/>
          <w:color w:val="000000" w:themeColor="text1"/>
          <w:sz w:val="22"/>
          <w:szCs w:val="22"/>
          <w14:textFill>
            <w14:solidFill>
              <w14:schemeClr w14:val="tx1"/>
            </w14:solidFill>
          </w14:textFill>
        </w:rPr>
        <w:t>产品及石墨零部件生产线（臻宝科技公司厂区）</w:t>
      </w:r>
      <w:r>
        <w:rPr>
          <w:color w:val="000000" w:themeColor="text1"/>
          <w:sz w:val="22"/>
          <w:szCs w:val="22"/>
          <w14:textFill>
            <w14:solidFill>
              <w14:schemeClr w14:val="tx1"/>
            </w14:solidFill>
          </w14:textFill>
        </w:rPr>
        <w:t>项目组成一览表</w:t>
      </w:r>
    </w:p>
    <w:tbl>
      <w:tblPr>
        <w:tblStyle w:val="88"/>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39"/>
        <w:gridCol w:w="1112"/>
        <w:gridCol w:w="5647"/>
        <w:gridCol w:w="907"/>
      </w:tblGrid>
      <w:tr w14:paraId="0C3694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Align w:val="center"/>
          </w:tcPr>
          <w:p w14:paraId="71B2199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工程类别</w:t>
            </w:r>
          </w:p>
        </w:tc>
        <w:tc>
          <w:tcPr>
            <w:tcW w:w="654" w:type="pct"/>
            <w:vAlign w:val="center"/>
          </w:tcPr>
          <w:p w14:paraId="588D23C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项目名称</w:t>
            </w:r>
          </w:p>
        </w:tc>
        <w:tc>
          <w:tcPr>
            <w:tcW w:w="3320" w:type="pct"/>
            <w:vAlign w:val="center"/>
          </w:tcPr>
          <w:p w14:paraId="39A171D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内容及规模</w:t>
            </w:r>
          </w:p>
        </w:tc>
        <w:tc>
          <w:tcPr>
            <w:tcW w:w="533" w:type="pct"/>
            <w:vAlign w:val="center"/>
          </w:tcPr>
          <w:p w14:paraId="019A017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备注</w:t>
            </w:r>
          </w:p>
        </w:tc>
      </w:tr>
      <w:tr w14:paraId="4CEF6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restart"/>
            <w:vAlign w:val="center"/>
          </w:tcPr>
          <w:p w14:paraId="24F0EE5C">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主体工程</w:t>
            </w:r>
          </w:p>
        </w:tc>
        <w:tc>
          <w:tcPr>
            <w:tcW w:w="654" w:type="pct"/>
            <w:vAlign w:val="center"/>
          </w:tcPr>
          <w:p w14:paraId="49F506C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GASKET产品生产线</w:t>
            </w:r>
          </w:p>
        </w:tc>
        <w:tc>
          <w:tcPr>
            <w:tcW w:w="3320" w:type="pct"/>
            <w:vAlign w:val="center"/>
          </w:tcPr>
          <w:p w14:paraId="581260E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租赁臻宝科技公司</w:t>
            </w:r>
            <w:r>
              <w:rPr>
                <w:rFonts w:hint="eastAsia"/>
                <w:color w:val="000000" w:themeColor="text1"/>
                <w:sz w:val="22"/>
                <w:szCs w:val="22"/>
                <w14:textFill>
                  <w14:solidFill>
                    <w14:schemeClr w14:val="tx1"/>
                  </w14:solidFill>
                </w14:textFill>
              </w:rPr>
              <w:t>联合厂房西南角</w:t>
            </w:r>
            <w:r>
              <w:rPr>
                <w:color w:val="000000" w:themeColor="text1"/>
                <w:sz w:val="22"/>
                <w:szCs w:val="22"/>
                <w14:textFill>
                  <w14:solidFill>
                    <w14:schemeClr w14:val="tx1"/>
                  </w14:solidFill>
                </w14:textFill>
              </w:rPr>
              <w:t>2F约</w:t>
            </w:r>
            <w:r>
              <w:rPr>
                <w:rFonts w:hint="eastAsia"/>
                <w:color w:val="000000" w:themeColor="text1"/>
                <w:sz w:val="22"/>
                <w:szCs w:val="22"/>
                <w14:textFill>
                  <w14:solidFill>
                    <w14:schemeClr w14:val="tx1"/>
                  </w14:solidFill>
                </w14:textFill>
              </w:rPr>
              <w:t>179.15</w:t>
            </w:r>
            <w:r>
              <w:rPr>
                <w:color w:val="000000" w:themeColor="text1"/>
                <w:sz w:val="22"/>
                <w:szCs w:val="22"/>
                <w14:textFill>
                  <w14:solidFill>
                    <w14:schemeClr w14:val="tx1"/>
                  </w14:solidFill>
                </w14:textFill>
              </w:rPr>
              <w:t>m</w:t>
            </w:r>
            <w:r>
              <w:rPr>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区域</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布置高速离心式抛光机</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自动切断机</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伺服模切压力机</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薄片清洁机</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外抽真空包装机</w:t>
            </w:r>
            <w:r>
              <w:rPr>
                <w:color w:val="000000" w:themeColor="text1"/>
                <w:sz w:val="22"/>
                <w:szCs w:val="22"/>
                <w14:textFill>
                  <w14:solidFill>
                    <w14:schemeClr w14:val="tx1"/>
                  </w14:solidFill>
                </w14:textFill>
              </w:rPr>
              <w:t>等设备</w:t>
            </w:r>
            <w:r>
              <w:rPr>
                <w:rFonts w:hint="eastAsia"/>
                <w:color w:val="000000" w:themeColor="text1"/>
                <w:sz w:val="22"/>
                <w:szCs w:val="22"/>
                <w14:textFill>
                  <w14:solidFill>
                    <w14:schemeClr w14:val="tx1"/>
                  </w14:solidFill>
                </w14:textFill>
              </w:rPr>
              <w:t>；租赁联合厂房西侧1F约663.75m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区域，布置纵切型自动车床(走心机)</w:t>
            </w:r>
            <w:r>
              <w:rPr>
                <w:color w:val="000000" w:themeColor="text1"/>
                <w:sz w:val="22"/>
                <w:szCs w:val="22"/>
                <w14:textFill>
                  <w14:solidFill>
                    <w14:schemeClr w14:val="tx1"/>
                  </w14:solidFill>
                </w14:textFill>
              </w:rPr>
              <w:t>，建</w:t>
            </w:r>
            <w:bookmarkStart w:id="157" w:name="_Hlk200100629"/>
            <w:r>
              <w:rPr>
                <w:color w:val="000000" w:themeColor="text1"/>
                <w:sz w:val="22"/>
                <w:szCs w:val="22"/>
                <w14:textFill>
                  <w14:solidFill>
                    <w14:schemeClr w14:val="tx1"/>
                  </w14:solidFill>
                </w14:textFill>
              </w:rPr>
              <w:t>设</w:t>
            </w:r>
            <w:r>
              <w:rPr>
                <w:rFonts w:hint="eastAsia"/>
                <w:color w:val="000000" w:themeColor="text1"/>
                <w:sz w:val="22"/>
                <w:szCs w:val="22"/>
                <w14:textFill>
                  <w14:solidFill>
                    <w14:schemeClr w14:val="tx1"/>
                  </w14:solidFill>
                </w14:textFill>
              </w:rPr>
              <w:t>GASKET产品</w:t>
            </w:r>
            <w:bookmarkEnd w:id="157"/>
            <w:r>
              <w:rPr>
                <w:rFonts w:hint="eastAsia"/>
                <w:color w:val="000000" w:themeColor="text1"/>
                <w:sz w:val="22"/>
                <w:szCs w:val="22"/>
                <w14:textFill>
                  <w14:solidFill>
                    <w14:schemeClr w14:val="tx1"/>
                  </w14:solidFill>
                </w14:textFill>
              </w:rPr>
              <w:t>生产线</w:t>
            </w:r>
            <w:r>
              <w:rPr>
                <w:color w:val="000000" w:themeColor="text1"/>
                <w:sz w:val="22"/>
                <w:szCs w:val="22"/>
                <w14:textFill>
                  <w14:solidFill>
                    <w14:schemeClr w14:val="tx1"/>
                  </w14:solidFill>
                </w14:textFill>
              </w:rPr>
              <w:t>。</w:t>
            </w:r>
          </w:p>
        </w:tc>
        <w:tc>
          <w:tcPr>
            <w:tcW w:w="533" w:type="pct"/>
            <w:vMerge w:val="restart"/>
            <w:vAlign w:val="center"/>
          </w:tcPr>
          <w:p w14:paraId="541BE364">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厂房依托，生产线</w:t>
            </w:r>
            <w:r>
              <w:rPr>
                <w:color w:val="000000" w:themeColor="text1"/>
                <w:sz w:val="22"/>
                <w:szCs w:val="22"/>
                <w14:textFill>
                  <w14:solidFill>
                    <w14:schemeClr w14:val="tx1"/>
                  </w14:solidFill>
                </w14:textFill>
              </w:rPr>
              <w:t>新建</w:t>
            </w:r>
          </w:p>
        </w:tc>
      </w:tr>
      <w:tr w14:paraId="70CD8A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continue"/>
            <w:vAlign w:val="center"/>
          </w:tcPr>
          <w:p w14:paraId="17754DFF">
            <w:pPr>
              <w:spacing w:line="240" w:lineRule="auto"/>
              <w:ind w:firstLine="0" w:firstLineChars="0"/>
              <w:jc w:val="center"/>
              <w:rPr>
                <w:color w:val="000000" w:themeColor="text1"/>
                <w:sz w:val="22"/>
                <w:szCs w:val="22"/>
                <w14:textFill>
                  <w14:solidFill>
                    <w14:schemeClr w14:val="tx1"/>
                  </w14:solidFill>
                </w14:textFill>
              </w:rPr>
            </w:pPr>
          </w:p>
        </w:tc>
        <w:tc>
          <w:tcPr>
            <w:tcW w:w="654" w:type="pct"/>
            <w:vAlign w:val="center"/>
          </w:tcPr>
          <w:p w14:paraId="0A3DF77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石墨零部件加工</w:t>
            </w:r>
          </w:p>
        </w:tc>
        <w:tc>
          <w:tcPr>
            <w:tcW w:w="3320" w:type="pct"/>
            <w:vAlign w:val="center"/>
          </w:tcPr>
          <w:p w14:paraId="064C7E0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租赁臻宝科技公司</w:t>
            </w:r>
            <w:r>
              <w:rPr>
                <w:rFonts w:hint="eastAsia"/>
                <w:color w:val="000000" w:themeColor="text1"/>
                <w:sz w:val="22"/>
                <w:szCs w:val="22"/>
                <w14:textFill>
                  <w14:solidFill>
                    <w14:schemeClr w14:val="tx1"/>
                  </w14:solidFill>
                </w14:textFill>
              </w:rPr>
              <w:t>厂区西北角附属用房01，建筑面积368</w:t>
            </w:r>
            <w:r>
              <w:rPr>
                <w:color w:val="000000" w:themeColor="text1"/>
                <w:sz w:val="22"/>
                <w:szCs w:val="22"/>
                <w14:textFill>
                  <w14:solidFill>
                    <w14:schemeClr w14:val="tx1"/>
                  </w14:solidFill>
                </w14:textFill>
              </w:rPr>
              <w:t>m</w:t>
            </w:r>
            <w:r>
              <w:rPr>
                <w:color w:val="000000" w:themeColor="text1"/>
                <w:sz w:val="22"/>
                <w:szCs w:val="22"/>
                <w:vertAlign w:val="superscript"/>
                <w14:textFill>
                  <w14:solidFill>
                    <w14:schemeClr w14:val="tx1"/>
                  </w14:solidFill>
                </w14:textFill>
              </w:rPr>
              <w:t>2</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布置石墨零部件加工生产线，零部件加工完成后送至臻宝半导体公司进行纯化处理</w:t>
            </w:r>
            <w:r>
              <w:rPr>
                <w:color w:val="000000" w:themeColor="text1"/>
                <w:sz w:val="22"/>
                <w:szCs w:val="22"/>
                <w14:textFill>
                  <w14:solidFill>
                    <w14:schemeClr w14:val="tx1"/>
                  </w14:solidFill>
                </w14:textFill>
              </w:rPr>
              <w:t>。</w:t>
            </w:r>
          </w:p>
        </w:tc>
        <w:tc>
          <w:tcPr>
            <w:tcW w:w="533" w:type="pct"/>
            <w:vMerge w:val="continue"/>
            <w:vAlign w:val="center"/>
          </w:tcPr>
          <w:p w14:paraId="3F8BC9E7">
            <w:pPr>
              <w:spacing w:line="240" w:lineRule="auto"/>
              <w:ind w:firstLine="0" w:firstLineChars="0"/>
              <w:jc w:val="center"/>
              <w:rPr>
                <w:color w:val="000000" w:themeColor="text1"/>
                <w:sz w:val="22"/>
                <w:szCs w:val="22"/>
                <w14:textFill>
                  <w14:solidFill>
                    <w14:schemeClr w14:val="tx1"/>
                  </w14:solidFill>
                </w14:textFill>
              </w:rPr>
            </w:pPr>
          </w:p>
        </w:tc>
      </w:tr>
      <w:tr w14:paraId="74B24A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Align w:val="center"/>
          </w:tcPr>
          <w:p w14:paraId="184038B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储运工程</w:t>
            </w:r>
          </w:p>
        </w:tc>
        <w:tc>
          <w:tcPr>
            <w:tcW w:w="654" w:type="pct"/>
            <w:vAlign w:val="center"/>
          </w:tcPr>
          <w:p w14:paraId="72CD997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原辅材料贮存</w:t>
            </w:r>
          </w:p>
        </w:tc>
        <w:tc>
          <w:tcPr>
            <w:tcW w:w="3320" w:type="pct"/>
            <w:vAlign w:val="center"/>
          </w:tcPr>
          <w:p w14:paraId="5485CFF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在租赁</w:t>
            </w:r>
            <w:r>
              <w:rPr>
                <w:rFonts w:hint="eastAsia"/>
                <w:color w:val="000000" w:themeColor="text1"/>
                <w:sz w:val="22"/>
                <w:szCs w:val="22"/>
                <w14:textFill>
                  <w14:solidFill>
                    <w14:schemeClr w14:val="tx1"/>
                  </w14:solidFill>
                </w14:textFill>
              </w:rPr>
              <w:t>联合厂房区域和附属用房01分别划出面积约20m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和40m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区域分别贮存GASKET产品和石墨零部件原辅材料</w:t>
            </w:r>
            <w:r>
              <w:rPr>
                <w:color w:val="000000" w:themeColor="text1"/>
                <w:sz w:val="22"/>
                <w:szCs w:val="22"/>
                <w14:textFill>
                  <w14:solidFill>
                    <w14:schemeClr w14:val="tx1"/>
                  </w14:solidFill>
                </w14:textFill>
              </w:rPr>
              <w:t>。</w:t>
            </w:r>
          </w:p>
        </w:tc>
        <w:tc>
          <w:tcPr>
            <w:tcW w:w="533" w:type="pct"/>
            <w:vAlign w:val="center"/>
          </w:tcPr>
          <w:p w14:paraId="2C87E6E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新建</w:t>
            </w:r>
          </w:p>
        </w:tc>
      </w:tr>
      <w:tr w14:paraId="2D182D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restart"/>
            <w:vAlign w:val="center"/>
          </w:tcPr>
          <w:p w14:paraId="76E55E4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公用</w:t>
            </w:r>
          </w:p>
          <w:p w14:paraId="585F6DC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工程</w:t>
            </w:r>
          </w:p>
        </w:tc>
        <w:tc>
          <w:tcPr>
            <w:tcW w:w="654" w:type="pct"/>
            <w:vAlign w:val="center"/>
          </w:tcPr>
          <w:p w14:paraId="6003B2A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供水</w:t>
            </w:r>
          </w:p>
        </w:tc>
        <w:tc>
          <w:tcPr>
            <w:tcW w:w="3320" w:type="pct"/>
            <w:vAlign w:val="center"/>
          </w:tcPr>
          <w:p w14:paraId="08EA7DF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依托臻宝科技公司现有市政给水管网引入自来水，市政供水压力0.30Mpa</w:t>
            </w:r>
            <w:r>
              <w:rPr>
                <w:rFonts w:hint="eastAsia"/>
                <w:color w:val="000000" w:themeColor="text1"/>
                <w:sz w:val="22"/>
                <w:szCs w:val="22"/>
                <w14:textFill>
                  <w14:solidFill>
                    <w14:schemeClr w14:val="tx1"/>
                  </w14:solidFill>
                </w14:textFill>
              </w:rPr>
              <w:t>。</w:t>
            </w:r>
          </w:p>
        </w:tc>
        <w:tc>
          <w:tcPr>
            <w:tcW w:w="533" w:type="pct"/>
            <w:tcBorders>
              <w:bottom w:val="single" w:color="auto" w:sz="4" w:space="0"/>
            </w:tcBorders>
            <w:vAlign w:val="center"/>
          </w:tcPr>
          <w:p w14:paraId="26EEAAB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w:t>
            </w:r>
          </w:p>
        </w:tc>
      </w:tr>
      <w:tr w14:paraId="5BC84B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continue"/>
            <w:vAlign w:val="center"/>
          </w:tcPr>
          <w:p w14:paraId="139E62EE">
            <w:pPr>
              <w:spacing w:line="240" w:lineRule="auto"/>
              <w:ind w:firstLine="0" w:firstLineChars="0"/>
              <w:jc w:val="center"/>
              <w:rPr>
                <w:color w:val="000000" w:themeColor="text1"/>
                <w:sz w:val="22"/>
                <w:szCs w:val="22"/>
                <w14:textFill>
                  <w14:solidFill>
                    <w14:schemeClr w14:val="tx1"/>
                  </w14:solidFill>
                </w14:textFill>
              </w:rPr>
            </w:pPr>
          </w:p>
        </w:tc>
        <w:tc>
          <w:tcPr>
            <w:tcW w:w="654" w:type="pct"/>
            <w:vAlign w:val="center"/>
          </w:tcPr>
          <w:p w14:paraId="3E4606B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空压机房</w:t>
            </w:r>
          </w:p>
        </w:tc>
        <w:tc>
          <w:tcPr>
            <w:tcW w:w="3320" w:type="pct"/>
            <w:vAlign w:val="center"/>
          </w:tcPr>
          <w:p w14:paraId="1F7BCA6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依托臻宝科技公司现有空压站。</w:t>
            </w:r>
          </w:p>
        </w:tc>
        <w:tc>
          <w:tcPr>
            <w:tcW w:w="533" w:type="pct"/>
            <w:tcBorders>
              <w:top w:val="single" w:color="auto" w:sz="4" w:space="0"/>
              <w:bottom w:val="single" w:color="auto" w:sz="4" w:space="0"/>
            </w:tcBorders>
            <w:vAlign w:val="center"/>
          </w:tcPr>
          <w:p w14:paraId="6B0FE4C5">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w:t>
            </w:r>
          </w:p>
        </w:tc>
      </w:tr>
      <w:tr w14:paraId="29CBDF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continue"/>
            <w:vAlign w:val="center"/>
          </w:tcPr>
          <w:p w14:paraId="2DFB0567">
            <w:pPr>
              <w:spacing w:line="240" w:lineRule="auto"/>
              <w:ind w:firstLine="0" w:firstLineChars="0"/>
              <w:jc w:val="center"/>
              <w:rPr>
                <w:color w:val="000000" w:themeColor="text1"/>
                <w:sz w:val="22"/>
                <w:szCs w:val="22"/>
                <w14:textFill>
                  <w14:solidFill>
                    <w14:schemeClr w14:val="tx1"/>
                  </w14:solidFill>
                </w14:textFill>
              </w:rPr>
            </w:pPr>
          </w:p>
        </w:tc>
        <w:tc>
          <w:tcPr>
            <w:tcW w:w="654" w:type="pct"/>
            <w:vAlign w:val="center"/>
          </w:tcPr>
          <w:p w14:paraId="120B1AA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纯水制备装置</w:t>
            </w:r>
          </w:p>
        </w:tc>
        <w:tc>
          <w:tcPr>
            <w:tcW w:w="3320" w:type="pct"/>
            <w:vAlign w:val="center"/>
          </w:tcPr>
          <w:p w14:paraId="4F09870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依托臻宝科技公司现有纯水站</w:t>
            </w:r>
            <w:r>
              <w:rPr>
                <w:rFonts w:hint="eastAsia"/>
                <w:color w:val="000000" w:themeColor="text1"/>
                <w:sz w:val="22"/>
                <w:szCs w:val="22"/>
                <w14:textFill>
                  <w14:solidFill>
                    <w14:schemeClr w14:val="tx1"/>
                  </w14:solidFill>
                </w14:textFill>
              </w:rPr>
              <w:t>。</w:t>
            </w:r>
          </w:p>
        </w:tc>
        <w:tc>
          <w:tcPr>
            <w:tcW w:w="533" w:type="pct"/>
            <w:tcBorders>
              <w:top w:val="single" w:color="auto" w:sz="4" w:space="0"/>
              <w:bottom w:val="single" w:color="auto" w:sz="4" w:space="0"/>
            </w:tcBorders>
            <w:vAlign w:val="center"/>
          </w:tcPr>
          <w:p w14:paraId="3B8CF62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w:t>
            </w:r>
          </w:p>
        </w:tc>
      </w:tr>
      <w:tr w14:paraId="3DF074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continue"/>
            <w:vAlign w:val="center"/>
          </w:tcPr>
          <w:p w14:paraId="0D59816E">
            <w:pPr>
              <w:spacing w:line="240" w:lineRule="auto"/>
              <w:ind w:firstLine="0" w:firstLineChars="0"/>
              <w:jc w:val="center"/>
              <w:rPr>
                <w:color w:val="000000" w:themeColor="text1"/>
                <w:sz w:val="22"/>
                <w:szCs w:val="22"/>
                <w14:textFill>
                  <w14:solidFill>
                    <w14:schemeClr w14:val="tx1"/>
                  </w14:solidFill>
                </w14:textFill>
              </w:rPr>
            </w:pPr>
          </w:p>
        </w:tc>
        <w:tc>
          <w:tcPr>
            <w:tcW w:w="654" w:type="pct"/>
            <w:vAlign w:val="center"/>
          </w:tcPr>
          <w:p w14:paraId="3DC70AA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供电</w:t>
            </w:r>
          </w:p>
        </w:tc>
        <w:tc>
          <w:tcPr>
            <w:tcW w:w="3320" w:type="pct"/>
            <w:vAlign w:val="center"/>
          </w:tcPr>
          <w:p w14:paraId="17EFF97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依托园区电网供电</w:t>
            </w:r>
            <w:r>
              <w:rPr>
                <w:rFonts w:hint="eastAsia"/>
                <w:color w:val="000000" w:themeColor="text1"/>
                <w:sz w:val="22"/>
                <w:szCs w:val="22"/>
                <w14:textFill>
                  <w14:solidFill>
                    <w14:schemeClr w14:val="tx1"/>
                  </w14:solidFill>
                </w14:textFill>
              </w:rPr>
              <w:t>。</w:t>
            </w:r>
          </w:p>
        </w:tc>
        <w:tc>
          <w:tcPr>
            <w:tcW w:w="533" w:type="pct"/>
            <w:vAlign w:val="center"/>
          </w:tcPr>
          <w:p w14:paraId="6C42136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w:t>
            </w:r>
          </w:p>
        </w:tc>
      </w:tr>
      <w:tr w14:paraId="77E6BC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restart"/>
            <w:vAlign w:val="center"/>
          </w:tcPr>
          <w:p w14:paraId="4CC2554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环保</w:t>
            </w:r>
          </w:p>
          <w:p w14:paraId="564E72F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工程</w:t>
            </w:r>
          </w:p>
        </w:tc>
        <w:tc>
          <w:tcPr>
            <w:tcW w:w="654" w:type="pct"/>
            <w:vAlign w:val="center"/>
          </w:tcPr>
          <w:p w14:paraId="1A9C3B7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废气</w:t>
            </w:r>
          </w:p>
        </w:tc>
        <w:tc>
          <w:tcPr>
            <w:tcW w:w="3320" w:type="pct"/>
            <w:vAlign w:val="center"/>
          </w:tcPr>
          <w:p w14:paraId="76A28C70">
            <w:pPr>
              <w:spacing w:line="240" w:lineRule="auto"/>
              <w:ind w:firstLine="0" w:firstLineChars="0"/>
              <w:jc w:val="left"/>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石墨零部件加工废气</w:t>
            </w:r>
            <w:r>
              <w:rPr>
                <w:color w:val="000000" w:themeColor="text1"/>
                <w:sz w:val="22"/>
                <w:szCs w:val="22"/>
                <w14:textFill>
                  <w14:solidFill>
                    <w14:schemeClr w14:val="tx1"/>
                  </w14:solidFill>
                </w14:textFill>
              </w:rPr>
              <w:t>收集后，</w:t>
            </w:r>
            <w:r>
              <w:rPr>
                <w:rFonts w:hint="eastAsia"/>
                <w:color w:val="000000" w:themeColor="text1"/>
                <w:sz w:val="22"/>
                <w:szCs w:val="22"/>
                <w14:textFill>
                  <w14:solidFill>
                    <w14:schemeClr w14:val="tx1"/>
                  </w14:solidFill>
                </w14:textFill>
              </w:rPr>
              <w:t>送</w:t>
            </w:r>
            <w:r>
              <w:rPr>
                <w:color w:val="000000" w:themeColor="text1"/>
                <w:sz w:val="22"/>
                <w:szCs w:val="22"/>
                <w14:textFill>
                  <w14:solidFill>
                    <w14:schemeClr w14:val="tx1"/>
                  </w14:solidFill>
                </w14:textFill>
              </w:rPr>
              <w:t>入在臻宝科技厂区新建</w:t>
            </w:r>
            <w:r>
              <w:rPr>
                <w:rFonts w:hint="eastAsia"/>
                <w:color w:val="000000" w:themeColor="text1"/>
                <w:sz w:val="22"/>
                <w:szCs w:val="22"/>
                <w14:textFill>
                  <w14:solidFill>
                    <w14:schemeClr w14:val="tx1"/>
                  </w14:solidFill>
                </w14:textFill>
              </w:rPr>
              <w:t>布袋除尘器</w:t>
            </w:r>
            <w:r>
              <w:rPr>
                <w:color w:val="000000" w:themeColor="text1"/>
                <w:sz w:val="22"/>
                <w:szCs w:val="22"/>
                <w14:textFill>
                  <w14:solidFill>
                    <w14:schemeClr w14:val="tx1"/>
                  </w14:solidFill>
                </w14:textFill>
              </w:rPr>
              <w:t>处理后，</w:t>
            </w:r>
            <w:r>
              <w:rPr>
                <w:rFonts w:hint="eastAsia"/>
                <w:color w:val="000000" w:themeColor="text1"/>
                <w:sz w:val="22"/>
                <w:szCs w:val="22"/>
                <w14:textFill>
                  <w14:solidFill>
                    <w14:schemeClr w14:val="tx1"/>
                  </w14:solidFill>
                </w14:textFill>
              </w:rPr>
              <w:t>由1根15m高</w:t>
            </w:r>
            <w:r>
              <w:rPr>
                <w:color w:val="000000" w:themeColor="text1"/>
                <w:sz w:val="22"/>
                <w:szCs w:val="22"/>
                <w14:textFill>
                  <w14:solidFill>
                    <w14:schemeClr w14:val="tx1"/>
                  </w14:solidFill>
                </w14:textFill>
              </w:rPr>
              <w:t>排气筒DA01</w:t>
            </w:r>
            <w:r>
              <w:rPr>
                <w:rFonts w:hint="eastAsia"/>
                <w:color w:val="000000" w:themeColor="text1"/>
                <w:sz w:val="22"/>
                <w:szCs w:val="22"/>
                <w14:textFill>
                  <w14:solidFill>
                    <w14:schemeClr w14:val="tx1"/>
                  </w14:solidFill>
                </w14:textFill>
              </w:rPr>
              <w:t>6</w:t>
            </w:r>
            <w:r>
              <w:rPr>
                <w:color w:val="000000" w:themeColor="text1"/>
                <w:sz w:val="22"/>
                <w:szCs w:val="22"/>
                <w14:textFill>
                  <w14:solidFill>
                    <w14:schemeClr w14:val="tx1"/>
                  </w14:solidFill>
                </w14:textFill>
              </w:rPr>
              <w:t>排放</w:t>
            </w:r>
            <w:r>
              <w:rPr>
                <w:rFonts w:hint="eastAsia"/>
                <w:color w:val="000000" w:themeColor="text1"/>
                <w:sz w:val="22"/>
                <w:szCs w:val="22"/>
                <w14:textFill>
                  <w14:solidFill>
                    <w14:schemeClr w14:val="tx1"/>
                  </w14:solidFill>
                </w14:textFill>
              </w:rPr>
              <w:t>。</w:t>
            </w:r>
          </w:p>
        </w:tc>
        <w:tc>
          <w:tcPr>
            <w:tcW w:w="533" w:type="pct"/>
            <w:vAlign w:val="center"/>
          </w:tcPr>
          <w:p w14:paraId="54F28BB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新建</w:t>
            </w:r>
          </w:p>
        </w:tc>
      </w:tr>
      <w:tr w14:paraId="3BB511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continue"/>
            <w:vAlign w:val="center"/>
          </w:tcPr>
          <w:p w14:paraId="69C83C7F">
            <w:pPr>
              <w:spacing w:line="240" w:lineRule="auto"/>
              <w:ind w:firstLine="0" w:firstLineChars="0"/>
              <w:jc w:val="center"/>
              <w:rPr>
                <w:color w:val="000000" w:themeColor="text1"/>
                <w:sz w:val="22"/>
                <w:szCs w:val="22"/>
                <w14:textFill>
                  <w14:solidFill>
                    <w14:schemeClr w14:val="tx1"/>
                  </w14:solidFill>
                </w14:textFill>
              </w:rPr>
            </w:pPr>
          </w:p>
        </w:tc>
        <w:tc>
          <w:tcPr>
            <w:tcW w:w="654" w:type="pct"/>
            <w:vAlign w:val="center"/>
          </w:tcPr>
          <w:p w14:paraId="41C5B9F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废水</w:t>
            </w:r>
          </w:p>
        </w:tc>
        <w:tc>
          <w:tcPr>
            <w:tcW w:w="3320" w:type="pct"/>
            <w:vAlign w:val="center"/>
          </w:tcPr>
          <w:p w14:paraId="597C0CCC">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GASKET产品抛光废水</w:t>
            </w:r>
            <w:r>
              <w:rPr>
                <w:color w:val="000000" w:themeColor="text1"/>
                <w:sz w:val="22"/>
                <w:szCs w:val="22"/>
                <w14:textFill>
                  <w14:solidFill>
                    <w14:schemeClr w14:val="tx1"/>
                  </w14:solidFill>
                </w14:textFill>
              </w:rPr>
              <w:t>依托臻宝科技公司现有综合废水处理站，处理达《电子工业水污染物排放标准》（GB39731-2020）间接排放标准后与厂区生化池尾水一起通过厂区总排口接入市政污水管网。</w:t>
            </w:r>
          </w:p>
        </w:tc>
        <w:tc>
          <w:tcPr>
            <w:tcW w:w="533" w:type="pct"/>
            <w:tcBorders>
              <w:top w:val="single" w:color="auto" w:sz="4" w:space="0"/>
              <w:bottom w:val="single" w:color="auto" w:sz="4" w:space="0"/>
            </w:tcBorders>
            <w:vAlign w:val="center"/>
          </w:tcPr>
          <w:p w14:paraId="0703E6AC">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依托</w:t>
            </w:r>
          </w:p>
        </w:tc>
      </w:tr>
      <w:tr w14:paraId="1221BE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continue"/>
            <w:vAlign w:val="center"/>
          </w:tcPr>
          <w:p w14:paraId="2C7D88D7">
            <w:pPr>
              <w:spacing w:line="240" w:lineRule="auto"/>
              <w:ind w:firstLine="0" w:firstLineChars="0"/>
              <w:jc w:val="center"/>
              <w:rPr>
                <w:color w:val="000000" w:themeColor="text1"/>
                <w:sz w:val="22"/>
                <w:szCs w:val="22"/>
                <w14:textFill>
                  <w14:solidFill>
                    <w14:schemeClr w14:val="tx1"/>
                  </w14:solidFill>
                </w14:textFill>
              </w:rPr>
            </w:pPr>
          </w:p>
        </w:tc>
        <w:tc>
          <w:tcPr>
            <w:tcW w:w="654" w:type="pct"/>
            <w:vAlign w:val="center"/>
          </w:tcPr>
          <w:p w14:paraId="66F76E7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噪声</w:t>
            </w:r>
          </w:p>
        </w:tc>
        <w:tc>
          <w:tcPr>
            <w:tcW w:w="3320" w:type="pct"/>
            <w:tcBorders>
              <w:bottom w:val="single" w:color="auto" w:sz="4" w:space="0"/>
            </w:tcBorders>
            <w:vAlign w:val="center"/>
          </w:tcPr>
          <w:p w14:paraId="3D563E6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厂房隔声，加强设备的保养和维护</w:t>
            </w:r>
            <w:r>
              <w:rPr>
                <w:rFonts w:hint="eastAsia"/>
                <w:color w:val="000000" w:themeColor="text1"/>
                <w:sz w:val="22"/>
                <w:szCs w:val="22"/>
                <w14:textFill>
                  <w14:solidFill>
                    <w14:schemeClr w14:val="tx1"/>
                  </w14:solidFill>
                </w14:textFill>
              </w:rPr>
              <w:t>。</w:t>
            </w:r>
          </w:p>
        </w:tc>
        <w:tc>
          <w:tcPr>
            <w:tcW w:w="533" w:type="pct"/>
            <w:tcBorders>
              <w:bottom w:val="single" w:color="auto" w:sz="4" w:space="0"/>
            </w:tcBorders>
            <w:vAlign w:val="center"/>
          </w:tcPr>
          <w:p w14:paraId="30A3AC9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新建</w:t>
            </w:r>
          </w:p>
        </w:tc>
      </w:tr>
      <w:tr w14:paraId="222F4E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continue"/>
            <w:vAlign w:val="center"/>
          </w:tcPr>
          <w:p w14:paraId="338E83D0">
            <w:pPr>
              <w:spacing w:line="240" w:lineRule="auto"/>
              <w:ind w:firstLine="0" w:firstLineChars="0"/>
              <w:jc w:val="center"/>
              <w:rPr>
                <w:color w:val="000000" w:themeColor="text1"/>
                <w:sz w:val="22"/>
                <w:szCs w:val="22"/>
                <w14:textFill>
                  <w14:solidFill>
                    <w14:schemeClr w14:val="tx1"/>
                  </w14:solidFill>
                </w14:textFill>
              </w:rPr>
            </w:pPr>
          </w:p>
        </w:tc>
        <w:tc>
          <w:tcPr>
            <w:tcW w:w="654" w:type="pct"/>
            <w:vAlign w:val="center"/>
          </w:tcPr>
          <w:p w14:paraId="7D63955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一般固废</w:t>
            </w:r>
          </w:p>
        </w:tc>
        <w:tc>
          <w:tcPr>
            <w:tcW w:w="3320" w:type="pct"/>
            <w:tcBorders>
              <w:bottom w:val="single" w:color="auto" w:sz="4" w:space="0"/>
            </w:tcBorders>
            <w:vAlign w:val="center"/>
          </w:tcPr>
          <w:p w14:paraId="7065B93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依托臻宝科技公司现有一般固废暂存间，臻宝科技公司一般固废暂存间划分出部分区域用于项目</w:t>
            </w:r>
            <w:r>
              <w:rPr>
                <w:rFonts w:hint="eastAsia"/>
                <w:color w:val="000000" w:themeColor="text1"/>
                <w:sz w:val="22"/>
                <w:szCs w:val="22"/>
                <w14:textFill>
                  <w14:solidFill>
                    <w14:schemeClr w14:val="tx1"/>
                  </w14:solidFill>
                </w14:textFill>
              </w:rPr>
              <w:t>一般</w:t>
            </w:r>
            <w:r>
              <w:rPr>
                <w:color w:val="000000" w:themeColor="text1"/>
                <w:sz w:val="22"/>
                <w:szCs w:val="22"/>
                <w14:textFill>
                  <w14:solidFill>
                    <w14:schemeClr w14:val="tx1"/>
                  </w14:solidFill>
                </w14:textFill>
              </w:rPr>
              <w:t>固废</w:t>
            </w:r>
            <w:r>
              <w:rPr>
                <w:rFonts w:hint="eastAsia"/>
                <w:color w:val="000000" w:themeColor="text1"/>
                <w:sz w:val="22"/>
                <w:szCs w:val="22"/>
                <w14:textFill>
                  <w14:solidFill>
                    <w14:schemeClr w14:val="tx1"/>
                  </w14:solidFill>
                </w14:textFill>
              </w:rPr>
              <w:t>贮存</w:t>
            </w:r>
            <w:r>
              <w:rPr>
                <w:color w:val="000000" w:themeColor="text1"/>
                <w:sz w:val="22"/>
                <w:szCs w:val="22"/>
                <w14:textFill>
                  <w14:solidFill>
                    <w14:schemeClr w14:val="tx1"/>
                  </w14:solidFill>
                </w14:textFill>
              </w:rPr>
              <w:t>，定期</w:t>
            </w:r>
            <w:r>
              <w:rPr>
                <w:rFonts w:hint="eastAsia"/>
                <w:color w:val="000000" w:themeColor="text1"/>
                <w:sz w:val="22"/>
                <w:szCs w:val="22"/>
                <w14:textFill>
                  <w14:solidFill>
                    <w14:schemeClr w14:val="tx1"/>
                  </w14:solidFill>
                </w14:textFill>
              </w:rPr>
              <w:t>交</w:t>
            </w:r>
            <w:r>
              <w:rPr>
                <w:color w:val="000000" w:themeColor="text1"/>
                <w:sz w:val="22"/>
                <w:szCs w:val="22"/>
                <w14:textFill>
                  <w14:solidFill>
                    <w14:schemeClr w14:val="tx1"/>
                  </w14:solidFill>
                </w14:textFill>
              </w:rPr>
              <w:t>物资回收公司</w:t>
            </w:r>
            <w:r>
              <w:rPr>
                <w:rFonts w:hint="eastAsia"/>
                <w:color w:val="000000" w:themeColor="text1"/>
                <w:sz w:val="22"/>
                <w:szCs w:val="22"/>
                <w14:textFill>
                  <w14:solidFill>
                    <w14:schemeClr w14:val="tx1"/>
                  </w14:solidFill>
                </w14:textFill>
              </w:rPr>
              <w:t>处置</w:t>
            </w:r>
            <w:r>
              <w:rPr>
                <w:color w:val="000000" w:themeColor="text1"/>
                <w:sz w:val="22"/>
                <w:szCs w:val="22"/>
                <w14:textFill>
                  <w14:solidFill>
                    <w14:schemeClr w14:val="tx1"/>
                  </w14:solidFill>
                </w14:textFill>
              </w:rPr>
              <w:t>。</w:t>
            </w:r>
          </w:p>
        </w:tc>
        <w:tc>
          <w:tcPr>
            <w:tcW w:w="533" w:type="pct"/>
            <w:tcBorders>
              <w:bottom w:val="single" w:color="auto" w:sz="4" w:space="0"/>
            </w:tcBorders>
            <w:vAlign w:val="center"/>
          </w:tcPr>
          <w:p w14:paraId="0980830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依托</w:t>
            </w:r>
          </w:p>
        </w:tc>
      </w:tr>
      <w:tr w14:paraId="04BFEB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93" w:type="pct"/>
            <w:vMerge w:val="continue"/>
            <w:vAlign w:val="center"/>
          </w:tcPr>
          <w:p w14:paraId="0BE83AFA">
            <w:pPr>
              <w:spacing w:line="240" w:lineRule="auto"/>
              <w:ind w:firstLine="0" w:firstLineChars="0"/>
              <w:jc w:val="center"/>
              <w:rPr>
                <w:color w:val="000000" w:themeColor="text1"/>
                <w:sz w:val="22"/>
                <w:szCs w:val="22"/>
                <w14:textFill>
                  <w14:solidFill>
                    <w14:schemeClr w14:val="tx1"/>
                  </w14:solidFill>
                </w14:textFill>
              </w:rPr>
            </w:pPr>
          </w:p>
        </w:tc>
        <w:tc>
          <w:tcPr>
            <w:tcW w:w="654" w:type="pct"/>
            <w:vAlign w:val="center"/>
          </w:tcPr>
          <w:p w14:paraId="672B3D0B">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危险废物</w:t>
            </w:r>
          </w:p>
        </w:tc>
        <w:tc>
          <w:tcPr>
            <w:tcW w:w="3320" w:type="pct"/>
            <w:vAlign w:val="center"/>
          </w:tcPr>
          <w:p w14:paraId="00D1BFFE">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租赁臻宝科技公司现有危废贮存库东南角20m</w:t>
            </w:r>
            <w:r>
              <w:rPr>
                <w:rFonts w:hint="eastAsia"/>
                <w:color w:val="000000" w:themeColor="text1"/>
                <w:sz w:val="22"/>
                <w:szCs w:val="22"/>
                <w:vertAlign w:val="superscript"/>
                <w14:textFill>
                  <w14:solidFill>
                    <w14:schemeClr w14:val="tx1"/>
                  </w14:solidFill>
                </w14:textFill>
              </w:rPr>
              <w:t>2</w:t>
            </w:r>
            <w:r>
              <w:rPr>
                <w:rFonts w:hint="eastAsia"/>
                <w:color w:val="000000" w:themeColor="text1"/>
                <w:sz w:val="22"/>
                <w:szCs w:val="22"/>
                <w14:textFill>
                  <w14:solidFill>
                    <w14:schemeClr w14:val="tx1"/>
                  </w14:solidFill>
                </w14:textFill>
              </w:rPr>
              <w:t>区域，设置隔离设施，专门用于贮存本项目产生的危险废物，定期由臻宝半导体公司交由具有危废处置资质的单位处置</w:t>
            </w:r>
            <w:r>
              <w:rPr>
                <w:color w:val="000000" w:themeColor="text1"/>
                <w:sz w:val="22"/>
                <w:szCs w:val="22"/>
                <w14:textFill>
                  <w14:solidFill>
                    <w14:schemeClr w14:val="tx1"/>
                  </w14:solidFill>
                </w14:textFill>
              </w:rPr>
              <w:t>。</w:t>
            </w:r>
          </w:p>
        </w:tc>
        <w:tc>
          <w:tcPr>
            <w:tcW w:w="533" w:type="pct"/>
            <w:vAlign w:val="center"/>
          </w:tcPr>
          <w:p w14:paraId="09BF2375">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新建</w:t>
            </w:r>
          </w:p>
        </w:tc>
      </w:tr>
    </w:tbl>
    <w:p w14:paraId="51AB91E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（2）依托臻宝科技公司情况</w:t>
      </w:r>
    </w:p>
    <w:p w14:paraId="3E0A7094">
      <w:pPr>
        <w:ind w:firstLine="5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rFonts w:hint="eastAsia"/>
          <w:color w:val="000000" w:themeColor="text1"/>
          <w14:textFill>
            <w14:solidFill>
              <w14:schemeClr w14:val="tx1"/>
            </w14:solidFill>
          </w14:textFill>
        </w:rPr>
        <w:t>臻宝科技公司环保手续情况</w:t>
      </w:r>
    </w:p>
    <w:p w14:paraId="318DAB64">
      <w:pPr>
        <w:autoSpaceDE w:val="0"/>
        <w:autoSpaceDN w:val="0"/>
        <w:ind w:firstLine="520"/>
        <w:rPr>
          <w:color w:val="000000" w:themeColor="text1"/>
          <w:szCs w:val="26"/>
          <w14:textFill>
            <w14:solidFill>
              <w14:schemeClr w14:val="tx1"/>
            </w14:solidFill>
          </w14:textFill>
        </w:rPr>
      </w:pPr>
      <w:r>
        <w:rPr>
          <w:rFonts w:hint="eastAsia"/>
          <w:color w:val="000000" w:themeColor="text1"/>
          <w:szCs w:val="26"/>
          <w:lang w:eastAsia="zh-CN"/>
          <w14:textFill>
            <w14:solidFill>
              <w14:schemeClr w14:val="tx1"/>
            </w14:solidFill>
          </w14:textFill>
        </w:rPr>
        <w:t>截至目前</w:t>
      </w:r>
      <w:r>
        <w:rPr>
          <w:color w:val="000000" w:themeColor="text1"/>
          <w:szCs w:val="26"/>
          <w14:textFill>
            <w14:solidFill>
              <w14:schemeClr w14:val="tx1"/>
            </w14:solidFill>
          </w14:textFill>
        </w:rPr>
        <w:t>，重庆臻宝科技有限公司（曾用名：重庆臻宝实业有限公司，2023年1月5日变更名称）在现有厂区已进行了三次环评，主要包括：“集成电路、光电显示零部件生产基地项目”、“集半导体及泛半导体精密零部件研发生产项目”及“集成电路、光电显示零部件生产基地石英产线技改项”，具体详见下表：</w:t>
      </w:r>
    </w:p>
    <w:p w14:paraId="22F4FC10">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表3.3-4     企业环保手续情况表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012"/>
        <w:gridCol w:w="4223"/>
        <w:gridCol w:w="873"/>
        <w:gridCol w:w="728"/>
        <w:gridCol w:w="807"/>
        <w:gridCol w:w="439"/>
      </w:tblGrid>
      <w:tr w14:paraId="4B4A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Align w:val="center"/>
          </w:tcPr>
          <w:p w14:paraId="2B76B86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985" w:type="dxa"/>
            <w:vAlign w:val="center"/>
          </w:tcPr>
          <w:p w14:paraId="048CD89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项目名称</w:t>
            </w:r>
          </w:p>
        </w:tc>
        <w:tc>
          <w:tcPr>
            <w:tcW w:w="4111" w:type="dxa"/>
            <w:vAlign w:val="center"/>
          </w:tcPr>
          <w:p w14:paraId="2A5D701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主要建设内容</w:t>
            </w:r>
          </w:p>
        </w:tc>
        <w:tc>
          <w:tcPr>
            <w:tcW w:w="850" w:type="dxa"/>
            <w:vAlign w:val="center"/>
          </w:tcPr>
          <w:p w14:paraId="5DA229C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排污许可证</w:t>
            </w:r>
          </w:p>
        </w:tc>
        <w:tc>
          <w:tcPr>
            <w:tcW w:w="709" w:type="dxa"/>
            <w:vAlign w:val="center"/>
          </w:tcPr>
          <w:p w14:paraId="31288D3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环评批复</w:t>
            </w:r>
          </w:p>
        </w:tc>
        <w:tc>
          <w:tcPr>
            <w:tcW w:w="786" w:type="dxa"/>
            <w:vAlign w:val="center"/>
          </w:tcPr>
          <w:p w14:paraId="7BBDF7A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验收情况</w:t>
            </w:r>
          </w:p>
        </w:tc>
        <w:tc>
          <w:tcPr>
            <w:tcW w:w="427" w:type="dxa"/>
            <w:vAlign w:val="center"/>
          </w:tcPr>
          <w:p w14:paraId="41D2B3D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14:paraId="266A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Align w:val="center"/>
          </w:tcPr>
          <w:p w14:paraId="10620E6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985" w:type="dxa"/>
            <w:vAlign w:val="center"/>
          </w:tcPr>
          <w:p w14:paraId="1CCFA70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集成电路、光电显示零部件生产基地项目</w:t>
            </w:r>
          </w:p>
        </w:tc>
        <w:tc>
          <w:tcPr>
            <w:tcW w:w="4111" w:type="dxa"/>
            <w:vAlign w:val="center"/>
          </w:tcPr>
          <w:p w14:paraId="6547FCC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投资3.8亿元，环保投资800万元。占地70亩，建筑面积30000m2，购置大尺寸半导体级单晶炉、高品质陶瓷化学气相沉积系统、双介质等静压机等先进设备，以三氯甲基硅烷、氢气、氮气为原材料，采用化学气相沉积工艺，建设具有国际先进水平的固态碳化硅陶瓷材料研发生产基地。项目建成后将实现年产大直径单晶硅棒、多晶硅棒260吨，硅环24000件，硅电极3600件，氧化忆粉末40吨，陶瓷成型600吨，陶瓷板120套，陶瓷环240 0个，陶瓷盘、棒12000套，碳化硅零部件10000件的能力。</w:t>
            </w:r>
          </w:p>
        </w:tc>
        <w:tc>
          <w:tcPr>
            <w:tcW w:w="850" w:type="dxa"/>
            <w:vMerge w:val="restart"/>
            <w:vAlign w:val="center"/>
          </w:tcPr>
          <w:p w14:paraId="15B854F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91500107MA5U4QJ58P001Q</w:t>
            </w:r>
          </w:p>
        </w:tc>
        <w:tc>
          <w:tcPr>
            <w:tcW w:w="709" w:type="dxa"/>
            <w:vAlign w:val="center"/>
          </w:tcPr>
          <w:p w14:paraId="5B9FCA2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渝（九）环准[2021]099号</w:t>
            </w:r>
          </w:p>
        </w:tc>
        <w:tc>
          <w:tcPr>
            <w:tcW w:w="786" w:type="dxa"/>
            <w:vAlign w:val="center"/>
          </w:tcPr>
          <w:p w14:paraId="1C1A951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已验收</w:t>
            </w:r>
          </w:p>
        </w:tc>
        <w:tc>
          <w:tcPr>
            <w:tcW w:w="427" w:type="dxa"/>
            <w:vAlign w:val="center"/>
          </w:tcPr>
          <w:p w14:paraId="42D5FD7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自主验收</w:t>
            </w:r>
          </w:p>
        </w:tc>
      </w:tr>
      <w:tr w14:paraId="5DB2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Align w:val="center"/>
          </w:tcPr>
          <w:p w14:paraId="4D01782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985" w:type="dxa"/>
            <w:vAlign w:val="center"/>
          </w:tcPr>
          <w:p w14:paraId="4C6B4F4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集半导体及泛半导体精密零部件研发生产项目</w:t>
            </w:r>
          </w:p>
        </w:tc>
        <w:tc>
          <w:tcPr>
            <w:tcW w:w="4111" w:type="dxa"/>
            <w:vAlign w:val="center"/>
          </w:tcPr>
          <w:p w14:paraId="4BCC375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使用现有臻宝半导体公司在建厂房及研发楼闲置地块约1100m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并租赁臻宝科技公司闲置车间约900m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，以石墨基材、氧化铝陶瓷粉末、碳化硅等为原料,采用高温化学气相沉积、真空冷喷涂、冷等静压先进工艺，进行半导体静电卡盘ESC 新品及再生品研发、石墨材料及零部件研发、炉管 SiC 材料及零部件研发、特殊涂层材料及工艺研发。</w:t>
            </w:r>
          </w:p>
        </w:tc>
        <w:tc>
          <w:tcPr>
            <w:tcW w:w="850" w:type="dxa"/>
            <w:vMerge w:val="continue"/>
            <w:vAlign w:val="center"/>
          </w:tcPr>
          <w:p w14:paraId="747416CA">
            <w:pPr>
              <w:spacing w:line="240" w:lineRule="auto"/>
              <w:ind w:firstLine="420"/>
              <w:jc w:val="center"/>
              <w:rPr>
                <w:color w:val="000000" w:themeColor="text1"/>
                <w:sz w:val="21"/>
                <w:szCs w:val="21"/>
                <w14:textFill>
                  <w14:solidFill>
                    <w14:schemeClr w14:val="tx1"/>
                  </w14:solidFill>
                </w14:textFill>
              </w:rPr>
            </w:pPr>
          </w:p>
        </w:tc>
        <w:tc>
          <w:tcPr>
            <w:tcW w:w="709" w:type="dxa"/>
            <w:vAlign w:val="center"/>
          </w:tcPr>
          <w:p w14:paraId="249B2BD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渝(九)环准(2022)038号</w:t>
            </w:r>
          </w:p>
        </w:tc>
        <w:tc>
          <w:tcPr>
            <w:tcW w:w="786" w:type="dxa"/>
            <w:vAlign w:val="center"/>
          </w:tcPr>
          <w:p w14:paraId="6FED6C4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已验收</w:t>
            </w:r>
          </w:p>
        </w:tc>
        <w:tc>
          <w:tcPr>
            <w:tcW w:w="427" w:type="dxa"/>
            <w:vAlign w:val="center"/>
          </w:tcPr>
          <w:p w14:paraId="0260FC0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自主验收</w:t>
            </w:r>
          </w:p>
        </w:tc>
      </w:tr>
      <w:tr w14:paraId="78A8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dxa"/>
            <w:vAlign w:val="center"/>
          </w:tcPr>
          <w:p w14:paraId="1A7B865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985" w:type="dxa"/>
            <w:vAlign w:val="center"/>
          </w:tcPr>
          <w:p w14:paraId="0FDD6F0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集成电路、光电显示零部件生产基地石英产线技改项目</w:t>
            </w:r>
          </w:p>
        </w:tc>
        <w:tc>
          <w:tcPr>
            <w:tcW w:w="4111" w:type="dxa"/>
            <w:vAlign w:val="center"/>
          </w:tcPr>
          <w:p w14:paraId="3CFA2F7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项目租赁位于西彭工业园区D22-1/02 地块的2栋标准厂房及3栋附属厂房建设，建筑面积16843m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以硅、石英、石墨、氧化铝陶瓷粉末、碳化硅为原材料，采用高温化学气相沉积、冷等静压、真空冷喷涂先进生产工艺。在原有基础上新增了石英产品和石墨产品，减少了单晶硅、多晶硅产品，增加了硅产品、陶瓷产品及 SIC环产品等产品产能。建成后年产:石英产品 45017件，硅产品18400件，石墨产品35000件，陶瓷产品8000套，SIC环1800件。项目总投资43061.32万元，其中环保投资 1000 万元，占比2.32%。</w:t>
            </w:r>
          </w:p>
        </w:tc>
        <w:tc>
          <w:tcPr>
            <w:tcW w:w="850" w:type="dxa"/>
            <w:vMerge w:val="continue"/>
            <w:vAlign w:val="center"/>
          </w:tcPr>
          <w:p w14:paraId="64FB0D91">
            <w:pPr>
              <w:spacing w:line="240" w:lineRule="auto"/>
              <w:ind w:firstLine="0" w:firstLineChars="0"/>
              <w:jc w:val="center"/>
              <w:rPr>
                <w:color w:val="000000" w:themeColor="text1"/>
                <w:sz w:val="21"/>
                <w:szCs w:val="21"/>
                <w14:textFill>
                  <w14:solidFill>
                    <w14:schemeClr w14:val="tx1"/>
                  </w14:solidFill>
                </w14:textFill>
              </w:rPr>
            </w:pPr>
          </w:p>
        </w:tc>
        <w:tc>
          <w:tcPr>
            <w:tcW w:w="709" w:type="dxa"/>
            <w:vAlign w:val="center"/>
          </w:tcPr>
          <w:p w14:paraId="0E4455C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渝(九)环准〔2024〕30号</w:t>
            </w:r>
          </w:p>
        </w:tc>
        <w:tc>
          <w:tcPr>
            <w:tcW w:w="786" w:type="dxa"/>
            <w:vAlign w:val="center"/>
          </w:tcPr>
          <w:p w14:paraId="6E9AC46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已验收</w:t>
            </w:r>
          </w:p>
        </w:tc>
        <w:tc>
          <w:tcPr>
            <w:tcW w:w="427" w:type="dxa"/>
            <w:vAlign w:val="center"/>
          </w:tcPr>
          <w:p w14:paraId="426D5D7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自主验收</w:t>
            </w:r>
          </w:p>
        </w:tc>
      </w:tr>
    </w:tbl>
    <w:p w14:paraId="6CE71DEC">
      <w:pPr>
        <w:ind w:firstLine="5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rFonts w:hint="eastAsia"/>
          <w:color w:val="000000" w:themeColor="text1"/>
          <w14:textFill>
            <w14:solidFill>
              <w14:schemeClr w14:val="tx1"/>
            </w14:solidFill>
          </w14:textFill>
        </w:rPr>
        <w:t>依托臻宝科技公司可行性分析</w:t>
      </w:r>
    </w:p>
    <w:p w14:paraId="7973D1F4">
      <w:pPr>
        <w:autoSpaceDE w:val="0"/>
        <w:autoSpaceDN w:val="0"/>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扩建项目</w:t>
      </w:r>
      <w:r>
        <w:rPr>
          <w:color w:val="000000" w:themeColor="text1"/>
          <w:szCs w:val="26"/>
          <w14:textFill>
            <w14:solidFill>
              <w14:schemeClr w14:val="tx1"/>
            </w14:solidFill>
          </w14:textFill>
        </w:rPr>
        <w:t>与</w:t>
      </w:r>
      <w:r>
        <w:rPr>
          <w:rFonts w:hint="eastAsia"/>
          <w:color w:val="000000" w:themeColor="text1"/>
          <w:szCs w:val="26"/>
          <w14:textFill>
            <w14:solidFill>
              <w14:schemeClr w14:val="tx1"/>
            </w14:solidFill>
          </w14:textFill>
        </w:rPr>
        <w:t>臻宝科技公司依托可行性分析详见下表。</w:t>
      </w:r>
    </w:p>
    <w:p w14:paraId="6B4A7B25">
      <w:pPr>
        <w:autoSpaceDE w:val="0"/>
        <w:autoSpaceDN w:val="0"/>
        <w:ind w:firstLine="520"/>
        <w:jc w:val="center"/>
        <w:rPr>
          <w:color w:val="000000" w:themeColor="text1"/>
          <w:szCs w:val="26"/>
          <w14:textFill>
            <w14:solidFill>
              <w14:schemeClr w14:val="tx1"/>
            </w14:solidFill>
          </w14:textFill>
        </w:rPr>
      </w:pPr>
      <w:r>
        <w:rPr>
          <w:color w:val="000000" w:themeColor="text1"/>
          <w:szCs w:val="26"/>
          <w14:textFill>
            <w14:solidFill>
              <w14:schemeClr w14:val="tx1"/>
            </w14:solidFill>
          </w14:textFill>
        </w:rPr>
        <w:t>表</w:t>
      </w:r>
      <w:r>
        <w:rPr>
          <w:rFonts w:hint="eastAsia"/>
          <w:color w:val="000000" w:themeColor="text1"/>
          <w:szCs w:val="26"/>
          <w14:textFill>
            <w14:solidFill>
              <w14:schemeClr w14:val="tx1"/>
            </w14:solidFill>
          </w14:textFill>
        </w:rPr>
        <w:t>3.3-2</w:t>
      </w:r>
      <w:r>
        <w:rPr>
          <w:color w:val="000000" w:themeColor="text1"/>
          <w:szCs w:val="26"/>
          <w14:textFill>
            <w14:solidFill>
              <w14:schemeClr w14:val="tx1"/>
            </w14:solidFill>
          </w14:textFill>
        </w:rPr>
        <w:t xml:space="preserve">  </w:t>
      </w:r>
      <w:r>
        <w:rPr>
          <w:rFonts w:hint="eastAsia"/>
          <w:color w:val="000000" w:themeColor="text1"/>
          <w:szCs w:val="26"/>
          <w14:textFill>
            <w14:solidFill>
              <w14:schemeClr w14:val="tx1"/>
            </w14:solidFill>
          </w14:textFill>
        </w:rPr>
        <w:t xml:space="preserve">  扩建</w:t>
      </w:r>
      <w:r>
        <w:rPr>
          <w:color w:val="000000" w:themeColor="text1"/>
          <w:szCs w:val="26"/>
          <w14:textFill>
            <w14:solidFill>
              <w14:schemeClr w14:val="tx1"/>
            </w14:solidFill>
          </w14:textFill>
        </w:rPr>
        <w:t>项目与</w:t>
      </w:r>
      <w:r>
        <w:rPr>
          <w:rFonts w:hint="eastAsia"/>
          <w:color w:val="000000" w:themeColor="text1"/>
          <w:szCs w:val="26"/>
          <w14:textFill>
            <w14:solidFill>
              <w14:schemeClr w14:val="tx1"/>
            </w14:solidFill>
          </w14:textFill>
        </w:rPr>
        <w:t>臻宝科技公司依托可行性分析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07"/>
        <w:gridCol w:w="854"/>
        <w:gridCol w:w="2828"/>
        <w:gridCol w:w="3429"/>
      </w:tblGrid>
      <w:tr w14:paraId="2218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Align w:val="center"/>
          </w:tcPr>
          <w:p w14:paraId="23631DE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916" w:type="pct"/>
            <w:gridSpan w:val="2"/>
            <w:vAlign w:val="center"/>
          </w:tcPr>
          <w:p w14:paraId="2C7DCF5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内容</w:t>
            </w:r>
          </w:p>
        </w:tc>
        <w:tc>
          <w:tcPr>
            <w:tcW w:w="1659" w:type="pct"/>
            <w:vAlign w:val="center"/>
          </w:tcPr>
          <w:p w14:paraId="7188734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臻宝科技公司建设情况</w:t>
            </w:r>
          </w:p>
        </w:tc>
        <w:tc>
          <w:tcPr>
            <w:tcW w:w="2012" w:type="pct"/>
            <w:vAlign w:val="center"/>
          </w:tcPr>
          <w:p w14:paraId="1ABB64D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w:t>
            </w:r>
            <w:r>
              <w:rPr>
                <w:color w:val="000000" w:themeColor="text1"/>
                <w:sz w:val="21"/>
                <w:szCs w:val="21"/>
                <w14:textFill>
                  <w14:solidFill>
                    <w14:schemeClr w14:val="tx1"/>
                  </w14:solidFill>
                </w14:textFill>
              </w:rPr>
              <w:t>依托可行性分析</w:t>
            </w:r>
          </w:p>
        </w:tc>
      </w:tr>
      <w:tr w14:paraId="27E4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restart"/>
            <w:vAlign w:val="center"/>
          </w:tcPr>
          <w:p w14:paraId="2DAFC6E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415" w:type="pct"/>
            <w:vMerge w:val="restart"/>
            <w:vAlign w:val="center"/>
          </w:tcPr>
          <w:p w14:paraId="4B6F43D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主体工程</w:t>
            </w:r>
          </w:p>
        </w:tc>
        <w:tc>
          <w:tcPr>
            <w:tcW w:w="501" w:type="pct"/>
            <w:vAlign w:val="center"/>
          </w:tcPr>
          <w:p w14:paraId="068A95D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联合厂房</w:t>
            </w:r>
          </w:p>
        </w:tc>
        <w:tc>
          <w:tcPr>
            <w:tcW w:w="1659" w:type="pct"/>
            <w:vAlign w:val="center"/>
          </w:tcPr>
          <w:p w14:paraId="0DA2B02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厂区已建成联合厂房，建筑面积37085m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，2F，钢混结构。</w:t>
            </w:r>
          </w:p>
        </w:tc>
        <w:tc>
          <w:tcPr>
            <w:tcW w:w="2012" w:type="pct"/>
            <w:vAlign w:val="center"/>
          </w:tcPr>
          <w:p w14:paraId="354B6164">
            <w:pPr>
              <w:pStyle w:val="81"/>
              <w:widowControl w:val="0"/>
              <w:spacing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项目租赁联合厂房东南侧1F约30m</w:t>
            </w:r>
            <w:r>
              <w:rPr>
                <w:rFonts w:ascii="Times New Roman" w:hAnsi="Times New Roman"/>
                <w:color w:val="000000" w:themeColor="text1"/>
                <w:sz w:val="21"/>
                <w:szCs w:val="21"/>
                <w:vertAlign w:val="superscript"/>
                <w14:textFill>
                  <w14:solidFill>
                    <w14:schemeClr w14:val="tx1"/>
                  </w14:solidFill>
                </w14:textFill>
              </w:rPr>
              <w:t>2</w:t>
            </w:r>
            <w:r>
              <w:rPr>
                <w:rFonts w:ascii="Times New Roman" w:hAnsi="Times New Roman"/>
                <w:color w:val="000000" w:themeColor="text1"/>
                <w:sz w:val="21"/>
                <w:szCs w:val="21"/>
                <w14:textFill>
                  <w14:solidFill>
                    <w14:schemeClr w14:val="tx1"/>
                  </w14:solidFill>
                </w14:textFill>
              </w:rPr>
              <w:t>，2F约120m</w:t>
            </w:r>
            <w:r>
              <w:rPr>
                <w:rFonts w:hint="eastAsia" w:ascii="Times New Roman" w:hAnsi="Times New Roman"/>
                <w:color w:val="000000" w:themeColor="text1"/>
                <w:sz w:val="21"/>
                <w:szCs w:val="21"/>
                <w:vertAlign w:val="superscript"/>
                <w14:textFill>
                  <w14:solidFill>
                    <w14:schemeClr w14:val="tx1"/>
                  </w14:solidFill>
                </w14:textFill>
              </w:rPr>
              <w:t>2</w:t>
            </w:r>
            <w:r>
              <w:rPr>
                <w:rFonts w:ascii="Times New Roman" w:hAnsi="Times New Roman"/>
                <w:color w:val="000000" w:themeColor="text1"/>
                <w:sz w:val="21"/>
                <w:szCs w:val="21"/>
                <w14:textFill>
                  <w14:solidFill>
                    <w14:schemeClr w14:val="tx1"/>
                  </w14:solidFill>
                </w14:textFill>
              </w:rPr>
              <w:t>闲置区域，布置GASKET产品生产线。</w:t>
            </w:r>
            <w:r>
              <w:rPr>
                <w:rFonts w:hint="eastAsia" w:ascii="Times New Roman" w:hAnsi="Times New Roman"/>
                <w:color w:val="000000" w:themeColor="text1"/>
                <w:sz w:val="21"/>
                <w:szCs w:val="21"/>
                <w14:textFill>
                  <w14:solidFill>
                    <w14:schemeClr w14:val="tx1"/>
                  </w14:solidFill>
                </w14:textFill>
              </w:rPr>
              <w:t>该</w:t>
            </w:r>
            <w:r>
              <w:rPr>
                <w:rFonts w:ascii="Times New Roman" w:hAnsi="Times New Roman"/>
                <w:color w:val="000000" w:themeColor="text1"/>
                <w:sz w:val="21"/>
                <w:szCs w:val="21"/>
                <w14:textFill>
                  <w14:solidFill>
                    <w14:schemeClr w14:val="tx1"/>
                  </w14:solidFill>
                </w14:textFill>
              </w:rPr>
              <w:t>厂房闲置区域面积能够满足本次扩建需求，故本次可依托。</w:t>
            </w:r>
          </w:p>
        </w:tc>
      </w:tr>
      <w:tr w14:paraId="1281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7125484B">
            <w:pPr>
              <w:spacing w:line="240" w:lineRule="auto"/>
              <w:ind w:firstLine="0" w:firstLineChars="0"/>
              <w:jc w:val="center"/>
              <w:rPr>
                <w:color w:val="000000" w:themeColor="text1"/>
                <w:sz w:val="21"/>
                <w:szCs w:val="21"/>
                <w14:textFill>
                  <w14:solidFill>
                    <w14:schemeClr w14:val="tx1"/>
                  </w14:solidFill>
                </w14:textFill>
              </w:rPr>
            </w:pPr>
          </w:p>
        </w:tc>
        <w:tc>
          <w:tcPr>
            <w:tcW w:w="415" w:type="pct"/>
            <w:vMerge w:val="continue"/>
            <w:vAlign w:val="center"/>
          </w:tcPr>
          <w:p w14:paraId="3E536201">
            <w:pPr>
              <w:spacing w:line="240" w:lineRule="auto"/>
              <w:ind w:firstLine="0" w:firstLineChars="0"/>
              <w:jc w:val="center"/>
              <w:rPr>
                <w:color w:val="000000" w:themeColor="text1"/>
                <w:sz w:val="21"/>
                <w:szCs w:val="21"/>
                <w14:textFill>
                  <w14:solidFill>
                    <w14:schemeClr w14:val="tx1"/>
                  </w14:solidFill>
                </w14:textFill>
              </w:rPr>
            </w:pPr>
          </w:p>
        </w:tc>
        <w:tc>
          <w:tcPr>
            <w:tcW w:w="501" w:type="pct"/>
            <w:vAlign w:val="center"/>
          </w:tcPr>
          <w:p w14:paraId="1FE3847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附属用房01</w:t>
            </w:r>
          </w:p>
        </w:tc>
        <w:tc>
          <w:tcPr>
            <w:tcW w:w="1659" w:type="pct"/>
            <w:vAlign w:val="center"/>
          </w:tcPr>
          <w:p w14:paraId="765DF41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厂区西北侧已建成附属用房01，建筑面积645m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，1F砖混结构。</w:t>
            </w:r>
          </w:p>
        </w:tc>
        <w:tc>
          <w:tcPr>
            <w:tcW w:w="2012" w:type="pct"/>
            <w:vAlign w:val="center"/>
          </w:tcPr>
          <w:p w14:paraId="0D690F6A">
            <w:pPr>
              <w:pStyle w:val="81"/>
              <w:widowControl w:val="0"/>
              <w:spacing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hint="eastAsia" w:ascii="Times New Roman" w:hAnsi="Times New Roman"/>
                <w:snapToGrid w:val="0"/>
                <w:color w:val="000000" w:themeColor="text1"/>
                <w:sz w:val="21"/>
                <w:szCs w:val="21"/>
                <w14:textFill>
                  <w14:solidFill>
                    <w14:schemeClr w14:val="tx1"/>
                  </w14:solidFill>
                </w14:textFill>
              </w:rPr>
              <w:t>项目租赁</w:t>
            </w:r>
            <w:r>
              <w:rPr>
                <w:rFonts w:hint="eastAsia"/>
                <w:color w:val="000000" w:themeColor="text1"/>
                <w:sz w:val="21"/>
                <w:szCs w:val="21"/>
                <w14:textFill>
                  <w14:solidFill>
                    <w14:schemeClr w14:val="tx1"/>
                  </w14:solidFill>
                </w14:textFill>
              </w:rPr>
              <w:t>附属用房01布置石墨零部件加工生产线。该附属用房目前闲置，面积能够满足本次扩建需要,本次可依托。</w:t>
            </w:r>
          </w:p>
        </w:tc>
      </w:tr>
      <w:tr w14:paraId="0CB5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restart"/>
            <w:vAlign w:val="center"/>
          </w:tcPr>
          <w:p w14:paraId="7A7F060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415" w:type="pct"/>
            <w:vMerge w:val="restart"/>
            <w:vAlign w:val="center"/>
          </w:tcPr>
          <w:p w14:paraId="7616862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公用工程</w:t>
            </w:r>
          </w:p>
        </w:tc>
        <w:tc>
          <w:tcPr>
            <w:tcW w:w="501" w:type="pct"/>
            <w:vAlign w:val="center"/>
          </w:tcPr>
          <w:p w14:paraId="5925FAC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供水</w:t>
            </w:r>
          </w:p>
        </w:tc>
        <w:tc>
          <w:tcPr>
            <w:tcW w:w="1659" w:type="pct"/>
            <w:vAlign w:val="center"/>
          </w:tcPr>
          <w:p w14:paraId="2113B34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由</w:t>
            </w:r>
            <w:r>
              <w:rPr>
                <w:color w:val="000000" w:themeColor="text1"/>
                <w:sz w:val="21"/>
                <w:szCs w:val="21"/>
                <w14:textFill>
                  <w14:solidFill>
                    <w14:schemeClr w14:val="tx1"/>
                  </w14:solidFill>
                </w14:textFill>
              </w:rPr>
              <w:t>市政给水管网引入自来水，市政供水压力0.30MPa</w:t>
            </w:r>
          </w:p>
        </w:tc>
        <w:tc>
          <w:tcPr>
            <w:tcW w:w="2012" w:type="pct"/>
            <w:vAlign w:val="center"/>
          </w:tcPr>
          <w:p w14:paraId="0BD1DA6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市政给水管网供水能满足项目用水需求，</w:t>
            </w:r>
            <w:r>
              <w:rPr>
                <w:rFonts w:hint="eastAsia"/>
                <w:color w:val="000000" w:themeColor="text1"/>
                <w:sz w:val="21"/>
                <w:szCs w:val="21"/>
                <w14:textFill>
                  <w14:solidFill>
                    <w14:schemeClr w14:val="tx1"/>
                  </w14:solidFill>
                </w14:textFill>
              </w:rPr>
              <w:t>本次</w:t>
            </w:r>
            <w:r>
              <w:rPr>
                <w:color w:val="000000" w:themeColor="text1"/>
                <w:sz w:val="21"/>
                <w:szCs w:val="21"/>
                <w14:textFill>
                  <w14:solidFill>
                    <w14:schemeClr w14:val="tx1"/>
                  </w14:solidFill>
                </w14:textFill>
              </w:rPr>
              <w:t>依托可行</w:t>
            </w:r>
          </w:p>
        </w:tc>
      </w:tr>
      <w:tr w14:paraId="762A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240EE6E1">
            <w:pPr>
              <w:spacing w:line="240" w:lineRule="auto"/>
              <w:ind w:firstLine="0" w:firstLineChars="0"/>
              <w:jc w:val="center"/>
              <w:rPr>
                <w:color w:val="000000" w:themeColor="text1"/>
                <w:sz w:val="21"/>
                <w:szCs w:val="21"/>
                <w14:textFill>
                  <w14:solidFill>
                    <w14:schemeClr w14:val="tx1"/>
                  </w14:solidFill>
                </w14:textFill>
              </w:rPr>
            </w:pPr>
          </w:p>
        </w:tc>
        <w:tc>
          <w:tcPr>
            <w:tcW w:w="415" w:type="pct"/>
            <w:vMerge w:val="continue"/>
            <w:vAlign w:val="center"/>
          </w:tcPr>
          <w:p w14:paraId="6ABC1AEE">
            <w:pPr>
              <w:spacing w:line="240" w:lineRule="auto"/>
              <w:ind w:firstLine="0" w:firstLineChars="0"/>
              <w:jc w:val="center"/>
              <w:rPr>
                <w:color w:val="000000" w:themeColor="text1"/>
                <w:sz w:val="21"/>
                <w:szCs w:val="21"/>
                <w14:textFill>
                  <w14:solidFill>
                    <w14:schemeClr w14:val="tx1"/>
                  </w14:solidFill>
                </w14:textFill>
              </w:rPr>
            </w:pPr>
          </w:p>
        </w:tc>
        <w:tc>
          <w:tcPr>
            <w:tcW w:w="501" w:type="pct"/>
            <w:vAlign w:val="center"/>
          </w:tcPr>
          <w:p w14:paraId="4D620A7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w:t>
            </w:r>
          </w:p>
        </w:tc>
        <w:tc>
          <w:tcPr>
            <w:tcW w:w="1659" w:type="pct"/>
            <w:vAlign w:val="center"/>
          </w:tcPr>
          <w:p w14:paraId="4537F6D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厂区采用雨污分流制，排水管网已建成并覆盖整个厂区</w:t>
            </w:r>
            <w:r>
              <w:rPr>
                <w:color w:val="000000" w:themeColor="text1"/>
                <w:sz w:val="21"/>
                <w:szCs w:val="21"/>
                <w14:textFill>
                  <w14:solidFill>
                    <w14:schemeClr w14:val="tx1"/>
                  </w14:solidFill>
                </w14:textFill>
              </w:rPr>
              <w:t>。</w:t>
            </w:r>
          </w:p>
        </w:tc>
        <w:tc>
          <w:tcPr>
            <w:tcW w:w="2012" w:type="pct"/>
            <w:vAlign w:val="center"/>
          </w:tcPr>
          <w:p w14:paraId="0F060CEC">
            <w:pPr>
              <w:pStyle w:val="81"/>
              <w:widowControl w:val="0"/>
              <w:spacing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项目</w:t>
            </w:r>
            <w:r>
              <w:rPr>
                <w:rFonts w:hint="eastAsia" w:ascii="Times New Roman" w:hAnsi="Times New Roman"/>
                <w:snapToGrid w:val="0"/>
                <w:color w:val="000000" w:themeColor="text1"/>
                <w:sz w:val="21"/>
                <w:szCs w:val="21"/>
                <w14:textFill>
                  <w14:solidFill>
                    <w14:schemeClr w14:val="tx1"/>
                  </w14:solidFill>
                </w14:textFill>
              </w:rPr>
              <w:t>所在区域排水管网已覆盖，本次依托可行</w:t>
            </w:r>
            <w:r>
              <w:rPr>
                <w:rFonts w:ascii="Times New Roman" w:hAnsi="Times New Roman"/>
                <w:snapToGrid w:val="0"/>
                <w:color w:val="000000" w:themeColor="text1"/>
                <w:sz w:val="21"/>
                <w:szCs w:val="21"/>
                <w14:textFill>
                  <w14:solidFill>
                    <w14:schemeClr w14:val="tx1"/>
                  </w14:solidFill>
                </w14:textFill>
              </w:rPr>
              <w:t>。</w:t>
            </w:r>
          </w:p>
        </w:tc>
      </w:tr>
      <w:tr w14:paraId="1FC5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5689ACD2">
            <w:pPr>
              <w:spacing w:line="240" w:lineRule="auto"/>
              <w:ind w:firstLine="0" w:firstLineChars="0"/>
              <w:jc w:val="center"/>
              <w:rPr>
                <w:color w:val="000000" w:themeColor="text1"/>
                <w:sz w:val="21"/>
                <w:szCs w:val="21"/>
                <w14:textFill>
                  <w14:solidFill>
                    <w14:schemeClr w14:val="tx1"/>
                  </w14:solidFill>
                </w14:textFill>
              </w:rPr>
            </w:pPr>
          </w:p>
        </w:tc>
        <w:tc>
          <w:tcPr>
            <w:tcW w:w="415" w:type="pct"/>
            <w:vMerge w:val="continue"/>
            <w:vAlign w:val="center"/>
          </w:tcPr>
          <w:p w14:paraId="7AB7D41E">
            <w:pPr>
              <w:spacing w:line="240" w:lineRule="auto"/>
              <w:ind w:firstLine="0" w:firstLineChars="0"/>
              <w:jc w:val="center"/>
              <w:rPr>
                <w:color w:val="000000" w:themeColor="text1"/>
                <w:sz w:val="21"/>
                <w:szCs w:val="21"/>
                <w14:textFill>
                  <w14:solidFill>
                    <w14:schemeClr w14:val="tx1"/>
                  </w14:solidFill>
                </w14:textFill>
              </w:rPr>
            </w:pPr>
          </w:p>
        </w:tc>
        <w:tc>
          <w:tcPr>
            <w:tcW w:w="501" w:type="pct"/>
            <w:vAlign w:val="center"/>
          </w:tcPr>
          <w:p w14:paraId="79518F5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空压机房</w:t>
            </w:r>
          </w:p>
        </w:tc>
        <w:tc>
          <w:tcPr>
            <w:tcW w:w="1659" w:type="pct"/>
            <w:vAlign w:val="center"/>
          </w:tcPr>
          <w:p w14:paraId="48F3D930">
            <w:pPr>
              <w:spacing w:line="240" w:lineRule="auto"/>
              <w:ind w:firstLine="0" w:firstLineChars="0"/>
              <w:jc w:val="center"/>
              <w:rPr>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附属用房03内</w:t>
            </w:r>
            <w:r>
              <w:rPr>
                <w:rFonts w:hint="eastAsia"/>
                <w:snapToGrid/>
                <w:color w:val="000000" w:themeColor="text1"/>
                <w:sz w:val="21"/>
                <w:szCs w:val="21"/>
                <w14:textFill>
                  <w14:solidFill>
                    <w14:schemeClr w14:val="tx1"/>
                  </w14:solidFill>
                </w14:textFill>
              </w:rPr>
              <w:t>设置了</w:t>
            </w:r>
            <w:r>
              <w:rPr>
                <w:snapToGrid/>
                <w:color w:val="000000" w:themeColor="text1"/>
                <w:sz w:val="21"/>
                <w:szCs w:val="21"/>
                <w14:textFill>
                  <w14:solidFill>
                    <w14:schemeClr w14:val="tx1"/>
                  </w14:solidFill>
                </w14:textFill>
              </w:rPr>
              <w:t>空压站，</w:t>
            </w:r>
            <w:r>
              <w:rPr>
                <w:rFonts w:hint="eastAsia"/>
                <w:snapToGrid/>
                <w:color w:val="000000" w:themeColor="text1"/>
                <w:sz w:val="21"/>
                <w:szCs w:val="21"/>
                <w14:textFill>
                  <w14:solidFill>
                    <w14:schemeClr w14:val="tx1"/>
                  </w14:solidFill>
                </w14:textFill>
              </w:rPr>
              <w:t>布置</w:t>
            </w:r>
            <w:r>
              <w:rPr>
                <w:snapToGrid/>
                <w:color w:val="000000" w:themeColor="text1"/>
                <w:sz w:val="21"/>
                <w:szCs w:val="21"/>
                <w14:textFill>
                  <w14:solidFill>
                    <w14:schemeClr w14:val="tx1"/>
                  </w14:solidFill>
                </w14:textFill>
              </w:rPr>
              <w:t>5台无油螺杆机，单台45m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/min，为生产车间提供压缩空气</w:t>
            </w:r>
            <w:r>
              <w:rPr>
                <w:color w:val="000000" w:themeColor="text1"/>
                <w:sz w:val="21"/>
                <w:szCs w:val="21"/>
                <w14:textFill>
                  <w14:solidFill>
                    <w14:schemeClr w14:val="tx1"/>
                  </w14:solidFill>
                </w14:textFill>
              </w:rPr>
              <w:t>。</w:t>
            </w:r>
          </w:p>
        </w:tc>
        <w:tc>
          <w:tcPr>
            <w:tcW w:w="2012" w:type="pct"/>
            <w:vAlign w:val="center"/>
          </w:tcPr>
          <w:p w14:paraId="4DDFDA48">
            <w:pPr>
              <w:pStyle w:val="81"/>
              <w:widowControl w:val="0"/>
              <w:spacing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空压站</w:t>
            </w:r>
            <w:r>
              <w:rPr>
                <w:rFonts w:hint="eastAsia" w:ascii="Times New Roman" w:hAnsi="Times New Roman"/>
                <w:snapToGrid w:val="0"/>
                <w:color w:val="000000" w:themeColor="text1"/>
                <w:sz w:val="21"/>
                <w:szCs w:val="21"/>
                <w14:textFill>
                  <w14:solidFill>
                    <w14:schemeClr w14:val="tx1"/>
                  </w14:solidFill>
                </w14:textFill>
              </w:rPr>
              <w:t>现有工程</w:t>
            </w:r>
            <w:r>
              <w:rPr>
                <w:rFonts w:ascii="Times New Roman" w:hAnsi="Times New Roman"/>
                <w:snapToGrid w:val="0"/>
                <w:color w:val="000000" w:themeColor="text1"/>
                <w:sz w:val="21"/>
                <w:szCs w:val="21"/>
                <w14:textFill>
                  <w14:solidFill>
                    <w14:schemeClr w14:val="tx1"/>
                  </w14:solidFill>
                </w14:textFill>
              </w:rPr>
              <w:t>供气能力约180</w:t>
            </w:r>
            <w:r>
              <w:rPr>
                <w:rFonts w:ascii="Times New Roman" w:hAnsi="Times New Roman"/>
                <w:color w:val="000000" w:themeColor="text1"/>
                <w:sz w:val="21"/>
                <w:szCs w:val="21"/>
                <w14:textFill>
                  <w14:solidFill>
                    <w14:schemeClr w14:val="tx1"/>
                  </w14:solidFill>
                </w14:textFill>
              </w:rPr>
              <w:t xml:space="preserve"> 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/min，剩余供气能力45m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/min</w:t>
            </w:r>
            <w:r>
              <w:rPr>
                <w:rFonts w:ascii="Times New Roman" w:hAnsi="Times New Roman"/>
                <w:snapToGrid w:val="0"/>
                <w:color w:val="000000" w:themeColor="text1"/>
                <w:sz w:val="21"/>
                <w:szCs w:val="21"/>
                <w14:textFill>
                  <w14:solidFill>
                    <w14:schemeClr w14:val="tx1"/>
                  </w14:solidFill>
                </w14:textFill>
              </w:rPr>
              <w:t>能够满足项目</w:t>
            </w:r>
            <w:r>
              <w:rPr>
                <w:rFonts w:ascii="Times New Roman" w:hAnsi="Times New Roman"/>
                <w:color w:val="000000" w:themeColor="text1"/>
                <w:sz w:val="21"/>
                <w:szCs w:val="21"/>
                <w14:textFill>
                  <w14:solidFill>
                    <w14:schemeClr w14:val="tx1"/>
                  </w14:solidFill>
                </w14:textFill>
              </w:rPr>
              <w:t>5m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/min</w:t>
            </w:r>
            <w:r>
              <w:rPr>
                <w:rFonts w:ascii="Times New Roman" w:hAnsi="Times New Roman"/>
                <w:snapToGrid w:val="0"/>
                <w:color w:val="000000" w:themeColor="text1"/>
                <w:sz w:val="21"/>
                <w:szCs w:val="21"/>
                <w14:textFill>
                  <w14:solidFill>
                    <w14:schemeClr w14:val="tx1"/>
                  </w14:solidFill>
                </w14:textFill>
              </w:rPr>
              <w:t>用气需求，本次依托可行</w:t>
            </w:r>
          </w:p>
        </w:tc>
      </w:tr>
      <w:tr w14:paraId="611D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0527F85F">
            <w:pPr>
              <w:spacing w:line="240" w:lineRule="auto"/>
              <w:ind w:firstLine="0" w:firstLineChars="0"/>
              <w:jc w:val="center"/>
              <w:rPr>
                <w:color w:val="000000" w:themeColor="text1"/>
                <w:sz w:val="21"/>
                <w:szCs w:val="21"/>
                <w14:textFill>
                  <w14:solidFill>
                    <w14:schemeClr w14:val="tx1"/>
                  </w14:solidFill>
                </w14:textFill>
              </w:rPr>
            </w:pPr>
          </w:p>
        </w:tc>
        <w:tc>
          <w:tcPr>
            <w:tcW w:w="415" w:type="pct"/>
            <w:vMerge w:val="continue"/>
            <w:vAlign w:val="center"/>
          </w:tcPr>
          <w:p w14:paraId="697004C3">
            <w:pPr>
              <w:spacing w:line="240" w:lineRule="auto"/>
              <w:ind w:firstLine="0" w:firstLineChars="0"/>
              <w:jc w:val="center"/>
              <w:rPr>
                <w:color w:val="000000" w:themeColor="text1"/>
                <w:sz w:val="21"/>
                <w:szCs w:val="21"/>
                <w14:textFill>
                  <w14:solidFill>
                    <w14:schemeClr w14:val="tx1"/>
                  </w14:solidFill>
                </w14:textFill>
              </w:rPr>
            </w:pPr>
          </w:p>
        </w:tc>
        <w:tc>
          <w:tcPr>
            <w:tcW w:w="501" w:type="pct"/>
            <w:vAlign w:val="center"/>
          </w:tcPr>
          <w:p w14:paraId="0973AC2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纯水制备装置</w:t>
            </w:r>
          </w:p>
        </w:tc>
        <w:tc>
          <w:tcPr>
            <w:tcW w:w="1659" w:type="pct"/>
            <w:vAlign w:val="center"/>
          </w:tcPr>
          <w:p w14:paraId="359FD239">
            <w:pPr>
              <w:spacing w:line="240" w:lineRule="auto"/>
              <w:ind w:firstLine="0" w:firstLineChars="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纯水站</w:t>
            </w:r>
            <w:r>
              <w:rPr>
                <w:rFonts w:hint="eastAsia"/>
                <w:bCs/>
                <w:color w:val="000000" w:themeColor="text1"/>
                <w:sz w:val="21"/>
                <w:szCs w:val="21"/>
                <w14:textFill>
                  <w14:solidFill>
                    <w14:schemeClr w14:val="tx1"/>
                  </w14:solidFill>
                </w14:textFill>
              </w:rPr>
              <w:t>供水能力</w:t>
            </w:r>
            <w:r>
              <w:rPr>
                <w:bCs/>
                <w:color w:val="000000" w:themeColor="text1"/>
                <w:sz w:val="21"/>
                <w:szCs w:val="21"/>
                <w14:textFill>
                  <w14:solidFill>
                    <w14:schemeClr w14:val="tx1"/>
                  </w14:solidFill>
                </w14:textFill>
              </w:rPr>
              <w:t>25m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/h，</w:t>
            </w:r>
            <w:r>
              <w:rPr>
                <w:rFonts w:hint="eastAsia"/>
                <w:bCs/>
                <w:color w:val="000000" w:themeColor="text1"/>
                <w:sz w:val="21"/>
                <w:szCs w:val="21"/>
                <w14:textFill>
                  <w14:solidFill>
                    <w14:schemeClr w14:val="tx1"/>
                  </w14:solidFill>
                </w14:textFill>
              </w:rPr>
              <w:t>纯水制备采用</w:t>
            </w:r>
            <w:r>
              <w:rPr>
                <w:bCs/>
                <w:color w:val="000000" w:themeColor="text1"/>
                <w:sz w:val="21"/>
                <w:szCs w:val="21"/>
                <w14:textFill>
                  <w14:solidFill>
                    <w14:schemeClr w14:val="tx1"/>
                  </w14:solidFill>
                </w14:textFill>
              </w:rPr>
              <w:t>加压经多介质+活性炭过滤+保安过滤器+二级RO反渗透+EDI</w:t>
            </w:r>
            <w:r>
              <w:rPr>
                <w:rFonts w:hint="eastAsia"/>
                <w:bCs/>
                <w:color w:val="000000" w:themeColor="text1"/>
                <w:sz w:val="21"/>
                <w:szCs w:val="21"/>
                <w14:textFill>
                  <w14:solidFill>
                    <w14:schemeClr w14:val="tx1"/>
                  </w14:solidFill>
                </w14:textFill>
              </w:rPr>
              <w:t>工艺</w:t>
            </w:r>
            <w:r>
              <w:rPr>
                <w:bCs/>
                <w:color w:val="000000" w:themeColor="text1"/>
                <w:sz w:val="21"/>
                <w:szCs w:val="21"/>
                <w14:textFill>
                  <w14:solidFill>
                    <w14:schemeClr w14:val="tx1"/>
                  </w14:solidFill>
                </w14:textFill>
              </w:rPr>
              <w:t>，制备率75%。</w:t>
            </w:r>
          </w:p>
        </w:tc>
        <w:tc>
          <w:tcPr>
            <w:tcW w:w="2012" w:type="pct"/>
            <w:vAlign w:val="center"/>
          </w:tcPr>
          <w:p w14:paraId="4F5092D2">
            <w:pPr>
              <w:pStyle w:val="81"/>
              <w:widowControl w:val="0"/>
              <w:spacing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纯水</w:t>
            </w:r>
            <w:r>
              <w:rPr>
                <w:rFonts w:hint="eastAsia" w:ascii="Times New Roman" w:hAnsi="Times New Roman"/>
                <w:snapToGrid w:val="0"/>
                <w:color w:val="000000" w:themeColor="text1"/>
                <w:sz w:val="21"/>
                <w:szCs w:val="21"/>
                <w14:textFill>
                  <w14:solidFill>
                    <w14:schemeClr w14:val="tx1"/>
                  </w14:solidFill>
                </w14:textFill>
              </w:rPr>
              <w:t>现有工程</w:t>
            </w:r>
            <w:r>
              <w:rPr>
                <w:rFonts w:ascii="Times New Roman" w:hAnsi="Times New Roman"/>
                <w:snapToGrid w:val="0"/>
                <w:color w:val="000000" w:themeColor="text1"/>
                <w:sz w:val="21"/>
                <w:szCs w:val="21"/>
                <w14:textFill>
                  <w14:solidFill>
                    <w14:schemeClr w14:val="tx1"/>
                  </w14:solidFill>
                </w14:textFill>
              </w:rPr>
              <w:t>用量为160</w:t>
            </w:r>
            <w:r>
              <w:rPr>
                <w:rFonts w:hint="eastAsia" w:ascii="Times New Roman" w:hAnsi="Times New Roman"/>
                <w:snapToGrid w:val="0"/>
                <w:color w:val="000000" w:themeColor="text1"/>
                <w:sz w:val="21"/>
                <w:szCs w:val="21"/>
                <w14:textFill>
                  <w14:solidFill>
                    <w14:schemeClr w14:val="tx1"/>
                  </w14:solidFill>
                </w14:textFill>
              </w:rPr>
              <w:t>m</w:t>
            </w:r>
            <w:r>
              <w:rPr>
                <w:rFonts w:hint="eastAsia" w:ascii="Times New Roman" w:hAnsi="Times New Roman"/>
                <w:snapToGrid w:val="0"/>
                <w:color w:val="000000" w:themeColor="text1"/>
                <w:sz w:val="21"/>
                <w:szCs w:val="21"/>
                <w:vertAlign w:val="superscript"/>
                <w14:textFill>
                  <w14:solidFill>
                    <w14:schemeClr w14:val="tx1"/>
                  </w14:solidFill>
                </w14:textFill>
              </w:rPr>
              <w:t>3</w:t>
            </w:r>
            <w:r>
              <w:rPr>
                <w:rFonts w:ascii="Times New Roman" w:hAnsi="Times New Roman"/>
                <w:snapToGrid w:val="0"/>
                <w:color w:val="000000" w:themeColor="text1"/>
                <w:sz w:val="21"/>
                <w:szCs w:val="21"/>
                <w14:textFill>
                  <w14:solidFill>
                    <w14:schemeClr w14:val="tx1"/>
                  </w14:solidFill>
                </w14:textFill>
              </w:rPr>
              <w:t>/d，制水能力为600</w:t>
            </w:r>
            <w:r>
              <w:rPr>
                <w:rFonts w:hint="eastAsia" w:ascii="Times New Roman" w:hAnsi="Times New Roman"/>
                <w:snapToGrid w:val="0"/>
                <w:color w:val="000000" w:themeColor="text1"/>
                <w:sz w:val="21"/>
                <w:szCs w:val="21"/>
                <w14:textFill>
                  <w14:solidFill>
                    <w14:schemeClr w14:val="tx1"/>
                  </w14:solidFill>
                </w14:textFill>
              </w:rPr>
              <w:t>m</w:t>
            </w:r>
            <w:r>
              <w:rPr>
                <w:rFonts w:hint="eastAsia" w:ascii="Times New Roman" w:hAnsi="Times New Roman"/>
                <w:snapToGrid w:val="0"/>
                <w:color w:val="000000" w:themeColor="text1"/>
                <w:sz w:val="21"/>
                <w:szCs w:val="21"/>
                <w:vertAlign w:val="superscript"/>
                <w14:textFill>
                  <w14:solidFill>
                    <w14:schemeClr w14:val="tx1"/>
                  </w14:solidFill>
                </w14:textFill>
              </w:rPr>
              <w:t>3</w:t>
            </w:r>
            <w:r>
              <w:rPr>
                <w:rFonts w:ascii="Times New Roman" w:hAnsi="Times New Roman"/>
                <w:snapToGrid w:val="0"/>
                <w:color w:val="000000" w:themeColor="text1"/>
                <w:sz w:val="21"/>
                <w:szCs w:val="21"/>
                <w14:textFill>
                  <w14:solidFill>
                    <w14:schemeClr w14:val="tx1"/>
                  </w14:solidFill>
                </w14:textFill>
              </w:rPr>
              <w:t>/d，有较大余量，能满足项目纯水用水需求。</w:t>
            </w:r>
          </w:p>
        </w:tc>
      </w:tr>
      <w:tr w14:paraId="76C3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41B9E940">
            <w:pPr>
              <w:spacing w:line="240" w:lineRule="auto"/>
              <w:ind w:firstLine="0" w:firstLineChars="0"/>
              <w:jc w:val="center"/>
              <w:rPr>
                <w:color w:val="000000" w:themeColor="text1"/>
                <w:sz w:val="21"/>
                <w:szCs w:val="21"/>
                <w14:textFill>
                  <w14:solidFill>
                    <w14:schemeClr w14:val="tx1"/>
                  </w14:solidFill>
                </w14:textFill>
              </w:rPr>
            </w:pPr>
          </w:p>
        </w:tc>
        <w:tc>
          <w:tcPr>
            <w:tcW w:w="415" w:type="pct"/>
            <w:vMerge w:val="continue"/>
            <w:vAlign w:val="center"/>
          </w:tcPr>
          <w:p w14:paraId="14361950">
            <w:pPr>
              <w:spacing w:line="240" w:lineRule="auto"/>
              <w:ind w:firstLine="0" w:firstLineChars="0"/>
              <w:jc w:val="center"/>
              <w:rPr>
                <w:color w:val="000000" w:themeColor="text1"/>
                <w:sz w:val="21"/>
                <w:szCs w:val="21"/>
                <w14:textFill>
                  <w14:solidFill>
                    <w14:schemeClr w14:val="tx1"/>
                  </w14:solidFill>
                </w14:textFill>
              </w:rPr>
            </w:pPr>
          </w:p>
        </w:tc>
        <w:tc>
          <w:tcPr>
            <w:tcW w:w="501" w:type="pct"/>
            <w:vAlign w:val="center"/>
          </w:tcPr>
          <w:p w14:paraId="7A75DC7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w:t>
            </w:r>
          </w:p>
        </w:tc>
        <w:tc>
          <w:tcPr>
            <w:tcW w:w="1659" w:type="pct"/>
            <w:vAlign w:val="center"/>
          </w:tcPr>
          <w:p w14:paraId="1697A93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市政供电</w:t>
            </w:r>
            <w:r>
              <w:rPr>
                <w:color w:val="000000" w:themeColor="text1"/>
                <w:sz w:val="21"/>
                <w:szCs w:val="21"/>
                <w14:textFill>
                  <w14:solidFill>
                    <w14:schemeClr w14:val="tx1"/>
                  </w14:solidFill>
                </w14:textFill>
              </w:rPr>
              <w:t>电网</w:t>
            </w:r>
            <w:r>
              <w:rPr>
                <w:rFonts w:hint="eastAsia"/>
                <w:color w:val="000000" w:themeColor="text1"/>
                <w:sz w:val="21"/>
                <w:szCs w:val="21"/>
                <w14:textFill>
                  <w14:solidFill>
                    <w14:schemeClr w14:val="tx1"/>
                  </w14:solidFill>
                </w14:textFill>
              </w:rPr>
              <w:t>引入，厂区设配电房。</w:t>
            </w:r>
          </w:p>
        </w:tc>
        <w:tc>
          <w:tcPr>
            <w:tcW w:w="2012" w:type="pct"/>
            <w:vAlign w:val="center"/>
          </w:tcPr>
          <w:p w14:paraId="53441AC4">
            <w:pPr>
              <w:pStyle w:val="81"/>
              <w:widowControl w:val="0"/>
              <w:spacing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hint="eastAsia" w:ascii="Times New Roman" w:hAnsi="Times New Roman"/>
                <w:snapToGrid w:val="0"/>
                <w:color w:val="000000" w:themeColor="text1"/>
                <w:sz w:val="21"/>
                <w:szCs w:val="21"/>
                <w14:textFill>
                  <w14:solidFill>
                    <w14:schemeClr w14:val="tx1"/>
                  </w14:solidFill>
                </w14:textFill>
              </w:rPr>
              <w:t>电压、电量</w:t>
            </w:r>
            <w:r>
              <w:rPr>
                <w:rFonts w:ascii="Times New Roman" w:hAnsi="Times New Roman"/>
                <w:snapToGrid w:val="0"/>
                <w:color w:val="000000" w:themeColor="text1"/>
                <w:sz w:val="21"/>
                <w:szCs w:val="21"/>
                <w14:textFill>
                  <w14:solidFill>
                    <w14:schemeClr w14:val="tx1"/>
                  </w14:solidFill>
                </w14:textFill>
              </w:rPr>
              <w:t>满足项目用电需求</w:t>
            </w:r>
            <w:r>
              <w:rPr>
                <w:rFonts w:hint="eastAsia" w:ascii="Times New Roman" w:hAnsi="Times New Roman"/>
                <w:snapToGrid w:val="0"/>
                <w:color w:val="000000" w:themeColor="text1"/>
                <w:sz w:val="21"/>
                <w:szCs w:val="21"/>
                <w14:textFill>
                  <w14:solidFill>
                    <w14:schemeClr w14:val="tx1"/>
                  </w14:solidFill>
                </w14:textFill>
              </w:rPr>
              <w:t>，本次可依托。</w:t>
            </w:r>
          </w:p>
        </w:tc>
      </w:tr>
      <w:tr w14:paraId="28B2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restart"/>
            <w:vAlign w:val="center"/>
          </w:tcPr>
          <w:p w14:paraId="4F76894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415" w:type="pct"/>
            <w:vMerge w:val="restart"/>
            <w:vAlign w:val="center"/>
          </w:tcPr>
          <w:p w14:paraId="117D273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环保工程</w:t>
            </w:r>
          </w:p>
        </w:tc>
        <w:tc>
          <w:tcPr>
            <w:tcW w:w="501" w:type="pct"/>
            <w:vAlign w:val="center"/>
          </w:tcPr>
          <w:p w14:paraId="095601D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w:t>
            </w:r>
          </w:p>
        </w:tc>
        <w:tc>
          <w:tcPr>
            <w:tcW w:w="1659" w:type="pct"/>
            <w:vAlign w:val="center"/>
          </w:tcPr>
          <w:p w14:paraId="4392141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厂区南侧已建成处理能力80m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/d</w:t>
            </w:r>
            <w:r>
              <w:rPr>
                <w:color w:val="000000" w:themeColor="text1"/>
                <w:sz w:val="21"/>
                <w:szCs w:val="21"/>
                <w14:textFill>
                  <w14:solidFill>
                    <w14:schemeClr w14:val="tx1"/>
                  </w14:solidFill>
                </w14:textFill>
              </w:rPr>
              <w:t>综合废水处理站，</w:t>
            </w:r>
            <w:r>
              <w:rPr>
                <w:rFonts w:hint="eastAsia"/>
                <w:color w:val="000000" w:themeColor="text1"/>
                <w:sz w:val="21"/>
                <w:szCs w:val="21"/>
                <w14:textFill>
                  <w14:solidFill>
                    <w14:schemeClr w14:val="tx1"/>
                  </w14:solidFill>
                </w14:textFill>
              </w:rPr>
              <w:t>综合废水经</w:t>
            </w:r>
            <w:r>
              <w:rPr>
                <w:color w:val="000000" w:themeColor="text1"/>
                <w:sz w:val="21"/>
                <w:szCs w:val="21"/>
                <w14:textFill>
                  <w14:solidFill>
                    <w14:schemeClr w14:val="tx1"/>
                  </w14:solidFill>
                </w14:textFill>
              </w:rPr>
              <w:t>处理达《电子工业水污染物排放标准》（GB39731-2020）间接排放标准后与厂区生化池尾水</w:t>
            </w:r>
            <w:r>
              <w:rPr>
                <w:rFonts w:hint="eastAsia"/>
                <w:color w:val="000000" w:themeColor="text1"/>
                <w:sz w:val="21"/>
                <w:szCs w:val="21"/>
                <w14:textFill>
                  <w14:solidFill>
                    <w14:schemeClr w14:val="tx1"/>
                  </w14:solidFill>
                </w14:textFill>
              </w:rPr>
              <w:t>一并</w:t>
            </w:r>
            <w:r>
              <w:rPr>
                <w:color w:val="000000" w:themeColor="text1"/>
                <w:sz w:val="21"/>
                <w:szCs w:val="21"/>
                <w14:textFill>
                  <w14:solidFill>
                    <w14:schemeClr w14:val="tx1"/>
                  </w14:solidFill>
                </w14:textFill>
              </w:rPr>
              <w:t>接入市政污水管网。</w:t>
            </w:r>
          </w:p>
        </w:tc>
        <w:tc>
          <w:tcPr>
            <w:tcW w:w="2012" w:type="pct"/>
            <w:vAlign w:val="center"/>
          </w:tcPr>
          <w:p w14:paraId="56196E8D">
            <w:pPr>
              <w:pStyle w:val="81"/>
              <w:widowControl w:val="0"/>
              <w:spacing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臻宝科技公司现有综合废水处理站</w:t>
            </w:r>
            <w:bookmarkStart w:id="158" w:name="OLE_LINK3"/>
            <w:r>
              <w:rPr>
                <w:rFonts w:hint="eastAsia" w:ascii="Times New Roman" w:hAnsi="Times New Roman"/>
                <w:snapToGrid w:val="0"/>
                <w:color w:val="000000" w:themeColor="text1"/>
                <w:sz w:val="21"/>
                <w:szCs w:val="21"/>
                <w14:textFill>
                  <w14:solidFill>
                    <w14:schemeClr w14:val="tx1"/>
                  </w14:solidFill>
                </w14:textFill>
              </w:rPr>
              <w:t>设计</w:t>
            </w:r>
            <w:r>
              <w:rPr>
                <w:rFonts w:ascii="Times New Roman" w:hAnsi="Times New Roman"/>
                <w:snapToGrid w:val="0"/>
                <w:color w:val="000000" w:themeColor="text1"/>
                <w:sz w:val="21"/>
                <w:szCs w:val="21"/>
                <w14:textFill>
                  <w14:solidFill>
                    <w14:schemeClr w14:val="tx1"/>
                  </w14:solidFill>
                </w14:textFill>
              </w:rPr>
              <w:t>处理能力为80</w:t>
            </w:r>
            <w:r>
              <w:rPr>
                <w:rFonts w:hint="eastAsia" w:ascii="Times New Roman" w:hAnsi="Times New Roman"/>
                <w:snapToGrid w:val="0"/>
                <w:color w:val="000000" w:themeColor="text1"/>
                <w:sz w:val="21"/>
                <w:szCs w:val="21"/>
                <w14:textFill>
                  <w14:solidFill>
                    <w14:schemeClr w14:val="tx1"/>
                  </w14:solidFill>
                </w14:textFill>
              </w:rPr>
              <w:t>m</w:t>
            </w:r>
            <w:r>
              <w:rPr>
                <w:rFonts w:hint="eastAsia" w:ascii="Times New Roman" w:hAnsi="Times New Roman"/>
                <w:snapToGrid w:val="0"/>
                <w:color w:val="000000" w:themeColor="text1"/>
                <w:sz w:val="21"/>
                <w:szCs w:val="21"/>
                <w:vertAlign w:val="superscript"/>
                <w14:textFill>
                  <w14:solidFill>
                    <w14:schemeClr w14:val="tx1"/>
                  </w14:solidFill>
                </w14:textFill>
              </w:rPr>
              <w:t>3</w:t>
            </w:r>
            <w:r>
              <w:rPr>
                <w:rFonts w:ascii="Times New Roman" w:hAnsi="Times New Roman"/>
                <w:snapToGrid w:val="0"/>
                <w:color w:val="000000" w:themeColor="text1"/>
                <w:sz w:val="21"/>
                <w:szCs w:val="21"/>
                <w14:textFill>
                  <w14:solidFill>
                    <w14:schemeClr w14:val="tx1"/>
                  </w14:solidFill>
                </w14:textFill>
              </w:rPr>
              <w:t>/d，</w:t>
            </w:r>
            <w:r>
              <w:rPr>
                <w:rFonts w:hint="eastAsia" w:ascii="Times New Roman" w:hAnsi="Times New Roman"/>
                <w:snapToGrid w:val="0"/>
                <w:color w:val="000000" w:themeColor="text1"/>
                <w:sz w:val="21"/>
                <w:szCs w:val="21"/>
                <w14:textFill>
                  <w14:solidFill>
                    <w14:schemeClr w14:val="tx1"/>
                  </w14:solidFill>
                </w14:textFill>
              </w:rPr>
              <w:t>设计</w:t>
            </w:r>
            <w:r>
              <w:rPr>
                <w:rFonts w:ascii="Times New Roman" w:hAnsi="Times New Roman"/>
                <w:snapToGrid w:val="0"/>
                <w:color w:val="000000" w:themeColor="text1"/>
                <w:sz w:val="21"/>
                <w:szCs w:val="21"/>
                <w14:textFill>
                  <w14:solidFill>
                    <w14:schemeClr w14:val="tx1"/>
                  </w14:solidFill>
                </w14:textFill>
              </w:rPr>
              <w:t>处理量为33.46</w:t>
            </w:r>
            <w:r>
              <w:rPr>
                <w:rFonts w:hint="eastAsia" w:ascii="Times New Roman" w:hAnsi="Times New Roman"/>
                <w:snapToGrid w:val="0"/>
                <w:color w:val="000000" w:themeColor="text1"/>
                <w:sz w:val="21"/>
                <w:szCs w:val="21"/>
                <w14:textFill>
                  <w14:solidFill>
                    <w14:schemeClr w14:val="tx1"/>
                  </w14:solidFill>
                </w14:textFill>
              </w:rPr>
              <w:t>m</w:t>
            </w:r>
            <w:r>
              <w:rPr>
                <w:rFonts w:hint="eastAsia" w:ascii="Times New Roman" w:hAnsi="Times New Roman"/>
                <w:snapToGrid w:val="0"/>
                <w:color w:val="000000" w:themeColor="text1"/>
                <w:sz w:val="21"/>
                <w:szCs w:val="21"/>
                <w:vertAlign w:val="superscript"/>
                <w14:textFill>
                  <w14:solidFill>
                    <w14:schemeClr w14:val="tx1"/>
                  </w14:solidFill>
                </w14:textFill>
              </w:rPr>
              <w:t>3</w:t>
            </w:r>
            <w:r>
              <w:rPr>
                <w:rFonts w:ascii="Times New Roman" w:hAnsi="Times New Roman"/>
                <w:snapToGrid w:val="0"/>
                <w:color w:val="000000" w:themeColor="text1"/>
                <w:sz w:val="21"/>
                <w:szCs w:val="21"/>
                <w14:textFill>
                  <w14:solidFill>
                    <w14:schemeClr w14:val="tx1"/>
                  </w14:solidFill>
                </w14:textFill>
              </w:rPr>
              <w:t>/d，剩余处理能力为46.54</w:t>
            </w:r>
            <w:r>
              <w:rPr>
                <w:rFonts w:hint="eastAsia" w:ascii="Times New Roman" w:hAnsi="Times New Roman"/>
                <w:snapToGrid w:val="0"/>
                <w:color w:val="000000" w:themeColor="text1"/>
                <w:sz w:val="21"/>
                <w:szCs w:val="21"/>
                <w14:textFill>
                  <w14:solidFill>
                    <w14:schemeClr w14:val="tx1"/>
                  </w14:solidFill>
                </w14:textFill>
              </w:rPr>
              <w:t>m</w:t>
            </w:r>
            <w:r>
              <w:rPr>
                <w:rFonts w:hint="eastAsia" w:ascii="Times New Roman" w:hAnsi="Times New Roman"/>
                <w:snapToGrid w:val="0"/>
                <w:color w:val="000000" w:themeColor="text1"/>
                <w:sz w:val="21"/>
                <w:szCs w:val="21"/>
                <w:vertAlign w:val="superscript"/>
                <w14:textFill>
                  <w14:solidFill>
                    <w14:schemeClr w14:val="tx1"/>
                  </w14:solidFill>
                </w14:textFill>
              </w:rPr>
              <w:t>3</w:t>
            </w:r>
            <w:r>
              <w:rPr>
                <w:rFonts w:ascii="Times New Roman" w:hAnsi="Times New Roman"/>
                <w:snapToGrid w:val="0"/>
                <w:color w:val="000000" w:themeColor="text1"/>
                <w:sz w:val="21"/>
                <w:szCs w:val="21"/>
                <w14:textFill>
                  <w14:solidFill>
                    <w14:schemeClr w14:val="tx1"/>
                  </w14:solidFill>
                </w14:textFill>
              </w:rPr>
              <w:t>/d</w:t>
            </w:r>
            <w:bookmarkEnd w:id="158"/>
            <w:r>
              <w:rPr>
                <w:rFonts w:ascii="Times New Roman" w:hAnsi="Times New Roman"/>
                <w:snapToGrid w:val="0"/>
                <w:color w:val="000000" w:themeColor="text1"/>
                <w:sz w:val="21"/>
                <w:szCs w:val="21"/>
                <w14:textFill>
                  <w14:solidFill>
                    <w14:schemeClr w14:val="tx1"/>
                  </w14:solidFill>
                </w14:textFill>
              </w:rPr>
              <w:t>；能满足项目</w:t>
            </w:r>
            <w:r>
              <w:rPr>
                <w:rFonts w:hint="eastAsia" w:ascii="Times New Roman" w:hAnsi="Times New Roman"/>
                <w:snapToGrid w:val="0"/>
                <w:color w:val="000000" w:themeColor="text1"/>
                <w:sz w:val="21"/>
                <w:szCs w:val="21"/>
                <w14:textFill>
                  <w14:solidFill>
                    <w14:schemeClr w14:val="tx1"/>
                  </w14:solidFill>
                </w14:textFill>
              </w:rPr>
              <w:t>0.45m</w:t>
            </w:r>
            <w:r>
              <w:rPr>
                <w:rFonts w:hint="eastAsia" w:ascii="Times New Roman" w:hAnsi="Times New Roman"/>
                <w:snapToGrid w:val="0"/>
                <w:color w:val="000000" w:themeColor="text1"/>
                <w:sz w:val="21"/>
                <w:szCs w:val="21"/>
                <w:vertAlign w:val="superscript"/>
                <w14:textFill>
                  <w14:solidFill>
                    <w14:schemeClr w14:val="tx1"/>
                  </w14:solidFill>
                </w14:textFill>
              </w:rPr>
              <w:t>3</w:t>
            </w:r>
            <w:r>
              <w:rPr>
                <w:rFonts w:ascii="Times New Roman" w:hAnsi="Times New Roman"/>
                <w:snapToGrid w:val="0"/>
                <w:color w:val="000000" w:themeColor="text1"/>
                <w:sz w:val="21"/>
                <w:szCs w:val="21"/>
                <w14:textFill>
                  <w14:solidFill>
                    <w14:schemeClr w14:val="tx1"/>
                  </w14:solidFill>
                </w14:textFill>
              </w:rPr>
              <w:t>/d废水的处理需求，</w:t>
            </w:r>
            <w:r>
              <w:rPr>
                <w:rFonts w:hint="eastAsia" w:ascii="Times New Roman" w:hAnsi="Times New Roman"/>
                <w:snapToGrid w:val="0"/>
                <w:color w:val="000000" w:themeColor="text1"/>
                <w:sz w:val="21"/>
                <w:szCs w:val="21"/>
                <w14:textFill>
                  <w14:solidFill>
                    <w14:schemeClr w14:val="tx1"/>
                  </w14:solidFill>
                </w14:textFill>
              </w:rPr>
              <w:t>本次</w:t>
            </w:r>
            <w:r>
              <w:rPr>
                <w:rFonts w:ascii="Times New Roman" w:hAnsi="Times New Roman"/>
                <w:snapToGrid w:val="0"/>
                <w:color w:val="000000" w:themeColor="text1"/>
                <w:sz w:val="21"/>
                <w:szCs w:val="21"/>
                <w14:textFill>
                  <w14:solidFill>
                    <w14:schemeClr w14:val="tx1"/>
                  </w14:solidFill>
                </w14:textFill>
              </w:rPr>
              <w:t>依托可行。</w:t>
            </w:r>
          </w:p>
        </w:tc>
      </w:tr>
      <w:tr w14:paraId="4556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7529F539">
            <w:pPr>
              <w:spacing w:line="240" w:lineRule="auto"/>
              <w:ind w:firstLine="0" w:firstLineChars="0"/>
              <w:jc w:val="center"/>
              <w:rPr>
                <w:color w:val="000000" w:themeColor="text1"/>
                <w:sz w:val="21"/>
                <w:szCs w:val="21"/>
                <w14:textFill>
                  <w14:solidFill>
                    <w14:schemeClr w14:val="tx1"/>
                  </w14:solidFill>
                </w14:textFill>
              </w:rPr>
            </w:pPr>
          </w:p>
        </w:tc>
        <w:tc>
          <w:tcPr>
            <w:tcW w:w="415" w:type="pct"/>
            <w:vMerge w:val="continue"/>
            <w:vAlign w:val="center"/>
          </w:tcPr>
          <w:p w14:paraId="65B17188">
            <w:pPr>
              <w:spacing w:line="240" w:lineRule="auto"/>
              <w:ind w:firstLine="0" w:firstLineChars="0"/>
              <w:jc w:val="center"/>
              <w:rPr>
                <w:color w:val="000000" w:themeColor="text1"/>
                <w:sz w:val="21"/>
                <w:szCs w:val="21"/>
                <w14:textFill>
                  <w14:solidFill>
                    <w14:schemeClr w14:val="tx1"/>
                  </w14:solidFill>
                </w14:textFill>
              </w:rPr>
            </w:pPr>
          </w:p>
        </w:tc>
        <w:tc>
          <w:tcPr>
            <w:tcW w:w="501" w:type="pct"/>
            <w:vAlign w:val="center"/>
          </w:tcPr>
          <w:p w14:paraId="635D68E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w:t>
            </w:r>
          </w:p>
        </w:tc>
        <w:tc>
          <w:tcPr>
            <w:tcW w:w="1659" w:type="pct"/>
            <w:vAlign w:val="center"/>
          </w:tcPr>
          <w:p w14:paraId="118EB22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一般固废暂存间，占地面积约100m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，一般固废贮存后定期由物资回收公司进行处理。</w:t>
            </w:r>
          </w:p>
        </w:tc>
        <w:tc>
          <w:tcPr>
            <w:tcW w:w="2012" w:type="pct"/>
            <w:vAlign w:val="center"/>
          </w:tcPr>
          <w:p w14:paraId="2A5621AB">
            <w:pPr>
              <w:pStyle w:val="81"/>
              <w:widowControl w:val="0"/>
              <w:spacing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现有一般固废贮存点满足防渗漏、防雨淋、防扬尘等生态环境保护要求，目前</w:t>
            </w:r>
            <w:r>
              <w:rPr>
                <w:rFonts w:hint="eastAsia" w:ascii="Times New Roman" w:hAnsi="Times New Roman"/>
                <w:color w:val="000000" w:themeColor="text1"/>
                <w:sz w:val="21"/>
                <w:szCs w:val="21"/>
                <w14:textFill>
                  <w14:solidFill>
                    <w14:schemeClr w14:val="tx1"/>
                  </w14:solidFill>
                </w14:textFill>
              </w:rPr>
              <w:t>现有工程</w:t>
            </w:r>
            <w:r>
              <w:rPr>
                <w:rFonts w:ascii="Times New Roman" w:hAnsi="Times New Roman"/>
                <w:color w:val="000000" w:themeColor="text1"/>
                <w:sz w:val="21"/>
                <w:szCs w:val="21"/>
                <w14:textFill>
                  <w14:solidFill>
                    <w14:schemeClr w14:val="tx1"/>
                  </w14:solidFill>
                </w14:textFill>
              </w:rPr>
              <w:t>使用面积约80m</w:t>
            </w:r>
            <w:r>
              <w:rPr>
                <w:rFonts w:ascii="Times New Roman" w:hAnsi="Times New Roman"/>
                <w:color w:val="000000" w:themeColor="text1"/>
                <w:sz w:val="21"/>
                <w:szCs w:val="21"/>
                <w:vertAlign w:val="superscript"/>
                <w14:textFill>
                  <w14:solidFill>
                    <w14:schemeClr w14:val="tx1"/>
                  </w14:solidFill>
                </w14:textFill>
              </w:rPr>
              <w:t>2</w:t>
            </w:r>
            <w:r>
              <w:rPr>
                <w:rFonts w:ascii="Times New Roman" w:hAnsi="Times New Roman"/>
                <w:color w:val="000000" w:themeColor="text1"/>
                <w:sz w:val="21"/>
                <w:szCs w:val="21"/>
                <w14:textFill>
                  <w14:solidFill>
                    <w14:schemeClr w14:val="tx1"/>
                  </w14:solidFill>
                </w14:textFill>
              </w:rPr>
              <w:t>，剩余20m</w:t>
            </w:r>
            <w:r>
              <w:rPr>
                <w:rFonts w:ascii="Times New Roman" w:hAnsi="Times New Roman"/>
                <w:color w:val="000000" w:themeColor="text1"/>
                <w:sz w:val="21"/>
                <w:szCs w:val="21"/>
                <w:vertAlign w:val="superscript"/>
                <w14:textFill>
                  <w14:solidFill>
                    <w14:schemeClr w14:val="tx1"/>
                  </w14:solidFill>
                </w14:textFill>
              </w:rPr>
              <w:t>2</w:t>
            </w:r>
            <w:r>
              <w:rPr>
                <w:rFonts w:ascii="Times New Roman" w:hAnsi="Times New Roman"/>
                <w:color w:val="000000" w:themeColor="text1"/>
                <w:sz w:val="21"/>
                <w:szCs w:val="21"/>
                <w14:textFill>
                  <w14:solidFill>
                    <w14:schemeClr w14:val="tx1"/>
                  </w14:solidFill>
                </w14:textFill>
              </w:rPr>
              <w:t>满足本次扩建需要，本次可依托。</w:t>
            </w:r>
          </w:p>
        </w:tc>
      </w:tr>
      <w:bookmarkEnd w:id="150"/>
      <w:bookmarkEnd w:id="151"/>
      <w:bookmarkEnd w:id="152"/>
      <w:bookmarkEnd w:id="153"/>
      <w:bookmarkEnd w:id="154"/>
      <w:bookmarkEnd w:id="155"/>
    </w:tbl>
    <w:p w14:paraId="20DC7004">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p w14:paraId="43C20E8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（1）供水</w:t>
      </w:r>
    </w:p>
    <w:p w14:paraId="06B489BF">
      <w:pPr>
        <w:ind w:firstLine="5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color w:val="000000" w:themeColor="text1"/>
          <w14:textFill>
            <w14:solidFill>
              <w14:schemeClr w14:val="tx1"/>
            </w14:solidFill>
          </w14:textFill>
        </w:rPr>
        <w:t>自来水供应</w:t>
      </w:r>
    </w:p>
    <w:p w14:paraId="57150E0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改扩建项目</w:t>
      </w:r>
      <w:r>
        <w:rPr>
          <w:color w:val="000000" w:themeColor="text1"/>
          <w14:textFill>
            <w14:solidFill>
              <w14:schemeClr w14:val="tx1"/>
            </w14:solidFill>
          </w14:textFill>
        </w:rPr>
        <w:t>用水由西彭园区市政供水提供，供水管线沿基地主干道敷设至地块红线外，</w:t>
      </w:r>
      <w:r>
        <w:rPr>
          <w:rFonts w:hint="eastAsia"/>
          <w:color w:val="000000" w:themeColor="text1"/>
          <w14:textFill>
            <w14:solidFill>
              <w14:schemeClr w14:val="tx1"/>
            </w14:solidFill>
          </w14:textFill>
        </w:rPr>
        <w:t>接入厂区</w:t>
      </w:r>
      <w:r>
        <w:rPr>
          <w:color w:val="000000" w:themeColor="text1"/>
          <w14:textFill>
            <w14:solidFill>
              <w14:schemeClr w14:val="tx1"/>
            </w14:solidFill>
          </w14:textFill>
        </w:rPr>
        <w:t>，市政供水压力0.30MPa。项目用水主要是生产工艺用水、生活用水。</w:t>
      </w:r>
    </w:p>
    <w:p w14:paraId="5DC8BBE6">
      <w:pPr>
        <w:ind w:firstLine="5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color w:val="000000" w:themeColor="text1"/>
          <w14:textFill>
            <w14:solidFill>
              <w14:schemeClr w14:val="tx1"/>
            </w14:solidFill>
          </w14:textFill>
        </w:rPr>
        <w:t>纯水制备</w:t>
      </w:r>
    </w:p>
    <w:p w14:paraId="78DD42B7">
      <w:pPr>
        <w:ind w:firstLine="520"/>
        <w:rPr>
          <w:color w:val="000000" w:themeColor="text1"/>
          <w14:textFill>
            <w14:solidFill>
              <w14:schemeClr w14:val="tx1"/>
            </w14:solidFill>
          </w14:textFill>
        </w:rPr>
      </w:pPr>
      <w:r>
        <w:rPr>
          <w:color w:val="000000" w:themeColor="text1"/>
          <w14:textFill>
            <w14:solidFill>
              <w14:schemeClr w14:val="tx1"/>
            </w14:solidFill>
          </w14:textFill>
        </w:rPr>
        <w:t>厂内设置</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套纯水制备设备，</w:t>
      </w: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纯水制备装置</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设在</w:t>
      </w:r>
      <w:r>
        <w:rPr>
          <w:rFonts w:hint="eastAsia"/>
          <w:color w:val="000000" w:themeColor="text1"/>
          <w14:textFill>
            <w14:solidFill>
              <w14:schemeClr w14:val="tx1"/>
            </w14:solidFill>
          </w14:textFill>
        </w:rPr>
        <w:t>2#厂房</w:t>
      </w:r>
      <w:r>
        <w:rPr>
          <w:color w:val="000000" w:themeColor="text1"/>
          <w14:textFill>
            <w14:solidFill>
              <w14:schemeClr w14:val="tx1"/>
            </w14:solidFill>
          </w14:textFill>
        </w:rPr>
        <w:t>附属用房内；纯水制备装置2设在1#附属用房内位于1#附属用房，纯水制备总能力约30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给水水管接至纯水设备，加压经多介质+活性炭过滤+保安过滤器+二级RO反渗透+EDI，纯水制备率75%。EDI（electrodeionization）技术是一种新的纯水和超纯水制备技术。该技术将电渗析技术和离子交换技术相融合，通过阴、阳离子交换膜对阴、阳离子的选择性透过作用与离子交换树脂对离子的交换作用，在直流电场的作用下实现离子的定向迁移，从而完成水的深度除盐，水质可达15MΩ.cm以上。在进行除盐的同时，水电离解产生的氢离子和氢氧根离子对离子交换树脂进行再生，因此不需酸碱化学再生而能连续制取超纯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具有技术先进、操作简便和优异的环保特性。</w:t>
      </w:r>
    </w:p>
    <w:p w14:paraId="5B55505A">
      <w:pPr>
        <w:ind w:firstLine="520"/>
        <w:rPr>
          <w:color w:val="000000" w:themeColor="text1"/>
          <w14:textFill>
            <w14:solidFill>
              <w14:schemeClr w14:val="tx1"/>
            </w14:solidFill>
          </w14:textFill>
        </w:rPr>
      </w:pPr>
      <w:bookmarkStart w:id="159" w:name="_Hlk79628041"/>
      <w:r>
        <w:rPr>
          <w:rFonts w:hint="eastAsia"/>
          <w:color w:val="000000" w:themeColor="text1"/>
          <w14:textFill>
            <w14:solidFill>
              <w14:schemeClr w14:val="tx1"/>
            </w14:solidFill>
          </w14:textFill>
        </w:rPr>
        <w:t>（2）排水</w:t>
      </w:r>
    </w:p>
    <w:p w14:paraId="72F87FDB">
      <w:pPr>
        <w:ind w:firstLine="520"/>
        <w:rPr>
          <w:color w:val="000000" w:themeColor="text1"/>
          <w14:textFill>
            <w14:solidFill>
              <w14:schemeClr w14:val="tx1"/>
            </w14:solidFill>
          </w14:textFill>
        </w:rPr>
      </w:pPr>
      <w:r>
        <w:rPr>
          <w:color w:val="000000" w:themeColor="text1"/>
          <w14:textFill>
            <w14:solidFill>
              <w14:schemeClr w14:val="tx1"/>
            </w14:solidFill>
          </w14:textFill>
        </w:rPr>
        <w:t>实行“雨污分流、清污分流、污污分流、分级控制”的原则，设有生活污水、生产废水、雨水排水三个排水系统。清净下水及雨水经雨水管道排入市政雨水管网，排入大溪河最后汇入长江。</w:t>
      </w:r>
      <w:r>
        <w:rPr>
          <w:rFonts w:hint="eastAsia"/>
          <w:color w:val="000000" w:themeColor="text1"/>
          <w14:textFill>
            <w14:solidFill>
              <w14:schemeClr w14:val="tx1"/>
            </w14:solidFill>
          </w14:textFill>
        </w:rPr>
        <w:t>现有</w:t>
      </w:r>
      <w:r>
        <w:rPr>
          <w:color w:val="000000" w:themeColor="text1"/>
          <w14:textFill>
            <w14:solidFill>
              <w14:schemeClr w14:val="tx1"/>
            </w14:solidFill>
          </w14:textFill>
        </w:rPr>
        <w:t>碳化硅生产线外侧设置1个中和水池，处理酸雾喷淋塔循环废水，处理完成后加药处理回用于酸雾喷淋塔；生产废水设置1个污水处理站，处理达标后，再与经生化池处理的生活污水一起排入园区管网，经市政污水管网排入西彭工业园区污水处理厂处理达标后排入长江。</w:t>
      </w:r>
    </w:p>
    <w:bookmarkEnd w:id="159"/>
    <w:p w14:paraId="424DFBB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（3）供电</w:t>
      </w:r>
    </w:p>
    <w:p w14:paraId="44BF027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臻宝半导体公司</w:t>
      </w:r>
      <w:r>
        <w:rPr>
          <w:color w:val="000000" w:themeColor="text1"/>
          <w14:textFill>
            <w14:solidFill>
              <w14:schemeClr w14:val="tx1"/>
            </w14:solidFill>
          </w14:textFill>
        </w:rPr>
        <w:t>工作电源采用一路10kV专线，引自上级市政开闭所，经市政电缆引至厂区综合站房的10kV配电室，供</w:t>
      </w:r>
      <w:r>
        <w:rPr>
          <w:rFonts w:hint="eastAsia"/>
          <w:color w:val="000000" w:themeColor="text1"/>
          <w14:textFill>
            <w14:solidFill>
              <w14:schemeClr w14:val="tx1"/>
            </w14:solidFill>
          </w14:textFill>
        </w:rPr>
        <w:t>厂区</w:t>
      </w:r>
      <w:r>
        <w:rPr>
          <w:color w:val="000000" w:themeColor="text1"/>
          <w14:textFill>
            <w14:solidFill>
              <w14:schemeClr w14:val="tx1"/>
            </w14:solidFill>
          </w14:textFill>
        </w:rPr>
        <w:t>用电。</w:t>
      </w:r>
    </w:p>
    <w:p w14:paraId="6ECF28C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（4）供热</w:t>
      </w:r>
    </w:p>
    <w:p w14:paraId="1C5D7E4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臻宝半导体公司能源主要</w:t>
      </w:r>
      <w:r>
        <w:rPr>
          <w:color w:val="000000" w:themeColor="text1"/>
          <w14:textFill>
            <w14:solidFill>
              <w14:schemeClr w14:val="tx1"/>
            </w14:solidFill>
          </w14:textFill>
        </w:rPr>
        <w:t>使用电</w:t>
      </w:r>
      <w:r>
        <w:rPr>
          <w:rFonts w:hint="eastAsia"/>
          <w:color w:val="000000" w:themeColor="text1"/>
          <w14:textFill>
            <w14:solidFill>
              <w14:schemeClr w14:val="tx1"/>
            </w14:solidFill>
          </w14:textFill>
        </w:rPr>
        <w:t>，不涉及锅炉等供热设施</w:t>
      </w:r>
      <w:r>
        <w:rPr>
          <w:color w:val="000000" w:themeColor="text1"/>
          <w14:textFill>
            <w14:solidFill>
              <w14:schemeClr w14:val="tx1"/>
            </w14:solidFill>
          </w14:textFill>
        </w:rPr>
        <w:t>。</w:t>
      </w:r>
    </w:p>
    <w:p w14:paraId="49C1D44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（5）储运情况</w:t>
      </w:r>
    </w:p>
    <w:p w14:paraId="2BF9EFB4">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臻宝半导体公司分别在1</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厂房和3</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附属厂房各设置化学品库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用于存放各类酸、碱及易燃易爆化学品</w:t>
      </w:r>
      <w:r>
        <w:rPr>
          <w:rFonts w:hint="eastAsia"/>
          <w:color w:val="000000" w:themeColor="text1"/>
          <w14:textFill>
            <w14:solidFill>
              <w14:schemeClr w14:val="tx1"/>
            </w14:solidFill>
          </w14:textFill>
        </w:rPr>
        <w:t>，危化品库地面及墙裙进行防腐、防渗设置，保持通风，由专人管理，做好危化品使用登记台账。</w:t>
      </w:r>
    </w:p>
    <w:p w14:paraId="2E6D978C">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甲基三氯硅烷（MTS）在MTS储存间内贮存，在厂内最大存储15天的用量（约12.0t），在碳化硅生产线旁的辅房内暂存，根据需求订货，由销售单位安排危化品车辆运输。MTS在常温下为液体，采用特制金属压力罐封装，每罐约1t，罐内充入氮气作为保护气。MTS贮存间及使用区的厂房采取防渗措施，安装视频监控及检测报警装置，预设通风管道接入酸雾喷淋塔内。生产前，将MTS从原料罐通过管道压入CVD炉新品设备或CVD炉再生设备内的原料槽内密闭，原料罐封闭，MTS在设备内暂存。MTS从金属罐导入设备内</w:t>
      </w:r>
      <w:r>
        <w:rPr>
          <w:rFonts w:hint="eastAsia"/>
          <w:b/>
          <w:bCs/>
          <w:color w:val="000000" w:themeColor="text1"/>
          <w14:textFill>
            <w14:solidFill>
              <w14:schemeClr w14:val="tx1"/>
            </w14:solidFill>
          </w14:textFill>
        </w:rPr>
        <w:t>原</w:t>
      </w:r>
      <w:r>
        <w:rPr>
          <w:rFonts w:hint="eastAsia"/>
          <w:color w:val="000000" w:themeColor="text1"/>
          <w14:textFill>
            <w14:solidFill>
              <w14:schemeClr w14:val="tx1"/>
            </w14:solidFill>
          </w14:textFill>
        </w:rPr>
        <w:t>料槽后，金属罐密封，由销售单位安排危化品车辆运回处置。</w:t>
      </w:r>
    </w:p>
    <w:p w14:paraId="3D5B907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氢气在气站内贮存，采取防爆措施。</w:t>
      </w:r>
    </w:p>
    <w:p w14:paraId="7CC18DA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（6）切削液回收间</w:t>
      </w:r>
    </w:p>
    <w:p w14:paraId="28632B03">
      <w:pPr>
        <w:ind w:firstLine="520"/>
        <w:rPr>
          <w:bCs/>
          <w:color w:val="000000" w:themeColor="text1"/>
          <w14:textFill>
            <w14:solidFill>
              <w14:schemeClr w14:val="tx1"/>
            </w14:solidFill>
          </w14:textFill>
        </w:rPr>
      </w:pPr>
      <w:r>
        <w:rPr>
          <w:color w:val="000000" w:themeColor="text1"/>
          <w14:textFill>
            <w14:solidFill>
              <w14:schemeClr w14:val="tx1"/>
            </w14:solidFill>
          </w14:textFill>
        </w:rPr>
        <w:t>为减少危险废物的产生，加强辅料综合利用，扩建项目</w:t>
      </w:r>
      <w:r>
        <w:rPr>
          <w:rFonts w:hint="eastAsia"/>
          <w:color w:val="000000" w:themeColor="text1"/>
          <w14:textFill>
            <w14:solidFill>
              <w14:schemeClr w14:val="tx1"/>
            </w14:solidFill>
          </w14:textFill>
        </w:rPr>
        <w:t>依托现有</w:t>
      </w:r>
      <w:r>
        <w:rPr>
          <w:color w:val="000000" w:themeColor="text1"/>
          <w14:textFill>
            <w14:solidFill>
              <w14:schemeClr w14:val="tx1"/>
            </w14:solidFill>
          </w14:textFill>
        </w:rPr>
        <w:t>切削液回收车间，将废切削液过滤处理后回用于生产。</w:t>
      </w:r>
    </w:p>
    <w:p w14:paraId="7F75DD8A">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现有工程</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厂房的附属用房设置1个切削液回收操作间，采用压滤+三级过滤工艺将含杂质的切削液</w:t>
      </w:r>
      <w:r>
        <w:rPr>
          <w:rFonts w:hint="eastAsia"/>
          <w:color w:val="000000" w:themeColor="text1"/>
          <w14:textFill>
            <w14:solidFill>
              <w14:schemeClr w14:val="tx1"/>
            </w14:solidFill>
          </w14:textFill>
        </w:rPr>
        <w:t>过滤后</w:t>
      </w:r>
      <w:r>
        <w:rPr>
          <w:color w:val="000000" w:themeColor="text1"/>
          <w14:textFill>
            <w14:solidFill>
              <w14:schemeClr w14:val="tx1"/>
            </w14:solidFill>
          </w14:textFill>
        </w:rPr>
        <w:t>回收利用。</w:t>
      </w:r>
    </w:p>
    <w:p w14:paraId="67C0F3F6">
      <w:pPr>
        <w:pStyle w:val="4"/>
        <w:rPr>
          <w:color w:val="000000" w:themeColor="text1"/>
          <w14:textFill>
            <w14:solidFill>
              <w14:schemeClr w14:val="tx1"/>
            </w14:solidFill>
          </w14:textFill>
        </w:rPr>
      </w:pPr>
      <w:bookmarkStart w:id="160" w:name="_Toc16882"/>
      <w:r>
        <w:rPr>
          <w:color w:val="000000" w:themeColor="text1"/>
          <w14:textFill>
            <w14:solidFill>
              <w14:schemeClr w14:val="tx1"/>
            </w14:solidFill>
          </w14:textFill>
        </w:rPr>
        <w:t>原辅材料</w:t>
      </w:r>
      <w:bookmarkEnd w:id="160"/>
    </w:p>
    <w:p w14:paraId="705C15E2">
      <w:pPr>
        <w:autoSpaceDE w:val="0"/>
        <w:autoSpaceDN w:val="0"/>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扩建项目原辅材料消耗及扩建后全厂原辅材料消耗情况详见下表。</w:t>
      </w:r>
    </w:p>
    <w:p w14:paraId="17C06010">
      <w:pPr>
        <w:ind w:firstLine="52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4A31FB16">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原辅材料一览表</w:t>
      </w:r>
    </w:p>
    <w:tbl>
      <w:tblPr>
        <w:tblStyle w:val="88"/>
        <w:tblW w:w="5000" w:type="pct"/>
        <w:jc w:val="center"/>
        <w:tblLayout w:type="autofit"/>
        <w:tblCellMar>
          <w:top w:w="0" w:type="dxa"/>
          <w:left w:w="108" w:type="dxa"/>
          <w:bottom w:w="0" w:type="dxa"/>
          <w:right w:w="108" w:type="dxa"/>
        </w:tblCellMar>
      </w:tblPr>
      <w:tblGrid>
        <w:gridCol w:w="526"/>
        <w:gridCol w:w="777"/>
        <w:gridCol w:w="951"/>
        <w:gridCol w:w="1476"/>
        <w:gridCol w:w="3541"/>
        <w:gridCol w:w="1156"/>
        <w:gridCol w:w="948"/>
        <w:gridCol w:w="1371"/>
        <w:gridCol w:w="1049"/>
        <w:gridCol w:w="1093"/>
        <w:gridCol w:w="1286"/>
      </w:tblGrid>
      <w:tr w14:paraId="6D391E5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7A7A5A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序号</w:t>
            </w:r>
          </w:p>
        </w:tc>
        <w:tc>
          <w:tcPr>
            <w:tcW w:w="765" w:type="dxa"/>
            <w:tcBorders>
              <w:top w:val="single" w:color="000000" w:sz="4" w:space="0"/>
              <w:left w:val="single" w:color="000000" w:sz="4" w:space="0"/>
              <w:bottom w:val="single" w:color="000000" w:sz="4" w:space="0"/>
              <w:right w:val="single" w:color="000000" w:sz="4" w:space="0"/>
            </w:tcBorders>
            <w:vAlign w:val="center"/>
          </w:tcPr>
          <w:p w14:paraId="42ECD7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产品</w:t>
            </w: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30E6E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原料名称</w:t>
            </w:r>
          </w:p>
        </w:tc>
        <w:tc>
          <w:tcPr>
            <w:tcW w:w="3485" w:type="dxa"/>
            <w:tcBorders>
              <w:top w:val="single" w:color="000000" w:sz="4" w:space="0"/>
              <w:left w:val="single" w:color="000000" w:sz="4" w:space="0"/>
              <w:bottom w:val="single" w:color="000000" w:sz="4" w:space="0"/>
              <w:right w:val="single" w:color="000000" w:sz="4" w:space="0"/>
            </w:tcBorders>
            <w:vAlign w:val="center"/>
          </w:tcPr>
          <w:p w14:paraId="2BC4AA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原料主要成分</w:t>
            </w:r>
          </w:p>
        </w:tc>
        <w:tc>
          <w:tcPr>
            <w:tcW w:w="1138" w:type="dxa"/>
            <w:tcBorders>
              <w:top w:val="single" w:color="000000" w:sz="4" w:space="0"/>
              <w:left w:val="single" w:color="000000" w:sz="4" w:space="0"/>
              <w:bottom w:val="single" w:color="000000" w:sz="4" w:space="0"/>
              <w:right w:val="single" w:color="000000" w:sz="4" w:space="0"/>
            </w:tcBorders>
            <w:vAlign w:val="center"/>
          </w:tcPr>
          <w:p w14:paraId="32DAC6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现有工程年用量t/a</w:t>
            </w:r>
          </w:p>
        </w:tc>
        <w:tc>
          <w:tcPr>
            <w:tcW w:w="933" w:type="dxa"/>
            <w:tcBorders>
              <w:top w:val="single" w:color="000000" w:sz="4" w:space="0"/>
              <w:left w:val="single" w:color="000000" w:sz="4" w:space="0"/>
              <w:bottom w:val="single" w:color="000000" w:sz="4" w:space="0"/>
              <w:right w:val="single" w:color="000000" w:sz="4" w:space="0"/>
            </w:tcBorders>
            <w:vAlign w:val="center"/>
          </w:tcPr>
          <w:p w14:paraId="0DF0D4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扩建项目年用量</w:t>
            </w:r>
            <w:r>
              <w:rPr>
                <w:rFonts w:hint="eastAsia"/>
                <w:snapToGrid/>
                <w:color w:val="000000" w:themeColor="text1"/>
                <w:sz w:val="21"/>
                <w:szCs w:val="21"/>
                <w14:textFill>
                  <w14:solidFill>
                    <w14:schemeClr w14:val="tx1"/>
                  </w14:solidFill>
                </w14:textFill>
              </w:rPr>
              <w:t>t</w:t>
            </w:r>
            <w:r>
              <w:rPr>
                <w:snapToGrid/>
                <w:color w:val="000000" w:themeColor="text1"/>
                <w:sz w:val="21"/>
                <w:szCs w:val="21"/>
                <w14:textFill>
                  <w14:solidFill>
                    <w14:schemeClr w14:val="tx1"/>
                  </w14:solidFill>
                </w14:textFill>
              </w:rPr>
              <w:t>/a</w:t>
            </w:r>
          </w:p>
        </w:tc>
        <w:tc>
          <w:tcPr>
            <w:tcW w:w="1349" w:type="dxa"/>
            <w:tcBorders>
              <w:top w:val="single" w:color="000000" w:sz="4" w:space="0"/>
              <w:left w:val="single" w:color="000000" w:sz="4" w:space="0"/>
              <w:bottom w:val="single" w:color="000000" w:sz="4" w:space="0"/>
              <w:right w:val="single" w:color="000000" w:sz="4" w:space="0"/>
            </w:tcBorders>
            <w:vAlign w:val="center"/>
          </w:tcPr>
          <w:p w14:paraId="6B1083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项目建成后全厂总用量</w:t>
            </w:r>
            <w:r>
              <w:rPr>
                <w:rFonts w:hint="eastAsia"/>
                <w:snapToGrid/>
                <w:color w:val="000000" w:themeColor="text1"/>
                <w:sz w:val="21"/>
                <w:szCs w:val="21"/>
                <w14:textFill>
                  <w14:solidFill>
                    <w14:schemeClr w14:val="tx1"/>
                  </w14:solidFill>
                </w14:textFill>
              </w:rPr>
              <w:t>t</w:t>
            </w:r>
            <w:r>
              <w:rPr>
                <w:snapToGrid/>
                <w:color w:val="000000" w:themeColor="text1"/>
                <w:sz w:val="21"/>
                <w:szCs w:val="21"/>
                <w14:textFill>
                  <w14:solidFill>
                    <w14:schemeClr w14:val="tx1"/>
                  </w14:solidFill>
                </w14:textFill>
              </w:rPr>
              <w:t>/a</w:t>
            </w:r>
          </w:p>
        </w:tc>
        <w:tc>
          <w:tcPr>
            <w:tcW w:w="1032" w:type="dxa"/>
            <w:tcBorders>
              <w:top w:val="single" w:color="000000" w:sz="4" w:space="0"/>
              <w:left w:val="single" w:color="000000" w:sz="4" w:space="0"/>
              <w:bottom w:val="single" w:color="000000" w:sz="4" w:space="0"/>
              <w:right w:val="single" w:color="000000" w:sz="4" w:space="0"/>
            </w:tcBorders>
            <w:vAlign w:val="center"/>
          </w:tcPr>
          <w:p w14:paraId="73A4CA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最大储存量t</w:t>
            </w:r>
          </w:p>
        </w:tc>
        <w:tc>
          <w:tcPr>
            <w:tcW w:w="1075" w:type="dxa"/>
            <w:tcBorders>
              <w:top w:val="single" w:color="000000" w:sz="4" w:space="0"/>
              <w:left w:val="single" w:color="000000" w:sz="4" w:space="0"/>
              <w:bottom w:val="single" w:color="000000" w:sz="4" w:space="0"/>
              <w:right w:val="single" w:color="000000" w:sz="4" w:space="0"/>
            </w:tcBorders>
            <w:vAlign w:val="center"/>
          </w:tcPr>
          <w:p w14:paraId="13E6E9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规格</w:t>
            </w:r>
          </w:p>
        </w:tc>
        <w:tc>
          <w:tcPr>
            <w:tcW w:w="1265" w:type="dxa"/>
            <w:tcBorders>
              <w:top w:val="single" w:color="000000" w:sz="4" w:space="0"/>
              <w:left w:val="single" w:color="000000" w:sz="4" w:space="0"/>
              <w:bottom w:val="single" w:color="000000" w:sz="4" w:space="0"/>
              <w:right w:val="single" w:color="000000" w:sz="4" w:space="0"/>
            </w:tcBorders>
            <w:vAlign w:val="center"/>
          </w:tcPr>
          <w:p w14:paraId="1C93CD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贮存位置</w:t>
            </w:r>
          </w:p>
        </w:tc>
      </w:tr>
      <w:tr w14:paraId="191B95A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434D5E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765" w:type="dxa"/>
            <w:vMerge w:val="restart"/>
            <w:tcBorders>
              <w:top w:val="single" w:color="000000" w:sz="4" w:space="0"/>
              <w:left w:val="single" w:color="000000" w:sz="4" w:space="0"/>
              <w:right w:val="single" w:color="000000" w:sz="4" w:space="0"/>
            </w:tcBorders>
            <w:vAlign w:val="center"/>
          </w:tcPr>
          <w:p w14:paraId="0A27651A">
            <w:pPr>
              <w:widowControl/>
              <w:wordWrap w:val="0"/>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GASKET产品</w:t>
            </w: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245E41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bookmarkStart w:id="161" w:name="OLE_LINK6"/>
            <w:r>
              <w:rPr>
                <w:rFonts w:hint="eastAsia"/>
                <w:snapToGrid/>
                <w:color w:val="000000" w:themeColor="text1"/>
                <w:sz w:val="21"/>
                <w:szCs w:val="21"/>
                <w14:textFill>
                  <w14:solidFill>
                    <w14:schemeClr w14:val="tx1"/>
                  </w14:solidFill>
                </w14:textFill>
              </w:rPr>
              <w:t>PEEK棒料</w:t>
            </w:r>
            <w:bookmarkEnd w:id="161"/>
          </w:p>
        </w:tc>
        <w:tc>
          <w:tcPr>
            <w:tcW w:w="3485" w:type="dxa"/>
            <w:tcBorders>
              <w:top w:val="single" w:color="000000" w:sz="4" w:space="0"/>
              <w:left w:val="single" w:color="000000" w:sz="4" w:space="0"/>
              <w:bottom w:val="single" w:color="000000" w:sz="4" w:space="0"/>
              <w:right w:val="single" w:color="000000" w:sz="4" w:space="0"/>
            </w:tcBorders>
            <w:vAlign w:val="center"/>
          </w:tcPr>
          <w:p w14:paraId="4F07A2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聚醚醚酮（PEEK）树脂</w:t>
            </w:r>
          </w:p>
        </w:tc>
        <w:tc>
          <w:tcPr>
            <w:tcW w:w="1138" w:type="dxa"/>
            <w:tcBorders>
              <w:top w:val="single" w:color="000000" w:sz="4" w:space="0"/>
              <w:left w:val="single" w:color="000000" w:sz="4" w:space="0"/>
              <w:bottom w:val="single" w:color="000000" w:sz="4" w:space="0"/>
              <w:right w:val="single" w:color="000000" w:sz="4" w:space="0"/>
            </w:tcBorders>
            <w:vAlign w:val="center"/>
          </w:tcPr>
          <w:p w14:paraId="72FBE9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453246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510根/年</w:t>
            </w:r>
          </w:p>
        </w:tc>
        <w:tc>
          <w:tcPr>
            <w:tcW w:w="1349" w:type="dxa"/>
            <w:tcBorders>
              <w:top w:val="single" w:color="000000" w:sz="4" w:space="0"/>
              <w:left w:val="single" w:color="000000" w:sz="4" w:space="0"/>
              <w:bottom w:val="single" w:color="000000" w:sz="4" w:space="0"/>
              <w:right w:val="single" w:color="000000" w:sz="4" w:space="0"/>
            </w:tcBorders>
            <w:vAlign w:val="center"/>
          </w:tcPr>
          <w:p w14:paraId="34CF3A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510根/年</w:t>
            </w:r>
          </w:p>
        </w:tc>
        <w:tc>
          <w:tcPr>
            <w:tcW w:w="1032" w:type="dxa"/>
            <w:tcBorders>
              <w:top w:val="single" w:color="000000" w:sz="4" w:space="0"/>
              <w:left w:val="single" w:color="000000" w:sz="4" w:space="0"/>
              <w:bottom w:val="single" w:color="000000" w:sz="4" w:space="0"/>
              <w:right w:val="single" w:color="000000" w:sz="4" w:space="0"/>
            </w:tcBorders>
            <w:vAlign w:val="center"/>
          </w:tcPr>
          <w:p w14:paraId="0D0391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50根</w:t>
            </w:r>
          </w:p>
        </w:tc>
        <w:tc>
          <w:tcPr>
            <w:tcW w:w="1075" w:type="dxa"/>
            <w:tcBorders>
              <w:top w:val="single" w:color="000000" w:sz="4" w:space="0"/>
              <w:left w:val="single" w:color="000000" w:sz="4" w:space="0"/>
              <w:bottom w:val="single" w:color="000000" w:sz="4" w:space="0"/>
              <w:right w:val="single" w:color="000000" w:sz="4" w:space="0"/>
            </w:tcBorders>
            <w:vAlign w:val="center"/>
          </w:tcPr>
          <w:p w14:paraId="5CFB19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restart"/>
            <w:tcBorders>
              <w:top w:val="single" w:color="000000" w:sz="4" w:space="0"/>
              <w:left w:val="single" w:color="000000" w:sz="4" w:space="0"/>
              <w:right w:val="single" w:color="000000" w:sz="4" w:space="0"/>
            </w:tcBorders>
            <w:vAlign w:val="center"/>
          </w:tcPr>
          <w:p w14:paraId="27FC67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原辅材料贮存区</w:t>
            </w:r>
          </w:p>
        </w:tc>
      </w:tr>
      <w:tr w14:paraId="73B07F3B">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524927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c>
          <w:tcPr>
            <w:tcW w:w="765" w:type="dxa"/>
            <w:vMerge w:val="continue"/>
            <w:tcBorders>
              <w:left w:val="single" w:color="000000" w:sz="4" w:space="0"/>
              <w:right w:val="single" w:color="000000" w:sz="4" w:space="0"/>
            </w:tcBorders>
            <w:vAlign w:val="center"/>
          </w:tcPr>
          <w:p w14:paraId="5B6BC9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10EF1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TORLON棒料</w:t>
            </w:r>
          </w:p>
        </w:tc>
        <w:tc>
          <w:tcPr>
            <w:tcW w:w="3485" w:type="dxa"/>
            <w:tcBorders>
              <w:top w:val="single" w:color="000000" w:sz="4" w:space="0"/>
              <w:left w:val="single" w:color="000000" w:sz="4" w:space="0"/>
              <w:bottom w:val="single" w:color="000000" w:sz="4" w:space="0"/>
              <w:right w:val="single" w:color="000000" w:sz="4" w:space="0"/>
            </w:tcBorders>
            <w:vAlign w:val="center"/>
          </w:tcPr>
          <w:p w14:paraId="4546C8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聚酰胺-酰亚胺（PAI）树脂</w:t>
            </w:r>
          </w:p>
        </w:tc>
        <w:tc>
          <w:tcPr>
            <w:tcW w:w="1138" w:type="dxa"/>
            <w:tcBorders>
              <w:top w:val="single" w:color="000000" w:sz="4" w:space="0"/>
              <w:left w:val="single" w:color="000000" w:sz="4" w:space="0"/>
              <w:bottom w:val="single" w:color="000000" w:sz="4" w:space="0"/>
              <w:right w:val="single" w:color="000000" w:sz="4" w:space="0"/>
            </w:tcBorders>
            <w:vAlign w:val="center"/>
          </w:tcPr>
          <w:p w14:paraId="478F53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608AC2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600根/年</w:t>
            </w:r>
          </w:p>
        </w:tc>
        <w:tc>
          <w:tcPr>
            <w:tcW w:w="1349" w:type="dxa"/>
            <w:tcBorders>
              <w:top w:val="single" w:color="000000" w:sz="4" w:space="0"/>
              <w:left w:val="single" w:color="000000" w:sz="4" w:space="0"/>
              <w:bottom w:val="single" w:color="000000" w:sz="4" w:space="0"/>
              <w:right w:val="single" w:color="000000" w:sz="4" w:space="0"/>
            </w:tcBorders>
            <w:vAlign w:val="center"/>
          </w:tcPr>
          <w:p w14:paraId="4653DB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600根/年</w:t>
            </w:r>
          </w:p>
        </w:tc>
        <w:tc>
          <w:tcPr>
            <w:tcW w:w="1032" w:type="dxa"/>
            <w:tcBorders>
              <w:top w:val="single" w:color="000000" w:sz="4" w:space="0"/>
              <w:left w:val="single" w:color="000000" w:sz="4" w:space="0"/>
              <w:bottom w:val="single" w:color="000000" w:sz="4" w:space="0"/>
              <w:right w:val="single" w:color="000000" w:sz="4" w:space="0"/>
            </w:tcBorders>
            <w:vAlign w:val="center"/>
          </w:tcPr>
          <w:p w14:paraId="1A11D5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60根</w:t>
            </w:r>
          </w:p>
        </w:tc>
        <w:tc>
          <w:tcPr>
            <w:tcW w:w="1075" w:type="dxa"/>
            <w:tcBorders>
              <w:top w:val="single" w:color="000000" w:sz="4" w:space="0"/>
              <w:left w:val="single" w:color="000000" w:sz="4" w:space="0"/>
              <w:bottom w:val="single" w:color="000000" w:sz="4" w:space="0"/>
              <w:right w:val="single" w:color="000000" w:sz="4" w:space="0"/>
            </w:tcBorders>
            <w:vAlign w:val="center"/>
          </w:tcPr>
          <w:p w14:paraId="393A1F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05E66B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2913E2B7">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550DF5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w:t>
            </w:r>
          </w:p>
        </w:tc>
        <w:tc>
          <w:tcPr>
            <w:tcW w:w="765" w:type="dxa"/>
            <w:vMerge w:val="continue"/>
            <w:tcBorders>
              <w:left w:val="single" w:color="000000" w:sz="4" w:space="0"/>
              <w:right w:val="single" w:color="000000" w:sz="4" w:space="0"/>
            </w:tcBorders>
            <w:vAlign w:val="center"/>
          </w:tcPr>
          <w:p w14:paraId="13805A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E1DF1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不锈钢棒料</w:t>
            </w:r>
          </w:p>
        </w:tc>
        <w:tc>
          <w:tcPr>
            <w:tcW w:w="3485" w:type="dxa"/>
            <w:tcBorders>
              <w:top w:val="single" w:color="000000" w:sz="4" w:space="0"/>
              <w:left w:val="single" w:color="000000" w:sz="4" w:space="0"/>
              <w:bottom w:val="single" w:color="000000" w:sz="4" w:space="0"/>
              <w:right w:val="single" w:color="000000" w:sz="4" w:space="0"/>
            </w:tcBorders>
            <w:vAlign w:val="center"/>
          </w:tcPr>
          <w:p w14:paraId="1DD2B3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不锈钢</w:t>
            </w:r>
          </w:p>
        </w:tc>
        <w:tc>
          <w:tcPr>
            <w:tcW w:w="1138" w:type="dxa"/>
            <w:tcBorders>
              <w:top w:val="single" w:color="000000" w:sz="4" w:space="0"/>
              <w:left w:val="single" w:color="000000" w:sz="4" w:space="0"/>
              <w:bottom w:val="single" w:color="000000" w:sz="4" w:space="0"/>
              <w:right w:val="single" w:color="000000" w:sz="4" w:space="0"/>
            </w:tcBorders>
            <w:vAlign w:val="center"/>
          </w:tcPr>
          <w:p w14:paraId="374391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363832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810根/年</w:t>
            </w:r>
          </w:p>
        </w:tc>
        <w:tc>
          <w:tcPr>
            <w:tcW w:w="1349" w:type="dxa"/>
            <w:tcBorders>
              <w:top w:val="single" w:color="000000" w:sz="4" w:space="0"/>
              <w:left w:val="single" w:color="000000" w:sz="4" w:space="0"/>
              <w:bottom w:val="single" w:color="000000" w:sz="4" w:space="0"/>
              <w:right w:val="single" w:color="000000" w:sz="4" w:space="0"/>
            </w:tcBorders>
            <w:vAlign w:val="center"/>
          </w:tcPr>
          <w:p w14:paraId="24EAA9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810根/年</w:t>
            </w:r>
          </w:p>
        </w:tc>
        <w:tc>
          <w:tcPr>
            <w:tcW w:w="1032" w:type="dxa"/>
            <w:tcBorders>
              <w:top w:val="single" w:color="000000" w:sz="4" w:space="0"/>
              <w:left w:val="single" w:color="000000" w:sz="4" w:space="0"/>
              <w:bottom w:val="single" w:color="000000" w:sz="4" w:space="0"/>
              <w:right w:val="single" w:color="000000" w:sz="4" w:space="0"/>
            </w:tcBorders>
            <w:vAlign w:val="center"/>
          </w:tcPr>
          <w:p w14:paraId="597ACD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80根</w:t>
            </w:r>
          </w:p>
        </w:tc>
        <w:tc>
          <w:tcPr>
            <w:tcW w:w="1075" w:type="dxa"/>
            <w:tcBorders>
              <w:top w:val="single" w:color="000000" w:sz="4" w:space="0"/>
              <w:left w:val="single" w:color="000000" w:sz="4" w:space="0"/>
              <w:bottom w:val="single" w:color="000000" w:sz="4" w:space="0"/>
              <w:right w:val="single" w:color="000000" w:sz="4" w:space="0"/>
            </w:tcBorders>
            <w:vAlign w:val="center"/>
          </w:tcPr>
          <w:p w14:paraId="572F2C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47D748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4E5B7D71">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7AED4D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w:t>
            </w:r>
          </w:p>
        </w:tc>
        <w:tc>
          <w:tcPr>
            <w:tcW w:w="765" w:type="dxa"/>
            <w:vMerge w:val="continue"/>
            <w:tcBorders>
              <w:left w:val="single" w:color="000000" w:sz="4" w:space="0"/>
              <w:right w:val="single" w:color="000000" w:sz="4" w:space="0"/>
            </w:tcBorders>
            <w:vAlign w:val="center"/>
          </w:tcPr>
          <w:p w14:paraId="7CC09C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42F7A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切削液</w:t>
            </w:r>
          </w:p>
        </w:tc>
        <w:tc>
          <w:tcPr>
            <w:tcW w:w="3485" w:type="dxa"/>
            <w:tcBorders>
              <w:top w:val="single" w:color="000000" w:sz="4" w:space="0"/>
              <w:left w:val="single" w:color="000000" w:sz="4" w:space="0"/>
              <w:bottom w:val="single" w:color="000000" w:sz="4" w:space="0"/>
              <w:right w:val="single" w:color="000000" w:sz="4" w:space="0"/>
            </w:tcBorders>
            <w:vAlign w:val="center"/>
          </w:tcPr>
          <w:p w14:paraId="2C8CF9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三乙醇胺5-＜10%、单乙醇胺1-＜5%，其它低于水平报告85%</w:t>
            </w:r>
          </w:p>
        </w:tc>
        <w:tc>
          <w:tcPr>
            <w:tcW w:w="1138" w:type="dxa"/>
            <w:tcBorders>
              <w:top w:val="single" w:color="000000" w:sz="4" w:space="0"/>
              <w:left w:val="single" w:color="000000" w:sz="4" w:space="0"/>
              <w:bottom w:val="single" w:color="000000" w:sz="4" w:space="0"/>
              <w:right w:val="single" w:color="000000" w:sz="4" w:space="0"/>
            </w:tcBorders>
            <w:vAlign w:val="center"/>
          </w:tcPr>
          <w:p w14:paraId="375CA2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77CB86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430L/a</w:t>
            </w:r>
          </w:p>
        </w:tc>
        <w:tc>
          <w:tcPr>
            <w:tcW w:w="1349" w:type="dxa"/>
            <w:tcBorders>
              <w:top w:val="single" w:color="000000" w:sz="4" w:space="0"/>
              <w:left w:val="single" w:color="000000" w:sz="4" w:space="0"/>
              <w:bottom w:val="single" w:color="000000" w:sz="4" w:space="0"/>
              <w:right w:val="single" w:color="000000" w:sz="4" w:space="0"/>
            </w:tcBorders>
            <w:vAlign w:val="center"/>
          </w:tcPr>
          <w:p w14:paraId="55FEE8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430L/a</w:t>
            </w:r>
          </w:p>
        </w:tc>
        <w:tc>
          <w:tcPr>
            <w:tcW w:w="1032" w:type="dxa"/>
            <w:tcBorders>
              <w:top w:val="single" w:color="000000" w:sz="4" w:space="0"/>
              <w:left w:val="single" w:color="000000" w:sz="4" w:space="0"/>
              <w:bottom w:val="single" w:color="000000" w:sz="4" w:space="0"/>
              <w:right w:val="single" w:color="000000" w:sz="4" w:space="0"/>
            </w:tcBorders>
            <w:vAlign w:val="center"/>
          </w:tcPr>
          <w:p w14:paraId="2F2186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430L</w:t>
            </w:r>
          </w:p>
        </w:tc>
        <w:tc>
          <w:tcPr>
            <w:tcW w:w="1075" w:type="dxa"/>
            <w:tcBorders>
              <w:top w:val="single" w:color="000000" w:sz="4" w:space="0"/>
              <w:left w:val="single" w:color="000000" w:sz="4" w:space="0"/>
              <w:bottom w:val="single" w:color="000000" w:sz="4" w:space="0"/>
              <w:right w:val="single" w:color="000000" w:sz="4" w:space="0"/>
            </w:tcBorders>
            <w:vAlign w:val="center"/>
          </w:tcPr>
          <w:p w14:paraId="343916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0D13DE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2B65D727">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26E828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c>
          <w:tcPr>
            <w:tcW w:w="765" w:type="dxa"/>
            <w:vMerge w:val="continue"/>
            <w:tcBorders>
              <w:left w:val="single" w:color="000000" w:sz="4" w:space="0"/>
              <w:right w:val="single" w:color="000000" w:sz="4" w:space="0"/>
            </w:tcBorders>
            <w:vAlign w:val="center"/>
          </w:tcPr>
          <w:p w14:paraId="33535A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FC673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聚酰亚胺薄膜</w:t>
            </w:r>
          </w:p>
        </w:tc>
        <w:tc>
          <w:tcPr>
            <w:tcW w:w="3485" w:type="dxa"/>
            <w:tcBorders>
              <w:top w:val="single" w:color="000000" w:sz="4" w:space="0"/>
              <w:left w:val="single" w:color="000000" w:sz="4" w:space="0"/>
              <w:bottom w:val="single" w:color="000000" w:sz="4" w:space="0"/>
              <w:right w:val="single" w:color="000000" w:sz="4" w:space="0"/>
            </w:tcBorders>
            <w:vAlign w:val="center"/>
          </w:tcPr>
          <w:p w14:paraId="1B42FA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聚酰亚胺</w:t>
            </w:r>
          </w:p>
        </w:tc>
        <w:tc>
          <w:tcPr>
            <w:tcW w:w="1138" w:type="dxa"/>
            <w:tcBorders>
              <w:top w:val="single" w:color="000000" w:sz="4" w:space="0"/>
              <w:left w:val="single" w:color="000000" w:sz="4" w:space="0"/>
              <w:bottom w:val="single" w:color="000000" w:sz="4" w:space="0"/>
              <w:right w:val="single" w:color="000000" w:sz="4" w:space="0"/>
            </w:tcBorders>
            <w:vAlign w:val="center"/>
          </w:tcPr>
          <w:p w14:paraId="7388B9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5F3315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420m/a</w:t>
            </w:r>
          </w:p>
        </w:tc>
        <w:tc>
          <w:tcPr>
            <w:tcW w:w="1349" w:type="dxa"/>
            <w:tcBorders>
              <w:top w:val="single" w:color="000000" w:sz="4" w:space="0"/>
              <w:left w:val="single" w:color="000000" w:sz="4" w:space="0"/>
              <w:bottom w:val="single" w:color="000000" w:sz="4" w:space="0"/>
              <w:right w:val="single" w:color="000000" w:sz="4" w:space="0"/>
            </w:tcBorders>
            <w:vAlign w:val="center"/>
          </w:tcPr>
          <w:p w14:paraId="45CA13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420m/a</w:t>
            </w:r>
          </w:p>
        </w:tc>
        <w:tc>
          <w:tcPr>
            <w:tcW w:w="1032" w:type="dxa"/>
            <w:tcBorders>
              <w:top w:val="single" w:color="000000" w:sz="4" w:space="0"/>
              <w:left w:val="single" w:color="000000" w:sz="4" w:space="0"/>
              <w:bottom w:val="single" w:color="000000" w:sz="4" w:space="0"/>
              <w:right w:val="single" w:color="000000" w:sz="4" w:space="0"/>
            </w:tcBorders>
            <w:vAlign w:val="center"/>
          </w:tcPr>
          <w:p w14:paraId="745236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420m</w:t>
            </w:r>
          </w:p>
        </w:tc>
        <w:tc>
          <w:tcPr>
            <w:tcW w:w="1075" w:type="dxa"/>
            <w:tcBorders>
              <w:top w:val="single" w:color="000000" w:sz="4" w:space="0"/>
              <w:left w:val="single" w:color="000000" w:sz="4" w:space="0"/>
              <w:bottom w:val="single" w:color="000000" w:sz="4" w:space="0"/>
              <w:right w:val="single" w:color="000000" w:sz="4" w:space="0"/>
            </w:tcBorders>
            <w:vAlign w:val="center"/>
          </w:tcPr>
          <w:p w14:paraId="1114DB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682D42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44DB8C76">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7CFBB7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w:t>
            </w:r>
          </w:p>
        </w:tc>
        <w:tc>
          <w:tcPr>
            <w:tcW w:w="765" w:type="dxa"/>
            <w:vMerge w:val="continue"/>
            <w:tcBorders>
              <w:left w:val="single" w:color="000000" w:sz="4" w:space="0"/>
              <w:right w:val="single" w:color="000000" w:sz="4" w:space="0"/>
            </w:tcBorders>
            <w:vAlign w:val="center"/>
          </w:tcPr>
          <w:p w14:paraId="5FAD3D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41035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石墨纸</w:t>
            </w:r>
          </w:p>
        </w:tc>
        <w:tc>
          <w:tcPr>
            <w:tcW w:w="3485" w:type="dxa"/>
            <w:tcBorders>
              <w:top w:val="single" w:color="000000" w:sz="4" w:space="0"/>
              <w:left w:val="single" w:color="000000" w:sz="4" w:space="0"/>
              <w:bottom w:val="single" w:color="000000" w:sz="4" w:space="0"/>
              <w:right w:val="single" w:color="000000" w:sz="4" w:space="0"/>
            </w:tcBorders>
            <w:vAlign w:val="center"/>
          </w:tcPr>
          <w:p w14:paraId="4CE211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石墨</w:t>
            </w:r>
          </w:p>
        </w:tc>
        <w:tc>
          <w:tcPr>
            <w:tcW w:w="1138" w:type="dxa"/>
            <w:tcBorders>
              <w:top w:val="single" w:color="000000" w:sz="4" w:space="0"/>
              <w:left w:val="single" w:color="000000" w:sz="4" w:space="0"/>
              <w:bottom w:val="single" w:color="000000" w:sz="4" w:space="0"/>
              <w:right w:val="single" w:color="000000" w:sz="4" w:space="0"/>
            </w:tcBorders>
            <w:vAlign w:val="center"/>
          </w:tcPr>
          <w:p w14:paraId="17B9A7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485687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1卷/a</w:t>
            </w:r>
          </w:p>
        </w:tc>
        <w:tc>
          <w:tcPr>
            <w:tcW w:w="1349" w:type="dxa"/>
            <w:tcBorders>
              <w:top w:val="single" w:color="000000" w:sz="4" w:space="0"/>
              <w:left w:val="single" w:color="000000" w:sz="4" w:space="0"/>
              <w:bottom w:val="single" w:color="000000" w:sz="4" w:space="0"/>
              <w:right w:val="single" w:color="000000" w:sz="4" w:space="0"/>
            </w:tcBorders>
            <w:vAlign w:val="center"/>
          </w:tcPr>
          <w:p w14:paraId="3A9C2F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1卷/a</w:t>
            </w:r>
          </w:p>
        </w:tc>
        <w:tc>
          <w:tcPr>
            <w:tcW w:w="1032" w:type="dxa"/>
            <w:tcBorders>
              <w:top w:val="single" w:color="000000" w:sz="4" w:space="0"/>
              <w:left w:val="single" w:color="000000" w:sz="4" w:space="0"/>
              <w:bottom w:val="single" w:color="000000" w:sz="4" w:space="0"/>
              <w:right w:val="single" w:color="000000" w:sz="4" w:space="0"/>
            </w:tcBorders>
            <w:vAlign w:val="center"/>
          </w:tcPr>
          <w:p w14:paraId="14C6E4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1卷</w:t>
            </w:r>
          </w:p>
        </w:tc>
        <w:tc>
          <w:tcPr>
            <w:tcW w:w="1075" w:type="dxa"/>
            <w:tcBorders>
              <w:top w:val="single" w:color="000000" w:sz="4" w:space="0"/>
              <w:left w:val="single" w:color="000000" w:sz="4" w:space="0"/>
              <w:bottom w:val="single" w:color="000000" w:sz="4" w:space="0"/>
              <w:right w:val="single" w:color="000000" w:sz="4" w:space="0"/>
            </w:tcBorders>
            <w:vAlign w:val="center"/>
          </w:tcPr>
          <w:p w14:paraId="2D45C6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68CABD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20DBD8FE">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35A852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7</w:t>
            </w:r>
          </w:p>
        </w:tc>
        <w:tc>
          <w:tcPr>
            <w:tcW w:w="765" w:type="dxa"/>
            <w:vMerge w:val="continue"/>
            <w:tcBorders>
              <w:left w:val="single" w:color="000000" w:sz="4" w:space="0"/>
              <w:right w:val="single" w:color="000000" w:sz="4" w:space="0"/>
            </w:tcBorders>
            <w:vAlign w:val="center"/>
          </w:tcPr>
          <w:p w14:paraId="158304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E4037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Q-pad（中间铝箔+两面硅橡胶涂层）</w:t>
            </w:r>
          </w:p>
        </w:tc>
        <w:tc>
          <w:tcPr>
            <w:tcW w:w="3485" w:type="dxa"/>
            <w:tcBorders>
              <w:top w:val="single" w:color="000000" w:sz="4" w:space="0"/>
              <w:left w:val="single" w:color="000000" w:sz="4" w:space="0"/>
              <w:bottom w:val="single" w:color="000000" w:sz="4" w:space="0"/>
              <w:right w:val="single" w:color="000000" w:sz="4" w:space="0"/>
            </w:tcBorders>
            <w:vAlign w:val="center"/>
          </w:tcPr>
          <w:p w14:paraId="60AD5B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铝箔、硅橡胶</w:t>
            </w:r>
          </w:p>
        </w:tc>
        <w:tc>
          <w:tcPr>
            <w:tcW w:w="1138" w:type="dxa"/>
            <w:tcBorders>
              <w:top w:val="single" w:color="000000" w:sz="4" w:space="0"/>
              <w:left w:val="single" w:color="000000" w:sz="4" w:space="0"/>
              <w:bottom w:val="single" w:color="000000" w:sz="4" w:space="0"/>
              <w:right w:val="single" w:color="000000" w:sz="4" w:space="0"/>
            </w:tcBorders>
            <w:vAlign w:val="center"/>
          </w:tcPr>
          <w:p w14:paraId="758BF7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15902B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20卷/a</w:t>
            </w:r>
          </w:p>
        </w:tc>
        <w:tc>
          <w:tcPr>
            <w:tcW w:w="1349" w:type="dxa"/>
            <w:tcBorders>
              <w:top w:val="single" w:color="000000" w:sz="4" w:space="0"/>
              <w:left w:val="single" w:color="000000" w:sz="4" w:space="0"/>
              <w:bottom w:val="single" w:color="000000" w:sz="4" w:space="0"/>
              <w:right w:val="single" w:color="000000" w:sz="4" w:space="0"/>
            </w:tcBorders>
            <w:vAlign w:val="center"/>
          </w:tcPr>
          <w:p w14:paraId="56EB09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20卷/a</w:t>
            </w:r>
          </w:p>
        </w:tc>
        <w:tc>
          <w:tcPr>
            <w:tcW w:w="1032" w:type="dxa"/>
            <w:tcBorders>
              <w:top w:val="single" w:color="000000" w:sz="4" w:space="0"/>
              <w:left w:val="single" w:color="000000" w:sz="4" w:space="0"/>
              <w:bottom w:val="single" w:color="000000" w:sz="4" w:space="0"/>
              <w:right w:val="single" w:color="000000" w:sz="4" w:space="0"/>
            </w:tcBorders>
            <w:vAlign w:val="center"/>
          </w:tcPr>
          <w:p w14:paraId="11D414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20卷</w:t>
            </w:r>
          </w:p>
        </w:tc>
        <w:tc>
          <w:tcPr>
            <w:tcW w:w="1075" w:type="dxa"/>
            <w:tcBorders>
              <w:top w:val="single" w:color="000000" w:sz="4" w:space="0"/>
              <w:left w:val="single" w:color="000000" w:sz="4" w:space="0"/>
              <w:bottom w:val="single" w:color="000000" w:sz="4" w:space="0"/>
              <w:right w:val="single" w:color="000000" w:sz="4" w:space="0"/>
            </w:tcBorders>
            <w:vAlign w:val="center"/>
          </w:tcPr>
          <w:p w14:paraId="101D7E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5679FC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0D720770">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2D203B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w:t>
            </w:r>
          </w:p>
        </w:tc>
        <w:tc>
          <w:tcPr>
            <w:tcW w:w="765" w:type="dxa"/>
            <w:vMerge w:val="continue"/>
            <w:tcBorders>
              <w:left w:val="single" w:color="000000" w:sz="4" w:space="0"/>
              <w:right w:val="single" w:color="000000" w:sz="4" w:space="0"/>
            </w:tcBorders>
            <w:vAlign w:val="center"/>
          </w:tcPr>
          <w:p w14:paraId="488CE7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609351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导热硅胶片</w:t>
            </w:r>
          </w:p>
        </w:tc>
        <w:tc>
          <w:tcPr>
            <w:tcW w:w="3485" w:type="dxa"/>
            <w:tcBorders>
              <w:top w:val="single" w:color="000000" w:sz="4" w:space="0"/>
              <w:left w:val="single" w:color="000000" w:sz="4" w:space="0"/>
              <w:bottom w:val="single" w:color="000000" w:sz="4" w:space="0"/>
              <w:right w:val="single" w:color="000000" w:sz="4" w:space="0"/>
            </w:tcBorders>
            <w:vAlign w:val="center"/>
          </w:tcPr>
          <w:p w14:paraId="0EA634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硅胶</w:t>
            </w:r>
          </w:p>
        </w:tc>
        <w:tc>
          <w:tcPr>
            <w:tcW w:w="1138" w:type="dxa"/>
            <w:tcBorders>
              <w:top w:val="single" w:color="000000" w:sz="4" w:space="0"/>
              <w:left w:val="single" w:color="000000" w:sz="4" w:space="0"/>
              <w:bottom w:val="single" w:color="000000" w:sz="4" w:space="0"/>
              <w:right w:val="single" w:color="000000" w:sz="4" w:space="0"/>
            </w:tcBorders>
            <w:vAlign w:val="center"/>
          </w:tcPr>
          <w:p w14:paraId="194972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31C871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100片/a</w:t>
            </w:r>
          </w:p>
        </w:tc>
        <w:tc>
          <w:tcPr>
            <w:tcW w:w="1349" w:type="dxa"/>
            <w:tcBorders>
              <w:top w:val="single" w:color="000000" w:sz="4" w:space="0"/>
              <w:left w:val="single" w:color="000000" w:sz="4" w:space="0"/>
              <w:bottom w:val="single" w:color="000000" w:sz="4" w:space="0"/>
              <w:right w:val="single" w:color="000000" w:sz="4" w:space="0"/>
            </w:tcBorders>
            <w:vAlign w:val="center"/>
          </w:tcPr>
          <w:p w14:paraId="71B39C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100片/a</w:t>
            </w:r>
          </w:p>
        </w:tc>
        <w:tc>
          <w:tcPr>
            <w:tcW w:w="1032" w:type="dxa"/>
            <w:tcBorders>
              <w:top w:val="single" w:color="000000" w:sz="4" w:space="0"/>
              <w:left w:val="single" w:color="000000" w:sz="4" w:space="0"/>
              <w:bottom w:val="single" w:color="000000" w:sz="4" w:space="0"/>
              <w:right w:val="single" w:color="000000" w:sz="4" w:space="0"/>
            </w:tcBorders>
            <w:vAlign w:val="center"/>
          </w:tcPr>
          <w:p w14:paraId="129799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100片</w:t>
            </w:r>
          </w:p>
        </w:tc>
        <w:tc>
          <w:tcPr>
            <w:tcW w:w="1075" w:type="dxa"/>
            <w:tcBorders>
              <w:top w:val="single" w:color="000000" w:sz="4" w:space="0"/>
              <w:left w:val="single" w:color="000000" w:sz="4" w:space="0"/>
              <w:bottom w:val="single" w:color="000000" w:sz="4" w:space="0"/>
              <w:right w:val="single" w:color="000000" w:sz="4" w:space="0"/>
            </w:tcBorders>
            <w:vAlign w:val="center"/>
          </w:tcPr>
          <w:p w14:paraId="5CF00F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0095C9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6A14147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6A940D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9</w:t>
            </w:r>
          </w:p>
        </w:tc>
        <w:tc>
          <w:tcPr>
            <w:tcW w:w="765" w:type="dxa"/>
            <w:vMerge w:val="continue"/>
            <w:tcBorders>
              <w:left w:val="single" w:color="000000" w:sz="4" w:space="0"/>
              <w:right w:val="single" w:color="000000" w:sz="4" w:space="0"/>
            </w:tcBorders>
            <w:vAlign w:val="center"/>
          </w:tcPr>
          <w:p w14:paraId="4CC6C9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12218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乙醇</w:t>
            </w:r>
          </w:p>
        </w:tc>
        <w:tc>
          <w:tcPr>
            <w:tcW w:w="3485" w:type="dxa"/>
            <w:tcBorders>
              <w:top w:val="single" w:color="000000" w:sz="4" w:space="0"/>
              <w:left w:val="single" w:color="000000" w:sz="4" w:space="0"/>
              <w:bottom w:val="single" w:color="000000" w:sz="4" w:space="0"/>
              <w:right w:val="single" w:color="000000" w:sz="4" w:space="0"/>
            </w:tcBorders>
            <w:vAlign w:val="center"/>
          </w:tcPr>
          <w:p w14:paraId="140EDD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乙醇</w:t>
            </w:r>
          </w:p>
        </w:tc>
        <w:tc>
          <w:tcPr>
            <w:tcW w:w="1138" w:type="dxa"/>
            <w:tcBorders>
              <w:top w:val="single" w:color="000000" w:sz="4" w:space="0"/>
              <w:left w:val="single" w:color="000000" w:sz="4" w:space="0"/>
              <w:bottom w:val="single" w:color="000000" w:sz="4" w:space="0"/>
              <w:right w:val="single" w:color="000000" w:sz="4" w:space="0"/>
            </w:tcBorders>
            <w:vAlign w:val="center"/>
          </w:tcPr>
          <w:p w14:paraId="1957D0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58DB6B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10kg/a</w:t>
            </w:r>
          </w:p>
        </w:tc>
        <w:tc>
          <w:tcPr>
            <w:tcW w:w="1349" w:type="dxa"/>
            <w:tcBorders>
              <w:top w:val="single" w:color="000000" w:sz="4" w:space="0"/>
              <w:left w:val="single" w:color="000000" w:sz="4" w:space="0"/>
              <w:bottom w:val="single" w:color="000000" w:sz="4" w:space="0"/>
              <w:right w:val="single" w:color="000000" w:sz="4" w:space="0"/>
            </w:tcBorders>
            <w:vAlign w:val="center"/>
          </w:tcPr>
          <w:p w14:paraId="74ADED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10kg/a</w:t>
            </w:r>
          </w:p>
        </w:tc>
        <w:tc>
          <w:tcPr>
            <w:tcW w:w="1032" w:type="dxa"/>
            <w:tcBorders>
              <w:top w:val="single" w:color="000000" w:sz="4" w:space="0"/>
              <w:left w:val="single" w:color="000000" w:sz="4" w:space="0"/>
              <w:bottom w:val="single" w:color="000000" w:sz="4" w:space="0"/>
              <w:right w:val="single" w:color="000000" w:sz="4" w:space="0"/>
            </w:tcBorders>
            <w:vAlign w:val="center"/>
          </w:tcPr>
          <w:p w14:paraId="4F7DEE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10kg</w:t>
            </w:r>
          </w:p>
        </w:tc>
        <w:tc>
          <w:tcPr>
            <w:tcW w:w="1075" w:type="dxa"/>
            <w:tcBorders>
              <w:top w:val="single" w:color="000000" w:sz="4" w:space="0"/>
              <w:left w:val="single" w:color="000000" w:sz="4" w:space="0"/>
              <w:bottom w:val="single" w:color="000000" w:sz="4" w:space="0"/>
              <w:right w:val="single" w:color="000000" w:sz="4" w:space="0"/>
            </w:tcBorders>
            <w:vAlign w:val="center"/>
          </w:tcPr>
          <w:p w14:paraId="2D24D6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79526C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7CAE43F2">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1F61C3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w:t>
            </w:r>
          </w:p>
        </w:tc>
        <w:tc>
          <w:tcPr>
            <w:tcW w:w="765" w:type="dxa"/>
            <w:vMerge w:val="continue"/>
            <w:tcBorders>
              <w:left w:val="single" w:color="000000" w:sz="4" w:space="0"/>
              <w:right w:val="single" w:color="000000" w:sz="4" w:space="0"/>
            </w:tcBorders>
            <w:vAlign w:val="center"/>
          </w:tcPr>
          <w:p w14:paraId="048CDD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2B22C9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外购半成品</w:t>
            </w:r>
          </w:p>
        </w:tc>
        <w:tc>
          <w:tcPr>
            <w:tcW w:w="3485" w:type="dxa"/>
            <w:tcBorders>
              <w:top w:val="single" w:color="000000" w:sz="4" w:space="0"/>
              <w:left w:val="single" w:color="000000" w:sz="4" w:space="0"/>
              <w:bottom w:val="single" w:color="000000" w:sz="4" w:space="0"/>
              <w:right w:val="single" w:color="000000" w:sz="4" w:space="0"/>
            </w:tcBorders>
            <w:vAlign w:val="center"/>
          </w:tcPr>
          <w:p w14:paraId="70A329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塑料、金属</w:t>
            </w:r>
          </w:p>
        </w:tc>
        <w:tc>
          <w:tcPr>
            <w:tcW w:w="1138" w:type="dxa"/>
            <w:tcBorders>
              <w:top w:val="single" w:color="000000" w:sz="4" w:space="0"/>
              <w:left w:val="single" w:color="000000" w:sz="4" w:space="0"/>
              <w:bottom w:val="single" w:color="000000" w:sz="4" w:space="0"/>
              <w:right w:val="single" w:color="000000" w:sz="4" w:space="0"/>
            </w:tcBorders>
            <w:vAlign w:val="center"/>
          </w:tcPr>
          <w:p w14:paraId="3E7F40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32EC76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64000件/年</w:t>
            </w:r>
          </w:p>
        </w:tc>
        <w:tc>
          <w:tcPr>
            <w:tcW w:w="1349" w:type="dxa"/>
            <w:tcBorders>
              <w:top w:val="single" w:color="000000" w:sz="4" w:space="0"/>
              <w:left w:val="single" w:color="000000" w:sz="4" w:space="0"/>
              <w:bottom w:val="single" w:color="000000" w:sz="4" w:space="0"/>
              <w:right w:val="single" w:color="000000" w:sz="4" w:space="0"/>
            </w:tcBorders>
            <w:vAlign w:val="center"/>
          </w:tcPr>
          <w:p w14:paraId="348862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64000件/年</w:t>
            </w:r>
          </w:p>
        </w:tc>
        <w:tc>
          <w:tcPr>
            <w:tcW w:w="1032" w:type="dxa"/>
            <w:tcBorders>
              <w:top w:val="single" w:color="000000" w:sz="4" w:space="0"/>
              <w:left w:val="single" w:color="000000" w:sz="4" w:space="0"/>
              <w:bottom w:val="single" w:color="000000" w:sz="4" w:space="0"/>
              <w:right w:val="single" w:color="000000" w:sz="4" w:space="0"/>
            </w:tcBorders>
            <w:vAlign w:val="center"/>
          </w:tcPr>
          <w:p w14:paraId="6F3120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6400件</w:t>
            </w:r>
          </w:p>
        </w:tc>
        <w:tc>
          <w:tcPr>
            <w:tcW w:w="1075" w:type="dxa"/>
            <w:tcBorders>
              <w:top w:val="single" w:color="000000" w:sz="4" w:space="0"/>
              <w:left w:val="single" w:color="000000" w:sz="4" w:space="0"/>
              <w:bottom w:val="single" w:color="000000" w:sz="4" w:space="0"/>
              <w:right w:val="single" w:color="000000" w:sz="4" w:space="0"/>
            </w:tcBorders>
            <w:vAlign w:val="center"/>
          </w:tcPr>
          <w:p w14:paraId="4AC56F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1363F4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76B5A23C">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447196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11</w:t>
            </w:r>
          </w:p>
        </w:tc>
        <w:tc>
          <w:tcPr>
            <w:tcW w:w="765" w:type="dxa"/>
            <w:vMerge w:val="continue"/>
            <w:tcBorders>
              <w:left w:val="single" w:color="000000" w:sz="4" w:space="0"/>
              <w:right w:val="single" w:color="000000" w:sz="4" w:space="0"/>
            </w:tcBorders>
            <w:vAlign w:val="center"/>
          </w:tcPr>
          <w:p w14:paraId="54A667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EE3B8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碟簧片（蝶形弹簧）</w:t>
            </w:r>
          </w:p>
        </w:tc>
        <w:tc>
          <w:tcPr>
            <w:tcW w:w="3485" w:type="dxa"/>
            <w:tcBorders>
              <w:top w:val="single" w:color="000000" w:sz="4" w:space="0"/>
              <w:left w:val="single" w:color="000000" w:sz="4" w:space="0"/>
              <w:bottom w:val="single" w:color="000000" w:sz="4" w:space="0"/>
              <w:right w:val="single" w:color="000000" w:sz="4" w:space="0"/>
            </w:tcBorders>
            <w:vAlign w:val="center"/>
          </w:tcPr>
          <w:p w14:paraId="5119B0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合金钢</w:t>
            </w:r>
          </w:p>
        </w:tc>
        <w:tc>
          <w:tcPr>
            <w:tcW w:w="1138" w:type="dxa"/>
            <w:tcBorders>
              <w:top w:val="single" w:color="000000" w:sz="4" w:space="0"/>
              <w:left w:val="single" w:color="000000" w:sz="4" w:space="0"/>
              <w:bottom w:val="single" w:color="000000" w:sz="4" w:space="0"/>
              <w:right w:val="single" w:color="000000" w:sz="4" w:space="0"/>
            </w:tcBorders>
            <w:vAlign w:val="center"/>
          </w:tcPr>
          <w:p w14:paraId="61952B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32B33A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20万片/年</w:t>
            </w:r>
          </w:p>
        </w:tc>
        <w:tc>
          <w:tcPr>
            <w:tcW w:w="1349" w:type="dxa"/>
            <w:tcBorders>
              <w:top w:val="single" w:color="000000" w:sz="4" w:space="0"/>
              <w:left w:val="single" w:color="000000" w:sz="4" w:space="0"/>
              <w:bottom w:val="single" w:color="000000" w:sz="4" w:space="0"/>
              <w:right w:val="single" w:color="000000" w:sz="4" w:space="0"/>
            </w:tcBorders>
            <w:vAlign w:val="center"/>
          </w:tcPr>
          <w:p w14:paraId="20E947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20万片/年</w:t>
            </w:r>
          </w:p>
        </w:tc>
        <w:tc>
          <w:tcPr>
            <w:tcW w:w="1032" w:type="dxa"/>
            <w:tcBorders>
              <w:top w:val="single" w:color="000000" w:sz="4" w:space="0"/>
              <w:left w:val="single" w:color="000000" w:sz="4" w:space="0"/>
              <w:bottom w:val="single" w:color="000000" w:sz="4" w:space="0"/>
              <w:right w:val="single" w:color="000000" w:sz="4" w:space="0"/>
            </w:tcBorders>
            <w:vAlign w:val="center"/>
          </w:tcPr>
          <w:p w14:paraId="306907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2万片</w:t>
            </w:r>
          </w:p>
        </w:tc>
        <w:tc>
          <w:tcPr>
            <w:tcW w:w="1075" w:type="dxa"/>
            <w:tcBorders>
              <w:top w:val="single" w:color="000000" w:sz="4" w:space="0"/>
              <w:left w:val="single" w:color="000000" w:sz="4" w:space="0"/>
              <w:bottom w:val="single" w:color="000000" w:sz="4" w:space="0"/>
              <w:right w:val="single" w:color="000000" w:sz="4" w:space="0"/>
            </w:tcBorders>
            <w:vAlign w:val="center"/>
          </w:tcPr>
          <w:p w14:paraId="485CA7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259C42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403644B7">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311DC0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12</w:t>
            </w:r>
          </w:p>
        </w:tc>
        <w:tc>
          <w:tcPr>
            <w:tcW w:w="765" w:type="dxa"/>
            <w:vMerge w:val="continue"/>
            <w:tcBorders>
              <w:left w:val="single" w:color="000000" w:sz="4" w:space="0"/>
              <w:right w:val="single" w:color="000000" w:sz="4" w:space="0"/>
            </w:tcBorders>
            <w:vAlign w:val="center"/>
          </w:tcPr>
          <w:p w14:paraId="5D5C73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EB9A7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'PAI5030棒料</w:t>
            </w:r>
          </w:p>
        </w:tc>
        <w:tc>
          <w:tcPr>
            <w:tcW w:w="3485" w:type="dxa"/>
            <w:tcBorders>
              <w:top w:val="single" w:color="000000" w:sz="4" w:space="0"/>
              <w:left w:val="single" w:color="000000" w:sz="4" w:space="0"/>
              <w:bottom w:val="single" w:color="000000" w:sz="4" w:space="0"/>
              <w:right w:val="single" w:color="000000" w:sz="4" w:space="0"/>
            </w:tcBorders>
            <w:vAlign w:val="center"/>
          </w:tcPr>
          <w:p w14:paraId="73649C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聚酰胺-酰亚胺（PAI）树脂</w:t>
            </w:r>
          </w:p>
        </w:tc>
        <w:tc>
          <w:tcPr>
            <w:tcW w:w="1138" w:type="dxa"/>
            <w:tcBorders>
              <w:top w:val="single" w:color="000000" w:sz="4" w:space="0"/>
              <w:left w:val="single" w:color="000000" w:sz="4" w:space="0"/>
              <w:bottom w:val="single" w:color="000000" w:sz="4" w:space="0"/>
              <w:right w:val="single" w:color="000000" w:sz="4" w:space="0"/>
            </w:tcBorders>
            <w:vAlign w:val="center"/>
          </w:tcPr>
          <w:p w14:paraId="75D8C0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176A22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500根/年</w:t>
            </w:r>
          </w:p>
        </w:tc>
        <w:tc>
          <w:tcPr>
            <w:tcW w:w="1349" w:type="dxa"/>
            <w:tcBorders>
              <w:top w:val="single" w:color="000000" w:sz="4" w:space="0"/>
              <w:left w:val="single" w:color="000000" w:sz="4" w:space="0"/>
              <w:bottom w:val="single" w:color="000000" w:sz="4" w:space="0"/>
              <w:right w:val="single" w:color="000000" w:sz="4" w:space="0"/>
            </w:tcBorders>
            <w:vAlign w:val="center"/>
          </w:tcPr>
          <w:p w14:paraId="5DB331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500根/年</w:t>
            </w:r>
          </w:p>
        </w:tc>
        <w:tc>
          <w:tcPr>
            <w:tcW w:w="1032" w:type="dxa"/>
            <w:tcBorders>
              <w:top w:val="single" w:color="000000" w:sz="4" w:space="0"/>
              <w:left w:val="single" w:color="000000" w:sz="4" w:space="0"/>
              <w:bottom w:val="single" w:color="000000" w:sz="4" w:space="0"/>
              <w:right w:val="single" w:color="000000" w:sz="4" w:space="0"/>
            </w:tcBorders>
            <w:vAlign w:val="center"/>
          </w:tcPr>
          <w:p w14:paraId="3E8A5E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50根</w:t>
            </w:r>
          </w:p>
        </w:tc>
        <w:tc>
          <w:tcPr>
            <w:tcW w:w="1075" w:type="dxa"/>
            <w:tcBorders>
              <w:top w:val="single" w:color="000000" w:sz="4" w:space="0"/>
              <w:left w:val="single" w:color="000000" w:sz="4" w:space="0"/>
              <w:bottom w:val="single" w:color="000000" w:sz="4" w:space="0"/>
              <w:right w:val="single" w:color="000000" w:sz="4" w:space="0"/>
            </w:tcBorders>
            <w:vAlign w:val="center"/>
          </w:tcPr>
          <w:p w14:paraId="5D4673E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265" w:type="dxa"/>
            <w:vMerge w:val="continue"/>
            <w:tcBorders>
              <w:left w:val="single" w:color="000000" w:sz="4" w:space="0"/>
              <w:right w:val="single" w:color="000000" w:sz="4" w:space="0"/>
            </w:tcBorders>
            <w:vAlign w:val="center"/>
          </w:tcPr>
          <w:p w14:paraId="72DA6A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4D073C8D">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7CF701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13</w:t>
            </w:r>
          </w:p>
        </w:tc>
        <w:tc>
          <w:tcPr>
            <w:tcW w:w="765" w:type="dxa"/>
            <w:vMerge w:val="continue"/>
            <w:tcBorders>
              <w:left w:val="single" w:color="000000" w:sz="4" w:space="0"/>
              <w:right w:val="single" w:color="000000" w:sz="4" w:space="0"/>
            </w:tcBorders>
            <w:vAlign w:val="center"/>
          </w:tcPr>
          <w:p w14:paraId="2B0D60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B3CFE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w:t>
            </w:r>
          </w:p>
        </w:tc>
        <w:tc>
          <w:tcPr>
            <w:tcW w:w="3485" w:type="dxa"/>
            <w:tcBorders>
              <w:top w:val="single" w:color="000000" w:sz="4" w:space="0"/>
              <w:left w:val="single" w:color="000000" w:sz="4" w:space="0"/>
              <w:bottom w:val="single" w:color="000000" w:sz="4" w:space="0"/>
              <w:right w:val="single" w:color="000000" w:sz="4" w:space="0"/>
            </w:tcBorders>
            <w:vAlign w:val="center"/>
          </w:tcPr>
          <w:p w14:paraId="2DFB43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氢氟酸49%</w:t>
            </w:r>
          </w:p>
        </w:tc>
        <w:tc>
          <w:tcPr>
            <w:tcW w:w="1138" w:type="dxa"/>
            <w:tcBorders>
              <w:top w:val="single" w:color="000000" w:sz="4" w:space="0"/>
              <w:left w:val="single" w:color="000000" w:sz="4" w:space="0"/>
              <w:bottom w:val="single" w:color="000000" w:sz="4" w:space="0"/>
              <w:right w:val="single" w:color="000000" w:sz="4" w:space="0"/>
            </w:tcBorders>
            <w:vAlign w:val="center"/>
          </w:tcPr>
          <w:p w14:paraId="1B4E9E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321CAD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0.6</w:t>
            </w:r>
          </w:p>
        </w:tc>
        <w:tc>
          <w:tcPr>
            <w:tcW w:w="1349" w:type="dxa"/>
            <w:tcBorders>
              <w:top w:val="single" w:color="000000" w:sz="4" w:space="0"/>
              <w:left w:val="single" w:color="000000" w:sz="4" w:space="0"/>
              <w:bottom w:val="single" w:color="000000" w:sz="4" w:space="0"/>
              <w:right w:val="single" w:color="000000" w:sz="4" w:space="0"/>
            </w:tcBorders>
            <w:vAlign w:val="center"/>
          </w:tcPr>
          <w:p w14:paraId="114AD8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0.6</w:t>
            </w:r>
          </w:p>
        </w:tc>
        <w:tc>
          <w:tcPr>
            <w:tcW w:w="1032" w:type="dxa"/>
            <w:tcBorders>
              <w:top w:val="single" w:color="000000" w:sz="4" w:space="0"/>
              <w:left w:val="single" w:color="000000" w:sz="4" w:space="0"/>
              <w:bottom w:val="single" w:color="000000" w:sz="4" w:space="0"/>
              <w:right w:val="single" w:color="000000" w:sz="4" w:space="0"/>
            </w:tcBorders>
            <w:vAlign w:val="center"/>
          </w:tcPr>
          <w:p w14:paraId="7F5E16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w:t>
            </w:r>
            <w:r>
              <w:rPr>
                <w:rFonts w:hint="eastAsia"/>
                <w:snapToGrid/>
                <w:color w:val="000000" w:themeColor="text1"/>
                <w:sz w:val="21"/>
                <w:szCs w:val="21"/>
                <w14:textFill>
                  <w14:solidFill>
                    <w14:schemeClr w14:val="tx1"/>
                  </w14:solidFill>
                </w14:textFill>
              </w:rPr>
              <w:t>1</w:t>
            </w:r>
          </w:p>
        </w:tc>
        <w:tc>
          <w:tcPr>
            <w:tcW w:w="1075" w:type="dxa"/>
            <w:tcBorders>
              <w:top w:val="single" w:color="000000" w:sz="4" w:space="0"/>
              <w:left w:val="single" w:color="000000" w:sz="4" w:space="0"/>
              <w:bottom w:val="single" w:color="000000" w:sz="4" w:space="0"/>
              <w:right w:val="single" w:color="000000" w:sz="4" w:space="0"/>
            </w:tcBorders>
            <w:vAlign w:val="center"/>
          </w:tcPr>
          <w:p w14:paraId="5788A6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265" w:type="dxa"/>
            <w:vMerge w:val="continue"/>
            <w:tcBorders>
              <w:left w:val="single" w:color="000000" w:sz="4" w:space="0"/>
              <w:right w:val="single" w:color="000000" w:sz="4" w:space="0"/>
            </w:tcBorders>
            <w:vAlign w:val="center"/>
          </w:tcPr>
          <w:p w14:paraId="305878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334403A3">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29AABD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14</w:t>
            </w:r>
          </w:p>
        </w:tc>
        <w:tc>
          <w:tcPr>
            <w:tcW w:w="765" w:type="dxa"/>
            <w:vMerge w:val="continue"/>
            <w:tcBorders>
              <w:left w:val="single" w:color="000000" w:sz="4" w:space="0"/>
              <w:right w:val="single" w:color="000000" w:sz="4" w:space="0"/>
            </w:tcBorders>
            <w:vAlign w:val="center"/>
          </w:tcPr>
          <w:p w14:paraId="163F12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CB65D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硝酸</w:t>
            </w:r>
          </w:p>
        </w:tc>
        <w:tc>
          <w:tcPr>
            <w:tcW w:w="3485" w:type="dxa"/>
            <w:tcBorders>
              <w:top w:val="single" w:color="000000" w:sz="4" w:space="0"/>
              <w:left w:val="single" w:color="000000" w:sz="4" w:space="0"/>
              <w:bottom w:val="single" w:color="000000" w:sz="4" w:space="0"/>
              <w:right w:val="single" w:color="000000" w:sz="4" w:space="0"/>
            </w:tcBorders>
            <w:vAlign w:val="center"/>
          </w:tcPr>
          <w:p w14:paraId="4B40C5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硝酸68%</w:t>
            </w:r>
          </w:p>
        </w:tc>
        <w:tc>
          <w:tcPr>
            <w:tcW w:w="1138" w:type="dxa"/>
            <w:tcBorders>
              <w:top w:val="single" w:color="000000" w:sz="4" w:space="0"/>
              <w:left w:val="single" w:color="000000" w:sz="4" w:space="0"/>
              <w:bottom w:val="single" w:color="000000" w:sz="4" w:space="0"/>
              <w:right w:val="single" w:color="000000" w:sz="4" w:space="0"/>
            </w:tcBorders>
            <w:vAlign w:val="center"/>
          </w:tcPr>
          <w:p w14:paraId="0EEFF1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933" w:type="dxa"/>
            <w:tcBorders>
              <w:top w:val="single" w:color="000000" w:sz="4" w:space="0"/>
              <w:left w:val="single" w:color="000000" w:sz="4" w:space="0"/>
              <w:bottom w:val="single" w:color="000000" w:sz="4" w:space="0"/>
              <w:right w:val="single" w:color="000000" w:sz="4" w:space="0"/>
            </w:tcBorders>
            <w:vAlign w:val="center"/>
          </w:tcPr>
          <w:p w14:paraId="25FD96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2.2</w:t>
            </w:r>
          </w:p>
        </w:tc>
        <w:tc>
          <w:tcPr>
            <w:tcW w:w="1349" w:type="dxa"/>
            <w:tcBorders>
              <w:top w:val="single" w:color="000000" w:sz="4" w:space="0"/>
              <w:left w:val="single" w:color="000000" w:sz="4" w:space="0"/>
              <w:bottom w:val="single" w:color="000000" w:sz="4" w:space="0"/>
              <w:right w:val="single" w:color="000000" w:sz="4" w:space="0"/>
            </w:tcBorders>
            <w:vAlign w:val="center"/>
          </w:tcPr>
          <w:p w14:paraId="0C8065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2.2</w:t>
            </w:r>
          </w:p>
        </w:tc>
        <w:tc>
          <w:tcPr>
            <w:tcW w:w="1032" w:type="dxa"/>
            <w:tcBorders>
              <w:top w:val="single" w:color="000000" w:sz="4" w:space="0"/>
              <w:left w:val="single" w:color="000000" w:sz="4" w:space="0"/>
              <w:bottom w:val="single" w:color="000000" w:sz="4" w:space="0"/>
              <w:right w:val="single" w:color="000000" w:sz="4" w:space="0"/>
            </w:tcBorders>
            <w:vAlign w:val="center"/>
          </w:tcPr>
          <w:p w14:paraId="34C8AF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0.3</w:t>
            </w:r>
          </w:p>
        </w:tc>
        <w:tc>
          <w:tcPr>
            <w:tcW w:w="1075" w:type="dxa"/>
            <w:tcBorders>
              <w:top w:val="single" w:color="000000" w:sz="4" w:space="0"/>
              <w:left w:val="single" w:color="000000" w:sz="4" w:space="0"/>
              <w:bottom w:val="single" w:color="000000" w:sz="4" w:space="0"/>
              <w:right w:val="single" w:color="000000" w:sz="4" w:space="0"/>
            </w:tcBorders>
            <w:vAlign w:val="center"/>
          </w:tcPr>
          <w:p w14:paraId="11F826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265" w:type="dxa"/>
            <w:vMerge w:val="continue"/>
            <w:tcBorders>
              <w:left w:val="single" w:color="000000" w:sz="4" w:space="0"/>
              <w:right w:val="single" w:color="000000" w:sz="4" w:space="0"/>
            </w:tcBorders>
            <w:vAlign w:val="center"/>
          </w:tcPr>
          <w:p w14:paraId="77EBFC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3CC20F1D">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534C65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65" w:type="dxa"/>
            <w:vMerge w:val="restart"/>
            <w:tcBorders>
              <w:top w:val="single" w:color="000000" w:sz="4" w:space="0"/>
              <w:left w:val="single" w:color="000000" w:sz="4" w:space="0"/>
              <w:right w:val="single" w:color="000000" w:sz="4" w:space="0"/>
            </w:tcBorders>
            <w:vAlign w:val="center"/>
          </w:tcPr>
          <w:p w14:paraId="34DAC4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石墨产品</w:t>
            </w:r>
            <w:r>
              <w:rPr>
                <w:rFonts w:hint="eastAsia"/>
                <w:snapToGrid/>
                <w:color w:val="000000" w:themeColor="text1"/>
                <w:sz w:val="21"/>
                <w:szCs w:val="21"/>
                <w14:textFill>
                  <w14:solidFill>
                    <w14:schemeClr w14:val="tx1"/>
                  </w14:solidFill>
                </w14:textFill>
              </w:rPr>
              <w:t>（含碳化硅涂层产品）</w:t>
            </w: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7A145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w:t>
            </w:r>
          </w:p>
        </w:tc>
        <w:tc>
          <w:tcPr>
            <w:tcW w:w="3485" w:type="dxa"/>
            <w:tcBorders>
              <w:top w:val="single" w:color="000000" w:sz="4" w:space="0"/>
              <w:left w:val="single" w:color="000000" w:sz="4" w:space="0"/>
              <w:bottom w:val="single" w:color="000000" w:sz="4" w:space="0"/>
              <w:right w:val="single" w:color="000000" w:sz="4" w:space="0"/>
            </w:tcBorders>
            <w:vAlign w:val="center"/>
          </w:tcPr>
          <w:p w14:paraId="10E6B5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C，99.99%</w:t>
            </w:r>
          </w:p>
        </w:tc>
        <w:tc>
          <w:tcPr>
            <w:tcW w:w="1138" w:type="dxa"/>
            <w:tcBorders>
              <w:top w:val="single" w:color="000000" w:sz="4" w:space="0"/>
              <w:left w:val="single" w:color="000000" w:sz="4" w:space="0"/>
              <w:bottom w:val="single" w:color="000000" w:sz="4" w:space="0"/>
              <w:right w:val="single" w:color="000000" w:sz="4" w:space="0"/>
            </w:tcBorders>
            <w:vAlign w:val="center"/>
          </w:tcPr>
          <w:p w14:paraId="7DD72C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933" w:type="dxa"/>
            <w:tcBorders>
              <w:top w:val="single" w:color="000000" w:sz="4" w:space="0"/>
              <w:left w:val="single" w:color="000000" w:sz="4" w:space="0"/>
              <w:bottom w:val="single" w:color="000000" w:sz="4" w:space="0"/>
              <w:right w:val="single" w:color="000000" w:sz="4" w:space="0"/>
            </w:tcBorders>
            <w:vAlign w:val="center"/>
          </w:tcPr>
          <w:p w14:paraId="42CAEC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53</w:t>
            </w:r>
          </w:p>
        </w:tc>
        <w:tc>
          <w:tcPr>
            <w:tcW w:w="1349" w:type="dxa"/>
            <w:tcBorders>
              <w:top w:val="single" w:color="000000" w:sz="4" w:space="0"/>
              <w:left w:val="single" w:color="000000" w:sz="4" w:space="0"/>
              <w:bottom w:val="single" w:color="000000" w:sz="4" w:space="0"/>
              <w:right w:val="single" w:color="000000" w:sz="4" w:space="0"/>
            </w:tcBorders>
            <w:vAlign w:val="center"/>
          </w:tcPr>
          <w:p w14:paraId="7DEB26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153</w:t>
            </w:r>
          </w:p>
        </w:tc>
        <w:tc>
          <w:tcPr>
            <w:tcW w:w="1032" w:type="dxa"/>
            <w:tcBorders>
              <w:top w:val="single" w:color="000000" w:sz="4" w:space="0"/>
              <w:left w:val="single" w:color="000000" w:sz="4" w:space="0"/>
              <w:bottom w:val="single" w:color="000000" w:sz="4" w:space="0"/>
              <w:right w:val="single" w:color="000000" w:sz="4" w:space="0"/>
            </w:tcBorders>
            <w:vAlign w:val="center"/>
          </w:tcPr>
          <w:p w14:paraId="413A69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r>
              <w:rPr>
                <w:rFonts w:hint="eastAsia"/>
                <w:snapToGrid/>
                <w:color w:val="000000" w:themeColor="text1"/>
                <w:sz w:val="21"/>
                <w:szCs w:val="21"/>
                <w14:textFill>
                  <w14:solidFill>
                    <w14:schemeClr w14:val="tx1"/>
                  </w14:solidFill>
                </w14:textFill>
              </w:rPr>
              <w:t>5</w:t>
            </w:r>
          </w:p>
        </w:tc>
        <w:tc>
          <w:tcPr>
            <w:tcW w:w="1075" w:type="dxa"/>
            <w:tcBorders>
              <w:top w:val="single" w:color="000000" w:sz="4" w:space="0"/>
              <w:left w:val="single" w:color="000000" w:sz="4" w:space="0"/>
              <w:bottom w:val="single" w:color="000000" w:sz="4" w:space="0"/>
              <w:right w:val="single" w:color="000000" w:sz="4" w:space="0"/>
            </w:tcBorders>
            <w:vAlign w:val="center"/>
          </w:tcPr>
          <w:p w14:paraId="78DBB3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265" w:type="dxa"/>
            <w:tcBorders>
              <w:top w:val="single" w:color="000000" w:sz="4" w:space="0"/>
              <w:left w:val="single" w:color="000000" w:sz="4" w:space="0"/>
              <w:bottom w:val="single" w:color="000000" w:sz="4" w:space="0"/>
              <w:right w:val="single" w:color="000000" w:sz="4" w:space="0"/>
            </w:tcBorders>
            <w:vAlign w:val="center"/>
          </w:tcPr>
          <w:p w14:paraId="1F8497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3C94A6CD">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7BCA96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65" w:type="dxa"/>
            <w:vMerge w:val="continue"/>
            <w:tcBorders>
              <w:left w:val="single" w:color="000000" w:sz="4" w:space="0"/>
              <w:right w:val="single" w:color="000000" w:sz="4" w:space="0"/>
            </w:tcBorders>
            <w:vAlign w:val="center"/>
          </w:tcPr>
          <w:p w14:paraId="2600DF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A78C8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MTS</w:t>
            </w:r>
          </w:p>
        </w:tc>
        <w:tc>
          <w:tcPr>
            <w:tcW w:w="3485" w:type="dxa"/>
            <w:tcBorders>
              <w:top w:val="single" w:color="000000" w:sz="4" w:space="0"/>
              <w:left w:val="single" w:color="000000" w:sz="4" w:space="0"/>
              <w:bottom w:val="single" w:color="000000" w:sz="4" w:space="0"/>
              <w:right w:val="single" w:color="000000" w:sz="4" w:space="0"/>
            </w:tcBorders>
            <w:vAlign w:val="center"/>
          </w:tcPr>
          <w:p w14:paraId="56BE9E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三氯甲基硅烷</w:t>
            </w:r>
          </w:p>
        </w:tc>
        <w:tc>
          <w:tcPr>
            <w:tcW w:w="1138" w:type="dxa"/>
            <w:tcBorders>
              <w:top w:val="single" w:color="000000" w:sz="4" w:space="0"/>
              <w:left w:val="single" w:color="000000" w:sz="4" w:space="0"/>
              <w:bottom w:val="single" w:color="000000" w:sz="4" w:space="0"/>
              <w:right w:val="single" w:color="000000" w:sz="4" w:space="0"/>
            </w:tcBorders>
            <w:vAlign w:val="center"/>
          </w:tcPr>
          <w:p w14:paraId="69CFA0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933" w:type="dxa"/>
            <w:tcBorders>
              <w:top w:val="single" w:color="000000" w:sz="4" w:space="0"/>
              <w:left w:val="single" w:color="000000" w:sz="4" w:space="0"/>
              <w:bottom w:val="single" w:color="000000" w:sz="4" w:space="0"/>
              <w:right w:val="single" w:color="000000" w:sz="4" w:space="0"/>
            </w:tcBorders>
            <w:vAlign w:val="center"/>
          </w:tcPr>
          <w:p w14:paraId="5D4462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4.8</w:t>
            </w:r>
          </w:p>
        </w:tc>
        <w:tc>
          <w:tcPr>
            <w:tcW w:w="1349" w:type="dxa"/>
            <w:tcBorders>
              <w:top w:val="single" w:color="000000" w:sz="4" w:space="0"/>
              <w:left w:val="single" w:color="000000" w:sz="4" w:space="0"/>
              <w:bottom w:val="single" w:color="000000" w:sz="4" w:space="0"/>
              <w:right w:val="single" w:color="000000" w:sz="4" w:space="0"/>
            </w:tcBorders>
            <w:vAlign w:val="center"/>
          </w:tcPr>
          <w:p w14:paraId="238427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34.8</w:t>
            </w:r>
          </w:p>
        </w:tc>
        <w:tc>
          <w:tcPr>
            <w:tcW w:w="1032" w:type="dxa"/>
            <w:tcBorders>
              <w:top w:val="single" w:color="000000" w:sz="4" w:space="0"/>
              <w:left w:val="single" w:color="000000" w:sz="4" w:space="0"/>
              <w:bottom w:val="single" w:color="000000" w:sz="4" w:space="0"/>
              <w:right w:val="single" w:color="000000" w:sz="4" w:space="0"/>
            </w:tcBorders>
            <w:vAlign w:val="center"/>
          </w:tcPr>
          <w:p w14:paraId="1FEE8F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3.5</w:t>
            </w:r>
          </w:p>
        </w:tc>
        <w:tc>
          <w:tcPr>
            <w:tcW w:w="1075" w:type="dxa"/>
            <w:tcBorders>
              <w:top w:val="single" w:color="000000" w:sz="4" w:space="0"/>
              <w:left w:val="single" w:color="000000" w:sz="4" w:space="0"/>
              <w:bottom w:val="single" w:color="000000" w:sz="4" w:space="0"/>
              <w:right w:val="single" w:color="000000" w:sz="4" w:space="0"/>
            </w:tcBorders>
            <w:vAlign w:val="center"/>
          </w:tcPr>
          <w:p w14:paraId="1DFDAFC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284D67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7F1D89B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2DCFD3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65" w:type="dxa"/>
            <w:vMerge w:val="continue"/>
            <w:tcBorders>
              <w:left w:val="single" w:color="000000" w:sz="4" w:space="0"/>
              <w:right w:val="single" w:color="000000" w:sz="4" w:space="0"/>
            </w:tcBorders>
            <w:vAlign w:val="center"/>
          </w:tcPr>
          <w:p w14:paraId="18E625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03458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HCl</w:t>
            </w:r>
          </w:p>
        </w:tc>
        <w:tc>
          <w:tcPr>
            <w:tcW w:w="3485" w:type="dxa"/>
            <w:tcBorders>
              <w:top w:val="single" w:color="000000" w:sz="4" w:space="0"/>
              <w:left w:val="single" w:color="000000" w:sz="4" w:space="0"/>
              <w:bottom w:val="single" w:color="000000" w:sz="4" w:space="0"/>
              <w:right w:val="single" w:color="000000" w:sz="4" w:space="0"/>
            </w:tcBorders>
            <w:vAlign w:val="center"/>
          </w:tcPr>
          <w:p w14:paraId="034049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氯化氢</w:t>
            </w:r>
          </w:p>
        </w:tc>
        <w:tc>
          <w:tcPr>
            <w:tcW w:w="1138" w:type="dxa"/>
            <w:tcBorders>
              <w:top w:val="single" w:color="000000" w:sz="4" w:space="0"/>
              <w:left w:val="single" w:color="000000" w:sz="4" w:space="0"/>
              <w:bottom w:val="single" w:color="000000" w:sz="4" w:space="0"/>
              <w:right w:val="single" w:color="000000" w:sz="4" w:space="0"/>
            </w:tcBorders>
            <w:vAlign w:val="center"/>
          </w:tcPr>
          <w:p w14:paraId="545766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0.4</w:t>
            </w:r>
          </w:p>
        </w:tc>
        <w:tc>
          <w:tcPr>
            <w:tcW w:w="933" w:type="dxa"/>
            <w:tcBorders>
              <w:top w:val="single" w:color="000000" w:sz="4" w:space="0"/>
              <w:left w:val="single" w:color="000000" w:sz="4" w:space="0"/>
              <w:bottom w:val="single" w:color="000000" w:sz="4" w:space="0"/>
              <w:right w:val="single" w:color="000000" w:sz="4" w:space="0"/>
            </w:tcBorders>
            <w:vAlign w:val="center"/>
          </w:tcPr>
          <w:p w14:paraId="3801A2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0.48</w:t>
            </w:r>
          </w:p>
        </w:tc>
        <w:tc>
          <w:tcPr>
            <w:tcW w:w="1349" w:type="dxa"/>
            <w:tcBorders>
              <w:top w:val="single" w:color="000000" w:sz="4" w:space="0"/>
              <w:left w:val="single" w:color="000000" w:sz="4" w:space="0"/>
              <w:bottom w:val="single" w:color="000000" w:sz="4" w:space="0"/>
              <w:right w:val="single" w:color="000000" w:sz="4" w:space="0"/>
            </w:tcBorders>
            <w:vAlign w:val="center"/>
          </w:tcPr>
          <w:p w14:paraId="31C1AC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0.88</w:t>
            </w:r>
          </w:p>
        </w:tc>
        <w:tc>
          <w:tcPr>
            <w:tcW w:w="1032" w:type="dxa"/>
            <w:tcBorders>
              <w:top w:val="single" w:color="000000" w:sz="4" w:space="0"/>
              <w:left w:val="single" w:color="000000" w:sz="4" w:space="0"/>
              <w:bottom w:val="single" w:color="000000" w:sz="4" w:space="0"/>
              <w:right w:val="single" w:color="000000" w:sz="4" w:space="0"/>
            </w:tcBorders>
            <w:vAlign w:val="center"/>
          </w:tcPr>
          <w:p w14:paraId="6DF186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w:t>
            </w:r>
            <w:r>
              <w:rPr>
                <w:rFonts w:hint="eastAsia"/>
                <w:snapToGrid/>
                <w:color w:val="000000" w:themeColor="text1"/>
                <w:sz w:val="21"/>
                <w:szCs w:val="21"/>
                <w14:textFill>
                  <w14:solidFill>
                    <w14:schemeClr w14:val="tx1"/>
                  </w14:solidFill>
                </w14:textFill>
              </w:rPr>
              <w:t>2</w:t>
            </w:r>
          </w:p>
        </w:tc>
        <w:tc>
          <w:tcPr>
            <w:tcW w:w="1075" w:type="dxa"/>
            <w:tcBorders>
              <w:top w:val="single" w:color="000000" w:sz="4" w:space="0"/>
              <w:left w:val="single" w:color="000000" w:sz="4" w:space="0"/>
              <w:bottom w:val="single" w:color="000000" w:sz="4" w:space="0"/>
              <w:right w:val="single" w:color="000000" w:sz="4" w:space="0"/>
            </w:tcBorders>
            <w:vAlign w:val="center"/>
          </w:tcPr>
          <w:p w14:paraId="65CA3C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1A81C2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4226BC4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2B397E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65" w:type="dxa"/>
            <w:vMerge w:val="continue"/>
            <w:tcBorders>
              <w:left w:val="single" w:color="000000" w:sz="4" w:space="0"/>
              <w:right w:val="single" w:color="000000" w:sz="4" w:space="0"/>
            </w:tcBorders>
            <w:vAlign w:val="center"/>
          </w:tcPr>
          <w:p w14:paraId="57B913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723305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2A78C5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1138" w:type="dxa"/>
            <w:tcBorders>
              <w:top w:val="single" w:color="000000" w:sz="4" w:space="0"/>
              <w:left w:val="single" w:color="000000" w:sz="4" w:space="0"/>
              <w:bottom w:val="single" w:color="000000" w:sz="4" w:space="0"/>
              <w:right w:val="single" w:color="000000" w:sz="4" w:space="0"/>
            </w:tcBorders>
            <w:vAlign w:val="center"/>
          </w:tcPr>
          <w:p w14:paraId="764EC0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933" w:type="dxa"/>
            <w:tcBorders>
              <w:top w:val="single" w:color="000000" w:sz="4" w:space="0"/>
              <w:left w:val="single" w:color="000000" w:sz="4" w:space="0"/>
              <w:bottom w:val="single" w:color="000000" w:sz="4" w:space="0"/>
              <w:right w:val="single" w:color="000000" w:sz="4" w:space="0"/>
            </w:tcBorders>
            <w:vAlign w:val="center"/>
          </w:tcPr>
          <w:p w14:paraId="463955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0.48</w:t>
            </w:r>
          </w:p>
        </w:tc>
        <w:tc>
          <w:tcPr>
            <w:tcW w:w="1349" w:type="dxa"/>
            <w:tcBorders>
              <w:top w:val="single" w:color="000000" w:sz="4" w:space="0"/>
              <w:left w:val="single" w:color="000000" w:sz="4" w:space="0"/>
              <w:bottom w:val="single" w:color="000000" w:sz="4" w:space="0"/>
              <w:right w:val="single" w:color="000000" w:sz="4" w:space="0"/>
            </w:tcBorders>
            <w:vAlign w:val="center"/>
          </w:tcPr>
          <w:p w14:paraId="2088DD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3.48</w:t>
            </w:r>
          </w:p>
        </w:tc>
        <w:tc>
          <w:tcPr>
            <w:tcW w:w="1032" w:type="dxa"/>
            <w:tcBorders>
              <w:top w:val="single" w:color="000000" w:sz="4" w:space="0"/>
              <w:left w:val="single" w:color="000000" w:sz="4" w:space="0"/>
              <w:bottom w:val="single" w:color="000000" w:sz="4" w:space="0"/>
              <w:right w:val="single" w:color="000000" w:sz="4" w:space="0"/>
            </w:tcBorders>
            <w:vAlign w:val="center"/>
          </w:tcPr>
          <w:p w14:paraId="3DB01C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w:t>
            </w:r>
            <w:r>
              <w:rPr>
                <w:rFonts w:hint="eastAsia"/>
                <w:snapToGrid/>
                <w:color w:val="000000" w:themeColor="text1"/>
                <w:sz w:val="21"/>
                <w:szCs w:val="21"/>
                <w14:textFill>
                  <w14:solidFill>
                    <w14:schemeClr w14:val="tx1"/>
                  </w14:solidFill>
                </w14:textFill>
              </w:rPr>
              <w:t>4</w:t>
            </w:r>
          </w:p>
        </w:tc>
        <w:tc>
          <w:tcPr>
            <w:tcW w:w="1075" w:type="dxa"/>
            <w:tcBorders>
              <w:top w:val="single" w:color="000000" w:sz="4" w:space="0"/>
              <w:left w:val="single" w:color="000000" w:sz="4" w:space="0"/>
              <w:bottom w:val="single" w:color="000000" w:sz="4" w:space="0"/>
              <w:right w:val="single" w:color="000000" w:sz="4" w:space="0"/>
            </w:tcBorders>
            <w:vAlign w:val="center"/>
          </w:tcPr>
          <w:p w14:paraId="285400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3995C8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72B9FB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631201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65" w:type="dxa"/>
            <w:vMerge w:val="continue"/>
            <w:tcBorders>
              <w:left w:val="single" w:color="000000" w:sz="4" w:space="0"/>
              <w:right w:val="single" w:color="000000" w:sz="4" w:space="0"/>
            </w:tcBorders>
            <w:vAlign w:val="center"/>
          </w:tcPr>
          <w:p w14:paraId="44DFDC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B171A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207204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1138" w:type="dxa"/>
            <w:tcBorders>
              <w:top w:val="single" w:color="000000" w:sz="4" w:space="0"/>
              <w:left w:val="single" w:color="000000" w:sz="4" w:space="0"/>
              <w:bottom w:val="single" w:color="000000" w:sz="4" w:space="0"/>
              <w:right w:val="single" w:color="000000" w:sz="4" w:space="0"/>
            </w:tcBorders>
            <w:vAlign w:val="center"/>
          </w:tcPr>
          <w:p w14:paraId="5111E8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180</w:t>
            </w:r>
          </w:p>
        </w:tc>
        <w:tc>
          <w:tcPr>
            <w:tcW w:w="933" w:type="dxa"/>
            <w:tcBorders>
              <w:top w:val="single" w:color="000000" w:sz="4" w:space="0"/>
              <w:left w:val="single" w:color="000000" w:sz="4" w:space="0"/>
              <w:bottom w:val="single" w:color="000000" w:sz="4" w:space="0"/>
              <w:right w:val="single" w:color="000000" w:sz="4" w:space="0"/>
            </w:tcBorders>
            <w:vAlign w:val="center"/>
          </w:tcPr>
          <w:p w14:paraId="3700DE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29</w:t>
            </w:r>
          </w:p>
        </w:tc>
        <w:tc>
          <w:tcPr>
            <w:tcW w:w="1349" w:type="dxa"/>
            <w:tcBorders>
              <w:top w:val="single" w:color="000000" w:sz="4" w:space="0"/>
              <w:left w:val="single" w:color="000000" w:sz="4" w:space="0"/>
              <w:bottom w:val="single" w:color="000000" w:sz="4" w:space="0"/>
              <w:right w:val="single" w:color="000000" w:sz="4" w:space="0"/>
            </w:tcBorders>
            <w:vAlign w:val="center"/>
          </w:tcPr>
          <w:p w14:paraId="376D0D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209</w:t>
            </w:r>
          </w:p>
        </w:tc>
        <w:tc>
          <w:tcPr>
            <w:tcW w:w="1032" w:type="dxa"/>
            <w:tcBorders>
              <w:top w:val="single" w:color="000000" w:sz="4" w:space="0"/>
              <w:left w:val="single" w:color="000000" w:sz="4" w:space="0"/>
              <w:bottom w:val="single" w:color="000000" w:sz="4" w:space="0"/>
              <w:right w:val="single" w:color="000000" w:sz="4" w:space="0"/>
            </w:tcBorders>
            <w:vAlign w:val="center"/>
          </w:tcPr>
          <w:p w14:paraId="6D9AFE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c>
          <w:tcPr>
            <w:tcW w:w="1075" w:type="dxa"/>
            <w:tcBorders>
              <w:top w:val="single" w:color="000000" w:sz="4" w:space="0"/>
              <w:left w:val="single" w:color="000000" w:sz="4" w:space="0"/>
              <w:bottom w:val="single" w:color="000000" w:sz="4" w:space="0"/>
              <w:right w:val="single" w:color="000000" w:sz="4" w:space="0"/>
            </w:tcBorders>
            <w:vAlign w:val="center"/>
          </w:tcPr>
          <w:p w14:paraId="6E3365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44C8D1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3F544D03">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14:paraId="0F9ADE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65" w:type="dxa"/>
            <w:vMerge w:val="continue"/>
            <w:tcBorders>
              <w:left w:val="single" w:color="000000" w:sz="4" w:space="0"/>
              <w:bottom w:val="single" w:color="000000" w:sz="4" w:space="0"/>
              <w:right w:val="single" w:color="000000" w:sz="4" w:space="0"/>
            </w:tcBorders>
            <w:vAlign w:val="center"/>
          </w:tcPr>
          <w:p w14:paraId="435DCA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01D0C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757436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1138" w:type="dxa"/>
            <w:tcBorders>
              <w:top w:val="single" w:color="000000" w:sz="4" w:space="0"/>
              <w:left w:val="single" w:color="000000" w:sz="4" w:space="0"/>
              <w:bottom w:val="single" w:color="000000" w:sz="4" w:space="0"/>
              <w:right w:val="single" w:color="000000" w:sz="4" w:space="0"/>
            </w:tcBorders>
            <w:vAlign w:val="center"/>
          </w:tcPr>
          <w:p w14:paraId="066837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150</w:t>
            </w:r>
          </w:p>
        </w:tc>
        <w:tc>
          <w:tcPr>
            <w:tcW w:w="933" w:type="dxa"/>
            <w:tcBorders>
              <w:top w:val="single" w:color="000000" w:sz="4" w:space="0"/>
              <w:left w:val="single" w:color="000000" w:sz="4" w:space="0"/>
              <w:bottom w:val="single" w:color="000000" w:sz="4" w:space="0"/>
              <w:right w:val="single" w:color="000000" w:sz="4" w:space="0"/>
            </w:tcBorders>
            <w:vAlign w:val="center"/>
          </w:tcPr>
          <w:p w14:paraId="672D26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24</w:t>
            </w:r>
          </w:p>
        </w:tc>
        <w:tc>
          <w:tcPr>
            <w:tcW w:w="1349" w:type="dxa"/>
            <w:tcBorders>
              <w:top w:val="single" w:color="000000" w:sz="4" w:space="0"/>
              <w:left w:val="single" w:color="000000" w:sz="4" w:space="0"/>
              <w:bottom w:val="single" w:color="000000" w:sz="4" w:space="0"/>
              <w:right w:val="single" w:color="000000" w:sz="4" w:space="0"/>
            </w:tcBorders>
            <w:vAlign w:val="center"/>
          </w:tcPr>
          <w:p w14:paraId="4A2C60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174</w:t>
            </w:r>
          </w:p>
        </w:tc>
        <w:tc>
          <w:tcPr>
            <w:tcW w:w="1032" w:type="dxa"/>
            <w:tcBorders>
              <w:top w:val="single" w:color="000000" w:sz="4" w:space="0"/>
              <w:left w:val="single" w:color="000000" w:sz="4" w:space="0"/>
              <w:bottom w:val="single" w:color="000000" w:sz="4" w:space="0"/>
              <w:right w:val="single" w:color="000000" w:sz="4" w:space="0"/>
            </w:tcBorders>
            <w:vAlign w:val="center"/>
          </w:tcPr>
          <w:p w14:paraId="238050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c>
          <w:tcPr>
            <w:tcW w:w="1075" w:type="dxa"/>
            <w:tcBorders>
              <w:top w:val="single" w:color="000000" w:sz="4" w:space="0"/>
              <w:left w:val="single" w:color="000000" w:sz="4" w:space="0"/>
              <w:bottom w:val="single" w:color="000000" w:sz="4" w:space="0"/>
              <w:right w:val="single" w:color="000000" w:sz="4" w:space="0"/>
            </w:tcBorders>
            <w:vAlign w:val="center"/>
          </w:tcPr>
          <w:p w14:paraId="0CAC34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45789E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95EBF56">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201B42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14:paraId="50CC93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石英产品</w:t>
            </w: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533D4F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石英锭</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72327F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SiO2,99.5~99.9%</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1652C6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933" w:type="dxa"/>
            <w:tcBorders>
              <w:top w:val="single" w:color="000000" w:sz="4" w:space="0"/>
              <w:left w:val="single" w:color="000000" w:sz="4" w:space="0"/>
              <w:bottom w:val="single" w:color="000000" w:sz="4" w:space="0"/>
              <w:right w:val="single" w:color="000000" w:sz="4" w:space="0"/>
            </w:tcBorders>
            <w:vAlign w:val="center"/>
          </w:tcPr>
          <w:p w14:paraId="008DEE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01314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571759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5D1D4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50kg/锭</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DD116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5490F0E0">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2DF28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62928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2400CF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脱脂液</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4E332B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4-壬基酚聚氧乙烯醚5%以内</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1C0FFC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0.8</w:t>
            </w:r>
          </w:p>
        </w:tc>
        <w:tc>
          <w:tcPr>
            <w:tcW w:w="933" w:type="dxa"/>
            <w:tcBorders>
              <w:top w:val="single" w:color="000000" w:sz="4" w:space="0"/>
              <w:left w:val="single" w:color="000000" w:sz="4" w:space="0"/>
              <w:bottom w:val="single" w:color="000000" w:sz="4" w:space="0"/>
              <w:right w:val="single" w:color="000000" w:sz="4" w:space="0"/>
            </w:tcBorders>
            <w:vAlign w:val="center"/>
          </w:tcPr>
          <w:p w14:paraId="2C44DC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8D6B3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0.8</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0FB612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56F2E7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3FA5BE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1337A508">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5775AF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8CCFC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4AF60C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5C5C91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氢氟酸49%</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664AEF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933" w:type="dxa"/>
            <w:tcBorders>
              <w:top w:val="single" w:color="000000" w:sz="4" w:space="0"/>
              <w:left w:val="single" w:color="000000" w:sz="4" w:space="0"/>
              <w:bottom w:val="single" w:color="000000" w:sz="4" w:space="0"/>
              <w:right w:val="single" w:color="000000" w:sz="4" w:space="0"/>
            </w:tcBorders>
            <w:vAlign w:val="center"/>
          </w:tcPr>
          <w:p w14:paraId="63DC90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1F8E89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3A458F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199D90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CB33C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54C57A18">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58C2E5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7F2A3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427A03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w:t>
            </w:r>
          </w:p>
        </w:tc>
        <w:tc>
          <w:tcPr>
            <w:tcW w:w="3485" w:type="dxa"/>
            <w:tcBorders>
              <w:top w:val="single" w:color="000000" w:sz="4" w:space="0"/>
              <w:left w:val="single" w:color="000000" w:sz="4" w:space="0"/>
              <w:bottom w:val="single" w:color="000000" w:sz="4" w:space="0"/>
              <w:right w:val="single" w:color="000000" w:sz="4" w:space="0"/>
            </w:tcBorders>
            <w:vAlign w:val="center"/>
          </w:tcPr>
          <w:p w14:paraId="5DF5D7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3B4F43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933" w:type="dxa"/>
            <w:tcBorders>
              <w:top w:val="single" w:color="000000" w:sz="4" w:space="0"/>
              <w:left w:val="single" w:color="000000" w:sz="4" w:space="0"/>
              <w:bottom w:val="single" w:color="000000" w:sz="4" w:space="0"/>
              <w:right w:val="single" w:color="000000" w:sz="4" w:space="0"/>
            </w:tcBorders>
            <w:vAlign w:val="center"/>
          </w:tcPr>
          <w:p w14:paraId="6AD13D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783F0E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26151A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12B05C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12DA1E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6ED076D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36E9D6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3CFB4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125E7C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4DD10A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氢气99.999%</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678AB2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2.0万m</w:t>
            </w:r>
            <w:r>
              <w:rPr>
                <w:snapToGrid/>
                <w:color w:val="000000" w:themeColor="text1"/>
                <w:sz w:val="21"/>
                <w:szCs w:val="21"/>
                <w:vertAlign w:val="superscript"/>
                <w14:textFill>
                  <w14:solidFill>
                    <w14:schemeClr w14:val="tx1"/>
                  </w14:solidFill>
                </w14:textFill>
              </w:rPr>
              <w:t>3</w:t>
            </w:r>
          </w:p>
        </w:tc>
        <w:tc>
          <w:tcPr>
            <w:tcW w:w="933" w:type="dxa"/>
            <w:tcBorders>
              <w:top w:val="single" w:color="000000" w:sz="4" w:space="0"/>
              <w:left w:val="single" w:color="000000" w:sz="4" w:space="0"/>
              <w:bottom w:val="single" w:color="000000" w:sz="4" w:space="0"/>
              <w:right w:val="single" w:color="000000" w:sz="4" w:space="0"/>
            </w:tcBorders>
            <w:vAlign w:val="center"/>
          </w:tcPr>
          <w:p w14:paraId="4EFDE2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7CDC4E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2.0万m</w:t>
            </w:r>
            <w:r>
              <w:rPr>
                <w:snapToGrid/>
                <w:color w:val="000000" w:themeColor="text1"/>
                <w:sz w:val="21"/>
                <w:szCs w:val="21"/>
                <w:vertAlign w:val="superscript"/>
                <w14:textFill>
                  <w14:solidFill>
                    <w14:schemeClr w14:val="tx1"/>
                  </w14:solidFill>
                </w14:textFill>
              </w:rPr>
              <w:t>3</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2AC884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50瓶</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699FC8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31DC63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21841B3C">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4E6BC1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6E7D90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577E7D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2AA241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氧气99.999%</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2DABC1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2.0万m</w:t>
            </w:r>
            <w:r>
              <w:rPr>
                <w:snapToGrid/>
                <w:color w:val="000000" w:themeColor="text1"/>
                <w:sz w:val="21"/>
                <w:szCs w:val="21"/>
                <w:vertAlign w:val="superscript"/>
                <w14:textFill>
                  <w14:solidFill>
                    <w14:schemeClr w14:val="tx1"/>
                  </w14:solidFill>
                </w14:textFill>
              </w:rPr>
              <w:t>3</w:t>
            </w:r>
          </w:p>
        </w:tc>
        <w:tc>
          <w:tcPr>
            <w:tcW w:w="933" w:type="dxa"/>
            <w:tcBorders>
              <w:top w:val="single" w:color="000000" w:sz="4" w:space="0"/>
              <w:left w:val="single" w:color="000000" w:sz="4" w:space="0"/>
              <w:bottom w:val="single" w:color="000000" w:sz="4" w:space="0"/>
              <w:right w:val="single" w:color="000000" w:sz="4" w:space="0"/>
            </w:tcBorders>
            <w:vAlign w:val="center"/>
          </w:tcPr>
          <w:p w14:paraId="312C31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07827C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2.0万m</w:t>
            </w:r>
            <w:r>
              <w:rPr>
                <w:snapToGrid/>
                <w:color w:val="000000" w:themeColor="text1"/>
                <w:sz w:val="21"/>
                <w:szCs w:val="21"/>
                <w:vertAlign w:val="superscript"/>
                <w14:textFill>
                  <w14:solidFill>
                    <w14:schemeClr w14:val="tx1"/>
                  </w14:solidFill>
                </w14:textFill>
              </w:rPr>
              <w:t>3</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33F991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50瓶</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0848C5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6ABAF6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AA2081F">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41587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14:paraId="28F502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硅产品</w:t>
            </w: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5A7ED3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单晶硅、多晶硅</w:t>
            </w:r>
          </w:p>
        </w:tc>
        <w:tc>
          <w:tcPr>
            <w:tcW w:w="3485" w:type="dxa"/>
            <w:tcBorders>
              <w:top w:val="single" w:color="000000" w:sz="4" w:space="0"/>
              <w:left w:val="single" w:color="000000" w:sz="4" w:space="0"/>
              <w:bottom w:val="single" w:color="000000" w:sz="4" w:space="0"/>
              <w:right w:val="single" w:color="000000" w:sz="4" w:space="0"/>
            </w:tcBorders>
            <w:vAlign w:val="center"/>
          </w:tcPr>
          <w:p w14:paraId="4E86E0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274D46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w:t>
            </w:r>
          </w:p>
        </w:tc>
        <w:tc>
          <w:tcPr>
            <w:tcW w:w="933" w:type="dxa"/>
            <w:tcBorders>
              <w:top w:val="single" w:color="000000" w:sz="4" w:space="0"/>
              <w:left w:val="single" w:color="000000" w:sz="4" w:space="0"/>
              <w:bottom w:val="single" w:color="000000" w:sz="4" w:space="0"/>
              <w:right w:val="single" w:color="000000" w:sz="4" w:space="0"/>
            </w:tcBorders>
            <w:vAlign w:val="center"/>
          </w:tcPr>
          <w:p w14:paraId="5A97AF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0821FD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1B0ACB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083DE1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8FE9B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0616B64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51E8B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FD283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2A117B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导轨油</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7BBAE1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机油70-80%、溶剂脱蜡重石蜡馏分20-30%、添加剂1-5%</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4B5848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43</w:t>
            </w:r>
          </w:p>
        </w:tc>
        <w:tc>
          <w:tcPr>
            <w:tcW w:w="933" w:type="dxa"/>
            <w:tcBorders>
              <w:top w:val="single" w:color="000000" w:sz="4" w:space="0"/>
              <w:left w:val="single" w:color="000000" w:sz="4" w:space="0"/>
              <w:bottom w:val="single" w:color="000000" w:sz="4" w:space="0"/>
              <w:right w:val="single" w:color="000000" w:sz="4" w:space="0"/>
            </w:tcBorders>
            <w:vAlign w:val="center"/>
          </w:tcPr>
          <w:p w14:paraId="14D4BC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403E84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43</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395FBE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290FBC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208L/桶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5BC094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7B42CFCE">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305BB4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92E7C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936" w:type="dxa"/>
            <w:vMerge w:val="restart"/>
            <w:tcBorders>
              <w:top w:val="single" w:color="000000" w:sz="4" w:space="0"/>
              <w:left w:val="single" w:color="000000" w:sz="4" w:space="0"/>
              <w:bottom w:val="single" w:color="000000" w:sz="4" w:space="0"/>
              <w:right w:val="single" w:color="000000" w:sz="4" w:space="0"/>
            </w:tcBorders>
            <w:noWrap/>
            <w:vAlign w:val="center"/>
          </w:tcPr>
          <w:p w14:paraId="176480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蚀刻液</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05A479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TE-300S</w:t>
            </w:r>
          </w:p>
        </w:tc>
        <w:tc>
          <w:tcPr>
            <w:tcW w:w="3485" w:type="dxa"/>
            <w:tcBorders>
              <w:top w:val="single" w:color="000000" w:sz="4" w:space="0"/>
              <w:left w:val="single" w:color="000000" w:sz="4" w:space="0"/>
              <w:bottom w:val="single" w:color="000000" w:sz="4" w:space="0"/>
              <w:right w:val="single" w:color="000000" w:sz="4" w:space="0"/>
            </w:tcBorders>
            <w:vAlign w:val="center"/>
          </w:tcPr>
          <w:p w14:paraId="11D589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硫酸50.0~60.0%、氟化氢铵8.0~13.0%、硝酸钾0.5~1.5%、过硫酸铵1.0~3.0%、水22.5~40.5%</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47FD4C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933" w:type="dxa"/>
            <w:tcBorders>
              <w:top w:val="single" w:color="000000" w:sz="4" w:space="0"/>
              <w:left w:val="single" w:color="000000" w:sz="4" w:space="0"/>
              <w:bottom w:val="single" w:color="000000" w:sz="4" w:space="0"/>
              <w:right w:val="single" w:color="000000" w:sz="4" w:space="0"/>
            </w:tcBorders>
            <w:vAlign w:val="center"/>
          </w:tcPr>
          <w:p w14:paraId="5B758E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47EE8C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257E25C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737C49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021F06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0A60CB13">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4D2B05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67A28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936" w:type="dxa"/>
            <w:vMerge w:val="continue"/>
            <w:tcBorders>
              <w:top w:val="single" w:color="000000" w:sz="4" w:space="0"/>
              <w:left w:val="single" w:color="000000" w:sz="4" w:space="0"/>
              <w:bottom w:val="single" w:color="000000" w:sz="4" w:space="0"/>
              <w:right w:val="single" w:color="000000" w:sz="4" w:space="0"/>
            </w:tcBorders>
            <w:vAlign w:val="center"/>
          </w:tcPr>
          <w:p w14:paraId="176689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53B0D9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TE-500L</w:t>
            </w:r>
          </w:p>
        </w:tc>
        <w:tc>
          <w:tcPr>
            <w:tcW w:w="3485" w:type="dxa"/>
            <w:tcBorders>
              <w:top w:val="single" w:color="000000" w:sz="4" w:space="0"/>
              <w:left w:val="single" w:color="000000" w:sz="4" w:space="0"/>
              <w:bottom w:val="single" w:color="000000" w:sz="4" w:space="0"/>
              <w:right w:val="single" w:color="000000" w:sz="4" w:space="0"/>
            </w:tcBorders>
            <w:vAlign w:val="center"/>
          </w:tcPr>
          <w:p w14:paraId="42A25F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硫酸50.0~60.0%、氟化氢铵5.0~10.0%、硝酸钾1.5~3.5%、过硫酸铵0.5~1.0%、水25.5~47.0%</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6A47F2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933" w:type="dxa"/>
            <w:tcBorders>
              <w:top w:val="single" w:color="000000" w:sz="4" w:space="0"/>
              <w:left w:val="single" w:color="000000" w:sz="4" w:space="0"/>
              <w:bottom w:val="single" w:color="000000" w:sz="4" w:space="0"/>
              <w:right w:val="single" w:color="000000" w:sz="4" w:space="0"/>
            </w:tcBorders>
            <w:vAlign w:val="center"/>
          </w:tcPr>
          <w:p w14:paraId="653790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1FA7C5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025BE5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1A7490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04E96F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47D709F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3E5B5E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241B9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936" w:type="dxa"/>
            <w:vMerge w:val="restart"/>
            <w:tcBorders>
              <w:top w:val="single" w:color="000000" w:sz="4" w:space="0"/>
              <w:left w:val="single" w:color="000000" w:sz="4" w:space="0"/>
              <w:bottom w:val="single" w:color="000000" w:sz="4" w:space="0"/>
              <w:right w:val="single" w:color="000000" w:sz="4" w:space="0"/>
            </w:tcBorders>
            <w:noWrap/>
            <w:vAlign w:val="center"/>
          </w:tcPr>
          <w:p w14:paraId="3E6569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清洗液</w:t>
            </w:r>
          </w:p>
        </w:tc>
        <w:tc>
          <w:tcPr>
            <w:tcW w:w="1452" w:type="dxa"/>
            <w:tcBorders>
              <w:top w:val="single" w:color="000000" w:sz="4" w:space="0"/>
              <w:left w:val="single" w:color="000000" w:sz="4" w:space="0"/>
              <w:bottom w:val="single" w:color="000000" w:sz="4" w:space="0"/>
              <w:right w:val="single" w:color="000000" w:sz="4" w:space="0"/>
            </w:tcBorders>
            <w:vAlign w:val="center"/>
          </w:tcPr>
          <w:p w14:paraId="53840F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TC-300N</w:t>
            </w:r>
          </w:p>
        </w:tc>
        <w:tc>
          <w:tcPr>
            <w:tcW w:w="3485" w:type="dxa"/>
            <w:tcBorders>
              <w:top w:val="single" w:color="000000" w:sz="4" w:space="0"/>
              <w:left w:val="single" w:color="000000" w:sz="4" w:space="0"/>
              <w:bottom w:val="single" w:color="000000" w:sz="4" w:space="0"/>
              <w:right w:val="single" w:color="000000" w:sz="4" w:space="0"/>
            </w:tcBorders>
            <w:vAlign w:val="center"/>
          </w:tcPr>
          <w:p w14:paraId="0C668F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二氧戊烷25</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35</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二甘醇丁醚15</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20</w:t>
            </w:r>
            <w:r>
              <w:rPr>
                <w:snapToGrid/>
                <w:color w:val="000000" w:themeColor="text1"/>
                <w:sz w:val="21"/>
                <w:szCs w:val="21"/>
                <w14:textFill>
                  <w14:solidFill>
                    <w14:schemeClr w14:val="tx1"/>
                  </w14:solidFill>
                </w14:textFill>
              </w:rPr>
              <w:t>%、水</w:t>
            </w:r>
            <w:r>
              <w:rPr>
                <w:rFonts w:hint="eastAsia"/>
                <w:snapToGrid/>
                <w:color w:val="000000" w:themeColor="text1"/>
                <w:sz w:val="21"/>
                <w:szCs w:val="21"/>
                <w14:textFill>
                  <w14:solidFill>
                    <w14:schemeClr w14:val="tx1"/>
                  </w14:solidFill>
                </w14:textFill>
              </w:rPr>
              <w:t>45</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60</w:t>
            </w:r>
            <w:r>
              <w:rPr>
                <w:snapToGrid/>
                <w:color w:val="000000" w:themeColor="text1"/>
                <w:sz w:val="21"/>
                <w:szCs w:val="21"/>
                <w14:textFill>
                  <w14:solidFill>
                    <w14:schemeClr w14:val="tx1"/>
                  </w14:solidFill>
                </w14:textFill>
              </w:rPr>
              <w:t>%</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55A05C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14.22</w:t>
            </w:r>
          </w:p>
        </w:tc>
        <w:tc>
          <w:tcPr>
            <w:tcW w:w="933" w:type="dxa"/>
            <w:tcBorders>
              <w:top w:val="single" w:color="000000" w:sz="4" w:space="0"/>
              <w:left w:val="single" w:color="000000" w:sz="4" w:space="0"/>
              <w:bottom w:val="single" w:color="000000" w:sz="4" w:space="0"/>
              <w:right w:val="single" w:color="000000" w:sz="4" w:space="0"/>
            </w:tcBorders>
            <w:vAlign w:val="center"/>
          </w:tcPr>
          <w:p w14:paraId="03F7DB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6BDDD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14.22</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4CF405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075" w:type="dxa"/>
            <w:tcBorders>
              <w:top w:val="single" w:color="000000" w:sz="4" w:space="0"/>
              <w:left w:val="single" w:color="000000" w:sz="4" w:space="0"/>
              <w:bottom w:val="single" w:color="000000" w:sz="4" w:space="0"/>
              <w:right w:val="single" w:color="000000" w:sz="4" w:space="0"/>
            </w:tcBorders>
            <w:vAlign w:val="center"/>
          </w:tcPr>
          <w:p w14:paraId="48739B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162C98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7FFBDC2C">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1FA5CF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7125C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936" w:type="dxa"/>
            <w:vMerge w:val="continue"/>
            <w:tcBorders>
              <w:top w:val="single" w:color="000000" w:sz="4" w:space="0"/>
              <w:left w:val="single" w:color="000000" w:sz="4" w:space="0"/>
              <w:bottom w:val="single" w:color="000000" w:sz="4" w:space="0"/>
              <w:right w:val="single" w:color="000000" w:sz="4" w:space="0"/>
            </w:tcBorders>
            <w:vAlign w:val="center"/>
          </w:tcPr>
          <w:p w14:paraId="566A58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452" w:type="dxa"/>
            <w:tcBorders>
              <w:top w:val="single" w:color="000000" w:sz="4" w:space="0"/>
              <w:left w:val="single" w:color="000000" w:sz="4" w:space="0"/>
              <w:bottom w:val="single" w:color="000000" w:sz="4" w:space="0"/>
              <w:right w:val="single" w:color="000000" w:sz="4" w:space="0"/>
            </w:tcBorders>
            <w:vAlign w:val="center"/>
          </w:tcPr>
          <w:p w14:paraId="48E037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TC-100A</w:t>
            </w:r>
          </w:p>
        </w:tc>
        <w:tc>
          <w:tcPr>
            <w:tcW w:w="3485" w:type="dxa"/>
            <w:tcBorders>
              <w:top w:val="single" w:color="000000" w:sz="4" w:space="0"/>
              <w:left w:val="single" w:color="000000" w:sz="4" w:space="0"/>
              <w:bottom w:val="single" w:color="000000" w:sz="4" w:space="0"/>
              <w:right w:val="single" w:color="000000" w:sz="4" w:space="0"/>
            </w:tcBorders>
            <w:vAlign w:val="center"/>
          </w:tcPr>
          <w:p w14:paraId="5CB972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氟化氢铵28</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30</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纯水70</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72</w:t>
            </w:r>
            <w:r>
              <w:rPr>
                <w:snapToGrid/>
                <w:color w:val="000000" w:themeColor="text1"/>
                <w:sz w:val="21"/>
                <w:szCs w:val="21"/>
                <w14:textFill>
                  <w14:solidFill>
                    <w14:schemeClr w14:val="tx1"/>
                  </w14:solidFill>
                </w14:textFill>
              </w:rPr>
              <w:t>%</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516314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4.74</w:t>
            </w:r>
          </w:p>
        </w:tc>
        <w:tc>
          <w:tcPr>
            <w:tcW w:w="933" w:type="dxa"/>
            <w:tcBorders>
              <w:top w:val="single" w:color="000000" w:sz="4" w:space="0"/>
              <w:left w:val="single" w:color="000000" w:sz="4" w:space="0"/>
              <w:bottom w:val="single" w:color="000000" w:sz="4" w:space="0"/>
              <w:right w:val="single" w:color="000000" w:sz="4" w:space="0"/>
            </w:tcBorders>
            <w:vAlign w:val="center"/>
          </w:tcPr>
          <w:p w14:paraId="6103DD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C4448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4.74</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12A74E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0.4</w:t>
            </w:r>
          </w:p>
        </w:tc>
        <w:tc>
          <w:tcPr>
            <w:tcW w:w="1075" w:type="dxa"/>
            <w:tcBorders>
              <w:top w:val="single" w:color="000000" w:sz="4" w:space="0"/>
              <w:left w:val="single" w:color="000000" w:sz="4" w:space="0"/>
              <w:bottom w:val="single" w:color="000000" w:sz="4" w:space="0"/>
              <w:right w:val="single" w:color="000000" w:sz="4" w:space="0"/>
            </w:tcBorders>
            <w:vAlign w:val="center"/>
          </w:tcPr>
          <w:p w14:paraId="37814E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76A701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49BBC5D7">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C3A7C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ACE84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936" w:type="dxa"/>
            <w:vMerge w:val="continue"/>
            <w:tcBorders>
              <w:top w:val="single" w:color="000000" w:sz="4" w:space="0"/>
              <w:left w:val="single" w:color="000000" w:sz="4" w:space="0"/>
              <w:bottom w:val="single" w:color="000000" w:sz="4" w:space="0"/>
              <w:right w:val="single" w:color="000000" w:sz="4" w:space="0"/>
            </w:tcBorders>
            <w:vAlign w:val="center"/>
          </w:tcPr>
          <w:p w14:paraId="0FAF49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452" w:type="dxa"/>
            <w:tcBorders>
              <w:top w:val="single" w:color="000000" w:sz="4" w:space="0"/>
              <w:left w:val="single" w:color="000000" w:sz="4" w:space="0"/>
              <w:bottom w:val="single" w:color="000000" w:sz="4" w:space="0"/>
              <w:right w:val="single" w:color="000000" w:sz="4" w:space="0"/>
            </w:tcBorders>
            <w:vAlign w:val="center"/>
          </w:tcPr>
          <w:p w14:paraId="52A146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TC-230A</w:t>
            </w:r>
          </w:p>
        </w:tc>
        <w:tc>
          <w:tcPr>
            <w:tcW w:w="3485" w:type="dxa"/>
            <w:tcBorders>
              <w:top w:val="single" w:color="000000" w:sz="4" w:space="0"/>
              <w:left w:val="single" w:color="000000" w:sz="4" w:space="0"/>
              <w:bottom w:val="single" w:color="000000" w:sz="4" w:space="0"/>
              <w:right w:val="single" w:color="000000" w:sz="4" w:space="0"/>
            </w:tcBorders>
            <w:vAlign w:val="center"/>
          </w:tcPr>
          <w:p w14:paraId="100B02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盐酸0.8</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1.2</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双氧水1.0</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1.5%</w:t>
            </w:r>
            <w:r>
              <w:rPr>
                <w:snapToGrid/>
                <w:color w:val="000000" w:themeColor="text1"/>
                <w:sz w:val="21"/>
                <w:szCs w:val="21"/>
                <w14:textFill>
                  <w14:solidFill>
                    <w14:schemeClr w14:val="tx1"/>
                  </w14:solidFill>
                </w14:textFill>
              </w:rPr>
              <w:t>、水</w:t>
            </w:r>
            <w:r>
              <w:rPr>
                <w:rFonts w:hint="eastAsia"/>
                <w:snapToGrid/>
                <w:color w:val="000000" w:themeColor="text1"/>
                <w:sz w:val="21"/>
                <w:szCs w:val="21"/>
                <w14:textFill>
                  <w14:solidFill>
                    <w14:schemeClr w14:val="tx1"/>
                  </w14:solidFill>
                </w14:textFill>
              </w:rPr>
              <w:t>97.3</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98.2</w:t>
            </w:r>
            <w:r>
              <w:rPr>
                <w:snapToGrid/>
                <w:color w:val="000000" w:themeColor="text1"/>
                <w:sz w:val="21"/>
                <w:szCs w:val="21"/>
                <w14:textFill>
                  <w14:solidFill>
                    <w14:schemeClr w14:val="tx1"/>
                  </w14:solidFill>
                </w14:textFill>
              </w:rPr>
              <w:t>%</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117D04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9.48</w:t>
            </w:r>
          </w:p>
        </w:tc>
        <w:tc>
          <w:tcPr>
            <w:tcW w:w="933" w:type="dxa"/>
            <w:tcBorders>
              <w:top w:val="single" w:color="000000" w:sz="4" w:space="0"/>
              <w:left w:val="single" w:color="000000" w:sz="4" w:space="0"/>
              <w:bottom w:val="single" w:color="000000" w:sz="4" w:space="0"/>
              <w:right w:val="single" w:color="000000" w:sz="4" w:space="0"/>
            </w:tcBorders>
            <w:vAlign w:val="center"/>
          </w:tcPr>
          <w:p w14:paraId="04194B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98423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9.48</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3D5152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075" w:type="dxa"/>
            <w:tcBorders>
              <w:top w:val="single" w:color="000000" w:sz="4" w:space="0"/>
              <w:left w:val="single" w:color="000000" w:sz="4" w:space="0"/>
              <w:bottom w:val="single" w:color="000000" w:sz="4" w:space="0"/>
              <w:right w:val="single" w:color="000000" w:sz="4" w:space="0"/>
            </w:tcBorders>
            <w:vAlign w:val="center"/>
          </w:tcPr>
          <w:p w14:paraId="73E2D3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5FD6AD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615BD1CD">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43A1AB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C3F80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B39B8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w:t>
            </w:r>
          </w:p>
        </w:tc>
        <w:tc>
          <w:tcPr>
            <w:tcW w:w="3485" w:type="dxa"/>
            <w:tcBorders>
              <w:top w:val="single" w:color="000000" w:sz="4" w:space="0"/>
              <w:left w:val="single" w:color="000000" w:sz="4" w:space="0"/>
              <w:bottom w:val="single" w:color="000000" w:sz="4" w:space="0"/>
              <w:right w:val="single" w:color="000000" w:sz="4" w:space="0"/>
            </w:tcBorders>
            <w:vAlign w:val="center"/>
          </w:tcPr>
          <w:p w14:paraId="106081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氢氟酸49%</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615A73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2.37</w:t>
            </w:r>
          </w:p>
        </w:tc>
        <w:tc>
          <w:tcPr>
            <w:tcW w:w="933" w:type="dxa"/>
            <w:tcBorders>
              <w:top w:val="single" w:color="000000" w:sz="4" w:space="0"/>
              <w:left w:val="single" w:color="000000" w:sz="4" w:space="0"/>
              <w:bottom w:val="single" w:color="000000" w:sz="4" w:space="0"/>
              <w:right w:val="single" w:color="000000" w:sz="4" w:space="0"/>
            </w:tcBorders>
            <w:vAlign w:val="center"/>
          </w:tcPr>
          <w:p w14:paraId="661595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50CE3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2.37</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3A85E7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w:t>
            </w:r>
          </w:p>
        </w:tc>
        <w:tc>
          <w:tcPr>
            <w:tcW w:w="1075" w:type="dxa"/>
            <w:tcBorders>
              <w:top w:val="single" w:color="000000" w:sz="4" w:space="0"/>
              <w:left w:val="single" w:color="000000" w:sz="4" w:space="0"/>
              <w:bottom w:val="single" w:color="000000" w:sz="4" w:space="0"/>
              <w:right w:val="single" w:color="000000" w:sz="4" w:space="0"/>
            </w:tcBorders>
            <w:vAlign w:val="center"/>
          </w:tcPr>
          <w:p w14:paraId="3E0BA95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606D6F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549C5E6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1A8C7D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AC374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7524C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硝酸</w:t>
            </w:r>
          </w:p>
        </w:tc>
        <w:tc>
          <w:tcPr>
            <w:tcW w:w="3485" w:type="dxa"/>
            <w:tcBorders>
              <w:top w:val="single" w:color="000000" w:sz="4" w:space="0"/>
              <w:left w:val="single" w:color="000000" w:sz="4" w:space="0"/>
              <w:bottom w:val="single" w:color="000000" w:sz="4" w:space="0"/>
              <w:right w:val="single" w:color="000000" w:sz="4" w:space="0"/>
            </w:tcBorders>
            <w:vAlign w:val="center"/>
          </w:tcPr>
          <w:p w14:paraId="0B5BF4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硝酸68%</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61B09B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5.925</w:t>
            </w:r>
          </w:p>
        </w:tc>
        <w:tc>
          <w:tcPr>
            <w:tcW w:w="933" w:type="dxa"/>
            <w:tcBorders>
              <w:top w:val="single" w:color="000000" w:sz="4" w:space="0"/>
              <w:left w:val="single" w:color="000000" w:sz="4" w:space="0"/>
              <w:bottom w:val="single" w:color="000000" w:sz="4" w:space="0"/>
              <w:right w:val="single" w:color="000000" w:sz="4" w:space="0"/>
            </w:tcBorders>
            <w:vAlign w:val="center"/>
          </w:tcPr>
          <w:p w14:paraId="4F4F57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31ED73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5.925</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7D86CC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0.5</w:t>
            </w:r>
          </w:p>
        </w:tc>
        <w:tc>
          <w:tcPr>
            <w:tcW w:w="1075" w:type="dxa"/>
            <w:tcBorders>
              <w:top w:val="single" w:color="000000" w:sz="4" w:space="0"/>
              <w:left w:val="single" w:color="000000" w:sz="4" w:space="0"/>
              <w:bottom w:val="single" w:color="000000" w:sz="4" w:space="0"/>
              <w:right w:val="single" w:color="000000" w:sz="4" w:space="0"/>
            </w:tcBorders>
            <w:vAlign w:val="center"/>
          </w:tcPr>
          <w:p w14:paraId="376061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079405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3A36B3B7">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DDE39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14F25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745EA4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双氧水</w:t>
            </w:r>
          </w:p>
        </w:tc>
        <w:tc>
          <w:tcPr>
            <w:tcW w:w="3485" w:type="dxa"/>
            <w:tcBorders>
              <w:top w:val="single" w:color="000000" w:sz="4" w:space="0"/>
              <w:left w:val="single" w:color="000000" w:sz="4" w:space="0"/>
              <w:bottom w:val="single" w:color="000000" w:sz="4" w:space="0"/>
              <w:right w:val="single" w:color="000000" w:sz="4" w:space="0"/>
            </w:tcBorders>
            <w:vAlign w:val="center"/>
          </w:tcPr>
          <w:p w14:paraId="6DCE06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过氧化氢30.0~35.0%</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13D4A6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1.422</w:t>
            </w:r>
          </w:p>
        </w:tc>
        <w:tc>
          <w:tcPr>
            <w:tcW w:w="933" w:type="dxa"/>
            <w:tcBorders>
              <w:top w:val="single" w:color="000000" w:sz="4" w:space="0"/>
              <w:left w:val="single" w:color="000000" w:sz="4" w:space="0"/>
              <w:bottom w:val="single" w:color="000000" w:sz="4" w:space="0"/>
              <w:right w:val="single" w:color="000000" w:sz="4" w:space="0"/>
            </w:tcBorders>
            <w:vAlign w:val="center"/>
          </w:tcPr>
          <w:p w14:paraId="600F86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4E984A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1.422</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436CB7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w:t>
            </w:r>
          </w:p>
        </w:tc>
        <w:tc>
          <w:tcPr>
            <w:tcW w:w="1075" w:type="dxa"/>
            <w:tcBorders>
              <w:top w:val="single" w:color="000000" w:sz="4" w:space="0"/>
              <w:left w:val="single" w:color="000000" w:sz="4" w:space="0"/>
              <w:bottom w:val="single" w:color="000000" w:sz="4" w:space="0"/>
              <w:right w:val="single" w:color="000000" w:sz="4" w:space="0"/>
            </w:tcBorders>
            <w:vAlign w:val="center"/>
          </w:tcPr>
          <w:p w14:paraId="3CC1E9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7615B7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73D4A172">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5F9936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3C2BC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0BE65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盐酸</w:t>
            </w:r>
          </w:p>
        </w:tc>
        <w:tc>
          <w:tcPr>
            <w:tcW w:w="3485" w:type="dxa"/>
            <w:tcBorders>
              <w:top w:val="single" w:color="000000" w:sz="4" w:space="0"/>
              <w:left w:val="single" w:color="000000" w:sz="4" w:space="0"/>
              <w:bottom w:val="single" w:color="000000" w:sz="4" w:space="0"/>
              <w:right w:val="single" w:color="000000" w:sz="4" w:space="0"/>
            </w:tcBorders>
            <w:vAlign w:val="center"/>
          </w:tcPr>
          <w:p w14:paraId="13594F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盐酸37%</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64554E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1.422</w:t>
            </w:r>
          </w:p>
        </w:tc>
        <w:tc>
          <w:tcPr>
            <w:tcW w:w="933" w:type="dxa"/>
            <w:tcBorders>
              <w:top w:val="single" w:color="000000" w:sz="4" w:space="0"/>
              <w:left w:val="single" w:color="000000" w:sz="4" w:space="0"/>
              <w:bottom w:val="single" w:color="000000" w:sz="4" w:space="0"/>
              <w:right w:val="single" w:color="000000" w:sz="4" w:space="0"/>
            </w:tcBorders>
            <w:vAlign w:val="center"/>
          </w:tcPr>
          <w:p w14:paraId="37C442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7F4105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1.422</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7C83C6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w:t>
            </w:r>
          </w:p>
        </w:tc>
        <w:tc>
          <w:tcPr>
            <w:tcW w:w="1075" w:type="dxa"/>
            <w:tcBorders>
              <w:top w:val="single" w:color="000000" w:sz="4" w:space="0"/>
              <w:left w:val="single" w:color="000000" w:sz="4" w:space="0"/>
              <w:bottom w:val="single" w:color="000000" w:sz="4" w:space="0"/>
              <w:right w:val="single" w:color="000000" w:sz="4" w:space="0"/>
            </w:tcBorders>
            <w:vAlign w:val="center"/>
          </w:tcPr>
          <w:p w14:paraId="666F1B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F75C3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0A2CD1C0">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3F428A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6C357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EFBB0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醋酸</w:t>
            </w:r>
          </w:p>
        </w:tc>
        <w:tc>
          <w:tcPr>
            <w:tcW w:w="3485" w:type="dxa"/>
            <w:tcBorders>
              <w:top w:val="single" w:color="000000" w:sz="4" w:space="0"/>
              <w:left w:val="single" w:color="000000" w:sz="4" w:space="0"/>
              <w:bottom w:val="single" w:color="000000" w:sz="4" w:space="0"/>
              <w:right w:val="single" w:color="000000" w:sz="4" w:space="0"/>
            </w:tcBorders>
            <w:vAlign w:val="center"/>
          </w:tcPr>
          <w:p w14:paraId="58BB7C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醋酸99.85%</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2B9B59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0.948</w:t>
            </w:r>
          </w:p>
        </w:tc>
        <w:tc>
          <w:tcPr>
            <w:tcW w:w="933" w:type="dxa"/>
            <w:tcBorders>
              <w:top w:val="single" w:color="000000" w:sz="4" w:space="0"/>
              <w:left w:val="single" w:color="000000" w:sz="4" w:space="0"/>
              <w:bottom w:val="single" w:color="000000" w:sz="4" w:space="0"/>
              <w:right w:val="single" w:color="000000" w:sz="4" w:space="0"/>
            </w:tcBorders>
            <w:vAlign w:val="center"/>
          </w:tcPr>
          <w:p w14:paraId="01BDD0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A056B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0.948</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6CFD68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075" w:type="dxa"/>
            <w:tcBorders>
              <w:top w:val="single" w:color="000000" w:sz="4" w:space="0"/>
              <w:left w:val="single" w:color="000000" w:sz="4" w:space="0"/>
              <w:bottom w:val="single" w:color="000000" w:sz="4" w:space="0"/>
              <w:right w:val="single" w:color="000000" w:sz="4" w:space="0"/>
            </w:tcBorders>
            <w:vAlign w:val="center"/>
          </w:tcPr>
          <w:p w14:paraId="50B14F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3D553D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407FBD5D">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4775E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26E9E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8B79D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KOH</w:t>
            </w:r>
          </w:p>
        </w:tc>
        <w:tc>
          <w:tcPr>
            <w:tcW w:w="3485" w:type="dxa"/>
            <w:tcBorders>
              <w:top w:val="single" w:color="000000" w:sz="4" w:space="0"/>
              <w:left w:val="single" w:color="000000" w:sz="4" w:space="0"/>
              <w:bottom w:val="single" w:color="000000" w:sz="4" w:space="0"/>
              <w:right w:val="single" w:color="000000" w:sz="4" w:space="0"/>
            </w:tcBorders>
            <w:vAlign w:val="center"/>
          </w:tcPr>
          <w:p w14:paraId="0732B5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KOH90.0%</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3F656F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2.844</w:t>
            </w:r>
          </w:p>
        </w:tc>
        <w:tc>
          <w:tcPr>
            <w:tcW w:w="933" w:type="dxa"/>
            <w:tcBorders>
              <w:top w:val="single" w:color="000000" w:sz="4" w:space="0"/>
              <w:left w:val="single" w:color="000000" w:sz="4" w:space="0"/>
              <w:bottom w:val="single" w:color="000000" w:sz="4" w:space="0"/>
              <w:right w:val="single" w:color="000000" w:sz="4" w:space="0"/>
            </w:tcBorders>
            <w:vAlign w:val="center"/>
          </w:tcPr>
          <w:p w14:paraId="3171A2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F80C2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2.844</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39B5BB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0.25</w:t>
            </w:r>
          </w:p>
        </w:tc>
        <w:tc>
          <w:tcPr>
            <w:tcW w:w="1075" w:type="dxa"/>
            <w:tcBorders>
              <w:top w:val="single" w:color="000000" w:sz="4" w:space="0"/>
              <w:left w:val="single" w:color="000000" w:sz="4" w:space="0"/>
              <w:bottom w:val="single" w:color="000000" w:sz="4" w:space="0"/>
              <w:right w:val="single" w:color="000000" w:sz="4" w:space="0"/>
            </w:tcBorders>
            <w:vAlign w:val="center"/>
          </w:tcPr>
          <w:p w14:paraId="0BF924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6FF5B7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263FED2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F9078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45EEC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936" w:type="dxa"/>
            <w:vMerge w:val="restart"/>
            <w:tcBorders>
              <w:top w:val="single" w:color="000000" w:sz="4" w:space="0"/>
              <w:left w:val="single" w:color="000000" w:sz="4" w:space="0"/>
              <w:bottom w:val="single" w:color="000000" w:sz="4" w:space="0"/>
              <w:right w:val="single" w:color="000000" w:sz="4" w:space="0"/>
            </w:tcBorders>
            <w:noWrap/>
            <w:vAlign w:val="center"/>
          </w:tcPr>
          <w:p w14:paraId="289948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1B7BA7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285S-1</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71DE84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0092EA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118.5</w:t>
            </w:r>
          </w:p>
        </w:tc>
        <w:tc>
          <w:tcPr>
            <w:tcW w:w="933" w:type="dxa"/>
            <w:tcBorders>
              <w:top w:val="single" w:color="000000" w:sz="4" w:space="0"/>
              <w:left w:val="single" w:color="000000" w:sz="4" w:space="0"/>
              <w:bottom w:val="single" w:color="000000" w:sz="4" w:space="0"/>
              <w:right w:val="single" w:color="000000" w:sz="4" w:space="0"/>
            </w:tcBorders>
            <w:vAlign w:val="center"/>
          </w:tcPr>
          <w:p w14:paraId="1F2FC5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06B0F0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118.5</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4D1453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1FD7A4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2EC067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053004DC">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D796D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6731E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936" w:type="dxa"/>
            <w:vMerge w:val="continue"/>
            <w:tcBorders>
              <w:top w:val="single" w:color="000000" w:sz="4" w:space="0"/>
              <w:left w:val="single" w:color="000000" w:sz="4" w:space="0"/>
              <w:bottom w:val="single" w:color="000000" w:sz="4" w:space="0"/>
              <w:right w:val="single" w:color="000000" w:sz="4" w:space="0"/>
            </w:tcBorders>
            <w:vAlign w:val="center"/>
          </w:tcPr>
          <w:p w14:paraId="796271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50AE96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Tectylcool494</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54BFDC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去离子水55-75%，三乙醇胺5-15%，2-氨基-2-甲基-1-丙醇1-5%</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5F874B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118.5</w:t>
            </w:r>
          </w:p>
        </w:tc>
        <w:tc>
          <w:tcPr>
            <w:tcW w:w="933" w:type="dxa"/>
            <w:tcBorders>
              <w:top w:val="single" w:color="000000" w:sz="4" w:space="0"/>
              <w:left w:val="single" w:color="000000" w:sz="4" w:space="0"/>
              <w:bottom w:val="single" w:color="000000" w:sz="4" w:space="0"/>
              <w:right w:val="single" w:color="000000" w:sz="4" w:space="0"/>
            </w:tcBorders>
            <w:vAlign w:val="center"/>
          </w:tcPr>
          <w:p w14:paraId="6469D2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4ABDBC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118.5</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6BEA4E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16D3E5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5A1F7D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6AC1E93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1E3732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68AFD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D27EA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研磨粉</w:t>
            </w:r>
          </w:p>
        </w:tc>
        <w:tc>
          <w:tcPr>
            <w:tcW w:w="3485" w:type="dxa"/>
            <w:tcBorders>
              <w:top w:val="single" w:color="000000" w:sz="4" w:space="0"/>
              <w:left w:val="single" w:color="000000" w:sz="4" w:space="0"/>
              <w:bottom w:val="single" w:color="000000" w:sz="4" w:space="0"/>
              <w:right w:val="single" w:color="000000" w:sz="4" w:space="0"/>
            </w:tcBorders>
            <w:vAlign w:val="center"/>
          </w:tcPr>
          <w:p w14:paraId="5F60DB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碳化硅100%</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21C94D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56.88</w:t>
            </w:r>
          </w:p>
        </w:tc>
        <w:tc>
          <w:tcPr>
            <w:tcW w:w="933" w:type="dxa"/>
            <w:tcBorders>
              <w:top w:val="single" w:color="000000" w:sz="4" w:space="0"/>
              <w:left w:val="single" w:color="000000" w:sz="4" w:space="0"/>
              <w:bottom w:val="single" w:color="000000" w:sz="4" w:space="0"/>
              <w:right w:val="single" w:color="000000" w:sz="4" w:space="0"/>
            </w:tcBorders>
            <w:vAlign w:val="center"/>
          </w:tcPr>
          <w:p w14:paraId="42A445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32F99F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56.88</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2D7519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075" w:type="dxa"/>
            <w:tcBorders>
              <w:top w:val="single" w:color="000000" w:sz="4" w:space="0"/>
              <w:left w:val="single" w:color="000000" w:sz="4" w:space="0"/>
              <w:bottom w:val="single" w:color="000000" w:sz="4" w:space="0"/>
              <w:right w:val="single" w:color="000000" w:sz="4" w:space="0"/>
            </w:tcBorders>
            <w:vAlign w:val="center"/>
          </w:tcPr>
          <w:p w14:paraId="0061FD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A34E8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0EC0254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2C1C86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D6C13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6299C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抛光粉</w:t>
            </w:r>
          </w:p>
        </w:tc>
        <w:tc>
          <w:tcPr>
            <w:tcW w:w="3485" w:type="dxa"/>
            <w:tcBorders>
              <w:top w:val="single" w:color="000000" w:sz="4" w:space="0"/>
              <w:left w:val="single" w:color="000000" w:sz="4" w:space="0"/>
              <w:bottom w:val="single" w:color="000000" w:sz="4" w:space="0"/>
              <w:right w:val="single" w:color="000000" w:sz="4" w:space="0"/>
            </w:tcBorders>
            <w:vAlign w:val="center"/>
          </w:tcPr>
          <w:p w14:paraId="556919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氧化硅100%</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3C0463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1.1376</w:t>
            </w:r>
          </w:p>
        </w:tc>
        <w:tc>
          <w:tcPr>
            <w:tcW w:w="933" w:type="dxa"/>
            <w:tcBorders>
              <w:top w:val="single" w:color="000000" w:sz="4" w:space="0"/>
              <w:left w:val="single" w:color="000000" w:sz="4" w:space="0"/>
              <w:bottom w:val="single" w:color="000000" w:sz="4" w:space="0"/>
              <w:right w:val="single" w:color="000000" w:sz="4" w:space="0"/>
            </w:tcBorders>
            <w:vAlign w:val="center"/>
          </w:tcPr>
          <w:p w14:paraId="0F5A8B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1FB4E9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1.1376</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7A6A73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075" w:type="dxa"/>
            <w:tcBorders>
              <w:top w:val="single" w:color="000000" w:sz="4" w:space="0"/>
              <w:left w:val="single" w:color="000000" w:sz="4" w:space="0"/>
              <w:bottom w:val="single" w:color="000000" w:sz="4" w:space="0"/>
              <w:right w:val="single" w:color="000000" w:sz="4" w:space="0"/>
            </w:tcBorders>
            <w:vAlign w:val="center"/>
          </w:tcPr>
          <w:p w14:paraId="60CD80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6BE54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2D9331EC">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C6321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14:paraId="0211F6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陶瓷产品</w:t>
            </w: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06239D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氧化铝陶瓷</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1F5E1F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AL2O3</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78DA27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1620</w:t>
            </w:r>
          </w:p>
        </w:tc>
        <w:tc>
          <w:tcPr>
            <w:tcW w:w="933" w:type="dxa"/>
            <w:tcBorders>
              <w:top w:val="single" w:color="000000" w:sz="4" w:space="0"/>
              <w:left w:val="single" w:color="000000" w:sz="4" w:space="0"/>
              <w:bottom w:val="single" w:color="000000" w:sz="4" w:space="0"/>
              <w:right w:val="single" w:color="000000" w:sz="4" w:space="0"/>
            </w:tcBorders>
            <w:vAlign w:val="center"/>
          </w:tcPr>
          <w:p w14:paraId="642E33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B7A6A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1620</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02594D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704A4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8317C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4B981E0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2EEF4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42DE8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103CFA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0E61D6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5A6E4D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0.7</w:t>
            </w:r>
          </w:p>
        </w:tc>
        <w:tc>
          <w:tcPr>
            <w:tcW w:w="933" w:type="dxa"/>
            <w:tcBorders>
              <w:top w:val="single" w:color="000000" w:sz="4" w:space="0"/>
              <w:left w:val="single" w:color="000000" w:sz="4" w:space="0"/>
              <w:bottom w:val="single" w:color="000000" w:sz="4" w:space="0"/>
              <w:right w:val="single" w:color="000000" w:sz="4" w:space="0"/>
            </w:tcBorders>
            <w:vAlign w:val="center"/>
          </w:tcPr>
          <w:p w14:paraId="54AAB9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3495F8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0.7</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785BFD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7C079C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25L/桶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AF8F3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7E9039EE">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25C525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74CA2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720BAB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导轨油</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44B22B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机油70-80%、溶剂脱蜡重石蜡馏分20-30%、添加剂1-5%</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0247EE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933" w:type="dxa"/>
            <w:tcBorders>
              <w:top w:val="single" w:color="000000" w:sz="4" w:space="0"/>
              <w:left w:val="single" w:color="000000" w:sz="4" w:space="0"/>
              <w:bottom w:val="single" w:color="000000" w:sz="4" w:space="0"/>
              <w:right w:val="single" w:color="000000" w:sz="4" w:space="0"/>
            </w:tcBorders>
            <w:vAlign w:val="center"/>
          </w:tcPr>
          <w:p w14:paraId="1C9E54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012800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769FC9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6B0BFE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208L/桶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62117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5A1622A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E0B5F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56A6E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noWrap/>
            <w:vAlign w:val="center"/>
          </w:tcPr>
          <w:p w14:paraId="2F1228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粘结剂</w:t>
            </w:r>
          </w:p>
        </w:tc>
        <w:tc>
          <w:tcPr>
            <w:tcW w:w="3485" w:type="dxa"/>
            <w:tcBorders>
              <w:top w:val="single" w:color="000000" w:sz="4" w:space="0"/>
              <w:left w:val="single" w:color="000000" w:sz="4" w:space="0"/>
              <w:bottom w:val="single" w:color="000000" w:sz="4" w:space="0"/>
              <w:right w:val="single" w:color="000000" w:sz="4" w:space="0"/>
            </w:tcBorders>
            <w:noWrap/>
            <w:vAlign w:val="center"/>
          </w:tcPr>
          <w:p w14:paraId="66B58E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聚乙烯醇7%，可分散胶粉0.5%</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5E1C5E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c>
          <w:tcPr>
            <w:tcW w:w="933" w:type="dxa"/>
            <w:tcBorders>
              <w:top w:val="single" w:color="000000" w:sz="4" w:space="0"/>
              <w:left w:val="single" w:color="000000" w:sz="4" w:space="0"/>
              <w:bottom w:val="single" w:color="000000" w:sz="4" w:space="0"/>
              <w:right w:val="single" w:color="000000" w:sz="4" w:space="0"/>
            </w:tcBorders>
            <w:vAlign w:val="center"/>
          </w:tcPr>
          <w:p w14:paraId="0171250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CA71D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622346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7E4E35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5kg/瓶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195E84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化学品库</w:t>
            </w:r>
          </w:p>
        </w:tc>
      </w:tr>
      <w:tr w14:paraId="5EEA96AF">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1E3BD6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14:paraId="789A2BC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碳化硅产品</w:t>
            </w: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D8F6F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MTS</w:t>
            </w:r>
          </w:p>
        </w:tc>
        <w:tc>
          <w:tcPr>
            <w:tcW w:w="3485" w:type="dxa"/>
            <w:tcBorders>
              <w:top w:val="single" w:color="000000" w:sz="4" w:space="0"/>
              <w:left w:val="single" w:color="000000" w:sz="4" w:space="0"/>
              <w:bottom w:val="single" w:color="000000" w:sz="4" w:space="0"/>
              <w:right w:val="single" w:color="000000" w:sz="4" w:space="0"/>
            </w:tcBorders>
            <w:vAlign w:val="center"/>
          </w:tcPr>
          <w:p w14:paraId="12A711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三氯甲基硅烷</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2E4594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248</w:t>
            </w:r>
          </w:p>
        </w:tc>
        <w:tc>
          <w:tcPr>
            <w:tcW w:w="933" w:type="dxa"/>
            <w:tcBorders>
              <w:top w:val="single" w:color="000000" w:sz="4" w:space="0"/>
              <w:left w:val="single" w:color="000000" w:sz="4" w:space="0"/>
              <w:bottom w:val="single" w:color="000000" w:sz="4" w:space="0"/>
              <w:right w:val="single" w:color="000000" w:sz="4" w:space="0"/>
            </w:tcBorders>
            <w:vAlign w:val="center"/>
          </w:tcPr>
          <w:p w14:paraId="3E5E29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3D68D0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248</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7910F9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075" w:type="dxa"/>
            <w:tcBorders>
              <w:top w:val="single" w:color="000000" w:sz="4" w:space="0"/>
              <w:left w:val="single" w:color="000000" w:sz="4" w:space="0"/>
              <w:bottom w:val="single" w:color="000000" w:sz="4" w:space="0"/>
              <w:right w:val="single" w:color="000000" w:sz="4" w:space="0"/>
            </w:tcBorders>
            <w:vAlign w:val="center"/>
          </w:tcPr>
          <w:p w14:paraId="1B4F18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1.0t/罐</w:t>
            </w:r>
          </w:p>
        </w:tc>
        <w:tc>
          <w:tcPr>
            <w:tcW w:w="1265" w:type="dxa"/>
            <w:tcBorders>
              <w:top w:val="single" w:color="000000" w:sz="4" w:space="0"/>
              <w:left w:val="single" w:color="000000" w:sz="4" w:space="0"/>
              <w:bottom w:val="single" w:color="000000" w:sz="4" w:space="0"/>
              <w:right w:val="single" w:color="000000" w:sz="4" w:space="0"/>
            </w:tcBorders>
            <w:vAlign w:val="center"/>
          </w:tcPr>
          <w:p w14:paraId="446B2E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MTS贮存间</w:t>
            </w:r>
          </w:p>
        </w:tc>
      </w:tr>
      <w:tr w14:paraId="1E0D103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8A3B0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ABFEB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FABE1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5FF2D7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氢气99.999%</w:t>
            </w:r>
          </w:p>
        </w:tc>
        <w:tc>
          <w:tcPr>
            <w:tcW w:w="1138" w:type="dxa"/>
            <w:tcBorders>
              <w:top w:val="single" w:color="000000" w:sz="4" w:space="0"/>
              <w:left w:val="single" w:color="000000" w:sz="4" w:space="0"/>
              <w:bottom w:val="single" w:color="000000" w:sz="4" w:space="0"/>
              <w:right w:val="single" w:color="000000" w:sz="4" w:space="0"/>
            </w:tcBorders>
            <w:vAlign w:val="center"/>
          </w:tcPr>
          <w:p w14:paraId="023F54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6.8万m</w:t>
            </w:r>
            <w:r>
              <w:rPr>
                <w:snapToGrid/>
                <w:color w:val="000000" w:themeColor="text1"/>
                <w:sz w:val="21"/>
                <w:szCs w:val="21"/>
                <w:vertAlign w:val="superscript"/>
                <w14:textFill>
                  <w14:solidFill>
                    <w14:schemeClr w14:val="tx1"/>
                  </w14:solidFill>
                </w14:textFill>
              </w:rPr>
              <w:t>3</w:t>
            </w:r>
          </w:p>
        </w:tc>
        <w:tc>
          <w:tcPr>
            <w:tcW w:w="933" w:type="dxa"/>
            <w:tcBorders>
              <w:top w:val="single" w:color="000000" w:sz="4" w:space="0"/>
              <w:left w:val="single" w:color="000000" w:sz="4" w:space="0"/>
              <w:bottom w:val="single" w:color="000000" w:sz="4" w:space="0"/>
              <w:right w:val="single" w:color="000000" w:sz="4" w:space="0"/>
            </w:tcBorders>
            <w:vAlign w:val="center"/>
          </w:tcPr>
          <w:p w14:paraId="5298AB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45E61C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6.8万m</w:t>
            </w:r>
            <w:r>
              <w:rPr>
                <w:snapToGrid/>
                <w:color w:val="000000" w:themeColor="text1"/>
                <w:sz w:val="21"/>
                <w:szCs w:val="21"/>
                <w:vertAlign w:val="superscript"/>
                <w14:textFill>
                  <w14:solidFill>
                    <w14:schemeClr w14:val="tx1"/>
                  </w14:solidFill>
                </w14:textFill>
              </w:rPr>
              <w:t>3</w:t>
            </w:r>
          </w:p>
        </w:tc>
        <w:tc>
          <w:tcPr>
            <w:tcW w:w="1032" w:type="dxa"/>
            <w:tcBorders>
              <w:top w:val="single" w:color="000000" w:sz="4" w:space="0"/>
              <w:left w:val="single" w:color="000000" w:sz="4" w:space="0"/>
              <w:bottom w:val="single" w:color="000000" w:sz="4" w:space="0"/>
              <w:right w:val="single" w:color="000000" w:sz="4" w:space="0"/>
            </w:tcBorders>
            <w:vAlign w:val="center"/>
          </w:tcPr>
          <w:p w14:paraId="27D341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300瓶</w:t>
            </w:r>
          </w:p>
        </w:tc>
        <w:tc>
          <w:tcPr>
            <w:tcW w:w="1075" w:type="dxa"/>
            <w:tcBorders>
              <w:top w:val="single" w:color="000000" w:sz="4" w:space="0"/>
              <w:left w:val="single" w:color="000000" w:sz="4" w:space="0"/>
              <w:bottom w:val="single" w:color="000000" w:sz="4" w:space="0"/>
              <w:right w:val="single" w:color="000000" w:sz="4" w:space="0"/>
            </w:tcBorders>
            <w:vAlign w:val="center"/>
          </w:tcPr>
          <w:p w14:paraId="6E9657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18B620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56E6E132">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63382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12003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443F4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2E11D0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氮气99.999%</w:t>
            </w:r>
          </w:p>
        </w:tc>
        <w:tc>
          <w:tcPr>
            <w:tcW w:w="1138" w:type="dxa"/>
            <w:tcBorders>
              <w:top w:val="single" w:color="000000" w:sz="4" w:space="0"/>
              <w:left w:val="single" w:color="000000" w:sz="4" w:space="0"/>
              <w:bottom w:val="single" w:color="000000" w:sz="4" w:space="0"/>
              <w:right w:val="single" w:color="000000" w:sz="4" w:space="0"/>
            </w:tcBorders>
            <w:vAlign w:val="center"/>
          </w:tcPr>
          <w:p w14:paraId="7C6E36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1.65万m</w:t>
            </w:r>
            <w:r>
              <w:rPr>
                <w:snapToGrid/>
                <w:color w:val="000000" w:themeColor="text1"/>
                <w:sz w:val="21"/>
                <w:szCs w:val="21"/>
                <w:vertAlign w:val="superscript"/>
                <w14:textFill>
                  <w14:solidFill>
                    <w14:schemeClr w14:val="tx1"/>
                  </w14:solidFill>
                </w14:textFill>
              </w:rPr>
              <w:t>3</w:t>
            </w:r>
          </w:p>
        </w:tc>
        <w:tc>
          <w:tcPr>
            <w:tcW w:w="933" w:type="dxa"/>
            <w:tcBorders>
              <w:top w:val="single" w:color="000000" w:sz="4" w:space="0"/>
              <w:left w:val="single" w:color="000000" w:sz="4" w:space="0"/>
              <w:bottom w:val="single" w:color="000000" w:sz="4" w:space="0"/>
              <w:right w:val="single" w:color="000000" w:sz="4" w:space="0"/>
            </w:tcBorders>
            <w:vAlign w:val="center"/>
          </w:tcPr>
          <w:p w14:paraId="2B387E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314E92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1.65万m</w:t>
            </w:r>
            <w:r>
              <w:rPr>
                <w:snapToGrid/>
                <w:color w:val="000000" w:themeColor="text1"/>
                <w:sz w:val="21"/>
                <w:szCs w:val="21"/>
                <w:vertAlign w:val="superscript"/>
                <w14:textFill>
                  <w14:solidFill>
                    <w14:schemeClr w14:val="tx1"/>
                  </w14:solidFill>
                </w14:textFill>
              </w:rPr>
              <w:t>3</w:t>
            </w:r>
          </w:p>
        </w:tc>
        <w:tc>
          <w:tcPr>
            <w:tcW w:w="1032" w:type="dxa"/>
            <w:tcBorders>
              <w:top w:val="single" w:color="000000" w:sz="4" w:space="0"/>
              <w:left w:val="single" w:color="000000" w:sz="4" w:space="0"/>
              <w:bottom w:val="single" w:color="000000" w:sz="4" w:space="0"/>
              <w:right w:val="single" w:color="000000" w:sz="4" w:space="0"/>
            </w:tcBorders>
            <w:vAlign w:val="center"/>
          </w:tcPr>
          <w:p w14:paraId="2E4F15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100瓶</w:t>
            </w:r>
          </w:p>
        </w:tc>
        <w:tc>
          <w:tcPr>
            <w:tcW w:w="1075" w:type="dxa"/>
            <w:tcBorders>
              <w:top w:val="single" w:color="000000" w:sz="4" w:space="0"/>
              <w:left w:val="single" w:color="000000" w:sz="4" w:space="0"/>
              <w:bottom w:val="single" w:color="000000" w:sz="4" w:space="0"/>
              <w:right w:val="single" w:color="000000" w:sz="4" w:space="0"/>
            </w:tcBorders>
            <w:vAlign w:val="center"/>
          </w:tcPr>
          <w:p w14:paraId="2AF1CE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199DD4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23A5BF21">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25A16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526B6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9234B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1A0981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氩气99.999%</w:t>
            </w:r>
          </w:p>
        </w:tc>
        <w:tc>
          <w:tcPr>
            <w:tcW w:w="1138" w:type="dxa"/>
            <w:tcBorders>
              <w:top w:val="single" w:color="000000" w:sz="4" w:space="0"/>
              <w:left w:val="single" w:color="000000" w:sz="4" w:space="0"/>
              <w:bottom w:val="single" w:color="000000" w:sz="4" w:space="0"/>
              <w:right w:val="single" w:color="000000" w:sz="4" w:space="0"/>
            </w:tcBorders>
            <w:vAlign w:val="center"/>
          </w:tcPr>
          <w:p w14:paraId="79AC9E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2.83万m</w:t>
            </w:r>
            <w:r>
              <w:rPr>
                <w:snapToGrid/>
                <w:color w:val="000000" w:themeColor="text1"/>
                <w:sz w:val="21"/>
                <w:szCs w:val="21"/>
                <w:vertAlign w:val="superscript"/>
                <w14:textFill>
                  <w14:solidFill>
                    <w14:schemeClr w14:val="tx1"/>
                  </w14:solidFill>
                </w14:textFill>
              </w:rPr>
              <w:t>3</w:t>
            </w:r>
          </w:p>
        </w:tc>
        <w:tc>
          <w:tcPr>
            <w:tcW w:w="933" w:type="dxa"/>
            <w:tcBorders>
              <w:top w:val="single" w:color="000000" w:sz="4" w:space="0"/>
              <w:left w:val="single" w:color="000000" w:sz="4" w:space="0"/>
              <w:bottom w:val="single" w:color="000000" w:sz="4" w:space="0"/>
              <w:right w:val="single" w:color="000000" w:sz="4" w:space="0"/>
            </w:tcBorders>
            <w:vAlign w:val="center"/>
          </w:tcPr>
          <w:p w14:paraId="6E5875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2B300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2.83万m</w:t>
            </w:r>
            <w:r>
              <w:rPr>
                <w:snapToGrid/>
                <w:color w:val="000000" w:themeColor="text1"/>
                <w:sz w:val="21"/>
                <w:szCs w:val="21"/>
                <w:vertAlign w:val="superscript"/>
                <w14:textFill>
                  <w14:solidFill>
                    <w14:schemeClr w14:val="tx1"/>
                  </w14:solidFill>
                </w14:textFill>
              </w:rPr>
              <w:t>3</w:t>
            </w:r>
          </w:p>
        </w:tc>
        <w:tc>
          <w:tcPr>
            <w:tcW w:w="1032" w:type="dxa"/>
            <w:tcBorders>
              <w:top w:val="single" w:color="000000" w:sz="4" w:space="0"/>
              <w:left w:val="single" w:color="000000" w:sz="4" w:space="0"/>
              <w:bottom w:val="single" w:color="000000" w:sz="4" w:space="0"/>
              <w:right w:val="single" w:color="000000" w:sz="4" w:space="0"/>
            </w:tcBorders>
            <w:vAlign w:val="center"/>
          </w:tcPr>
          <w:p w14:paraId="3823C1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100瓶</w:t>
            </w:r>
          </w:p>
        </w:tc>
        <w:tc>
          <w:tcPr>
            <w:tcW w:w="1075" w:type="dxa"/>
            <w:tcBorders>
              <w:top w:val="single" w:color="000000" w:sz="4" w:space="0"/>
              <w:left w:val="single" w:color="000000" w:sz="4" w:space="0"/>
              <w:bottom w:val="single" w:color="000000" w:sz="4" w:space="0"/>
              <w:right w:val="single" w:color="000000" w:sz="4" w:space="0"/>
            </w:tcBorders>
            <w:vAlign w:val="center"/>
          </w:tcPr>
          <w:p w14:paraId="4EC0EB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 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5A0C44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5E8F8F33">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28A217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D6A75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2818C7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石墨支撑件</w:t>
            </w:r>
          </w:p>
        </w:tc>
        <w:tc>
          <w:tcPr>
            <w:tcW w:w="3485" w:type="dxa"/>
            <w:tcBorders>
              <w:top w:val="single" w:color="000000" w:sz="4" w:space="0"/>
              <w:left w:val="single" w:color="000000" w:sz="4" w:space="0"/>
              <w:bottom w:val="single" w:color="000000" w:sz="4" w:space="0"/>
              <w:right w:val="single" w:color="000000" w:sz="4" w:space="0"/>
            </w:tcBorders>
            <w:vAlign w:val="center"/>
          </w:tcPr>
          <w:p w14:paraId="59A806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1E103A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3600</w:t>
            </w:r>
          </w:p>
        </w:tc>
        <w:tc>
          <w:tcPr>
            <w:tcW w:w="933" w:type="dxa"/>
            <w:tcBorders>
              <w:top w:val="single" w:color="000000" w:sz="4" w:space="0"/>
              <w:left w:val="single" w:color="000000" w:sz="4" w:space="0"/>
              <w:bottom w:val="single" w:color="000000" w:sz="4" w:space="0"/>
              <w:right w:val="single" w:color="000000" w:sz="4" w:space="0"/>
            </w:tcBorders>
            <w:vAlign w:val="center"/>
          </w:tcPr>
          <w:p w14:paraId="6FA1DE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2FDBFA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3600</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253788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1075" w:type="dxa"/>
            <w:tcBorders>
              <w:top w:val="single" w:color="000000" w:sz="4" w:space="0"/>
              <w:left w:val="single" w:color="000000" w:sz="4" w:space="0"/>
              <w:bottom w:val="single" w:color="000000" w:sz="4" w:space="0"/>
              <w:right w:val="single" w:color="000000" w:sz="4" w:space="0"/>
            </w:tcBorders>
            <w:vAlign w:val="center"/>
          </w:tcPr>
          <w:p w14:paraId="5E7509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AF971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原辅材料库</w:t>
            </w:r>
          </w:p>
        </w:tc>
      </w:tr>
      <w:tr w14:paraId="4BB56BB3">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44758D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CC3C4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2D4A7C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NaOH</w:t>
            </w:r>
          </w:p>
        </w:tc>
        <w:tc>
          <w:tcPr>
            <w:tcW w:w="3485" w:type="dxa"/>
            <w:tcBorders>
              <w:top w:val="single" w:color="000000" w:sz="4" w:space="0"/>
              <w:left w:val="single" w:color="000000" w:sz="4" w:space="0"/>
              <w:bottom w:val="single" w:color="000000" w:sz="4" w:space="0"/>
              <w:right w:val="single" w:color="000000" w:sz="4" w:space="0"/>
            </w:tcBorders>
            <w:vAlign w:val="center"/>
          </w:tcPr>
          <w:p w14:paraId="1D99AE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NaOH固体</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2BD1E1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35.8</w:t>
            </w:r>
          </w:p>
        </w:tc>
        <w:tc>
          <w:tcPr>
            <w:tcW w:w="933" w:type="dxa"/>
            <w:tcBorders>
              <w:top w:val="single" w:color="000000" w:sz="4" w:space="0"/>
              <w:left w:val="single" w:color="000000" w:sz="4" w:space="0"/>
              <w:bottom w:val="single" w:color="000000" w:sz="4" w:space="0"/>
              <w:right w:val="single" w:color="000000" w:sz="4" w:space="0"/>
            </w:tcBorders>
            <w:vAlign w:val="center"/>
          </w:tcPr>
          <w:p w14:paraId="2DB39F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F0404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35.8</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38354E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075" w:type="dxa"/>
            <w:tcBorders>
              <w:top w:val="single" w:color="000000" w:sz="4" w:space="0"/>
              <w:left w:val="single" w:color="000000" w:sz="4" w:space="0"/>
              <w:bottom w:val="single" w:color="000000" w:sz="4" w:space="0"/>
              <w:right w:val="single" w:color="000000" w:sz="4" w:space="0"/>
            </w:tcBorders>
            <w:vAlign w:val="center"/>
          </w:tcPr>
          <w:p w14:paraId="701427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50kg/箱</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503992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危险化学品库</w:t>
            </w:r>
          </w:p>
        </w:tc>
      </w:tr>
      <w:tr w14:paraId="38A7CD10">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9F184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18441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9CBCC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H2SO4</w:t>
            </w:r>
          </w:p>
        </w:tc>
        <w:tc>
          <w:tcPr>
            <w:tcW w:w="3485" w:type="dxa"/>
            <w:tcBorders>
              <w:top w:val="single" w:color="000000" w:sz="4" w:space="0"/>
              <w:left w:val="single" w:color="000000" w:sz="4" w:space="0"/>
              <w:bottom w:val="single" w:color="000000" w:sz="4" w:space="0"/>
              <w:right w:val="single" w:color="000000" w:sz="4" w:space="0"/>
            </w:tcBorders>
            <w:vAlign w:val="center"/>
          </w:tcPr>
          <w:p w14:paraId="3A6B44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SO</w:t>
            </w:r>
            <w:r>
              <w:rPr>
                <w:snapToGrid/>
                <w:color w:val="000000" w:themeColor="text1"/>
                <w:sz w:val="21"/>
                <w:szCs w:val="21"/>
                <w:vertAlign w:val="subscript"/>
                <w14:textFill>
                  <w14:solidFill>
                    <w14:schemeClr w14:val="tx1"/>
                  </w14:solidFill>
                </w14:textFill>
              </w:rPr>
              <w:t>4</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401F93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0.6</w:t>
            </w:r>
          </w:p>
        </w:tc>
        <w:tc>
          <w:tcPr>
            <w:tcW w:w="933" w:type="dxa"/>
            <w:tcBorders>
              <w:top w:val="single" w:color="000000" w:sz="4" w:space="0"/>
              <w:left w:val="single" w:color="000000" w:sz="4" w:space="0"/>
              <w:bottom w:val="single" w:color="000000" w:sz="4" w:space="0"/>
              <w:right w:val="single" w:color="000000" w:sz="4" w:space="0"/>
            </w:tcBorders>
            <w:vAlign w:val="center"/>
          </w:tcPr>
          <w:p w14:paraId="166F2B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41DA42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0.6</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6D3856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075" w:type="dxa"/>
            <w:tcBorders>
              <w:top w:val="single" w:color="000000" w:sz="4" w:space="0"/>
              <w:left w:val="single" w:color="000000" w:sz="4" w:space="0"/>
              <w:bottom w:val="single" w:color="000000" w:sz="4" w:space="0"/>
              <w:right w:val="single" w:color="000000" w:sz="4" w:space="0"/>
            </w:tcBorders>
            <w:vAlign w:val="center"/>
          </w:tcPr>
          <w:p w14:paraId="25658F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10kg/桶</w:t>
            </w:r>
          </w:p>
        </w:tc>
        <w:tc>
          <w:tcPr>
            <w:tcW w:w="1265" w:type="dxa"/>
            <w:tcBorders>
              <w:top w:val="single" w:color="000000" w:sz="4" w:space="0"/>
              <w:left w:val="single" w:color="000000" w:sz="4" w:space="0"/>
              <w:bottom w:val="single" w:color="000000" w:sz="4" w:space="0"/>
              <w:right w:val="single" w:color="000000" w:sz="4" w:space="0"/>
            </w:tcBorders>
            <w:noWrap/>
            <w:vAlign w:val="center"/>
          </w:tcPr>
          <w:p w14:paraId="444C28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危险化学品库</w:t>
            </w:r>
          </w:p>
        </w:tc>
      </w:tr>
      <w:tr w14:paraId="0BB938DC">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1872AD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14:paraId="027F03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静电卡盘ESC新品及再生品研发</w:t>
            </w: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DAB6E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B98粘结剂</w:t>
            </w:r>
          </w:p>
        </w:tc>
        <w:tc>
          <w:tcPr>
            <w:tcW w:w="3485" w:type="dxa"/>
            <w:tcBorders>
              <w:top w:val="single" w:color="000000" w:sz="4" w:space="0"/>
              <w:left w:val="single" w:color="000000" w:sz="4" w:space="0"/>
              <w:bottom w:val="single" w:color="000000" w:sz="4" w:space="0"/>
              <w:right w:val="single" w:color="000000" w:sz="4" w:space="0"/>
            </w:tcBorders>
            <w:vAlign w:val="center"/>
          </w:tcPr>
          <w:p w14:paraId="14CC91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聚乙烯醇缩丁醛</w:t>
            </w:r>
          </w:p>
        </w:tc>
        <w:tc>
          <w:tcPr>
            <w:tcW w:w="1138" w:type="dxa"/>
            <w:tcBorders>
              <w:top w:val="single" w:color="000000" w:sz="4" w:space="0"/>
              <w:left w:val="single" w:color="000000" w:sz="4" w:space="0"/>
              <w:bottom w:val="single" w:color="000000" w:sz="4" w:space="0"/>
              <w:right w:val="single" w:color="000000" w:sz="4" w:space="0"/>
            </w:tcBorders>
            <w:vAlign w:val="center"/>
          </w:tcPr>
          <w:p w14:paraId="06ED83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120kg</w:t>
            </w:r>
          </w:p>
        </w:tc>
        <w:tc>
          <w:tcPr>
            <w:tcW w:w="933" w:type="dxa"/>
            <w:tcBorders>
              <w:top w:val="single" w:color="000000" w:sz="4" w:space="0"/>
              <w:left w:val="single" w:color="000000" w:sz="4" w:space="0"/>
              <w:bottom w:val="single" w:color="000000" w:sz="4" w:space="0"/>
              <w:right w:val="single" w:color="000000" w:sz="4" w:space="0"/>
            </w:tcBorders>
            <w:vAlign w:val="center"/>
          </w:tcPr>
          <w:p w14:paraId="60CDDB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46D26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120kg</w:t>
            </w:r>
          </w:p>
        </w:tc>
        <w:tc>
          <w:tcPr>
            <w:tcW w:w="1032" w:type="dxa"/>
            <w:tcBorders>
              <w:top w:val="single" w:color="000000" w:sz="4" w:space="0"/>
              <w:left w:val="single" w:color="000000" w:sz="4" w:space="0"/>
              <w:bottom w:val="single" w:color="000000" w:sz="4" w:space="0"/>
              <w:right w:val="single" w:color="000000" w:sz="4" w:space="0"/>
            </w:tcBorders>
            <w:vAlign w:val="center"/>
          </w:tcPr>
          <w:p w14:paraId="7A686B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30kg</w:t>
            </w:r>
          </w:p>
        </w:tc>
        <w:tc>
          <w:tcPr>
            <w:tcW w:w="1075" w:type="dxa"/>
            <w:tcBorders>
              <w:top w:val="single" w:color="000000" w:sz="4" w:space="0"/>
              <w:left w:val="single" w:color="000000" w:sz="4" w:space="0"/>
              <w:bottom w:val="single" w:color="000000" w:sz="4" w:space="0"/>
              <w:right w:val="single" w:color="000000" w:sz="4" w:space="0"/>
            </w:tcBorders>
            <w:vAlign w:val="center"/>
          </w:tcPr>
          <w:p w14:paraId="12F405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367A45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5FB2A98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5BC6F7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B1406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A3D2B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SN9228分散剂（SN-DISPER SANT9228）</w:t>
            </w:r>
          </w:p>
        </w:tc>
        <w:tc>
          <w:tcPr>
            <w:tcW w:w="3485" w:type="dxa"/>
            <w:tcBorders>
              <w:top w:val="single" w:color="000000" w:sz="4" w:space="0"/>
              <w:left w:val="single" w:color="000000" w:sz="4" w:space="0"/>
              <w:bottom w:val="single" w:color="000000" w:sz="4" w:space="0"/>
              <w:right w:val="single" w:color="000000" w:sz="4" w:space="0"/>
            </w:tcBorders>
            <w:vAlign w:val="center"/>
          </w:tcPr>
          <w:p w14:paraId="27B07C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多元醇型非离子表面活性剂</w:t>
            </w:r>
          </w:p>
        </w:tc>
        <w:tc>
          <w:tcPr>
            <w:tcW w:w="1138" w:type="dxa"/>
            <w:tcBorders>
              <w:top w:val="single" w:color="000000" w:sz="4" w:space="0"/>
              <w:left w:val="single" w:color="000000" w:sz="4" w:space="0"/>
              <w:bottom w:val="single" w:color="000000" w:sz="4" w:space="0"/>
              <w:right w:val="single" w:color="000000" w:sz="4" w:space="0"/>
            </w:tcBorders>
            <w:vAlign w:val="center"/>
          </w:tcPr>
          <w:p w14:paraId="38AA12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40kg</w:t>
            </w:r>
          </w:p>
        </w:tc>
        <w:tc>
          <w:tcPr>
            <w:tcW w:w="933" w:type="dxa"/>
            <w:tcBorders>
              <w:top w:val="single" w:color="000000" w:sz="4" w:space="0"/>
              <w:left w:val="single" w:color="000000" w:sz="4" w:space="0"/>
              <w:bottom w:val="single" w:color="000000" w:sz="4" w:space="0"/>
              <w:right w:val="single" w:color="000000" w:sz="4" w:space="0"/>
            </w:tcBorders>
            <w:vAlign w:val="center"/>
          </w:tcPr>
          <w:p w14:paraId="6F9621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D80F5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40kg</w:t>
            </w:r>
          </w:p>
        </w:tc>
        <w:tc>
          <w:tcPr>
            <w:tcW w:w="1032" w:type="dxa"/>
            <w:tcBorders>
              <w:top w:val="single" w:color="000000" w:sz="4" w:space="0"/>
              <w:left w:val="single" w:color="000000" w:sz="4" w:space="0"/>
              <w:bottom w:val="single" w:color="000000" w:sz="4" w:space="0"/>
              <w:right w:val="single" w:color="000000" w:sz="4" w:space="0"/>
            </w:tcBorders>
            <w:vAlign w:val="center"/>
          </w:tcPr>
          <w:p w14:paraId="07440C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10kg</w:t>
            </w:r>
          </w:p>
        </w:tc>
        <w:tc>
          <w:tcPr>
            <w:tcW w:w="1075" w:type="dxa"/>
            <w:tcBorders>
              <w:top w:val="single" w:color="000000" w:sz="4" w:space="0"/>
              <w:left w:val="single" w:color="000000" w:sz="4" w:space="0"/>
              <w:bottom w:val="single" w:color="000000" w:sz="4" w:space="0"/>
              <w:right w:val="single" w:color="000000" w:sz="4" w:space="0"/>
            </w:tcBorders>
            <w:vAlign w:val="center"/>
          </w:tcPr>
          <w:p w14:paraId="589866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69A0FA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20800BA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41E08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F4AC7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22DAC0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Santicizer160增塑剂</w:t>
            </w:r>
          </w:p>
        </w:tc>
        <w:tc>
          <w:tcPr>
            <w:tcW w:w="3485" w:type="dxa"/>
            <w:tcBorders>
              <w:top w:val="single" w:color="000000" w:sz="4" w:space="0"/>
              <w:left w:val="single" w:color="000000" w:sz="4" w:space="0"/>
              <w:bottom w:val="single" w:color="000000" w:sz="4" w:space="0"/>
              <w:right w:val="single" w:color="000000" w:sz="4" w:space="0"/>
            </w:tcBorders>
            <w:vAlign w:val="center"/>
          </w:tcPr>
          <w:p w14:paraId="3D080B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邻苯二甲酸丁酯苯甲酯</w:t>
            </w:r>
          </w:p>
        </w:tc>
        <w:tc>
          <w:tcPr>
            <w:tcW w:w="1138" w:type="dxa"/>
            <w:tcBorders>
              <w:top w:val="single" w:color="000000" w:sz="4" w:space="0"/>
              <w:left w:val="single" w:color="000000" w:sz="4" w:space="0"/>
              <w:bottom w:val="single" w:color="000000" w:sz="4" w:space="0"/>
              <w:right w:val="single" w:color="000000" w:sz="4" w:space="0"/>
            </w:tcBorders>
            <w:vAlign w:val="center"/>
          </w:tcPr>
          <w:p w14:paraId="78B1AC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60kg</w:t>
            </w:r>
          </w:p>
        </w:tc>
        <w:tc>
          <w:tcPr>
            <w:tcW w:w="933" w:type="dxa"/>
            <w:tcBorders>
              <w:top w:val="single" w:color="000000" w:sz="4" w:space="0"/>
              <w:left w:val="single" w:color="000000" w:sz="4" w:space="0"/>
              <w:bottom w:val="single" w:color="000000" w:sz="4" w:space="0"/>
              <w:right w:val="single" w:color="000000" w:sz="4" w:space="0"/>
            </w:tcBorders>
            <w:vAlign w:val="center"/>
          </w:tcPr>
          <w:p w14:paraId="5341BB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1BB007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60kg</w:t>
            </w:r>
          </w:p>
        </w:tc>
        <w:tc>
          <w:tcPr>
            <w:tcW w:w="1032" w:type="dxa"/>
            <w:tcBorders>
              <w:top w:val="single" w:color="000000" w:sz="4" w:space="0"/>
              <w:left w:val="single" w:color="000000" w:sz="4" w:space="0"/>
              <w:bottom w:val="single" w:color="000000" w:sz="4" w:space="0"/>
              <w:right w:val="single" w:color="000000" w:sz="4" w:space="0"/>
            </w:tcBorders>
            <w:vAlign w:val="center"/>
          </w:tcPr>
          <w:p w14:paraId="4B0A86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075" w:type="dxa"/>
            <w:tcBorders>
              <w:top w:val="single" w:color="000000" w:sz="4" w:space="0"/>
              <w:left w:val="single" w:color="000000" w:sz="4" w:space="0"/>
              <w:bottom w:val="single" w:color="000000" w:sz="4" w:space="0"/>
              <w:right w:val="single" w:color="000000" w:sz="4" w:space="0"/>
            </w:tcBorders>
            <w:vAlign w:val="center"/>
          </w:tcPr>
          <w:p w14:paraId="6DD449E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042528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3E4BB7E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B4B74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8B329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C4146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甲苯(99.5%)</w:t>
            </w:r>
          </w:p>
        </w:tc>
        <w:tc>
          <w:tcPr>
            <w:tcW w:w="3485" w:type="dxa"/>
            <w:tcBorders>
              <w:top w:val="single" w:color="000000" w:sz="4" w:space="0"/>
              <w:left w:val="single" w:color="000000" w:sz="4" w:space="0"/>
              <w:bottom w:val="single" w:color="000000" w:sz="4" w:space="0"/>
              <w:right w:val="single" w:color="000000" w:sz="4" w:space="0"/>
            </w:tcBorders>
            <w:vAlign w:val="center"/>
          </w:tcPr>
          <w:p w14:paraId="0F4216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甲苯</w:t>
            </w:r>
          </w:p>
        </w:tc>
        <w:tc>
          <w:tcPr>
            <w:tcW w:w="1138" w:type="dxa"/>
            <w:tcBorders>
              <w:top w:val="single" w:color="000000" w:sz="4" w:space="0"/>
              <w:left w:val="single" w:color="000000" w:sz="4" w:space="0"/>
              <w:bottom w:val="single" w:color="000000" w:sz="4" w:space="0"/>
              <w:right w:val="single" w:color="000000" w:sz="4" w:space="0"/>
            </w:tcBorders>
            <w:vAlign w:val="center"/>
          </w:tcPr>
          <w:p w14:paraId="7563EF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750L</w:t>
            </w:r>
          </w:p>
        </w:tc>
        <w:tc>
          <w:tcPr>
            <w:tcW w:w="933" w:type="dxa"/>
            <w:tcBorders>
              <w:top w:val="single" w:color="000000" w:sz="4" w:space="0"/>
              <w:left w:val="single" w:color="000000" w:sz="4" w:space="0"/>
              <w:bottom w:val="single" w:color="000000" w:sz="4" w:space="0"/>
              <w:right w:val="single" w:color="000000" w:sz="4" w:space="0"/>
            </w:tcBorders>
            <w:vAlign w:val="center"/>
          </w:tcPr>
          <w:p w14:paraId="15F923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11D8B6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750L</w:t>
            </w:r>
          </w:p>
        </w:tc>
        <w:tc>
          <w:tcPr>
            <w:tcW w:w="1032" w:type="dxa"/>
            <w:tcBorders>
              <w:top w:val="single" w:color="000000" w:sz="4" w:space="0"/>
              <w:left w:val="single" w:color="000000" w:sz="4" w:space="0"/>
              <w:bottom w:val="single" w:color="000000" w:sz="4" w:space="0"/>
              <w:right w:val="single" w:color="000000" w:sz="4" w:space="0"/>
            </w:tcBorders>
            <w:vAlign w:val="center"/>
          </w:tcPr>
          <w:p w14:paraId="41CFAC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100L</w:t>
            </w:r>
          </w:p>
        </w:tc>
        <w:tc>
          <w:tcPr>
            <w:tcW w:w="1075" w:type="dxa"/>
            <w:tcBorders>
              <w:top w:val="single" w:color="000000" w:sz="4" w:space="0"/>
              <w:left w:val="single" w:color="000000" w:sz="4" w:space="0"/>
              <w:bottom w:val="single" w:color="000000" w:sz="4" w:space="0"/>
              <w:right w:val="single" w:color="000000" w:sz="4" w:space="0"/>
            </w:tcBorders>
            <w:vAlign w:val="center"/>
          </w:tcPr>
          <w:p w14:paraId="572944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65425F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0D69CE9B">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9DA89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FE4A3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15AE0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乙醇(99.9%）</w:t>
            </w:r>
          </w:p>
        </w:tc>
        <w:tc>
          <w:tcPr>
            <w:tcW w:w="3485" w:type="dxa"/>
            <w:tcBorders>
              <w:top w:val="single" w:color="000000" w:sz="4" w:space="0"/>
              <w:left w:val="single" w:color="000000" w:sz="4" w:space="0"/>
              <w:bottom w:val="single" w:color="000000" w:sz="4" w:space="0"/>
              <w:right w:val="single" w:color="000000" w:sz="4" w:space="0"/>
            </w:tcBorders>
            <w:vAlign w:val="center"/>
          </w:tcPr>
          <w:p w14:paraId="66617D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乙醇</w:t>
            </w:r>
          </w:p>
        </w:tc>
        <w:tc>
          <w:tcPr>
            <w:tcW w:w="1138" w:type="dxa"/>
            <w:tcBorders>
              <w:top w:val="single" w:color="000000" w:sz="4" w:space="0"/>
              <w:left w:val="single" w:color="000000" w:sz="4" w:space="0"/>
              <w:bottom w:val="single" w:color="000000" w:sz="4" w:space="0"/>
              <w:right w:val="single" w:color="000000" w:sz="4" w:space="0"/>
            </w:tcBorders>
            <w:vAlign w:val="center"/>
          </w:tcPr>
          <w:p w14:paraId="450C53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2000L</w:t>
            </w:r>
          </w:p>
        </w:tc>
        <w:tc>
          <w:tcPr>
            <w:tcW w:w="933" w:type="dxa"/>
            <w:tcBorders>
              <w:top w:val="single" w:color="000000" w:sz="4" w:space="0"/>
              <w:left w:val="single" w:color="000000" w:sz="4" w:space="0"/>
              <w:bottom w:val="single" w:color="000000" w:sz="4" w:space="0"/>
              <w:right w:val="single" w:color="000000" w:sz="4" w:space="0"/>
            </w:tcBorders>
            <w:vAlign w:val="center"/>
          </w:tcPr>
          <w:p w14:paraId="04D952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204D9C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2000L</w:t>
            </w:r>
          </w:p>
        </w:tc>
        <w:tc>
          <w:tcPr>
            <w:tcW w:w="1032" w:type="dxa"/>
            <w:tcBorders>
              <w:top w:val="single" w:color="000000" w:sz="4" w:space="0"/>
              <w:left w:val="single" w:color="000000" w:sz="4" w:space="0"/>
              <w:bottom w:val="single" w:color="000000" w:sz="4" w:space="0"/>
              <w:right w:val="single" w:color="000000" w:sz="4" w:space="0"/>
            </w:tcBorders>
            <w:vAlign w:val="center"/>
          </w:tcPr>
          <w:p w14:paraId="5C6CDE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250L</w:t>
            </w:r>
          </w:p>
        </w:tc>
        <w:tc>
          <w:tcPr>
            <w:tcW w:w="1075" w:type="dxa"/>
            <w:tcBorders>
              <w:top w:val="single" w:color="000000" w:sz="4" w:space="0"/>
              <w:left w:val="single" w:color="000000" w:sz="4" w:space="0"/>
              <w:bottom w:val="single" w:color="000000" w:sz="4" w:space="0"/>
              <w:right w:val="single" w:color="000000" w:sz="4" w:space="0"/>
            </w:tcBorders>
            <w:vAlign w:val="center"/>
          </w:tcPr>
          <w:p w14:paraId="57B245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6D2DB4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22BAD06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2F27B6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18F1E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A9A0A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氧化铝粉末</w:t>
            </w:r>
          </w:p>
        </w:tc>
        <w:tc>
          <w:tcPr>
            <w:tcW w:w="3485" w:type="dxa"/>
            <w:tcBorders>
              <w:top w:val="single" w:color="000000" w:sz="4" w:space="0"/>
              <w:left w:val="single" w:color="000000" w:sz="4" w:space="0"/>
              <w:bottom w:val="single" w:color="000000" w:sz="4" w:space="0"/>
              <w:right w:val="single" w:color="000000" w:sz="4" w:space="0"/>
            </w:tcBorders>
            <w:vAlign w:val="center"/>
          </w:tcPr>
          <w:p w14:paraId="528452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p>
        </w:tc>
        <w:tc>
          <w:tcPr>
            <w:tcW w:w="1138" w:type="dxa"/>
            <w:tcBorders>
              <w:top w:val="single" w:color="000000" w:sz="4" w:space="0"/>
              <w:left w:val="single" w:color="000000" w:sz="4" w:space="0"/>
              <w:bottom w:val="single" w:color="000000" w:sz="4" w:space="0"/>
              <w:right w:val="single" w:color="000000" w:sz="4" w:space="0"/>
            </w:tcBorders>
            <w:vAlign w:val="center"/>
          </w:tcPr>
          <w:p w14:paraId="395B45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700kg</w:t>
            </w:r>
          </w:p>
        </w:tc>
        <w:tc>
          <w:tcPr>
            <w:tcW w:w="933" w:type="dxa"/>
            <w:tcBorders>
              <w:top w:val="single" w:color="000000" w:sz="4" w:space="0"/>
              <w:left w:val="single" w:color="000000" w:sz="4" w:space="0"/>
              <w:bottom w:val="single" w:color="000000" w:sz="4" w:space="0"/>
              <w:right w:val="single" w:color="000000" w:sz="4" w:space="0"/>
            </w:tcBorders>
            <w:vAlign w:val="center"/>
          </w:tcPr>
          <w:p w14:paraId="7D774C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4C7DB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700kg</w:t>
            </w:r>
          </w:p>
        </w:tc>
        <w:tc>
          <w:tcPr>
            <w:tcW w:w="1032" w:type="dxa"/>
            <w:tcBorders>
              <w:top w:val="single" w:color="000000" w:sz="4" w:space="0"/>
              <w:left w:val="single" w:color="000000" w:sz="4" w:space="0"/>
              <w:bottom w:val="single" w:color="000000" w:sz="4" w:space="0"/>
              <w:right w:val="single" w:color="000000" w:sz="4" w:space="0"/>
            </w:tcBorders>
            <w:vAlign w:val="center"/>
          </w:tcPr>
          <w:p w14:paraId="623807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350kg</w:t>
            </w:r>
          </w:p>
        </w:tc>
        <w:tc>
          <w:tcPr>
            <w:tcW w:w="1075" w:type="dxa"/>
            <w:tcBorders>
              <w:top w:val="single" w:color="000000" w:sz="4" w:space="0"/>
              <w:left w:val="single" w:color="000000" w:sz="4" w:space="0"/>
              <w:bottom w:val="single" w:color="000000" w:sz="4" w:space="0"/>
              <w:right w:val="single" w:color="000000" w:sz="4" w:space="0"/>
            </w:tcBorders>
            <w:vAlign w:val="center"/>
          </w:tcPr>
          <w:p w14:paraId="1A8A95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519D83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76BDA780">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3D947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19106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63B618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MgO</w:t>
            </w:r>
          </w:p>
        </w:tc>
        <w:tc>
          <w:tcPr>
            <w:tcW w:w="3485" w:type="dxa"/>
            <w:tcBorders>
              <w:top w:val="single" w:color="000000" w:sz="4" w:space="0"/>
              <w:left w:val="single" w:color="000000" w:sz="4" w:space="0"/>
              <w:bottom w:val="single" w:color="000000" w:sz="4" w:space="0"/>
              <w:right w:val="single" w:color="000000" w:sz="4" w:space="0"/>
            </w:tcBorders>
            <w:vAlign w:val="center"/>
          </w:tcPr>
          <w:p w14:paraId="5BE37E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MgO</w:t>
            </w:r>
          </w:p>
        </w:tc>
        <w:tc>
          <w:tcPr>
            <w:tcW w:w="1138" w:type="dxa"/>
            <w:tcBorders>
              <w:top w:val="single" w:color="000000" w:sz="4" w:space="0"/>
              <w:left w:val="single" w:color="000000" w:sz="4" w:space="0"/>
              <w:bottom w:val="single" w:color="000000" w:sz="4" w:space="0"/>
              <w:right w:val="single" w:color="000000" w:sz="4" w:space="0"/>
            </w:tcBorders>
            <w:vAlign w:val="center"/>
          </w:tcPr>
          <w:p w14:paraId="41811C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6kg</w:t>
            </w:r>
          </w:p>
        </w:tc>
        <w:tc>
          <w:tcPr>
            <w:tcW w:w="933" w:type="dxa"/>
            <w:tcBorders>
              <w:top w:val="single" w:color="000000" w:sz="4" w:space="0"/>
              <w:left w:val="single" w:color="000000" w:sz="4" w:space="0"/>
              <w:bottom w:val="single" w:color="000000" w:sz="4" w:space="0"/>
              <w:right w:val="single" w:color="000000" w:sz="4" w:space="0"/>
            </w:tcBorders>
            <w:vAlign w:val="center"/>
          </w:tcPr>
          <w:p w14:paraId="112C7B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7290B1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6kg</w:t>
            </w:r>
          </w:p>
        </w:tc>
        <w:tc>
          <w:tcPr>
            <w:tcW w:w="1032" w:type="dxa"/>
            <w:tcBorders>
              <w:top w:val="single" w:color="000000" w:sz="4" w:space="0"/>
              <w:left w:val="single" w:color="000000" w:sz="4" w:space="0"/>
              <w:bottom w:val="single" w:color="000000" w:sz="4" w:space="0"/>
              <w:right w:val="single" w:color="000000" w:sz="4" w:space="0"/>
            </w:tcBorders>
            <w:vAlign w:val="center"/>
          </w:tcPr>
          <w:p w14:paraId="33FFE4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5kg</w:t>
            </w:r>
          </w:p>
        </w:tc>
        <w:tc>
          <w:tcPr>
            <w:tcW w:w="1075" w:type="dxa"/>
            <w:tcBorders>
              <w:top w:val="single" w:color="000000" w:sz="4" w:space="0"/>
              <w:left w:val="single" w:color="000000" w:sz="4" w:space="0"/>
              <w:bottom w:val="single" w:color="000000" w:sz="4" w:space="0"/>
              <w:right w:val="single" w:color="000000" w:sz="4" w:space="0"/>
            </w:tcBorders>
            <w:vAlign w:val="center"/>
          </w:tcPr>
          <w:p w14:paraId="7AF93C0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4681A5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27326C4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4CFC8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24D5D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D1565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SiO</w:t>
            </w:r>
            <w:r>
              <w:rPr>
                <w:snapToGrid/>
                <w:color w:val="000000" w:themeColor="text1"/>
                <w:sz w:val="21"/>
                <w:szCs w:val="21"/>
                <w:vertAlign w:val="subscript"/>
                <w14:textFill>
                  <w14:solidFill>
                    <w14:schemeClr w14:val="tx1"/>
                  </w14:solidFill>
                </w14:textFill>
              </w:rPr>
              <w:t>2</w:t>
            </w:r>
          </w:p>
        </w:tc>
        <w:tc>
          <w:tcPr>
            <w:tcW w:w="3485" w:type="dxa"/>
            <w:tcBorders>
              <w:top w:val="single" w:color="000000" w:sz="4" w:space="0"/>
              <w:left w:val="single" w:color="000000" w:sz="4" w:space="0"/>
              <w:bottom w:val="single" w:color="000000" w:sz="4" w:space="0"/>
              <w:right w:val="single" w:color="000000" w:sz="4" w:space="0"/>
            </w:tcBorders>
            <w:vAlign w:val="center"/>
          </w:tcPr>
          <w:p w14:paraId="78F631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SiO</w:t>
            </w:r>
            <w:r>
              <w:rPr>
                <w:snapToGrid/>
                <w:color w:val="000000" w:themeColor="text1"/>
                <w:sz w:val="21"/>
                <w:szCs w:val="21"/>
                <w:vertAlign w:val="subscript"/>
                <w14:textFill>
                  <w14:solidFill>
                    <w14:schemeClr w14:val="tx1"/>
                  </w14:solidFill>
                </w14:textFill>
              </w:rPr>
              <w:t>2</w:t>
            </w:r>
          </w:p>
        </w:tc>
        <w:tc>
          <w:tcPr>
            <w:tcW w:w="1138" w:type="dxa"/>
            <w:tcBorders>
              <w:top w:val="single" w:color="000000" w:sz="4" w:space="0"/>
              <w:left w:val="single" w:color="000000" w:sz="4" w:space="0"/>
              <w:bottom w:val="single" w:color="000000" w:sz="4" w:space="0"/>
              <w:right w:val="single" w:color="000000" w:sz="4" w:space="0"/>
            </w:tcBorders>
            <w:vAlign w:val="center"/>
          </w:tcPr>
          <w:p w14:paraId="17D46F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933" w:type="dxa"/>
            <w:tcBorders>
              <w:top w:val="single" w:color="000000" w:sz="4" w:space="0"/>
              <w:left w:val="single" w:color="000000" w:sz="4" w:space="0"/>
              <w:bottom w:val="single" w:color="000000" w:sz="4" w:space="0"/>
              <w:right w:val="single" w:color="000000" w:sz="4" w:space="0"/>
            </w:tcBorders>
            <w:vAlign w:val="center"/>
          </w:tcPr>
          <w:p w14:paraId="4BC885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6C22D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032" w:type="dxa"/>
            <w:tcBorders>
              <w:top w:val="single" w:color="000000" w:sz="4" w:space="0"/>
              <w:left w:val="single" w:color="000000" w:sz="4" w:space="0"/>
              <w:bottom w:val="single" w:color="000000" w:sz="4" w:space="0"/>
              <w:right w:val="single" w:color="000000" w:sz="4" w:space="0"/>
            </w:tcBorders>
            <w:vAlign w:val="center"/>
          </w:tcPr>
          <w:p w14:paraId="424F66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075" w:type="dxa"/>
            <w:tcBorders>
              <w:top w:val="single" w:color="000000" w:sz="4" w:space="0"/>
              <w:left w:val="single" w:color="000000" w:sz="4" w:space="0"/>
              <w:bottom w:val="single" w:color="000000" w:sz="4" w:space="0"/>
              <w:right w:val="single" w:color="000000" w:sz="4" w:space="0"/>
            </w:tcBorders>
            <w:vAlign w:val="center"/>
          </w:tcPr>
          <w:p w14:paraId="7B0C58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23B664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433F64C3">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5470FA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D4A7D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7DB986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CaCO</w:t>
            </w:r>
            <w:r>
              <w:rPr>
                <w:snapToGrid/>
                <w:color w:val="000000" w:themeColor="text1"/>
                <w:sz w:val="21"/>
                <w:szCs w:val="21"/>
                <w:vertAlign w:val="subscript"/>
                <w14:textFill>
                  <w14:solidFill>
                    <w14:schemeClr w14:val="tx1"/>
                  </w14:solidFill>
                </w14:textFill>
              </w:rPr>
              <w:t>3</w:t>
            </w:r>
          </w:p>
        </w:tc>
        <w:tc>
          <w:tcPr>
            <w:tcW w:w="3485" w:type="dxa"/>
            <w:tcBorders>
              <w:top w:val="single" w:color="000000" w:sz="4" w:space="0"/>
              <w:left w:val="single" w:color="000000" w:sz="4" w:space="0"/>
              <w:bottom w:val="single" w:color="000000" w:sz="4" w:space="0"/>
              <w:right w:val="single" w:color="000000" w:sz="4" w:space="0"/>
            </w:tcBorders>
            <w:vAlign w:val="center"/>
          </w:tcPr>
          <w:p w14:paraId="51610B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CaCO</w:t>
            </w:r>
            <w:r>
              <w:rPr>
                <w:snapToGrid/>
                <w:color w:val="000000" w:themeColor="text1"/>
                <w:sz w:val="21"/>
                <w:szCs w:val="21"/>
                <w:vertAlign w:val="subscript"/>
                <w14:textFill>
                  <w14:solidFill>
                    <w14:schemeClr w14:val="tx1"/>
                  </w14:solidFill>
                </w14:textFill>
              </w:rPr>
              <w:t>3</w:t>
            </w:r>
          </w:p>
        </w:tc>
        <w:tc>
          <w:tcPr>
            <w:tcW w:w="1138" w:type="dxa"/>
            <w:tcBorders>
              <w:top w:val="single" w:color="000000" w:sz="4" w:space="0"/>
              <w:left w:val="single" w:color="000000" w:sz="4" w:space="0"/>
              <w:bottom w:val="single" w:color="000000" w:sz="4" w:space="0"/>
              <w:right w:val="single" w:color="000000" w:sz="4" w:space="0"/>
            </w:tcBorders>
            <w:vAlign w:val="center"/>
          </w:tcPr>
          <w:p w14:paraId="13056E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933" w:type="dxa"/>
            <w:tcBorders>
              <w:top w:val="single" w:color="000000" w:sz="4" w:space="0"/>
              <w:left w:val="single" w:color="000000" w:sz="4" w:space="0"/>
              <w:bottom w:val="single" w:color="000000" w:sz="4" w:space="0"/>
              <w:right w:val="single" w:color="000000" w:sz="4" w:space="0"/>
            </w:tcBorders>
            <w:vAlign w:val="center"/>
          </w:tcPr>
          <w:p w14:paraId="527E3F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05FF8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032" w:type="dxa"/>
            <w:tcBorders>
              <w:top w:val="single" w:color="000000" w:sz="4" w:space="0"/>
              <w:left w:val="single" w:color="000000" w:sz="4" w:space="0"/>
              <w:bottom w:val="single" w:color="000000" w:sz="4" w:space="0"/>
              <w:right w:val="single" w:color="000000" w:sz="4" w:space="0"/>
            </w:tcBorders>
            <w:vAlign w:val="center"/>
          </w:tcPr>
          <w:p w14:paraId="0CDB5A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1.5kg</w:t>
            </w:r>
          </w:p>
        </w:tc>
        <w:tc>
          <w:tcPr>
            <w:tcW w:w="1075" w:type="dxa"/>
            <w:tcBorders>
              <w:top w:val="single" w:color="000000" w:sz="4" w:space="0"/>
              <w:left w:val="single" w:color="000000" w:sz="4" w:space="0"/>
              <w:bottom w:val="single" w:color="000000" w:sz="4" w:space="0"/>
              <w:right w:val="single" w:color="000000" w:sz="4" w:space="0"/>
            </w:tcBorders>
            <w:vAlign w:val="center"/>
          </w:tcPr>
          <w:p w14:paraId="56214D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56A2EB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34945986">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20960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CD1DD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A1BF4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钨浆</w:t>
            </w:r>
          </w:p>
        </w:tc>
        <w:tc>
          <w:tcPr>
            <w:tcW w:w="3485" w:type="dxa"/>
            <w:tcBorders>
              <w:top w:val="single" w:color="000000" w:sz="4" w:space="0"/>
              <w:left w:val="single" w:color="000000" w:sz="4" w:space="0"/>
              <w:bottom w:val="single" w:color="000000" w:sz="4" w:space="0"/>
              <w:right w:val="single" w:color="000000" w:sz="4" w:space="0"/>
            </w:tcBorders>
            <w:vAlign w:val="center"/>
          </w:tcPr>
          <w:p w14:paraId="2D744C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钨</w:t>
            </w:r>
          </w:p>
        </w:tc>
        <w:tc>
          <w:tcPr>
            <w:tcW w:w="1138" w:type="dxa"/>
            <w:tcBorders>
              <w:top w:val="single" w:color="000000" w:sz="4" w:space="0"/>
              <w:left w:val="single" w:color="000000" w:sz="4" w:space="0"/>
              <w:bottom w:val="single" w:color="000000" w:sz="4" w:space="0"/>
              <w:right w:val="single" w:color="000000" w:sz="4" w:space="0"/>
            </w:tcBorders>
            <w:vAlign w:val="center"/>
          </w:tcPr>
          <w:p w14:paraId="61B7F8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10kg</w:t>
            </w:r>
          </w:p>
        </w:tc>
        <w:tc>
          <w:tcPr>
            <w:tcW w:w="933" w:type="dxa"/>
            <w:tcBorders>
              <w:top w:val="single" w:color="000000" w:sz="4" w:space="0"/>
              <w:left w:val="single" w:color="000000" w:sz="4" w:space="0"/>
              <w:bottom w:val="single" w:color="000000" w:sz="4" w:space="0"/>
              <w:right w:val="single" w:color="000000" w:sz="4" w:space="0"/>
            </w:tcBorders>
            <w:vAlign w:val="center"/>
          </w:tcPr>
          <w:p w14:paraId="69BFE0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01174A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10kg</w:t>
            </w:r>
          </w:p>
        </w:tc>
        <w:tc>
          <w:tcPr>
            <w:tcW w:w="1032" w:type="dxa"/>
            <w:tcBorders>
              <w:top w:val="single" w:color="000000" w:sz="4" w:space="0"/>
              <w:left w:val="single" w:color="000000" w:sz="4" w:space="0"/>
              <w:bottom w:val="single" w:color="000000" w:sz="4" w:space="0"/>
              <w:right w:val="single" w:color="000000" w:sz="4" w:space="0"/>
            </w:tcBorders>
            <w:vAlign w:val="center"/>
          </w:tcPr>
          <w:p w14:paraId="759609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10kg</w:t>
            </w:r>
          </w:p>
        </w:tc>
        <w:tc>
          <w:tcPr>
            <w:tcW w:w="1075" w:type="dxa"/>
            <w:tcBorders>
              <w:top w:val="single" w:color="000000" w:sz="4" w:space="0"/>
              <w:left w:val="single" w:color="000000" w:sz="4" w:space="0"/>
              <w:bottom w:val="single" w:color="000000" w:sz="4" w:space="0"/>
              <w:right w:val="single" w:color="000000" w:sz="4" w:space="0"/>
            </w:tcBorders>
            <w:vAlign w:val="center"/>
          </w:tcPr>
          <w:p w14:paraId="17E540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50F726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2824690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3A3B41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E5AD9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E63A7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硅胶（SE4440LPB）</w:t>
            </w:r>
          </w:p>
        </w:tc>
        <w:tc>
          <w:tcPr>
            <w:tcW w:w="3485" w:type="dxa"/>
            <w:tcBorders>
              <w:top w:val="single" w:color="000000" w:sz="4" w:space="0"/>
              <w:left w:val="single" w:color="000000" w:sz="4" w:space="0"/>
              <w:bottom w:val="single" w:color="000000" w:sz="4" w:space="0"/>
              <w:right w:val="single" w:color="000000" w:sz="4" w:space="0"/>
            </w:tcBorders>
            <w:vAlign w:val="center"/>
          </w:tcPr>
          <w:p w14:paraId="602590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氧化铝68~71%，二甲基硅氧烷23~24%，硅氧烷5~6%，八甲基环四硅氧烷0.19~0.2%</w:t>
            </w:r>
          </w:p>
        </w:tc>
        <w:tc>
          <w:tcPr>
            <w:tcW w:w="1138" w:type="dxa"/>
            <w:tcBorders>
              <w:top w:val="single" w:color="000000" w:sz="4" w:space="0"/>
              <w:left w:val="single" w:color="000000" w:sz="4" w:space="0"/>
              <w:bottom w:val="single" w:color="000000" w:sz="4" w:space="0"/>
              <w:right w:val="single" w:color="000000" w:sz="4" w:space="0"/>
            </w:tcBorders>
            <w:vAlign w:val="center"/>
          </w:tcPr>
          <w:p w14:paraId="1C2E6F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125kg</w:t>
            </w:r>
          </w:p>
        </w:tc>
        <w:tc>
          <w:tcPr>
            <w:tcW w:w="933" w:type="dxa"/>
            <w:tcBorders>
              <w:top w:val="single" w:color="000000" w:sz="4" w:space="0"/>
              <w:left w:val="single" w:color="000000" w:sz="4" w:space="0"/>
              <w:bottom w:val="single" w:color="000000" w:sz="4" w:space="0"/>
              <w:right w:val="single" w:color="000000" w:sz="4" w:space="0"/>
            </w:tcBorders>
            <w:vAlign w:val="center"/>
          </w:tcPr>
          <w:p w14:paraId="3C6B63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7EC92C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125kg</w:t>
            </w:r>
          </w:p>
        </w:tc>
        <w:tc>
          <w:tcPr>
            <w:tcW w:w="1032" w:type="dxa"/>
            <w:tcBorders>
              <w:top w:val="single" w:color="000000" w:sz="4" w:space="0"/>
              <w:left w:val="single" w:color="000000" w:sz="4" w:space="0"/>
              <w:bottom w:val="single" w:color="000000" w:sz="4" w:space="0"/>
              <w:right w:val="single" w:color="000000" w:sz="4" w:space="0"/>
            </w:tcBorders>
            <w:vAlign w:val="center"/>
          </w:tcPr>
          <w:p w14:paraId="06C9E6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75kg</w:t>
            </w:r>
          </w:p>
        </w:tc>
        <w:tc>
          <w:tcPr>
            <w:tcW w:w="1075" w:type="dxa"/>
            <w:tcBorders>
              <w:top w:val="single" w:color="000000" w:sz="4" w:space="0"/>
              <w:left w:val="single" w:color="000000" w:sz="4" w:space="0"/>
              <w:bottom w:val="single" w:color="000000" w:sz="4" w:space="0"/>
              <w:right w:val="single" w:color="000000" w:sz="4" w:space="0"/>
            </w:tcBorders>
            <w:vAlign w:val="center"/>
          </w:tcPr>
          <w:p w14:paraId="0A89B3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5FBE71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2396A226">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17DE48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57CF7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663578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MIBK(甲基异丁基酮）</w:t>
            </w:r>
          </w:p>
        </w:tc>
        <w:tc>
          <w:tcPr>
            <w:tcW w:w="3485" w:type="dxa"/>
            <w:tcBorders>
              <w:top w:val="single" w:color="000000" w:sz="4" w:space="0"/>
              <w:left w:val="single" w:color="000000" w:sz="4" w:space="0"/>
              <w:bottom w:val="single" w:color="000000" w:sz="4" w:space="0"/>
              <w:right w:val="single" w:color="000000" w:sz="4" w:space="0"/>
            </w:tcBorders>
            <w:vAlign w:val="center"/>
          </w:tcPr>
          <w:p w14:paraId="2C5778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甲基异丁基酮</w:t>
            </w:r>
          </w:p>
        </w:tc>
        <w:tc>
          <w:tcPr>
            <w:tcW w:w="1138" w:type="dxa"/>
            <w:tcBorders>
              <w:top w:val="single" w:color="000000" w:sz="4" w:space="0"/>
              <w:left w:val="single" w:color="000000" w:sz="4" w:space="0"/>
              <w:bottom w:val="single" w:color="000000" w:sz="4" w:space="0"/>
              <w:right w:val="single" w:color="000000" w:sz="4" w:space="0"/>
            </w:tcBorders>
            <w:vAlign w:val="center"/>
          </w:tcPr>
          <w:p w14:paraId="32B8A1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40L</w:t>
            </w:r>
          </w:p>
        </w:tc>
        <w:tc>
          <w:tcPr>
            <w:tcW w:w="933" w:type="dxa"/>
            <w:tcBorders>
              <w:top w:val="single" w:color="000000" w:sz="4" w:space="0"/>
              <w:left w:val="single" w:color="000000" w:sz="4" w:space="0"/>
              <w:bottom w:val="single" w:color="000000" w:sz="4" w:space="0"/>
              <w:right w:val="single" w:color="000000" w:sz="4" w:space="0"/>
            </w:tcBorders>
            <w:vAlign w:val="center"/>
          </w:tcPr>
          <w:p w14:paraId="700DE6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03F01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40L</w:t>
            </w:r>
          </w:p>
        </w:tc>
        <w:tc>
          <w:tcPr>
            <w:tcW w:w="1032" w:type="dxa"/>
            <w:tcBorders>
              <w:top w:val="single" w:color="000000" w:sz="4" w:space="0"/>
              <w:left w:val="single" w:color="000000" w:sz="4" w:space="0"/>
              <w:bottom w:val="single" w:color="000000" w:sz="4" w:space="0"/>
              <w:right w:val="single" w:color="000000" w:sz="4" w:space="0"/>
            </w:tcBorders>
            <w:vAlign w:val="center"/>
          </w:tcPr>
          <w:p w14:paraId="6C33D16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10L</w:t>
            </w:r>
          </w:p>
        </w:tc>
        <w:tc>
          <w:tcPr>
            <w:tcW w:w="1075" w:type="dxa"/>
            <w:tcBorders>
              <w:top w:val="single" w:color="000000" w:sz="4" w:space="0"/>
              <w:left w:val="single" w:color="000000" w:sz="4" w:space="0"/>
              <w:bottom w:val="single" w:color="000000" w:sz="4" w:space="0"/>
              <w:right w:val="single" w:color="000000" w:sz="4" w:space="0"/>
            </w:tcBorders>
            <w:vAlign w:val="center"/>
          </w:tcPr>
          <w:p w14:paraId="1AF48F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332814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2026D79E">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4D75A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4BF8F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3F0C8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AK-225(五氟二氯丙烷清洗剂)</w:t>
            </w:r>
          </w:p>
        </w:tc>
        <w:tc>
          <w:tcPr>
            <w:tcW w:w="3485" w:type="dxa"/>
            <w:tcBorders>
              <w:top w:val="single" w:color="000000" w:sz="4" w:space="0"/>
              <w:left w:val="single" w:color="000000" w:sz="4" w:space="0"/>
              <w:bottom w:val="single" w:color="000000" w:sz="4" w:space="0"/>
              <w:right w:val="single" w:color="000000" w:sz="4" w:space="0"/>
            </w:tcBorders>
            <w:vAlign w:val="center"/>
          </w:tcPr>
          <w:p w14:paraId="374462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五氟二氯丙烷</w:t>
            </w:r>
          </w:p>
        </w:tc>
        <w:tc>
          <w:tcPr>
            <w:tcW w:w="1138" w:type="dxa"/>
            <w:tcBorders>
              <w:top w:val="single" w:color="000000" w:sz="4" w:space="0"/>
              <w:left w:val="single" w:color="000000" w:sz="4" w:space="0"/>
              <w:bottom w:val="single" w:color="000000" w:sz="4" w:space="0"/>
              <w:right w:val="single" w:color="000000" w:sz="4" w:space="0"/>
            </w:tcBorders>
            <w:vAlign w:val="center"/>
          </w:tcPr>
          <w:p w14:paraId="5578D9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50L</w:t>
            </w:r>
          </w:p>
        </w:tc>
        <w:tc>
          <w:tcPr>
            <w:tcW w:w="933" w:type="dxa"/>
            <w:tcBorders>
              <w:top w:val="single" w:color="000000" w:sz="4" w:space="0"/>
              <w:left w:val="single" w:color="000000" w:sz="4" w:space="0"/>
              <w:bottom w:val="single" w:color="000000" w:sz="4" w:space="0"/>
              <w:right w:val="single" w:color="000000" w:sz="4" w:space="0"/>
            </w:tcBorders>
            <w:vAlign w:val="center"/>
          </w:tcPr>
          <w:p w14:paraId="183E12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20556E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50L</w:t>
            </w:r>
          </w:p>
        </w:tc>
        <w:tc>
          <w:tcPr>
            <w:tcW w:w="1032" w:type="dxa"/>
            <w:tcBorders>
              <w:top w:val="single" w:color="000000" w:sz="4" w:space="0"/>
              <w:left w:val="single" w:color="000000" w:sz="4" w:space="0"/>
              <w:bottom w:val="single" w:color="000000" w:sz="4" w:space="0"/>
              <w:right w:val="single" w:color="000000" w:sz="4" w:space="0"/>
            </w:tcBorders>
            <w:vAlign w:val="center"/>
          </w:tcPr>
          <w:p w14:paraId="0888D0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10L</w:t>
            </w:r>
          </w:p>
        </w:tc>
        <w:tc>
          <w:tcPr>
            <w:tcW w:w="1075" w:type="dxa"/>
            <w:tcBorders>
              <w:top w:val="single" w:color="000000" w:sz="4" w:space="0"/>
              <w:left w:val="single" w:color="000000" w:sz="4" w:space="0"/>
              <w:bottom w:val="single" w:color="000000" w:sz="4" w:space="0"/>
              <w:right w:val="single" w:color="000000" w:sz="4" w:space="0"/>
            </w:tcBorders>
            <w:vAlign w:val="center"/>
          </w:tcPr>
          <w:p w14:paraId="03A6DA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332150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347FE0A3">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D2A92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5518A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4352C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IPA(异丙醇，99.9%)</w:t>
            </w:r>
          </w:p>
        </w:tc>
        <w:tc>
          <w:tcPr>
            <w:tcW w:w="3485" w:type="dxa"/>
            <w:tcBorders>
              <w:top w:val="single" w:color="000000" w:sz="4" w:space="0"/>
              <w:left w:val="single" w:color="000000" w:sz="4" w:space="0"/>
              <w:bottom w:val="single" w:color="000000" w:sz="4" w:space="0"/>
              <w:right w:val="single" w:color="000000" w:sz="4" w:space="0"/>
            </w:tcBorders>
            <w:vAlign w:val="center"/>
          </w:tcPr>
          <w:p w14:paraId="56ECD5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异丙醇</w:t>
            </w:r>
          </w:p>
        </w:tc>
        <w:tc>
          <w:tcPr>
            <w:tcW w:w="1138" w:type="dxa"/>
            <w:tcBorders>
              <w:top w:val="single" w:color="000000" w:sz="4" w:space="0"/>
              <w:left w:val="single" w:color="000000" w:sz="4" w:space="0"/>
              <w:bottom w:val="single" w:color="000000" w:sz="4" w:space="0"/>
              <w:right w:val="single" w:color="000000" w:sz="4" w:space="0"/>
            </w:tcBorders>
            <w:vAlign w:val="center"/>
          </w:tcPr>
          <w:p w14:paraId="56BCD6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200L</w:t>
            </w:r>
          </w:p>
        </w:tc>
        <w:tc>
          <w:tcPr>
            <w:tcW w:w="933" w:type="dxa"/>
            <w:tcBorders>
              <w:top w:val="single" w:color="000000" w:sz="4" w:space="0"/>
              <w:left w:val="single" w:color="000000" w:sz="4" w:space="0"/>
              <w:bottom w:val="single" w:color="000000" w:sz="4" w:space="0"/>
              <w:right w:val="single" w:color="000000" w:sz="4" w:space="0"/>
            </w:tcBorders>
            <w:vAlign w:val="center"/>
          </w:tcPr>
          <w:p w14:paraId="258B5F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EE190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200L</w:t>
            </w:r>
          </w:p>
        </w:tc>
        <w:tc>
          <w:tcPr>
            <w:tcW w:w="1032" w:type="dxa"/>
            <w:tcBorders>
              <w:top w:val="single" w:color="000000" w:sz="4" w:space="0"/>
              <w:left w:val="single" w:color="000000" w:sz="4" w:space="0"/>
              <w:bottom w:val="single" w:color="000000" w:sz="4" w:space="0"/>
              <w:right w:val="single" w:color="000000" w:sz="4" w:space="0"/>
            </w:tcBorders>
            <w:vAlign w:val="center"/>
          </w:tcPr>
          <w:p w14:paraId="5E72D6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w:t>
            </w:r>
          </w:p>
        </w:tc>
        <w:tc>
          <w:tcPr>
            <w:tcW w:w="1075" w:type="dxa"/>
            <w:tcBorders>
              <w:top w:val="single" w:color="000000" w:sz="4" w:space="0"/>
              <w:left w:val="single" w:color="000000" w:sz="4" w:space="0"/>
              <w:bottom w:val="single" w:color="000000" w:sz="4" w:space="0"/>
              <w:right w:val="single" w:color="000000" w:sz="4" w:space="0"/>
            </w:tcBorders>
            <w:vAlign w:val="center"/>
          </w:tcPr>
          <w:p w14:paraId="768F40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70A2E6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7374A63D">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28D9AF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22107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834B9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MC(二氯甲烷99.9%)</w:t>
            </w:r>
          </w:p>
        </w:tc>
        <w:tc>
          <w:tcPr>
            <w:tcW w:w="3485" w:type="dxa"/>
            <w:tcBorders>
              <w:top w:val="single" w:color="000000" w:sz="4" w:space="0"/>
              <w:left w:val="single" w:color="000000" w:sz="4" w:space="0"/>
              <w:bottom w:val="single" w:color="000000" w:sz="4" w:space="0"/>
              <w:right w:val="single" w:color="000000" w:sz="4" w:space="0"/>
            </w:tcBorders>
            <w:vAlign w:val="center"/>
          </w:tcPr>
          <w:p w14:paraId="69AC44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二氯甲烷</w:t>
            </w:r>
          </w:p>
        </w:tc>
        <w:tc>
          <w:tcPr>
            <w:tcW w:w="1138" w:type="dxa"/>
            <w:tcBorders>
              <w:top w:val="single" w:color="000000" w:sz="4" w:space="0"/>
              <w:left w:val="single" w:color="000000" w:sz="4" w:space="0"/>
              <w:bottom w:val="single" w:color="000000" w:sz="4" w:space="0"/>
              <w:right w:val="single" w:color="000000" w:sz="4" w:space="0"/>
            </w:tcBorders>
            <w:vAlign w:val="center"/>
          </w:tcPr>
          <w:p w14:paraId="10D72E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100L</w:t>
            </w:r>
          </w:p>
        </w:tc>
        <w:tc>
          <w:tcPr>
            <w:tcW w:w="933" w:type="dxa"/>
            <w:tcBorders>
              <w:top w:val="single" w:color="000000" w:sz="4" w:space="0"/>
              <w:left w:val="single" w:color="000000" w:sz="4" w:space="0"/>
              <w:bottom w:val="single" w:color="000000" w:sz="4" w:space="0"/>
              <w:right w:val="single" w:color="000000" w:sz="4" w:space="0"/>
            </w:tcBorders>
            <w:vAlign w:val="center"/>
          </w:tcPr>
          <w:p w14:paraId="2A321E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FD6C9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100L</w:t>
            </w:r>
          </w:p>
        </w:tc>
        <w:tc>
          <w:tcPr>
            <w:tcW w:w="1032" w:type="dxa"/>
            <w:tcBorders>
              <w:top w:val="single" w:color="000000" w:sz="4" w:space="0"/>
              <w:left w:val="single" w:color="000000" w:sz="4" w:space="0"/>
              <w:bottom w:val="single" w:color="000000" w:sz="4" w:space="0"/>
              <w:right w:val="single" w:color="000000" w:sz="4" w:space="0"/>
            </w:tcBorders>
            <w:vAlign w:val="center"/>
          </w:tcPr>
          <w:p w14:paraId="4DF527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20L</w:t>
            </w:r>
          </w:p>
        </w:tc>
        <w:tc>
          <w:tcPr>
            <w:tcW w:w="1075" w:type="dxa"/>
            <w:tcBorders>
              <w:top w:val="single" w:color="000000" w:sz="4" w:space="0"/>
              <w:left w:val="single" w:color="000000" w:sz="4" w:space="0"/>
              <w:bottom w:val="single" w:color="000000" w:sz="4" w:space="0"/>
              <w:right w:val="single" w:color="000000" w:sz="4" w:space="0"/>
            </w:tcBorders>
            <w:vAlign w:val="center"/>
          </w:tcPr>
          <w:p w14:paraId="50EF96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126979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化学品柜</w:t>
            </w:r>
          </w:p>
        </w:tc>
      </w:tr>
      <w:tr w14:paraId="03A57AD8">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5D1A70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A600E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2167D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PET膜</w:t>
            </w:r>
          </w:p>
        </w:tc>
        <w:tc>
          <w:tcPr>
            <w:tcW w:w="3485" w:type="dxa"/>
            <w:tcBorders>
              <w:top w:val="single" w:color="000000" w:sz="4" w:space="0"/>
              <w:left w:val="single" w:color="000000" w:sz="4" w:space="0"/>
              <w:bottom w:val="single" w:color="000000" w:sz="4" w:space="0"/>
              <w:right w:val="single" w:color="000000" w:sz="4" w:space="0"/>
            </w:tcBorders>
            <w:vAlign w:val="center"/>
          </w:tcPr>
          <w:p w14:paraId="23D5EA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8" w:type="dxa"/>
            <w:tcBorders>
              <w:top w:val="single" w:color="000000" w:sz="4" w:space="0"/>
              <w:left w:val="single" w:color="000000" w:sz="4" w:space="0"/>
              <w:bottom w:val="single" w:color="000000" w:sz="4" w:space="0"/>
              <w:right w:val="single" w:color="000000" w:sz="4" w:space="0"/>
            </w:tcBorders>
            <w:vAlign w:val="center"/>
          </w:tcPr>
          <w:p w14:paraId="609BBE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0.5t</w:t>
            </w:r>
          </w:p>
        </w:tc>
        <w:tc>
          <w:tcPr>
            <w:tcW w:w="933" w:type="dxa"/>
            <w:tcBorders>
              <w:top w:val="single" w:color="000000" w:sz="4" w:space="0"/>
              <w:left w:val="single" w:color="000000" w:sz="4" w:space="0"/>
              <w:bottom w:val="single" w:color="000000" w:sz="4" w:space="0"/>
              <w:right w:val="single" w:color="000000" w:sz="4" w:space="0"/>
            </w:tcBorders>
            <w:vAlign w:val="center"/>
          </w:tcPr>
          <w:p w14:paraId="51DA1E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37C77F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0.5t</w:t>
            </w:r>
          </w:p>
        </w:tc>
        <w:tc>
          <w:tcPr>
            <w:tcW w:w="1032" w:type="dxa"/>
            <w:tcBorders>
              <w:top w:val="single" w:color="000000" w:sz="4" w:space="0"/>
              <w:left w:val="single" w:color="000000" w:sz="4" w:space="0"/>
              <w:bottom w:val="single" w:color="000000" w:sz="4" w:space="0"/>
              <w:right w:val="single" w:color="000000" w:sz="4" w:space="0"/>
            </w:tcBorders>
            <w:vAlign w:val="center"/>
          </w:tcPr>
          <w:p w14:paraId="7B7DB8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1075" w:type="dxa"/>
            <w:tcBorders>
              <w:top w:val="single" w:color="000000" w:sz="4" w:space="0"/>
              <w:left w:val="single" w:color="000000" w:sz="4" w:space="0"/>
              <w:bottom w:val="single" w:color="000000" w:sz="4" w:space="0"/>
              <w:right w:val="single" w:color="000000" w:sz="4" w:space="0"/>
            </w:tcBorders>
            <w:vAlign w:val="center"/>
          </w:tcPr>
          <w:p w14:paraId="212783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卷</w:t>
            </w:r>
          </w:p>
        </w:tc>
        <w:tc>
          <w:tcPr>
            <w:tcW w:w="1265" w:type="dxa"/>
            <w:tcBorders>
              <w:top w:val="single" w:color="000000" w:sz="4" w:space="0"/>
              <w:left w:val="single" w:color="000000" w:sz="4" w:space="0"/>
              <w:bottom w:val="single" w:color="000000" w:sz="4" w:space="0"/>
              <w:right w:val="single" w:color="000000" w:sz="4" w:space="0"/>
            </w:tcBorders>
            <w:vAlign w:val="center"/>
          </w:tcPr>
          <w:p w14:paraId="03EF05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18632BF7">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E6663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903CD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61EA34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SUS板</w:t>
            </w:r>
          </w:p>
        </w:tc>
        <w:tc>
          <w:tcPr>
            <w:tcW w:w="3485" w:type="dxa"/>
            <w:tcBorders>
              <w:top w:val="single" w:color="000000" w:sz="4" w:space="0"/>
              <w:left w:val="single" w:color="000000" w:sz="4" w:space="0"/>
              <w:bottom w:val="single" w:color="000000" w:sz="4" w:space="0"/>
              <w:right w:val="single" w:color="000000" w:sz="4" w:space="0"/>
            </w:tcBorders>
            <w:vAlign w:val="center"/>
          </w:tcPr>
          <w:p w14:paraId="70EE5E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8" w:type="dxa"/>
            <w:tcBorders>
              <w:top w:val="single" w:color="000000" w:sz="4" w:space="0"/>
              <w:left w:val="single" w:color="000000" w:sz="4" w:space="0"/>
              <w:bottom w:val="single" w:color="000000" w:sz="4" w:space="0"/>
              <w:right w:val="single" w:color="000000" w:sz="4" w:space="0"/>
            </w:tcBorders>
            <w:vAlign w:val="center"/>
          </w:tcPr>
          <w:p w14:paraId="039D39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933" w:type="dxa"/>
            <w:tcBorders>
              <w:top w:val="single" w:color="000000" w:sz="4" w:space="0"/>
              <w:left w:val="single" w:color="000000" w:sz="4" w:space="0"/>
              <w:bottom w:val="single" w:color="000000" w:sz="4" w:space="0"/>
              <w:right w:val="single" w:color="000000" w:sz="4" w:space="0"/>
            </w:tcBorders>
            <w:vAlign w:val="center"/>
          </w:tcPr>
          <w:p w14:paraId="41A2A2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1747C9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1032" w:type="dxa"/>
            <w:tcBorders>
              <w:top w:val="single" w:color="000000" w:sz="4" w:space="0"/>
              <w:left w:val="single" w:color="000000" w:sz="4" w:space="0"/>
              <w:bottom w:val="single" w:color="000000" w:sz="4" w:space="0"/>
              <w:right w:val="single" w:color="000000" w:sz="4" w:space="0"/>
            </w:tcBorders>
            <w:vAlign w:val="center"/>
          </w:tcPr>
          <w:p w14:paraId="38166A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5" w:type="dxa"/>
            <w:tcBorders>
              <w:top w:val="single" w:color="000000" w:sz="4" w:space="0"/>
              <w:left w:val="single" w:color="000000" w:sz="4" w:space="0"/>
              <w:bottom w:val="single" w:color="000000" w:sz="4" w:space="0"/>
              <w:right w:val="single" w:color="000000" w:sz="4" w:space="0"/>
            </w:tcBorders>
            <w:vAlign w:val="center"/>
          </w:tcPr>
          <w:p w14:paraId="4F04BD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tcBorders>
              <w:top w:val="single" w:color="000000" w:sz="4" w:space="0"/>
              <w:left w:val="single" w:color="000000" w:sz="4" w:space="0"/>
              <w:bottom w:val="single" w:color="000000" w:sz="4" w:space="0"/>
              <w:right w:val="single" w:color="000000" w:sz="4" w:space="0"/>
            </w:tcBorders>
            <w:vAlign w:val="center"/>
          </w:tcPr>
          <w:p w14:paraId="03D4DE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444382E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2F9A73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350CE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E0482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6E1422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8" w:type="dxa"/>
            <w:tcBorders>
              <w:top w:val="single" w:color="000000" w:sz="4" w:space="0"/>
              <w:left w:val="single" w:color="000000" w:sz="4" w:space="0"/>
              <w:bottom w:val="single" w:color="000000" w:sz="4" w:space="0"/>
              <w:right w:val="single" w:color="000000" w:sz="4" w:space="0"/>
            </w:tcBorders>
            <w:vAlign w:val="center"/>
          </w:tcPr>
          <w:p w14:paraId="156DCB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30000L</w:t>
            </w:r>
          </w:p>
        </w:tc>
        <w:tc>
          <w:tcPr>
            <w:tcW w:w="933" w:type="dxa"/>
            <w:tcBorders>
              <w:top w:val="single" w:color="000000" w:sz="4" w:space="0"/>
              <w:left w:val="single" w:color="000000" w:sz="4" w:space="0"/>
              <w:bottom w:val="single" w:color="000000" w:sz="4" w:space="0"/>
              <w:right w:val="single" w:color="000000" w:sz="4" w:space="0"/>
            </w:tcBorders>
            <w:vAlign w:val="center"/>
          </w:tcPr>
          <w:p w14:paraId="302923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35429F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30000L</w:t>
            </w:r>
          </w:p>
        </w:tc>
        <w:tc>
          <w:tcPr>
            <w:tcW w:w="1032" w:type="dxa"/>
            <w:tcBorders>
              <w:top w:val="single" w:color="000000" w:sz="4" w:space="0"/>
              <w:left w:val="single" w:color="000000" w:sz="4" w:space="0"/>
              <w:bottom w:val="single" w:color="000000" w:sz="4" w:space="0"/>
              <w:right w:val="single" w:color="000000" w:sz="4" w:space="0"/>
            </w:tcBorders>
            <w:vAlign w:val="center"/>
          </w:tcPr>
          <w:p w14:paraId="57FACE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1瓶</w:t>
            </w:r>
          </w:p>
        </w:tc>
        <w:tc>
          <w:tcPr>
            <w:tcW w:w="1075" w:type="dxa"/>
            <w:tcBorders>
              <w:top w:val="single" w:color="000000" w:sz="4" w:space="0"/>
              <w:left w:val="single" w:color="000000" w:sz="4" w:space="0"/>
              <w:bottom w:val="single" w:color="000000" w:sz="4" w:space="0"/>
              <w:right w:val="single" w:color="000000" w:sz="4" w:space="0"/>
            </w:tcBorders>
            <w:vAlign w:val="center"/>
          </w:tcPr>
          <w:p w14:paraId="4BD0E4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27E2D6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D066F6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D012C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11657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117E6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铝基板</w:t>
            </w:r>
          </w:p>
        </w:tc>
        <w:tc>
          <w:tcPr>
            <w:tcW w:w="3485" w:type="dxa"/>
            <w:tcBorders>
              <w:top w:val="single" w:color="000000" w:sz="4" w:space="0"/>
              <w:left w:val="single" w:color="000000" w:sz="4" w:space="0"/>
              <w:bottom w:val="single" w:color="000000" w:sz="4" w:space="0"/>
              <w:right w:val="single" w:color="000000" w:sz="4" w:space="0"/>
            </w:tcBorders>
            <w:vAlign w:val="center"/>
          </w:tcPr>
          <w:p w14:paraId="7CF63B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p>
        </w:tc>
        <w:tc>
          <w:tcPr>
            <w:tcW w:w="1138" w:type="dxa"/>
            <w:tcBorders>
              <w:top w:val="single" w:color="000000" w:sz="4" w:space="0"/>
              <w:left w:val="single" w:color="000000" w:sz="4" w:space="0"/>
              <w:bottom w:val="single" w:color="000000" w:sz="4" w:space="0"/>
              <w:right w:val="single" w:color="000000" w:sz="4" w:space="0"/>
            </w:tcBorders>
            <w:vAlign w:val="center"/>
          </w:tcPr>
          <w:p w14:paraId="0D63AE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w:t>
            </w:r>
          </w:p>
        </w:tc>
        <w:tc>
          <w:tcPr>
            <w:tcW w:w="933" w:type="dxa"/>
            <w:tcBorders>
              <w:top w:val="single" w:color="000000" w:sz="4" w:space="0"/>
              <w:left w:val="single" w:color="000000" w:sz="4" w:space="0"/>
              <w:bottom w:val="single" w:color="000000" w:sz="4" w:space="0"/>
              <w:right w:val="single" w:color="000000" w:sz="4" w:space="0"/>
            </w:tcBorders>
            <w:vAlign w:val="center"/>
          </w:tcPr>
          <w:p w14:paraId="44174E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4D1951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w:t>
            </w:r>
          </w:p>
        </w:tc>
        <w:tc>
          <w:tcPr>
            <w:tcW w:w="1032" w:type="dxa"/>
            <w:tcBorders>
              <w:top w:val="single" w:color="000000" w:sz="4" w:space="0"/>
              <w:left w:val="single" w:color="000000" w:sz="4" w:space="0"/>
              <w:bottom w:val="single" w:color="000000" w:sz="4" w:space="0"/>
              <w:right w:val="single" w:color="000000" w:sz="4" w:space="0"/>
            </w:tcBorders>
            <w:vAlign w:val="center"/>
          </w:tcPr>
          <w:p w14:paraId="5F5608E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5" w:type="dxa"/>
            <w:tcBorders>
              <w:top w:val="single" w:color="000000" w:sz="4" w:space="0"/>
              <w:left w:val="single" w:color="000000" w:sz="4" w:space="0"/>
              <w:bottom w:val="single" w:color="000000" w:sz="4" w:space="0"/>
              <w:right w:val="single" w:color="000000" w:sz="4" w:space="0"/>
            </w:tcBorders>
            <w:vAlign w:val="center"/>
          </w:tcPr>
          <w:p w14:paraId="02A18B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tcBorders>
              <w:top w:val="single" w:color="000000" w:sz="4" w:space="0"/>
              <w:left w:val="single" w:color="000000" w:sz="4" w:space="0"/>
              <w:bottom w:val="single" w:color="000000" w:sz="4" w:space="0"/>
              <w:right w:val="single" w:color="000000" w:sz="4" w:space="0"/>
            </w:tcBorders>
            <w:vAlign w:val="center"/>
          </w:tcPr>
          <w:p w14:paraId="0A6202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54721B1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2AEC5B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87C95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6E8609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碳化硅颗粒</w:t>
            </w:r>
          </w:p>
        </w:tc>
        <w:tc>
          <w:tcPr>
            <w:tcW w:w="3485" w:type="dxa"/>
            <w:tcBorders>
              <w:top w:val="single" w:color="000000" w:sz="4" w:space="0"/>
              <w:left w:val="single" w:color="000000" w:sz="4" w:space="0"/>
              <w:bottom w:val="single" w:color="000000" w:sz="4" w:space="0"/>
              <w:right w:val="single" w:color="000000" w:sz="4" w:space="0"/>
            </w:tcBorders>
            <w:vAlign w:val="center"/>
          </w:tcPr>
          <w:p w14:paraId="2733BB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38" w:type="dxa"/>
            <w:tcBorders>
              <w:top w:val="single" w:color="000000" w:sz="4" w:space="0"/>
              <w:left w:val="single" w:color="000000" w:sz="4" w:space="0"/>
              <w:bottom w:val="single" w:color="000000" w:sz="4" w:space="0"/>
              <w:right w:val="single" w:color="000000" w:sz="4" w:space="0"/>
            </w:tcBorders>
            <w:vAlign w:val="center"/>
          </w:tcPr>
          <w:p w14:paraId="06AE9F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933" w:type="dxa"/>
            <w:tcBorders>
              <w:top w:val="single" w:color="000000" w:sz="4" w:space="0"/>
              <w:left w:val="single" w:color="000000" w:sz="4" w:space="0"/>
              <w:bottom w:val="single" w:color="000000" w:sz="4" w:space="0"/>
              <w:right w:val="single" w:color="000000" w:sz="4" w:space="0"/>
            </w:tcBorders>
            <w:vAlign w:val="center"/>
          </w:tcPr>
          <w:p w14:paraId="743879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359AA3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1032" w:type="dxa"/>
            <w:tcBorders>
              <w:top w:val="single" w:color="000000" w:sz="4" w:space="0"/>
              <w:left w:val="single" w:color="000000" w:sz="4" w:space="0"/>
              <w:bottom w:val="single" w:color="000000" w:sz="4" w:space="0"/>
              <w:right w:val="single" w:color="000000" w:sz="4" w:space="0"/>
            </w:tcBorders>
            <w:vAlign w:val="center"/>
          </w:tcPr>
          <w:p w14:paraId="088625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5" w:type="dxa"/>
            <w:tcBorders>
              <w:top w:val="single" w:color="000000" w:sz="4" w:space="0"/>
              <w:left w:val="single" w:color="000000" w:sz="4" w:space="0"/>
              <w:bottom w:val="single" w:color="000000" w:sz="4" w:space="0"/>
              <w:right w:val="single" w:color="000000" w:sz="4" w:space="0"/>
            </w:tcBorders>
            <w:vAlign w:val="center"/>
          </w:tcPr>
          <w:p w14:paraId="1D4FD6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袋装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1ADE12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65622326">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38866E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83F0F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6441F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3E8BF4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8" w:type="dxa"/>
            <w:tcBorders>
              <w:top w:val="single" w:color="000000" w:sz="4" w:space="0"/>
              <w:left w:val="single" w:color="000000" w:sz="4" w:space="0"/>
              <w:bottom w:val="single" w:color="000000" w:sz="4" w:space="0"/>
              <w:right w:val="single" w:color="000000" w:sz="4" w:space="0"/>
            </w:tcBorders>
            <w:vAlign w:val="center"/>
          </w:tcPr>
          <w:p w14:paraId="1A25C5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10000L</w:t>
            </w:r>
          </w:p>
        </w:tc>
        <w:tc>
          <w:tcPr>
            <w:tcW w:w="933" w:type="dxa"/>
            <w:tcBorders>
              <w:top w:val="single" w:color="000000" w:sz="4" w:space="0"/>
              <w:left w:val="single" w:color="000000" w:sz="4" w:space="0"/>
              <w:bottom w:val="single" w:color="000000" w:sz="4" w:space="0"/>
              <w:right w:val="single" w:color="000000" w:sz="4" w:space="0"/>
            </w:tcBorders>
            <w:vAlign w:val="center"/>
          </w:tcPr>
          <w:p w14:paraId="36116E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5CDFB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10000L</w:t>
            </w:r>
          </w:p>
        </w:tc>
        <w:tc>
          <w:tcPr>
            <w:tcW w:w="1032" w:type="dxa"/>
            <w:tcBorders>
              <w:top w:val="single" w:color="000000" w:sz="4" w:space="0"/>
              <w:left w:val="single" w:color="000000" w:sz="4" w:space="0"/>
              <w:bottom w:val="single" w:color="000000" w:sz="4" w:space="0"/>
              <w:right w:val="single" w:color="000000" w:sz="4" w:space="0"/>
            </w:tcBorders>
            <w:vAlign w:val="center"/>
          </w:tcPr>
          <w:p w14:paraId="5A2D45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1瓶</w:t>
            </w:r>
          </w:p>
        </w:tc>
        <w:tc>
          <w:tcPr>
            <w:tcW w:w="1075" w:type="dxa"/>
            <w:tcBorders>
              <w:top w:val="single" w:color="000000" w:sz="4" w:space="0"/>
              <w:left w:val="single" w:color="000000" w:sz="4" w:space="0"/>
              <w:bottom w:val="single" w:color="000000" w:sz="4" w:space="0"/>
              <w:right w:val="single" w:color="000000" w:sz="4" w:space="0"/>
            </w:tcBorders>
            <w:vAlign w:val="center"/>
          </w:tcPr>
          <w:p w14:paraId="15C8A6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瓶装</w:t>
            </w:r>
          </w:p>
        </w:tc>
        <w:tc>
          <w:tcPr>
            <w:tcW w:w="1265" w:type="dxa"/>
            <w:tcBorders>
              <w:top w:val="single" w:color="000000" w:sz="4" w:space="0"/>
              <w:left w:val="single" w:color="000000" w:sz="4" w:space="0"/>
              <w:bottom w:val="single" w:color="000000" w:sz="4" w:space="0"/>
              <w:right w:val="single" w:color="000000" w:sz="4" w:space="0"/>
            </w:tcBorders>
            <w:vAlign w:val="center"/>
          </w:tcPr>
          <w:p w14:paraId="4DB64A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3C64E271">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0EB4B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14:paraId="5DAD56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石墨部件研发</w:t>
            </w: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5DEF6F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甲基三氯硅烷</w:t>
            </w:r>
          </w:p>
        </w:tc>
        <w:tc>
          <w:tcPr>
            <w:tcW w:w="3485" w:type="dxa"/>
            <w:tcBorders>
              <w:top w:val="single" w:color="000000" w:sz="4" w:space="0"/>
              <w:left w:val="single" w:color="000000" w:sz="4" w:space="0"/>
              <w:bottom w:val="single" w:color="000000" w:sz="4" w:space="0"/>
              <w:right w:val="single" w:color="000000" w:sz="4" w:space="0"/>
            </w:tcBorders>
            <w:vAlign w:val="center"/>
          </w:tcPr>
          <w:p w14:paraId="4584E3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甲基三氯硅烷</w:t>
            </w:r>
          </w:p>
        </w:tc>
        <w:tc>
          <w:tcPr>
            <w:tcW w:w="1138" w:type="dxa"/>
            <w:tcBorders>
              <w:top w:val="single" w:color="000000" w:sz="4" w:space="0"/>
              <w:left w:val="single" w:color="000000" w:sz="4" w:space="0"/>
              <w:bottom w:val="single" w:color="000000" w:sz="4" w:space="0"/>
              <w:right w:val="single" w:color="000000" w:sz="4" w:space="0"/>
            </w:tcBorders>
            <w:vAlign w:val="center"/>
          </w:tcPr>
          <w:p w14:paraId="160CF7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3吨</w:t>
            </w:r>
          </w:p>
        </w:tc>
        <w:tc>
          <w:tcPr>
            <w:tcW w:w="933" w:type="dxa"/>
            <w:tcBorders>
              <w:top w:val="single" w:color="000000" w:sz="4" w:space="0"/>
              <w:left w:val="single" w:color="000000" w:sz="4" w:space="0"/>
              <w:bottom w:val="single" w:color="000000" w:sz="4" w:space="0"/>
              <w:right w:val="single" w:color="000000" w:sz="4" w:space="0"/>
            </w:tcBorders>
            <w:vAlign w:val="center"/>
          </w:tcPr>
          <w:p w14:paraId="0A78A5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1705A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5E599B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w:t>
            </w:r>
          </w:p>
        </w:tc>
        <w:tc>
          <w:tcPr>
            <w:tcW w:w="1075" w:type="dxa"/>
            <w:tcBorders>
              <w:top w:val="single" w:color="000000" w:sz="4" w:space="0"/>
              <w:left w:val="single" w:color="000000" w:sz="4" w:space="0"/>
              <w:bottom w:val="single" w:color="000000" w:sz="4" w:space="0"/>
              <w:right w:val="single" w:color="000000" w:sz="4" w:space="0"/>
            </w:tcBorders>
            <w:vAlign w:val="center"/>
          </w:tcPr>
          <w:p w14:paraId="2EB752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吨桶</w:t>
            </w:r>
          </w:p>
        </w:tc>
        <w:tc>
          <w:tcPr>
            <w:tcW w:w="1265" w:type="dxa"/>
            <w:tcBorders>
              <w:top w:val="single" w:color="000000" w:sz="4" w:space="0"/>
              <w:left w:val="single" w:color="000000" w:sz="4" w:space="0"/>
              <w:bottom w:val="single" w:color="000000" w:sz="4" w:space="0"/>
              <w:right w:val="single" w:color="000000" w:sz="4" w:space="0"/>
            </w:tcBorders>
            <w:vAlign w:val="center"/>
          </w:tcPr>
          <w:p w14:paraId="49D2F0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MTS贮存区</w:t>
            </w:r>
          </w:p>
        </w:tc>
      </w:tr>
      <w:tr w14:paraId="67B9E91F">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54FE0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455BB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7FEB7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氯化氢</w:t>
            </w:r>
          </w:p>
        </w:tc>
        <w:tc>
          <w:tcPr>
            <w:tcW w:w="3485" w:type="dxa"/>
            <w:tcBorders>
              <w:top w:val="single" w:color="000000" w:sz="4" w:space="0"/>
              <w:left w:val="single" w:color="000000" w:sz="4" w:space="0"/>
              <w:bottom w:val="single" w:color="000000" w:sz="4" w:space="0"/>
              <w:right w:val="single" w:color="000000" w:sz="4" w:space="0"/>
            </w:tcBorders>
            <w:vAlign w:val="center"/>
          </w:tcPr>
          <w:p w14:paraId="11E332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HCl</w:t>
            </w:r>
          </w:p>
        </w:tc>
        <w:tc>
          <w:tcPr>
            <w:tcW w:w="1138" w:type="dxa"/>
            <w:tcBorders>
              <w:top w:val="single" w:color="000000" w:sz="4" w:space="0"/>
              <w:left w:val="single" w:color="000000" w:sz="4" w:space="0"/>
              <w:bottom w:val="single" w:color="000000" w:sz="4" w:space="0"/>
              <w:right w:val="single" w:color="000000" w:sz="4" w:space="0"/>
            </w:tcBorders>
            <w:vAlign w:val="center"/>
          </w:tcPr>
          <w:p w14:paraId="541726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0.04吨</w:t>
            </w:r>
          </w:p>
        </w:tc>
        <w:tc>
          <w:tcPr>
            <w:tcW w:w="933" w:type="dxa"/>
            <w:tcBorders>
              <w:top w:val="single" w:color="000000" w:sz="4" w:space="0"/>
              <w:left w:val="single" w:color="000000" w:sz="4" w:space="0"/>
              <w:bottom w:val="single" w:color="000000" w:sz="4" w:space="0"/>
              <w:right w:val="single" w:color="000000" w:sz="4" w:space="0"/>
            </w:tcBorders>
            <w:vAlign w:val="center"/>
          </w:tcPr>
          <w:p w14:paraId="1720C6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F6DAA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0.04吨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0D3E27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w:t>
            </w:r>
          </w:p>
        </w:tc>
        <w:tc>
          <w:tcPr>
            <w:tcW w:w="1075" w:type="dxa"/>
            <w:tcBorders>
              <w:top w:val="single" w:color="000000" w:sz="4" w:space="0"/>
              <w:left w:val="single" w:color="000000" w:sz="4" w:space="0"/>
              <w:bottom w:val="single" w:color="000000" w:sz="4" w:space="0"/>
              <w:right w:val="single" w:color="000000" w:sz="4" w:space="0"/>
            </w:tcBorders>
            <w:vAlign w:val="center"/>
          </w:tcPr>
          <w:p w14:paraId="248F9F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34DEF0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524DCCE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23149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7E00A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8FDE8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氢气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0FD1E5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w:t>
            </w:r>
            <w:r>
              <w:rPr>
                <w:snapToGrid/>
                <w:color w:val="000000" w:themeColor="text1"/>
                <w:sz w:val="21"/>
                <w:szCs w:val="21"/>
                <w:vertAlign w:val="subscript"/>
                <w14:textFill>
                  <w14:solidFill>
                    <w14:schemeClr w14:val="tx1"/>
                  </w14:solidFill>
                </w14:textFill>
              </w:rPr>
              <w:t>2</w:t>
            </w:r>
          </w:p>
        </w:tc>
        <w:tc>
          <w:tcPr>
            <w:tcW w:w="1138" w:type="dxa"/>
            <w:tcBorders>
              <w:top w:val="single" w:color="000000" w:sz="4" w:space="0"/>
              <w:left w:val="single" w:color="000000" w:sz="4" w:space="0"/>
              <w:bottom w:val="single" w:color="000000" w:sz="4" w:space="0"/>
              <w:right w:val="single" w:color="000000" w:sz="4" w:space="0"/>
            </w:tcBorders>
            <w:vAlign w:val="center"/>
          </w:tcPr>
          <w:p w14:paraId="025DE2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0.3吨</w:t>
            </w:r>
          </w:p>
        </w:tc>
        <w:tc>
          <w:tcPr>
            <w:tcW w:w="933" w:type="dxa"/>
            <w:tcBorders>
              <w:top w:val="single" w:color="000000" w:sz="4" w:space="0"/>
              <w:left w:val="single" w:color="000000" w:sz="4" w:space="0"/>
              <w:bottom w:val="single" w:color="000000" w:sz="4" w:space="0"/>
              <w:right w:val="single" w:color="000000" w:sz="4" w:space="0"/>
            </w:tcBorders>
            <w:vAlign w:val="center"/>
          </w:tcPr>
          <w:p w14:paraId="66C426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0DFDFC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0.3吨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63B9FE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10瓶</w:t>
            </w:r>
          </w:p>
        </w:tc>
        <w:tc>
          <w:tcPr>
            <w:tcW w:w="1075" w:type="dxa"/>
            <w:tcBorders>
              <w:top w:val="single" w:color="000000" w:sz="4" w:space="0"/>
              <w:left w:val="single" w:color="000000" w:sz="4" w:space="0"/>
              <w:bottom w:val="single" w:color="000000" w:sz="4" w:space="0"/>
              <w:right w:val="single" w:color="000000" w:sz="4" w:space="0"/>
            </w:tcBorders>
            <w:vAlign w:val="center"/>
          </w:tcPr>
          <w:p w14:paraId="7155B3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40L高压气瓶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7FE6BF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57EBCAA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DBA51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FE77C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2EA79E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6F6C9C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Ar</w:t>
            </w:r>
          </w:p>
        </w:tc>
        <w:tc>
          <w:tcPr>
            <w:tcW w:w="1138" w:type="dxa"/>
            <w:tcBorders>
              <w:top w:val="single" w:color="000000" w:sz="4" w:space="0"/>
              <w:left w:val="single" w:color="000000" w:sz="4" w:space="0"/>
              <w:bottom w:val="single" w:color="000000" w:sz="4" w:space="0"/>
              <w:right w:val="single" w:color="000000" w:sz="4" w:space="0"/>
            </w:tcBorders>
            <w:vAlign w:val="center"/>
          </w:tcPr>
          <w:p w14:paraId="34B758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18吨</w:t>
            </w:r>
          </w:p>
        </w:tc>
        <w:tc>
          <w:tcPr>
            <w:tcW w:w="933" w:type="dxa"/>
            <w:tcBorders>
              <w:top w:val="single" w:color="000000" w:sz="4" w:space="0"/>
              <w:left w:val="single" w:color="000000" w:sz="4" w:space="0"/>
              <w:bottom w:val="single" w:color="000000" w:sz="4" w:space="0"/>
              <w:right w:val="single" w:color="000000" w:sz="4" w:space="0"/>
            </w:tcBorders>
            <w:vAlign w:val="center"/>
          </w:tcPr>
          <w:p w14:paraId="78BBBF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5BAEE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7F5A81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5" w:type="dxa"/>
            <w:tcBorders>
              <w:top w:val="single" w:color="000000" w:sz="4" w:space="0"/>
              <w:left w:val="single" w:color="000000" w:sz="4" w:space="0"/>
              <w:bottom w:val="single" w:color="000000" w:sz="4" w:space="0"/>
              <w:right w:val="single" w:color="000000" w:sz="4" w:space="0"/>
            </w:tcBorders>
            <w:vAlign w:val="center"/>
          </w:tcPr>
          <w:p w14:paraId="4E2F8F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液氩站</w:t>
            </w:r>
          </w:p>
        </w:tc>
        <w:tc>
          <w:tcPr>
            <w:tcW w:w="1265" w:type="dxa"/>
            <w:tcBorders>
              <w:top w:val="single" w:color="000000" w:sz="4" w:space="0"/>
              <w:left w:val="single" w:color="000000" w:sz="4" w:space="0"/>
              <w:bottom w:val="single" w:color="000000" w:sz="4" w:space="0"/>
              <w:right w:val="single" w:color="000000" w:sz="4" w:space="0"/>
            </w:tcBorders>
            <w:vAlign w:val="center"/>
          </w:tcPr>
          <w:p w14:paraId="119338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2EF6A64B">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BCAA3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7F95F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4BFA5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氮气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372ABF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w:t>
            </w:r>
            <w:r>
              <w:rPr>
                <w:snapToGrid/>
                <w:color w:val="000000" w:themeColor="text1"/>
                <w:sz w:val="21"/>
                <w:szCs w:val="21"/>
                <w:vertAlign w:val="subscript"/>
                <w14:textFill>
                  <w14:solidFill>
                    <w14:schemeClr w14:val="tx1"/>
                  </w14:solidFill>
                </w14:textFill>
              </w:rPr>
              <w:t>2</w:t>
            </w:r>
          </w:p>
        </w:tc>
        <w:tc>
          <w:tcPr>
            <w:tcW w:w="1138" w:type="dxa"/>
            <w:tcBorders>
              <w:top w:val="single" w:color="000000" w:sz="4" w:space="0"/>
              <w:left w:val="single" w:color="000000" w:sz="4" w:space="0"/>
              <w:bottom w:val="single" w:color="000000" w:sz="4" w:space="0"/>
              <w:right w:val="single" w:color="000000" w:sz="4" w:space="0"/>
            </w:tcBorders>
            <w:vAlign w:val="center"/>
          </w:tcPr>
          <w:p w14:paraId="7DFDC5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15吨</w:t>
            </w:r>
          </w:p>
        </w:tc>
        <w:tc>
          <w:tcPr>
            <w:tcW w:w="933" w:type="dxa"/>
            <w:tcBorders>
              <w:top w:val="single" w:color="000000" w:sz="4" w:space="0"/>
              <w:left w:val="single" w:color="000000" w:sz="4" w:space="0"/>
              <w:bottom w:val="single" w:color="000000" w:sz="4" w:space="0"/>
              <w:right w:val="single" w:color="000000" w:sz="4" w:space="0"/>
            </w:tcBorders>
            <w:vAlign w:val="center"/>
          </w:tcPr>
          <w:p w14:paraId="0B94A5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0A9BF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6B2C3D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075" w:type="dxa"/>
            <w:tcBorders>
              <w:top w:val="single" w:color="000000" w:sz="4" w:space="0"/>
              <w:left w:val="single" w:color="000000" w:sz="4" w:space="0"/>
              <w:bottom w:val="single" w:color="000000" w:sz="4" w:space="0"/>
              <w:right w:val="single" w:color="000000" w:sz="4" w:space="0"/>
            </w:tcBorders>
            <w:vAlign w:val="center"/>
          </w:tcPr>
          <w:p w14:paraId="1B401A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液氮站</w:t>
            </w:r>
          </w:p>
        </w:tc>
        <w:tc>
          <w:tcPr>
            <w:tcW w:w="1265" w:type="dxa"/>
            <w:tcBorders>
              <w:top w:val="single" w:color="000000" w:sz="4" w:space="0"/>
              <w:left w:val="single" w:color="000000" w:sz="4" w:space="0"/>
              <w:bottom w:val="single" w:color="000000" w:sz="4" w:space="0"/>
              <w:right w:val="single" w:color="000000" w:sz="4" w:space="0"/>
            </w:tcBorders>
            <w:vAlign w:val="center"/>
          </w:tcPr>
          <w:p w14:paraId="0547CF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2B2D2FAC">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475656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64327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6958EA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石墨99.99%</w:t>
            </w:r>
          </w:p>
        </w:tc>
        <w:tc>
          <w:tcPr>
            <w:tcW w:w="3485" w:type="dxa"/>
            <w:tcBorders>
              <w:top w:val="single" w:color="000000" w:sz="4" w:space="0"/>
              <w:left w:val="single" w:color="000000" w:sz="4" w:space="0"/>
              <w:bottom w:val="single" w:color="000000" w:sz="4" w:space="0"/>
              <w:right w:val="single" w:color="000000" w:sz="4" w:space="0"/>
            </w:tcBorders>
            <w:vAlign w:val="center"/>
          </w:tcPr>
          <w:p w14:paraId="13239D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石墨块</w:t>
            </w:r>
          </w:p>
        </w:tc>
        <w:tc>
          <w:tcPr>
            <w:tcW w:w="1138" w:type="dxa"/>
            <w:tcBorders>
              <w:top w:val="single" w:color="000000" w:sz="4" w:space="0"/>
              <w:left w:val="single" w:color="000000" w:sz="4" w:space="0"/>
              <w:bottom w:val="single" w:color="000000" w:sz="4" w:space="0"/>
              <w:right w:val="single" w:color="000000" w:sz="4" w:space="0"/>
            </w:tcBorders>
            <w:vAlign w:val="center"/>
          </w:tcPr>
          <w:p w14:paraId="58657A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10吨</w:t>
            </w:r>
          </w:p>
        </w:tc>
        <w:tc>
          <w:tcPr>
            <w:tcW w:w="933" w:type="dxa"/>
            <w:tcBorders>
              <w:top w:val="single" w:color="000000" w:sz="4" w:space="0"/>
              <w:left w:val="single" w:color="000000" w:sz="4" w:space="0"/>
              <w:bottom w:val="single" w:color="000000" w:sz="4" w:space="0"/>
              <w:right w:val="single" w:color="000000" w:sz="4" w:space="0"/>
            </w:tcBorders>
            <w:vAlign w:val="center"/>
          </w:tcPr>
          <w:p w14:paraId="4808FE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1C1929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0C5737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10t</w:t>
            </w:r>
          </w:p>
        </w:tc>
        <w:tc>
          <w:tcPr>
            <w:tcW w:w="1075" w:type="dxa"/>
            <w:tcBorders>
              <w:top w:val="single" w:color="000000" w:sz="4" w:space="0"/>
              <w:left w:val="single" w:color="000000" w:sz="4" w:space="0"/>
              <w:bottom w:val="single" w:color="000000" w:sz="4" w:space="0"/>
              <w:right w:val="single" w:color="000000" w:sz="4" w:space="0"/>
            </w:tcBorders>
            <w:vAlign w:val="center"/>
          </w:tcPr>
          <w:p w14:paraId="08EAC2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tcBorders>
              <w:top w:val="single" w:color="000000" w:sz="4" w:space="0"/>
              <w:left w:val="single" w:color="000000" w:sz="4" w:space="0"/>
              <w:bottom w:val="single" w:color="000000" w:sz="4" w:space="0"/>
              <w:right w:val="single" w:color="000000" w:sz="4" w:space="0"/>
            </w:tcBorders>
            <w:vAlign w:val="center"/>
          </w:tcPr>
          <w:p w14:paraId="3133CC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1F4AA841">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F8A91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14:paraId="020F22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碳化硅炉管研发</w:t>
            </w: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19A68E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碳化硅微粉</w:t>
            </w:r>
          </w:p>
        </w:tc>
        <w:tc>
          <w:tcPr>
            <w:tcW w:w="3485" w:type="dxa"/>
            <w:tcBorders>
              <w:top w:val="single" w:color="000000" w:sz="4" w:space="0"/>
              <w:left w:val="single" w:color="000000" w:sz="4" w:space="0"/>
              <w:bottom w:val="single" w:color="000000" w:sz="4" w:space="0"/>
              <w:right w:val="single" w:color="000000" w:sz="4" w:space="0"/>
            </w:tcBorders>
            <w:vAlign w:val="center"/>
          </w:tcPr>
          <w:p w14:paraId="25C009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碳化硅粉</w:t>
            </w:r>
          </w:p>
        </w:tc>
        <w:tc>
          <w:tcPr>
            <w:tcW w:w="1138" w:type="dxa"/>
            <w:tcBorders>
              <w:top w:val="single" w:color="000000" w:sz="4" w:space="0"/>
              <w:left w:val="single" w:color="000000" w:sz="4" w:space="0"/>
              <w:bottom w:val="single" w:color="000000" w:sz="4" w:space="0"/>
              <w:right w:val="single" w:color="000000" w:sz="4" w:space="0"/>
            </w:tcBorders>
            <w:vAlign w:val="center"/>
          </w:tcPr>
          <w:p w14:paraId="53473C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3吨</w:t>
            </w:r>
          </w:p>
        </w:tc>
        <w:tc>
          <w:tcPr>
            <w:tcW w:w="933" w:type="dxa"/>
            <w:tcBorders>
              <w:top w:val="single" w:color="000000" w:sz="4" w:space="0"/>
              <w:left w:val="single" w:color="000000" w:sz="4" w:space="0"/>
              <w:bottom w:val="single" w:color="000000" w:sz="4" w:space="0"/>
              <w:right w:val="single" w:color="000000" w:sz="4" w:space="0"/>
            </w:tcBorders>
            <w:vAlign w:val="center"/>
          </w:tcPr>
          <w:p w14:paraId="6EDB67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7230CA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54D25A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2t</w:t>
            </w:r>
          </w:p>
        </w:tc>
        <w:tc>
          <w:tcPr>
            <w:tcW w:w="1075" w:type="dxa"/>
            <w:tcBorders>
              <w:top w:val="single" w:color="000000" w:sz="4" w:space="0"/>
              <w:left w:val="single" w:color="000000" w:sz="4" w:space="0"/>
              <w:bottom w:val="single" w:color="000000" w:sz="4" w:space="0"/>
              <w:right w:val="single" w:color="000000" w:sz="4" w:space="0"/>
            </w:tcBorders>
            <w:vAlign w:val="center"/>
          </w:tcPr>
          <w:p w14:paraId="24EA26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265" w:type="dxa"/>
            <w:tcBorders>
              <w:top w:val="single" w:color="000000" w:sz="4" w:space="0"/>
              <w:left w:val="single" w:color="000000" w:sz="4" w:space="0"/>
              <w:bottom w:val="single" w:color="000000" w:sz="4" w:space="0"/>
              <w:right w:val="single" w:color="000000" w:sz="4" w:space="0"/>
            </w:tcBorders>
            <w:vAlign w:val="center"/>
          </w:tcPr>
          <w:p w14:paraId="45C485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3885FC3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E2599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37461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32CF0E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硅颗粒</w:t>
            </w:r>
          </w:p>
        </w:tc>
        <w:tc>
          <w:tcPr>
            <w:tcW w:w="3485" w:type="dxa"/>
            <w:tcBorders>
              <w:top w:val="single" w:color="000000" w:sz="4" w:space="0"/>
              <w:left w:val="single" w:color="000000" w:sz="4" w:space="0"/>
              <w:bottom w:val="single" w:color="000000" w:sz="4" w:space="0"/>
              <w:right w:val="single" w:color="000000" w:sz="4" w:space="0"/>
            </w:tcBorders>
            <w:vAlign w:val="center"/>
          </w:tcPr>
          <w:p w14:paraId="4C59F8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硅粉</w:t>
            </w:r>
          </w:p>
        </w:tc>
        <w:tc>
          <w:tcPr>
            <w:tcW w:w="1138" w:type="dxa"/>
            <w:tcBorders>
              <w:top w:val="single" w:color="000000" w:sz="4" w:space="0"/>
              <w:left w:val="single" w:color="000000" w:sz="4" w:space="0"/>
              <w:bottom w:val="single" w:color="000000" w:sz="4" w:space="0"/>
              <w:right w:val="single" w:color="000000" w:sz="4" w:space="0"/>
            </w:tcBorders>
            <w:vAlign w:val="center"/>
          </w:tcPr>
          <w:p w14:paraId="328D54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1吨</w:t>
            </w:r>
          </w:p>
        </w:tc>
        <w:tc>
          <w:tcPr>
            <w:tcW w:w="933" w:type="dxa"/>
            <w:tcBorders>
              <w:top w:val="single" w:color="000000" w:sz="4" w:space="0"/>
              <w:left w:val="single" w:color="000000" w:sz="4" w:space="0"/>
              <w:bottom w:val="single" w:color="000000" w:sz="4" w:space="0"/>
              <w:right w:val="single" w:color="000000" w:sz="4" w:space="0"/>
            </w:tcBorders>
            <w:vAlign w:val="center"/>
          </w:tcPr>
          <w:p w14:paraId="72FA12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7E978D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1725FD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w:t>
            </w:r>
          </w:p>
        </w:tc>
        <w:tc>
          <w:tcPr>
            <w:tcW w:w="1075" w:type="dxa"/>
            <w:tcBorders>
              <w:top w:val="single" w:color="000000" w:sz="4" w:space="0"/>
              <w:left w:val="single" w:color="000000" w:sz="4" w:space="0"/>
              <w:bottom w:val="single" w:color="000000" w:sz="4" w:space="0"/>
              <w:right w:val="single" w:color="000000" w:sz="4" w:space="0"/>
            </w:tcBorders>
            <w:vAlign w:val="center"/>
          </w:tcPr>
          <w:p w14:paraId="27792A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265" w:type="dxa"/>
            <w:tcBorders>
              <w:top w:val="single" w:color="000000" w:sz="4" w:space="0"/>
              <w:left w:val="single" w:color="000000" w:sz="4" w:space="0"/>
              <w:bottom w:val="single" w:color="000000" w:sz="4" w:space="0"/>
              <w:right w:val="single" w:color="000000" w:sz="4" w:space="0"/>
            </w:tcBorders>
            <w:vAlign w:val="center"/>
          </w:tcPr>
          <w:p w14:paraId="6E7278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467A2CD9">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07291C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F42AA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B80D7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碳粉</w:t>
            </w:r>
          </w:p>
        </w:tc>
        <w:tc>
          <w:tcPr>
            <w:tcW w:w="3485" w:type="dxa"/>
            <w:tcBorders>
              <w:top w:val="single" w:color="000000" w:sz="4" w:space="0"/>
              <w:left w:val="single" w:color="000000" w:sz="4" w:space="0"/>
              <w:bottom w:val="single" w:color="000000" w:sz="4" w:space="0"/>
              <w:right w:val="single" w:color="000000" w:sz="4" w:space="0"/>
            </w:tcBorders>
            <w:vAlign w:val="center"/>
          </w:tcPr>
          <w:p w14:paraId="28E2F1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碳粉</w:t>
            </w:r>
          </w:p>
        </w:tc>
        <w:tc>
          <w:tcPr>
            <w:tcW w:w="1138" w:type="dxa"/>
            <w:tcBorders>
              <w:top w:val="single" w:color="000000" w:sz="4" w:space="0"/>
              <w:left w:val="single" w:color="000000" w:sz="4" w:space="0"/>
              <w:bottom w:val="single" w:color="000000" w:sz="4" w:space="0"/>
              <w:right w:val="single" w:color="000000" w:sz="4" w:space="0"/>
            </w:tcBorders>
            <w:vAlign w:val="center"/>
          </w:tcPr>
          <w:p w14:paraId="25508C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0.5吨</w:t>
            </w:r>
          </w:p>
        </w:tc>
        <w:tc>
          <w:tcPr>
            <w:tcW w:w="933" w:type="dxa"/>
            <w:tcBorders>
              <w:top w:val="single" w:color="000000" w:sz="4" w:space="0"/>
              <w:left w:val="single" w:color="000000" w:sz="4" w:space="0"/>
              <w:bottom w:val="single" w:color="000000" w:sz="4" w:space="0"/>
              <w:right w:val="single" w:color="000000" w:sz="4" w:space="0"/>
            </w:tcBorders>
            <w:vAlign w:val="center"/>
          </w:tcPr>
          <w:p w14:paraId="1E1FE1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480811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0.5吨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789134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1t</w:t>
            </w:r>
          </w:p>
        </w:tc>
        <w:tc>
          <w:tcPr>
            <w:tcW w:w="1075" w:type="dxa"/>
            <w:tcBorders>
              <w:top w:val="single" w:color="000000" w:sz="4" w:space="0"/>
              <w:left w:val="single" w:color="000000" w:sz="4" w:space="0"/>
              <w:bottom w:val="single" w:color="000000" w:sz="4" w:space="0"/>
              <w:right w:val="single" w:color="000000" w:sz="4" w:space="0"/>
            </w:tcBorders>
            <w:vAlign w:val="center"/>
          </w:tcPr>
          <w:p w14:paraId="758C6BC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25Kg/袋</w:t>
            </w:r>
          </w:p>
        </w:tc>
        <w:tc>
          <w:tcPr>
            <w:tcW w:w="1265" w:type="dxa"/>
            <w:tcBorders>
              <w:top w:val="single" w:color="000000" w:sz="4" w:space="0"/>
              <w:left w:val="single" w:color="000000" w:sz="4" w:space="0"/>
              <w:bottom w:val="single" w:color="000000" w:sz="4" w:space="0"/>
              <w:right w:val="single" w:color="000000" w:sz="4" w:space="0"/>
            </w:tcBorders>
            <w:vAlign w:val="center"/>
          </w:tcPr>
          <w:p w14:paraId="2710B1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1A9C1878">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58175A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3012A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2EB623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粘结剂</w:t>
            </w:r>
          </w:p>
        </w:tc>
        <w:tc>
          <w:tcPr>
            <w:tcW w:w="3485" w:type="dxa"/>
            <w:tcBorders>
              <w:top w:val="single" w:color="000000" w:sz="4" w:space="0"/>
              <w:left w:val="single" w:color="000000" w:sz="4" w:space="0"/>
              <w:bottom w:val="single" w:color="000000" w:sz="4" w:space="0"/>
              <w:right w:val="single" w:color="000000" w:sz="4" w:space="0"/>
            </w:tcBorders>
            <w:vAlign w:val="center"/>
          </w:tcPr>
          <w:p w14:paraId="1C88B1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多糖化合物</w:t>
            </w:r>
          </w:p>
        </w:tc>
        <w:tc>
          <w:tcPr>
            <w:tcW w:w="1138" w:type="dxa"/>
            <w:tcBorders>
              <w:top w:val="single" w:color="000000" w:sz="4" w:space="0"/>
              <w:left w:val="single" w:color="000000" w:sz="4" w:space="0"/>
              <w:bottom w:val="single" w:color="000000" w:sz="4" w:space="0"/>
              <w:right w:val="single" w:color="000000" w:sz="4" w:space="0"/>
            </w:tcBorders>
            <w:vAlign w:val="center"/>
          </w:tcPr>
          <w:p w14:paraId="430160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0.3吨</w:t>
            </w:r>
          </w:p>
        </w:tc>
        <w:tc>
          <w:tcPr>
            <w:tcW w:w="933" w:type="dxa"/>
            <w:tcBorders>
              <w:top w:val="single" w:color="000000" w:sz="4" w:space="0"/>
              <w:left w:val="single" w:color="000000" w:sz="4" w:space="0"/>
              <w:bottom w:val="single" w:color="000000" w:sz="4" w:space="0"/>
              <w:right w:val="single" w:color="000000" w:sz="4" w:space="0"/>
            </w:tcBorders>
            <w:vAlign w:val="center"/>
          </w:tcPr>
          <w:p w14:paraId="26DF79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63763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0.3吨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75E55E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0.1t</w:t>
            </w:r>
          </w:p>
        </w:tc>
        <w:tc>
          <w:tcPr>
            <w:tcW w:w="1075" w:type="dxa"/>
            <w:tcBorders>
              <w:top w:val="single" w:color="000000" w:sz="4" w:space="0"/>
              <w:left w:val="single" w:color="000000" w:sz="4" w:space="0"/>
              <w:bottom w:val="single" w:color="000000" w:sz="4" w:space="0"/>
              <w:right w:val="single" w:color="000000" w:sz="4" w:space="0"/>
            </w:tcBorders>
            <w:vAlign w:val="center"/>
          </w:tcPr>
          <w:p w14:paraId="7B64D0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5Kg/桶</w:t>
            </w:r>
          </w:p>
        </w:tc>
        <w:tc>
          <w:tcPr>
            <w:tcW w:w="1265" w:type="dxa"/>
            <w:tcBorders>
              <w:top w:val="single" w:color="000000" w:sz="4" w:space="0"/>
              <w:left w:val="single" w:color="000000" w:sz="4" w:space="0"/>
              <w:bottom w:val="single" w:color="000000" w:sz="4" w:space="0"/>
              <w:right w:val="single" w:color="000000" w:sz="4" w:space="0"/>
            </w:tcBorders>
            <w:vAlign w:val="center"/>
          </w:tcPr>
          <w:p w14:paraId="659B87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仓库</w:t>
            </w:r>
          </w:p>
        </w:tc>
      </w:tr>
      <w:tr w14:paraId="6EB9327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16363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CE915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64EC7F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氩气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5FE1D4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Ar</w:t>
            </w:r>
          </w:p>
        </w:tc>
        <w:tc>
          <w:tcPr>
            <w:tcW w:w="1138" w:type="dxa"/>
            <w:tcBorders>
              <w:top w:val="single" w:color="000000" w:sz="4" w:space="0"/>
              <w:left w:val="single" w:color="000000" w:sz="4" w:space="0"/>
              <w:bottom w:val="single" w:color="000000" w:sz="4" w:space="0"/>
              <w:right w:val="single" w:color="000000" w:sz="4" w:space="0"/>
            </w:tcBorders>
            <w:vAlign w:val="center"/>
          </w:tcPr>
          <w:p w14:paraId="75B0E3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1吨</w:t>
            </w:r>
          </w:p>
        </w:tc>
        <w:tc>
          <w:tcPr>
            <w:tcW w:w="933" w:type="dxa"/>
            <w:tcBorders>
              <w:top w:val="single" w:color="000000" w:sz="4" w:space="0"/>
              <w:left w:val="single" w:color="000000" w:sz="4" w:space="0"/>
              <w:bottom w:val="single" w:color="000000" w:sz="4" w:space="0"/>
              <w:right w:val="single" w:color="000000" w:sz="4" w:space="0"/>
            </w:tcBorders>
            <w:vAlign w:val="center"/>
          </w:tcPr>
          <w:p w14:paraId="1E091A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E48C8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295219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10瓶</w:t>
            </w:r>
          </w:p>
        </w:tc>
        <w:tc>
          <w:tcPr>
            <w:tcW w:w="1075" w:type="dxa"/>
            <w:tcBorders>
              <w:top w:val="single" w:color="000000" w:sz="4" w:space="0"/>
              <w:left w:val="single" w:color="000000" w:sz="4" w:space="0"/>
              <w:bottom w:val="single" w:color="000000" w:sz="4" w:space="0"/>
              <w:right w:val="single" w:color="000000" w:sz="4" w:space="0"/>
            </w:tcBorders>
            <w:vAlign w:val="center"/>
          </w:tcPr>
          <w:p w14:paraId="4DA15E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液氩站</w:t>
            </w:r>
          </w:p>
        </w:tc>
        <w:tc>
          <w:tcPr>
            <w:tcW w:w="1265" w:type="dxa"/>
            <w:tcBorders>
              <w:top w:val="single" w:color="000000" w:sz="4" w:space="0"/>
              <w:left w:val="single" w:color="000000" w:sz="4" w:space="0"/>
              <w:bottom w:val="single" w:color="000000" w:sz="4" w:space="0"/>
              <w:right w:val="single" w:color="000000" w:sz="4" w:space="0"/>
            </w:tcBorders>
            <w:vAlign w:val="center"/>
          </w:tcPr>
          <w:p w14:paraId="42B682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6CE10A7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51D170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ADD2D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227D4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氦气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0CFEF2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w:t>
            </w:r>
            <w:r>
              <w:rPr>
                <w:snapToGrid/>
                <w:color w:val="000000" w:themeColor="text1"/>
                <w:sz w:val="21"/>
                <w:szCs w:val="21"/>
                <w:vertAlign w:val="subscript"/>
                <w14:textFill>
                  <w14:solidFill>
                    <w14:schemeClr w14:val="tx1"/>
                  </w14:solidFill>
                </w14:textFill>
              </w:rPr>
              <w:t>2</w:t>
            </w:r>
          </w:p>
        </w:tc>
        <w:tc>
          <w:tcPr>
            <w:tcW w:w="1138" w:type="dxa"/>
            <w:tcBorders>
              <w:top w:val="single" w:color="000000" w:sz="4" w:space="0"/>
              <w:left w:val="single" w:color="000000" w:sz="4" w:space="0"/>
              <w:bottom w:val="single" w:color="000000" w:sz="4" w:space="0"/>
              <w:right w:val="single" w:color="000000" w:sz="4" w:space="0"/>
            </w:tcBorders>
            <w:vAlign w:val="center"/>
          </w:tcPr>
          <w:p w14:paraId="2BA73B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1吨</w:t>
            </w:r>
          </w:p>
        </w:tc>
        <w:tc>
          <w:tcPr>
            <w:tcW w:w="933" w:type="dxa"/>
            <w:tcBorders>
              <w:top w:val="single" w:color="000000" w:sz="4" w:space="0"/>
              <w:left w:val="single" w:color="000000" w:sz="4" w:space="0"/>
              <w:bottom w:val="single" w:color="000000" w:sz="4" w:space="0"/>
              <w:right w:val="single" w:color="000000" w:sz="4" w:space="0"/>
            </w:tcBorders>
            <w:vAlign w:val="center"/>
          </w:tcPr>
          <w:p w14:paraId="49A394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23856A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1吨</w:t>
            </w:r>
          </w:p>
        </w:tc>
        <w:tc>
          <w:tcPr>
            <w:tcW w:w="1032" w:type="dxa"/>
            <w:tcBorders>
              <w:top w:val="single" w:color="000000" w:sz="4" w:space="0"/>
              <w:left w:val="single" w:color="000000" w:sz="4" w:space="0"/>
              <w:bottom w:val="single" w:color="000000" w:sz="4" w:space="0"/>
              <w:right w:val="single" w:color="000000" w:sz="4" w:space="0"/>
            </w:tcBorders>
            <w:vAlign w:val="center"/>
          </w:tcPr>
          <w:p w14:paraId="5042C7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10瓶</w:t>
            </w:r>
          </w:p>
        </w:tc>
        <w:tc>
          <w:tcPr>
            <w:tcW w:w="1075" w:type="dxa"/>
            <w:tcBorders>
              <w:top w:val="single" w:color="000000" w:sz="4" w:space="0"/>
              <w:left w:val="single" w:color="000000" w:sz="4" w:space="0"/>
              <w:bottom w:val="single" w:color="000000" w:sz="4" w:space="0"/>
              <w:right w:val="single" w:color="000000" w:sz="4" w:space="0"/>
            </w:tcBorders>
            <w:vAlign w:val="center"/>
          </w:tcPr>
          <w:p w14:paraId="2CDAEC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40L高压气瓶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659DAC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气站</w:t>
            </w:r>
          </w:p>
        </w:tc>
      </w:tr>
      <w:tr w14:paraId="544D969F">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105B2B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4A4B1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D4B8C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切削液285S-1</w:t>
            </w:r>
          </w:p>
        </w:tc>
        <w:tc>
          <w:tcPr>
            <w:tcW w:w="3485" w:type="dxa"/>
            <w:tcBorders>
              <w:top w:val="single" w:color="000000" w:sz="4" w:space="0"/>
              <w:left w:val="single" w:color="000000" w:sz="4" w:space="0"/>
              <w:bottom w:val="single" w:color="000000" w:sz="4" w:space="0"/>
              <w:right w:val="single" w:color="000000" w:sz="4" w:space="0"/>
            </w:tcBorders>
            <w:vAlign w:val="center"/>
          </w:tcPr>
          <w:p w14:paraId="265BA5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138" w:type="dxa"/>
            <w:tcBorders>
              <w:top w:val="single" w:color="000000" w:sz="4" w:space="0"/>
              <w:left w:val="single" w:color="000000" w:sz="4" w:space="0"/>
              <w:bottom w:val="single" w:color="000000" w:sz="4" w:space="0"/>
              <w:right w:val="single" w:color="000000" w:sz="4" w:space="0"/>
            </w:tcBorders>
            <w:vAlign w:val="center"/>
          </w:tcPr>
          <w:p w14:paraId="24E768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933" w:type="dxa"/>
            <w:tcBorders>
              <w:top w:val="single" w:color="000000" w:sz="4" w:space="0"/>
              <w:left w:val="single" w:color="000000" w:sz="4" w:space="0"/>
              <w:bottom w:val="single" w:color="000000" w:sz="4" w:space="0"/>
              <w:right w:val="single" w:color="000000" w:sz="4" w:space="0"/>
            </w:tcBorders>
            <w:vAlign w:val="center"/>
          </w:tcPr>
          <w:p w14:paraId="5C9164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0D588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1032" w:type="dxa"/>
            <w:tcBorders>
              <w:top w:val="single" w:color="000000" w:sz="4" w:space="0"/>
              <w:left w:val="single" w:color="000000" w:sz="4" w:space="0"/>
              <w:bottom w:val="single" w:color="000000" w:sz="4" w:space="0"/>
              <w:right w:val="single" w:color="000000" w:sz="4" w:space="0"/>
            </w:tcBorders>
            <w:vAlign w:val="center"/>
          </w:tcPr>
          <w:p w14:paraId="2AE964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1075" w:type="dxa"/>
            <w:tcBorders>
              <w:top w:val="single" w:color="000000" w:sz="4" w:space="0"/>
              <w:left w:val="single" w:color="000000" w:sz="4" w:space="0"/>
              <w:bottom w:val="single" w:color="000000" w:sz="4" w:space="0"/>
              <w:right w:val="single" w:color="000000" w:sz="4" w:space="0"/>
            </w:tcBorders>
            <w:vAlign w:val="center"/>
          </w:tcPr>
          <w:p w14:paraId="56C0CA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265" w:type="dxa"/>
            <w:tcBorders>
              <w:top w:val="single" w:color="000000" w:sz="4" w:space="0"/>
              <w:left w:val="single" w:color="000000" w:sz="4" w:space="0"/>
              <w:bottom w:val="single" w:color="000000" w:sz="4" w:space="0"/>
              <w:right w:val="single" w:color="000000" w:sz="4" w:space="0"/>
            </w:tcBorders>
            <w:vAlign w:val="center"/>
          </w:tcPr>
          <w:p w14:paraId="3D2F22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危化品库</w:t>
            </w:r>
          </w:p>
        </w:tc>
      </w:tr>
      <w:tr w14:paraId="0519DF26">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3F9847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14:paraId="4FF514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特殊涂层</w:t>
            </w:r>
            <w:r>
              <w:rPr>
                <w:rFonts w:hint="eastAsia"/>
                <w:snapToGrid/>
                <w:color w:val="000000" w:themeColor="text1"/>
                <w:sz w:val="21"/>
                <w:szCs w:val="21"/>
                <w14:textFill>
                  <w14:solidFill>
                    <w14:schemeClr w14:val="tx1"/>
                  </w14:solidFill>
                </w14:textFill>
              </w:rPr>
              <w:t>研发</w:t>
            </w: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82A86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陶瓷盘</w:t>
            </w:r>
          </w:p>
        </w:tc>
        <w:tc>
          <w:tcPr>
            <w:tcW w:w="3485" w:type="dxa"/>
            <w:tcBorders>
              <w:top w:val="single" w:color="000000" w:sz="4" w:space="0"/>
              <w:left w:val="single" w:color="000000" w:sz="4" w:space="0"/>
              <w:bottom w:val="single" w:color="000000" w:sz="4" w:space="0"/>
              <w:right w:val="single" w:color="000000" w:sz="4" w:space="0"/>
            </w:tcBorders>
            <w:vAlign w:val="center"/>
          </w:tcPr>
          <w:p w14:paraId="627050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陶瓷</w:t>
            </w:r>
          </w:p>
        </w:tc>
        <w:tc>
          <w:tcPr>
            <w:tcW w:w="1138" w:type="dxa"/>
            <w:tcBorders>
              <w:top w:val="single" w:color="000000" w:sz="4" w:space="0"/>
              <w:left w:val="single" w:color="000000" w:sz="4" w:space="0"/>
              <w:bottom w:val="single" w:color="000000" w:sz="4" w:space="0"/>
              <w:right w:val="single" w:color="000000" w:sz="4" w:space="0"/>
            </w:tcBorders>
            <w:vAlign w:val="center"/>
          </w:tcPr>
          <w:p w14:paraId="09D223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600片/a</w:t>
            </w:r>
          </w:p>
        </w:tc>
        <w:tc>
          <w:tcPr>
            <w:tcW w:w="933" w:type="dxa"/>
            <w:tcBorders>
              <w:top w:val="single" w:color="000000" w:sz="4" w:space="0"/>
              <w:left w:val="single" w:color="000000" w:sz="4" w:space="0"/>
              <w:bottom w:val="single" w:color="000000" w:sz="4" w:space="0"/>
              <w:right w:val="single" w:color="000000" w:sz="4" w:space="0"/>
            </w:tcBorders>
            <w:vAlign w:val="center"/>
          </w:tcPr>
          <w:p w14:paraId="5DBA1D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481C23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600片/a</w:t>
            </w:r>
          </w:p>
        </w:tc>
        <w:tc>
          <w:tcPr>
            <w:tcW w:w="1032" w:type="dxa"/>
            <w:tcBorders>
              <w:top w:val="single" w:color="000000" w:sz="4" w:space="0"/>
              <w:left w:val="single" w:color="000000" w:sz="4" w:space="0"/>
              <w:bottom w:val="single" w:color="000000" w:sz="4" w:space="0"/>
              <w:right w:val="single" w:color="000000" w:sz="4" w:space="0"/>
            </w:tcBorders>
            <w:vAlign w:val="center"/>
          </w:tcPr>
          <w:p w14:paraId="7A8834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50片</w:t>
            </w:r>
          </w:p>
        </w:tc>
        <w:tc>
          <w:tcPr>
            <w:tcW w:w="1075" w:type="dxa"/>
            <w:tcBorders>
              <w:top w:val="single" w:color="000000" w:sz="4" w:space="0"/>
              <w:left w:val="single" w:color="000000" w:sz="4" w:space="0"/>
              <w:bottom w:val="single" w:color="000000" w:sz="4" w:space="0"/>
              <w:right w:val="single" w:color="000000" w:sz="4" w:space="0"/>
            </w:tcBorders>
            <w:vAlign w:val="center"/>
          </w:tcPr>
          <w:p w14:paraId="565641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tcBorders>
              <w:top w:val="single" w:color="000000" w:sz="4" w:space="0"/>
              <w:left w:val="single" w:color="000000" w:sz="4" w:space="0"/>
              <w:bottom w:val="single" w:color="000000" w:sz="4" w:space="0"/>
              <w:right w:val="single" w:color="000000" w:sz="4" w:space="0"/>
            </w:tcBorders>
            <w:vAlign w:val="center"/>
          </w:tcPr>
          <w:p w14:paraId="461A96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直径558mm/厚度26.3mm</w:t>
            </w:r>
          </w:p>
        </w:tc>
      </w:tr>
      <w:tr w14:paraId="4C97B3F5">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4C925F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67572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2AF41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p>
        </w:tc>
        <w:tc>
          <w:tcPr>
            <w:tcW w:w="3485" w:type="dxa"/>
            <w:tcBorders>
              <w:top w:val="single" w:color="000000" w:sz="4" w:space="0"/>
              <w:left w:val="single" w:color="000000" w:sz="4" w:space="0"/>
              <w:bottom w:val="single" w:color="000000" w:sz="4" w:space="0"/>
              <w:right w:val="single" w:color="000000" w:sz="4" w:space="0"/>
            </w:tcBorders>
            <w:vAlign w:val="center"/>
          </w:tcPr>
          <w:p w14:paraId="18766E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w:t>
            </w:r>
            <w:r>
              <w:rPr>
                <w:snapToGrid/>
                <w:color w:val="000000" w:themeColor="text1"/>
                <w:sz w:val="21"/>
                <w:szCs w:val="21"/>
                <w:vertAlign w:val="subscript"/>
                <w14:textFill>
                  <w14:solidFill>
                    <w14:schemeClr w14:val="tx1"/>
                  </w14:solidFill>
                </w14:textFill>
              </w:rPr>
              <w:t>2</w:t>
            </w:r>
            <w:r>
              <w:rPr>
                <w:snapToGrid/>
                <w:color w:val="000000" w:themeColor="text1"/>
                <w:sz w:val="21"/>
                <w:szCs w:val="21"/>
                <w14:textFill>
                  <w14:solidFill>
                    <w14:schemeClr w14:val="tx1"/>
                  </w14:solidFill>
                </w14:textFill>
              </w:rPr>
              <w:t>O</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微粉</w:t>
            </w:r>
          </w:p>
        </w:tc>
        <w:tc>
          <w:tcPr>
            <w:tcW w:w="1138" w:type="dxa"/>
            <w:tcBorders>
              <w:top w:val="single" w:color="000000" w:sz="4" w:space="0"/>
              <w:left w:val="single" w:color="000000" w:sz="4" w:space="0"/>
              <w:bottom w:val="single" w:color="000000" w:sz="4" w:space="0"/>
              <w:right w:val="single" w:color="000000" w:sz="4" w:space="0"/>
            </w:tcBorders>
            <w:vAlign w:val="center"/>
          </w:tcPr>
          <w:p w14:paraId="127230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1104kg/a</w:t>
            </w:r>
          </w:p>
        </w:tc>
        <w:tc>
          <w:tcPr>
            <w:tcW w:w="933" w:type="dxa"/>
            <w:tcBorders>
              <w:top w:val="single" w:color="000000" w:sz="4" w:space="0"/>
              <w:left w:val="single" w:color="000000" w:sz="4" w:space="0"/>
              <w:bottom w:val="single" w:color="000000" w:sz="4" w:space="0"/>
              <w:right w:val="single" w:color="000000" w:sz="4" w:space="0"/>
            </w:tcBorders>
            <w:vAlign w:val="center"/>
          </w:tcPr>
          <w:p w14:paraId="41AE31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52A01E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1104kg/a</w:t>
            </w:r>
          </w:p>
        </w:tc>
        <w:tc>
          <w:tcPr>
            <w:tcW w:w="1032" w:type="dxa"/>
            <w:tcBorders>
              <w:top w:val="single" w:color="000000" w:sz="4" w:space="0"/>
              <w:left w:val="single" w:color="000000" w:sz="4" w:space="0"/>
              <w:bottom w:val="single" w:color="000000" w:sz="4" w:space="0"/>
              <w:right w:val="single" w:color="000000" w:sz="4" w:space="0"/>
            </w:tcBorders>
            <w:vAlign w:val="center"/>
          </w:tcPr>
          <w:p w14:paraId="63B648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100kg</w:t>
            </w:r>
          </w:p>
        </w:tc>
        <w:tc>
          <w:tcPr>
            <w:tcW w:w="1075" w:type="dxa"/>
            <w:tcBorders>
              <w:top w:val="single" w:color="000000" w:sz="4" w:space="0"/>
              <w:left w:val="single" w:color="000000" w:sz="4" w:space="0"/>
              <w:bottom w:val="single" w:color="000000" w:sz="4" w:space="0"/>
              <w:right w:val="single" w:color="000000" w:sz="4" w:space="0"/>
            </w:tcBorders>
            <w:vAlign w:val="center"/>
          </w:tcPr>
          <w:p w14:paraId="6302BE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vMerge w:val="restart"/>
            <w:tcBorders>
              <w:top w:val="single" w:color="000000" w:sz="4" w:space="0"/>
              <w:left w:val="single" w:color="000000" w:sz="4" w:space="0"/>
              <w:bottom w:val="single" w:color="000000" w:sz="4" w:space="0"/>
              <w:right w:val="single" w:color="000000" w:sz="4" w:space="0"/>
            </w:tcBorders>
            <w:vAlign w:val="center"/>
          </w:tcPr>
          <w:p w14:paraId="7B56D0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粒径预估0.3-0.5um</w:t>
            </w:r>
          </w:p>
        </w:tc>
      </w:tr>
      <w:tr w14:paraId="140A2D82">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72DF99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71608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733F2A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YOF</w:t>
            </w:r>
          </w:p>
        </w:tc>
        <w:tc>
          <w:tcPr>
            <w:tcW w:w="3485" w:type="dxa"/>
            <w:tcBorders>
              <w:top w:val="single" w:color="000000" w:sz="4" w:space="0"/>
              <w:left w:val="single" w:color="000000" w:sz="4" w:space="0"/>
              <w:bottom w:val="single" w:color="000000" w:sz="4" w:space="0"/>
              <w:right w:val="single" w:color="000000" w:sz="4" w:space="0"/>
            </w:tcBorders>
            <w:vAlign w:val="center"/>
          </w:tcPr>
          <w:p w14:paraId="596137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YOF微粉</w:t>
            </w:r>
          </w:p>
        </w:tc>
        <w:tc>
          <w:tcPr>
            <w:tcW w:w="1138" w:type="dxa"/>
            <w:tcBorders>
              <w:top w:val="single" w:color="000000" w:sz="4" w:space="0"/>
              <w:left w:val="single" w:color="000000" w:sz="4" w:space="0"/>
              <w:bottom w:val="single" w:color="000000" w:sz="4" w:space="0"/>
              <w:right w:val="single" w:color="000000" w:sz="4" w:space="0"/>
            </w:tcBorders>
            <w:vAlign w:val="center"/>
          </w:tcPr>
          <w:p w14:paraId="019832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900kg/a</w:t>
            </w:r>
          </w:p>
        </w:tc>
        <w:tc>
          <w:tcPr>
            <w:tcW w:w="933" w:type="dxa"/>
            <w:tcBorders>
              <w:top w:val="single" w:color="000000" w:sz="4" w:space="0"/>
              <w:left w:val="single" w:color="000000" w:sz="4" w:space="0"/>
              <w:bottom w:val="single" w:color="000000" w:sz="4" w:space="0"/>
              <w:right w:val="single" w:color="000000" w:sz="4" w:space="0"/>
            </w:tcBorders>
            <w:vAlign w:val="center"/>
          </w:tcPr>
          <w:p w14:paraId="46E2CD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0600E2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900kg/a</w:t>
            </w:r>
          </w:p>
        </w:tc>
        <w:tc>
          <w:tcPr>
            <w:tcW w:w="1032" w:type="dxa"/>
            <w:tcBorders>
              <w:top w:val="single" w:color="000000" w:sz="4" w:space="0"/>
              <w:left w:val="single" w:color="000000" w:sz="4" w:space="0"/>
              <w:bottom w:val="single" w:color="000000" w:sz="4" w:space="0"/>
              <w:right w:val="single" w:color="000000" w:sz="4" w:space="0"/>
            </w:tcBorders>
            <w:vAlign w:val="center"/>
          </w:tcPr>
          <w:p w14:paraId="6B00B1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100kg</w:t>
            </w:r>
          </w:p>
        </w:tc>
        <w:tc>
          <w:tcPr>
            <w:tcW w:w="1075" w:type="dxa"/>
            <w:tcBorders>
              <w:top w:val="single" w:color="000000" w:sz="4" w:space="0"/>
              <w:left w:val="single" w:color="000000" w:sz="4" w:space="0"/>
              <w:bottom w:val="single" w:color="000000" w:sz="4" w:space="0"/>
              <w:right w:val="single" w:color="000000" w:sz="4" w:space="0"/>
            </w:tcBorders>
            <w:vAlign w:val="center"/>
          </w:tcPr>
          <w:p w14:paraId="14B809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vMerge w:val="continue"/>
            <w:tcBorders>
              <w:top w:val="single" w:color="000000" w:sz="4" w:space="0"/>
              <w:left w:val="single" w:color="000000" w:sz="4" w:space="0"/>
              <w:bottom w:val="single" w:color="000000" w:sz="4" w:space="0"/>
              <w:right w:val="single" w:color="000000" w:sz="4" w:space="0"/>
            </w:tcBorders>
            <w:vAlign w:val="center"/>
          </w:tcPr>
          <w:p w14:paraId="73580D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79AE81A6">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658097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1443A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018AAE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YF</w:t>
            </w:r>
            <w:r>
              <w:rPr>
                <w:snapToGrid/>
                <w:color w:val="000000" w:themeColor="text1"/>
                <w:sz w:val="21"/>
                <w:szCs w:val="21"/>
                <w:vertAlign w:val="subscript"/>
                <w14:textFill>
                  <w14:solidFill>
                    <w14:schemeClr w14:val="tx1"/>
                  </w14:solidFill>
                </w14:textFill>
              </w:rPr>
              <w:t>3</w:t>
            </w:r>
          </w:p>
        </w:tc>
        <w:tc>
          <w:tcPr>
            <w:tcW w:w="3485" w:type="dxa"/>
            <w:tcBorders>
              <w:top w:val="single" w:color="000000" w:sz="4" w:space="0"/>
              <w:left w:val="single" w:color="000000" w:sz="4" w:space="0"/>
              <w:bottom w:val="single" w:color="000000" w:sz="4" w:space="0"/>
              <w:right w:val="single" w:color="000000" w:sz="4" w:space="0"/>
            </w:tcBorders>
            <w:vAlign w:val="center"/>
          </w:tcPr>
          <w:p w14:paraId="4042ED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YF</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微粉</w:t>
            </w:r>
          </w:p>
        </w:tc>
        <w:tc>
          <w:tcPr>
            <w:tcW w:w="1138" w:type="dxa"/>
            <w:tcBorders>
              <w:top w:val="single" w:color="000000" w:sz="4" w:space="0"/>
              <w:left w:val="single" w:color="000000" w:sz="4" w:space="0"/>
              <w:bottom w:val="single" w:color="000000" w:sz="4" w:space="0"/>
              <w:right w:val="single" w:color="000000" w:sz="4" w:space="0"/>
            </w:tcBorders>
            <w:vAlign w:val="center"/>
          </w:tcPr>
          <w:p w14:paraId="628EDE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1000kg/a</w:t>
            </w:r>
          </w:p>
        </w:tc>
        <w:tc>
          <w:tcPr>
            <w:tcW w:w="933" w:type="dxa"/>
            <w:tcBorders>
              <w:top w:val="single" w:color="000000" w:sz="4" w:space="0"/>
              <w:left w:val="single" w:color="000000" w:sz="4" w:space="0"/>
              <w:bottom w:val="single" w:color="000000" w:sz="4" w:space="0"/>
              <w:right w:val="single" w:color="000000" w:sz="4" w:space="0"/>
            </w:tcBorders>
            <w:vAlign w:val="center"/>
          </w:tcPr>
          <w:p w14:paraId="1E093A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630D75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1000kg/a</w:t>
            </w:r>
          </w:p>
        </w:tc>
        <w:tc>
          <w:tcPr>
            <w:tcW w:w="1032" w:type="dxa"/>
            <w:tcBorders>
              <w:top w:val="single" w:color="000000" w:sz="4" w:space="0"/>
              <w:left w:val="single" w:color="000000" w:sz="4" w:space="0"/>
              <w:bottom w:val="single" w:color="000000" w:sz="4" w:space="0"/>
              <w:right w:val="single" w:color="000000" w:sz="4" w:space="0"/>
            </w:tcBorders>
            <w:vAlign w:val="center"/>
          </w:tcPr>
          <w:p w14:paraId="166C58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100kg</w:t>
            </w:r>
          </w:p>
        </w:tc>
        <w:tc>
          <w:tcPr>
            <w:tcW w:w="1075" w:type="dxa"/>
            <w:tcBorders>
              <w:top w:val="single" w:color="000000" w:sz="4" w:space="0"/>
              <w:left w:val="single" w:color="000000" w:sz="4" w:space="0"/>
              <w:bottom w:val="single" w:color="000000" w:sz="4" w:space="0"/>
              <w:right w:val="single" w:color="000000" w:sz="4" w:space="0"/>
            </w:tcBorders>
            <w:vAlign w:val="center"/>
          </w:tcPr>
          <w:p w14:paraId="557E38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65" w:type="dxa"/>
            <w:vMerge w:val="continue"/>
            <w:tcBorders>
              <w:top w:val="single" w:color="000000" w:sz="4" w:space="0"/>
              <w:left w:val="single" w:color="000000" w:sz="4" w:space="0"/>
              <w:bottom w:val="single" w:color="000000" w:sz="4" w:space="0"/>
              <w:right w:val="single" w:color="000000" w:sz="4" w:space="0"/>
            </w:tcBorders>
            <w:vAlign w:val="center"/>
          </w:tcPr>
          <w:p w14:paraId="665583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r>
      <w:tr w14:paraId="0E0AC97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36B0BB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50CB9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4442C9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氦气或氮气</w:t>
            </w:r>
          </w:p>
        </w:tc>
        <w:tc>
          <w:tcPr>
            <w:tcW w:w="3485" w:type="dxa"/>
            <w:tcBorders>
              <w:top w:val="single" w:color="000000" w:sz="4" w:space="0"/>
              <w:left w:val="single" w:color="000000" w:sz="4" w:space="0"/>
              <w:bottom w:val="single" w:color="000000" w:sz="4" w:space="0"/>
              <w:right w:val="single" w:color="000000" w:sz="4" w:space="0"/>
            </w:tcBorders>
            <w:vAlign w:val="center"/>
          </w:tcPr>
          <w:p w14:paraId="512982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Ar/N</w:t>
            </w:r>
            <w:r>
              <w:rPr>
                <w:snapToGrid/>
                <w:color w:val="000000" w:themeColor="text1"/>
                <w:sz w:val="21"/>
                <w:szCs w:val="21"/>
                <w:vertAlign w:val="subscript"/>
                <w14:textFill>
                  <w14:solidFill>
                    <w14:schemeClr w14:val="tx1"/>
                  </w14:solidFill>
                </w14:textFill>
              </w:rPr>
              <w:t>2</w:t>
            </w:r>
          </w:p>
        </w:tc>
        <w:tc>
          <w:tcPr>
            <w:tcW w:w="1138" w:type="dxa"/>
            <w:tcBorders>
              <w:top w:val="single" w:color="000000" w:sz="4" w:space="0"/>
              <w:left w:val="single" w:color="000000" w:sz="4" w:space="0"/>
              <w:bottom w:val="single" w:color="000000" w:sz="4" w:space="0"/>
              <w:right w:val="single" w:color="000000" w:sz="4" w:space="0"/>
            </w:tcBorders>
            <w:vAlign w:val="center"/>
          </w:tcPr>
          <w:p w14:paraId="409166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2520m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/a</w:t>
            </w:r>
          </w:p>
        </w:tc>
        <w:tc>
          <w:tcPr>
            <w:tcW w:w="933" w:type="dxa"/>
            <w:tcBorders>
              <w:top w:val="single" w:color="000000" w:sz="4" w:space="0"/>
              <w:left w:val="single" w:color="000000" w:sz="4" w:space="0"/>
              <w:bottom w:val="single" w:color="000000" w:sz="4" w:space="0"/>
              <w:right w:val="single" w:color="000000" w:sz="4" w:space="0"/>
            </w:tcBorders>
            <w:vAlign w:val="center"/>
          </w:tcPr>
          <w:p w14:paraId="2527DE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0590E8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2520m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/a</w:t>
            </w:r>
          </w:p>
        </w:tc>
        <w:tc>
          <w:tcPr>
            <w:tcW w:w="1032" w:type="dxa"/>
            <w:tcBorders>
              <w:top w:val="single" w:color="000000" w:sz="4" w:space="0"/>
              <w:left w:val="single" w:color="000000" w:sz="4" w:space="0"/>
              <w:bottom w:val="single" w:color="000000" w:sz="4" w:space="0"/>
              <w:right w:val="single" w:color="000000" w:sz="4" w:space="0"/>
            </w:tcBorders>
            <w:vAlign w:val="center"/>
          </w:tcPr>
          <w:p w14:paraId="232953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10瓶</w:t>
            </w:r>
          </w:p>
        </w:tc>
        <w:tc>
          <w:tcPr>
            <w:tcW w:w="1075" w:type="dxa"/>
            <w:tcBorders>
              <w:top w:val="single" w:color="000000" w:sz="4" w:space="0"/>
              <w:left w:val="single" w:color="000000" w:sz="4" w:space="0"/>
              <w:bottom w:val="single" w:color="000000" w:sz="4" w:space="0"/>
              <w:right w:val="single" w:color="000000" w:sz="4" w:space="0"/>
            </w:tcBorders>
            <w:vAlign w:val="center"/>
          </w:tcPr>
          <w:p w14:paraId="037662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液氩站/40L高压气瓶</w:t>
            </w:r>
          </w:p>
        </w:tc>
        <w:tc>
          <w:tcPr>
            <w:tcW w:w="1265" w:type="dxa"/>
            <w:tcBorders>
              <w:top w:val="single" w:color="000000" w:sz="4" w:space="0"/>
              <w:left w:val="single" w:color="000000" w:sz="4" w:space="0"/>
              <w:bottom w:val="single" w:color="000000" w:sz="4" w:space="0"/>
              <w:right w:val="single" w:color="000000" w:sz="4" w:space="0"/>
            </w:tcBorders>
            <w:vAlign w:val="center"/>
          </w:tcPr>
          <w:p w14:paraId="6FA0FC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He或N2，需根据实验结果确定气体种类</w:t>
            </w:r>
          </w:p>
        </w:tc>
      </w:tr>
      <w:tr w14:paraId="72CE3B74">
        <w:tblPrEx>
          <w:tblCellMar>
            <w:top w:w="0" w:type="dxa"/>
            <w:left w:w="108" w:type="dxa"/>
            <w:bottom w:w="0" w:type="dxa"/>
            <w:right w:w="108" w:type="dxa"/>
          </w:tblCellMar>
        </w:tblPrEx>
        <w:trPr>
          <w:trHeight w:val="20" w:hRule="atLeast"/>
          <w:jc w:val="center"/>
        </w:trPr>
        <w:tc>
          <w:tcPr>
            <w:tcW w:w="518" w:type="dxa"/>
            <w:tcBorders>
              <w:top w:val="single" w:color="000000" w:sz="4" w:space="0"/>
              <w:left w:val="single" w:color="000000" w:sz="4" w:space="0"/>
              <w:bottom w:val="single" w:color="000000" w:sz="4" w:space="0"/>
              <w:right w:val="single" w:color="000000" w:sz="4" w:space="0"/>
            </w:tcBorders>
            <w:noWrap/>
            <w:vAlign w:val="center"/>
          </w:tcPr>
          <w:p w14:paraId="4EDF0E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E4105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14:paraId="7F86EA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切削液285S-1</w:t>
            </w:r>
          </w:p>
        </w:tc>
        <w:tc>
          <w:tcPr>
            <w:tcW w:w="3485" w:type="dxa"/>
            <w:tcBorders>
              <w:top w:val="single" w:color="000000" w:sz="4" w:space="0"/>
              <w:left w:val="single" w:color="000000" w:sz="4" w:space="0"/>
              <w:bottom w:val="single" w:color="000000" w:sz="4" w:space="0"/>
              <w:right w:val="single" w:color="000000" w:sz="4" w:space="0"/>
            </w:tcBorders>
            <w:vAlign w:val="center"/>
          </w:tcPr>
          <w:p w14:paraId="75DC10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三乙醇胺5-＜10%、单乙醇胺1-＜5%，其它低于水平报告85%</w:t>
            </w:r>
          </w:p>
        </w:tc>
        <w:tc>
          <w:tcPr>
            <w:tcW w:w="1138" w:type="dxa"/>
            <w:tcBorders>
              <w:top w:val="single" w:color="000000" w:sz="4" w:space="0"/>
              <w:left w:val="single" w:color="000000" w:sz="4" w:space="0"/>
              <w:bottom w:val="single" w:color="000000" w:sz="4" w:space="0"/>
              <w:right w:val="single" w:color="000000" w:sz="4" w:space="0"/>
            </w:tcBorders>
            <w:vAlign w:val="center"/>
          </w:tcPr>
          <w:p w14:paraId="166800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933" w:type="dxa"/>
            <w:tcBorders>
              <w:top w:val="single" w:color="000000" w:sz="4" w:space="0"/>
              <w:left w:val="single" w:color="000000" w:sz="4" w:space="0"/>
              <w:bottom w:val="single" w:color="000000" w:sz="4" w:space="0"/>
              <w:right w:val="single" w:color="000000" w:sz="4" w:space="0"/>
            </w:tcBorders>
            <w:vAlign w:val="center"/>
          </w:tcPr>
          <w:p w14:paraId="2EEDD0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349" w:type="dxa"/>
            <w:tcBorders>
              <w:top w:val="single" w:color="000000" w:sz="4" w:space="0"/>
              <w:left w:val="single" w:color="000000" w:sz="4" w:space="0"/>
              <w:bottom w:val="single" w:color="000000" w:sz="4" w:space="0"/>
              <w:right w:val="single" w:color="000000" w:sz="4" w:space="0"/>
            </w:tcBorders>
            <w:vAlign w:val="center"/>
          </w:tcPr>
          <w:p w14:paraId="745DC8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1032" w:type="dxa"/>
            <w:tcBorders>
              <w:top w:val="single" w:color="000000" w:sz="4" w:space="0"/>
              <w:left w:val="single" w:color="000000" w:sz="4" w:space="0"/>
              <w:bottom w:val="single" w:color="000000" w:sz="4" w:space="0"/>
              <w:right w:val="single" w:color="000000" w:sz="4" w:space="0"/>
            </w:tcBorders>
            <w:vAlign w:val="center"/>
          </w:tcPr>
          <w:p w14:paraId="4CEE74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0.2t</w:t>
            </w:r>
          </w:p>
        </w:tc>
        <w:tc>
          <w:tcPr>
            <w:tcW w:w="1075" w:type="dxa"/>
            <w:tcBorders>
              <w:top w:val="single" w:color="000000" w:sz="4" w:space="0"/>
              <w:left w:val="single" w:color="000000" w:sz="4" w:space="0"/>
              <w:bottom w:val="single" w:color="000000" w:sz="4" w:space="0"/>
              <w:right w:val="single" w:color="000000" w:sz="4" w:space="0"/>
            </w:tcBorders>
            <w:vAlign w:val="center"/>
          </w:tcPr>
          <w:p w14:paraId="72FA82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200kg/桶</w:t>
            </w:r>
          </w:p>
        </w:tc>
        <w:tc>
          <w:tcPr>
            <w:tcW w:w="1265" w:type="dxa"/>
            <w:tcBorders>
              <w:top w:val="single" w:color="000000" w:sz="4" w:space="0"/>
              <w:left w:val="single" w:color="000000" w:sz="4" w:space="0"/>
              <w:bottom w:val="single" w:color="000000" w:sz="4" w:space="0"/>
              <w:right w:val="single" w:color="000000" w:sz="4" w:space="0"/>
            </w:tcBorders>
            <w:vAlign w:val="center"/>
          </w:tcPr>
          <w:p w14:paraId="0F6A0F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危化品库</w:t>
            </w:r>
          </w:p>
        </w:tc>
      </w:tr>
    </w:tbl>
    <w:p w14:paraId="6CCBC3C7">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扩建项目能耗分析见下表。</w:t>
      </w:r>
    </w:p>
    <w:p w14:paraId="6022A632">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项目能耗水平分析表</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8"/>
        <w:gridCol w:w="3352"/>
        <w:gridCol w:w="2785"/>
        <w:gridCol w:w="2587"/>
        <w:gridCol w:w="3086"/>
      </w:tblGrid>
      <w:tr w14:paraId="1CBD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2C4EC493">
            <w:pPr>
              <w:pStyle w:val="1535"/>
            </w:pPr>
            <w:r>
              <w:t>名称</w:t>
            </w:r>
          </w:p>
        </w:tc>
        <w:tc>
          <w:tcPr>
            <w:tcW w:w="1183" w:type="pct"/>
            <w:vAlign w:val="center"/>
          </w:tcPr>
          <w:p w14:paraId="64D81145">
            <w:pPr>
              <w:pStyle w:val="1535"/>
            </w:pPr>
            <w:r>
              <w:t>年用量</w:t>
            </w:r>
          </w:p>
        </w:tc>
        <w:tc>
          <w:tcPr>
            <w:tcW w:w="983" w:type="pct"/>
            <w:vAlign w:val="center"/>
          </w:tcPr>
          <w:p w14:paraId="501B640D">
            <w:pPr>
              <w:pStyle w:val="1535"/>
            </w:pPr>
            <w:r>
              <w:t>折标煤系数</w:t>
            </w:r>
          </w:p>
        </w:tc>
        <w:tc>
          <w:tcPr>
            <w:tcW w:w="912" w:type="pct"/>
            <w:vAlign w:val="center"/>
          </w:tcPr>
          <w:p w14:paraId="45DA1459">
            <w:pPr>
              <w:pStyle w:val="1535"/>
            </w:pPr>
            <w:r>
              <w:t>单位</w:t>
            </w:r>
          </w:p>
        </w:tc>
        <w:tc>
          <w:tcPr>
            <w:tcW w:w="1089" w:type="pct"/>
            <w:vAlign w:val="center"/>
          </w:tcPr>
          <w:p w14:paraId="5A4B7B10">
            <w:pPr>
              <w:pStyle w:val="1535"/>
            </w:pPr>
            <w:r>
              <w:t>年耗量（吨标煤）</w:t>
            </w:r>
          </w:p>
        </w:tc>
      </w:tr>
      <w:tr w14:paraId="269C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19F94D5D">
            <w:pPr>
              <w:pStyle w:val="1535"/>
            </w:pPr>
            <w:r>
              <w:t>电</w:t>
            </w:r>
          </w:p>
        </w:tc>
        <w:tc>
          <w:tcPr>
            <w:tcW w:w="1183" w:type="pct"/>
            <w:vAlign w:val="center"/>
          </w:tcPr>
          <w:p w14:paraId="0C19B31E">
            <w:pPr>
              <w:pStyle w:val="1535"/>
            </w:pPr>
            <w:r>
              <w:rPr>
                <w:lang w:val="zh-CN"/>
              </w:rPr>
              <w:t>130</w:t>
            </w:r>
            <w:r>
              <w:t>万kW·h</w:t>
            </w:r>
          </w:p>
        </w:tc>
        <w:tc>
          <w:tcPr>
            <w:tcW w:w="983" w:type="pct"/>
            <w:vAlign w:val="center"/>
          </w:tcPr>
          <w:p w14:paraId="50F94091">
            <w:pPr>
              <w:pStyle w:val="1535"/>
            </w:pPr>
            <w:r>
              <w:t>0.1229</w:t>
            </w:r>
          </w:p>
        </w:tc>
        <w:tc>
          <w:tcPr>
            <w:tcW w:w="912" w:type="pct"/>
            <w:vAlign w:val="center"/>
          </w:tcPr>
          <w:p w14:paraId="052EDD23">
            <w:pPr>
              <w:pStyle w:val="1535"/>
            </w:pPr>
            <w:r>
              <w:t>kgce/kW·h</w:t>
            </w:r>
          </w:p>
        </w:tc>
        <w:tc>
          <w:tcPr>
            <w:tcW w:w="1089" w:type="pct"/>
            <w:vAlign w:val="center"/>
          </w:tcPr>
          <w:p w14:paraId="71E62EC0">
            <w:pPr>
              <w:pStyle w:val="1535"/>
            </w:pPr>
            <w:r>
              <w:t xml:space="preserve">168.87 </w:t>
            </w:r>
          </w:p>
        </w:tc>
      </w:tr>
      <w:tr w14:paraId="036D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5A32897F">
            <w:pPr>
              <w:pStyle w:val="1535"/>
            </w:pPr>
            <w:r>
              <w:t>新水</w:t>
            </w:r>
          </w:p>
        </w:tc>
        <w:tc>
          <w:tcPr>
            <w:tcW w:w="1183" w:type="pct"/>
            <w:vAlign w:val="center"/>
          </w:tcPr>
          <w:p w14:paraId="5FD1A9E5">
            <w:pPr>
              <w:pStyle w:val="1535"/>
            </w:pPr>
            <w:r>
              <w:rPr>
                <w:rFonts w:hint="eastAsia"/>
              </w:rPr>
              <w:t>5097</w:t>
            </w:r>
            <w:r>
              <w:t>t/a</w:t>
            </w:r>
          </w:p>
        </w:tc>
        <w:tc>
          <w:tcPr>
            <w:tcW w:w="983" w:type="pct"/>
            <w:vAlign w:val="center"/>
          </w:tcPr>
          <w:p w14:paraId="096FB174">
            <w:pPr>
              <w:pStyle w:val="1535"/>
            </w:pPr>
            <w:r>
              <w:t>0.2571</w:t>
            </w:r>
          </w:p>
        </w:tc>
        <w:tc>
          <w:tcPr>
            <w:tcW w:w="912" w:type="pct"/>
            <w:vAlign w:val="center"/>
          </w:tcPr>
          <w:p w14:paraId="1CF75AE7">
            <w:pPr>
              <w:pStyle w:val="1535"/>
            </w:pPr>
            <w:r>
              <w:t>kgce/t</w:t>
            </w:r>
          </w:p>
        </w:tc>
        <w:tc>
          <w:tcPr>
            <w:tcW w:w="1089" w:type="pct"/>
            <w:vAlign w:val="center"/>
          </w:tcPr>
          <w:p w14:paraId="58670664">
            <w:pPr>
              <w:pStyle w:val="1535"/>
            </w:pPr>
            <w:r>
              <w:t xml:space="preserve">1.31 </w:t>
            </w:r>
          </w:p>
        </w:tc>
      </w:tr>
      <w:tr w14:paraId="7E62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089353CE">
            <w:pPr>
              <w:pStyle w:val="1535"/>
            </w:pPr>
            <w:r>
              <w:t>软化水</w:t>
            </w:r>
          </w:p>
        </w:tc>
        <w:tc>
          <w:tcPr>
            <w:tcW w:w="1183" w:type="pct"/>
            <w:vAlign w:val="center"/>
          </w:tcPr>
          <w:p w14:paraId="1702BCB0">
            <w:pPr>
              <w:pStyle w:val="1535"/>
            </w:pPr>
            <w:r>
              <w:rPr>
                <w:rFonts w:hint="eastAsia"/>
              </w:rPr>
              <w:t>3417</w:t>
            </w:r>
            <w:r>
              <w:t>t/a</w:t>
            </w:r>
          </w:p>
        </w:tc>
        <w:tc>
          <w:tcPr>
            <w:tcW w:w="983" w:type="pct"/>
            <w:vAlign w:val="center"/>
          </w:tcPr>
          <w:p w14:paraId="5F0D5DEA">
            <w:pPr>
              <w:pStyle w:val="1535"/>
            </w:pPr>
            <w:r>
              <w:t>0.4857</w:t>
            </w:r>
          </w:p>
        </w:tc>
        <w:tc>
          <w:tcPr>
            <w:tcW w:w="912" w:type="pct"/>
            <w:vAlign w:val="center"/>
          </w:tcPr>
          <w:p w14:paraId="1ED8B9C5">
            <w:pPr>
              <w:pStyle w:val="1535"/>
            </w:pPr>
            <w:r>
              <w:t>kgce/t</w:t>
            </w:r>
          </w:p>
        </w:tc>
        <w:tc>
          <w:tcPr>
            <w:tcW w:w="1089" w:type="pct"/>
            <w:vAlign w:val="bottom"/>
          </w:tcPr>
          <w:p w14:paraId="7B5B7349">
            <w:pPr>
              <w:pStyle w:val="1535"/>
            </w:pPr>
            <w:r>
              <w:t xml:space="preserve">1.66 </w:t>
            </w:r>
          </w:p>
        </w:tc>
      </w:tr>
      <w:tr w14:paraId="04CF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295206DC">
            <w:pPr>
              <w:pStyle w:val="1535"/>
            </w:pPr>
            <w:r>
              <w:t>氮气</w:t>
            </w:r>
          </w:p>
        </w:tc>
        <w:tc>
          <w:tcPr>
            <w:tcW w:w="1183" w:type="pct"/>
            <w:vAlign w:val="center"/>
          </w:tcPr>
          <w:p w14:paraId="4ADDE815">
            <w:pPr>
              <w:pStyle w:val="1535"/>
            </w:pPr>
            <w:r>
              <w:rPr>
                <w:rFonts w:hint="eastAsia"/>
              </w:rPr>
              <w:t>24</w:t>
            </w:r>
            <w:r>
              <w:t>t</w:t>
            </w:r>
          </w:p>
        </w:tc>
        <w:tc>
          <w:tcPr>
            <w:tcW w:w="983" w:type="pct"/>
            <w:vAlign w:val="center"/>
          </w:tcPr>
          <w:p w14:paraId="3E1D5661">
            <w:pPr>
              <w:pStyle w:val="1535"/>
            </w:pPr>
            <w:r>
              <w:t>0.4</w:t>
            </w:r>
          </w:p>
        </w:tc>
        <w:tc>
          <w:tcPr>
            <w:tcW w:w="912" w:type="pct"/>
            <w:vAlign w:val="center"/>
          </w:tcPr>
          <w:p w14:paraId="06879E89">
            <w:pPr>
              <w:pStyle w:val="1535"/>
            </w:pPr>
            <w:r>
              <w:t>kgce/t</w:t>
            </w:r>
          </w:p>
        </w:tc>
        <w:tc>
          <w:tcPr>
            <w:tcW w:w="1089" w:type="pct"/>
            <w:vAlign w:val="bottom"/>
          </w:tcPr>
          <w:p w14:paraId="1BD99256">
            <w:pPr>
              <w:pStyle w:val="1535"/>
            </w:pPr>
            <w:r>
              <w:t xml:space="preserve">9.60 </w:t>
            </w:r>
          </w:p>
        </w:tc>
      </w:tr>
      <w:tr w14:paraId="28E0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30045A19">
            <w:pPr>
              <w:pStyle w:val="1535"/>
            </w:pPr>
            <w:r>
              <w:t>压缩空气</w:t>
            </w:r>
          </w:p>
        </w:tc>
        <w:tc>
          <w:tcPr>
            <w:tcW w:w="1183" w:type="pct"/>
            <w:vAlign w:val="center"/>
          </w:tcPr>
          <w:p w14:paraId="3201417B">
            <w:pPr>
              <w:pStyle w:val="1535"/>
            </w:pPr>
            <w:r>
              <w:rPr>
                <w:rFonts w:hint="eastAsia"/>
              </w:rPr>
              <w:t>1000</w:t>
            </w:r>
            <w:r>
              <w:t>t</w:t>
            </w:r>
          </w:p>
        </w:tc>
        <w:tc>
          <w:tcPr>
            <w:tcW w:w="983" w:type="pct"/>
            <w:vAlign w:val="center"/>
          </w:tcPr>
          <w:p w14:paraId="7539E1B3">
            <w:pPr>
              <w:pStyle w:val="1535"/>
            </w:pPr>
            <w:r>
              <w:t>0.04</w:t>
            </w:r>
          </w:p>
        </w:tc>
        <w:tc>
          <w:tcPr>
            <w:tcW w:w="912" w:type="pct"/>
            <w:vAlign w:val="center"/>
          </w:tcPr>
          <w:p w14:paraId="48947DF2">
            <w:pPr>
              <w:pStyle w:val="1535"/>
            </w:pPr>
            <w:r>
              <w:t>kgce/t</w:t>
            </w:r>
          </w:p>
        </w:tc>
        <w:tc>
          <w:tcPr>
            <w:tcW w:w="1089" w:type="pct"/>
            <w:vAlign w:val="bottom"/>
          </w:tcPr>
          <w:p w14:paraId="03B098BD">
            <w:pPr>
              <w:pStyle w:val="1535"/>
            </w:pPr>
            <w:r>
              <w:t>40</w:t>
            </w:r>
          </w:p>
        </w:tc>
      </w:tr>
      <w:tr w14:paraId="3113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gridSpan w:val="4"/>
            <w:vAlign w:val="center"/>
          </w:tcPr>
          <w:p w14:paraId="3FED1D2B">
            <w:pPr>
              <w:pStyle w:val="1535"/>
            </w:pPr>
            <w:r>
              <w:t>合计折算标煤</w:t>
            </w:r>
          </w:p>
        </w:tc>
        <w:tc>
          <w:tcPr>
            <w:tcW w:w="1089" w:type="pct"/>
            <w:vAlign w:val="bottom"/>
          </w:tcPr>
          <w:p w14:paraId="0684D60A">
            <w:pPr>
              <w:pStyle w:val="1535"/>
            </w:pPr>
            <w:r>
              <w:rPr>
                <w:rFonts w:hint="eastAsia"/>
              </w:rPr>
              <w:t>221.44</w:t>
            </w:r>
          </w:p>
        </w:tc>
      </w:tr>
    </w:tbl>
    <w:p w14:paraId="62CB2B39">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备注：折标系数摘自《综合能耗计算通则》（GB/T2589-2020）</w:t>
      </w:r>
    </w:p>
    <w:p w14:paraId="2746262A">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原辅材料理化性质一览表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4465"/>
        <w:gridCol w:w="1440"/>
        <w:gridCol w:w="6832"/>
      </w:tblGrid>
      <w:tr w14:paraId="417C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14:paraId="4932E7C8">
            <w:pPr>
              <w:pStyle w:val="1535"/>
            </w:pPr>
            <w:r>
              <w:t>名称分子式</w:t>
            </w:r>
          </w:p>
        </w:tc>
        <w:tc>
          <w:tcPr>
            <w:tcW w:w="1575" w:type="pct"/>
            <w:vAlign w:val="center"/>
          </w:tcPr>
          <w:p w14:paraId="40F2CB48">
            <w:pPr>
              <w:pStyle w:val="1535"/>
            </w:pPr>
            <w:r>
              <w:t>理化特性</w:t>
            </w:r>
          </w:p>
        </w:tc>
        <w:tc>
          <w:tcPr>
            <w:tcW w:w="508" w:type="pct"/>
            <w:vAlign w:val="center"/>
          </w:tcPr>
          <w:p w14:paraId="3D6D6B03">
            <w:pPr>
              <w:pStyle w:val="1535"/>
            </w:pPr>
            <w:r>
              <w:t>燃烧爆炸性</w:t>
            </w:r>
          </w:p>
        </w:tc>
        <w:tc>
          <w:tcPr>
            <w:tcW w:w="2410" w:type="pct"/>
            <w:vAlign w:val="center"/>
          </w:tcPr>
          <w:p w14:paraId="29AF3479">
            <w:pPr>
              <w:pStyle w:val="1535"/>
            </w:pPr>
            <w:r>
              <w:t>毒性毒理</w:t>
            </w:r>
          </w:p>
        </w:tc>
      </w:tr>
      <w:tr w14:paraId="3810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14:paraId="6BB9E846">
            <w:pPr>
              <w:pStyle w:val="1535"/>
            </w:pPr>
            <w:r>
              <w:t>氢氟酸HF</w:t>
            </w:r>
          </w:p>
        </w:tc>
        <w:tc>
          <w:tcPr>
            <w:tcW w:w="1575" w:type="pct"/>
            <w:vAlign w:val="center"/>
          </w:tcPr>
          <w:p w14:paraId="5610BE5D">
            <w:pPr>
              <w:pStyle w:val="1535"/>
            </w:pPr>
            <w:r>
              <w:t>密度1.15g/cm³，无色透明至淡黄色冒烟，是</w:t>
            </w:r>
            <w:r>
              <w:fldChar w:fldCharType="begin"/>
            </w:r>
            <w:r>
              <w:instrText xml:space="preserve"> HYPERLINK "https://baike.baidu.com/item/%E6%B0%9F%E5%8C%96%E6%B0%A2" \t "_blank" </w:instrText>
            </w:r>
            <w:r>
              <w:fldChar w:fldCharType="separate"/>
            </w:r>
            <w:r>
              <w:rPr>
                <w:shd w:val="clear" w:color="auto" w:fill="FFFFFF"/>
              </w:rPr>
              <w:t>氟化氢</w:t>
            </w:r>
            <w:r>
              <w:rPr>
                <w:shd w:val="clear" w:color="auto" w:fill="FFFFFF"/>
              </w:rPr>
              <w:fldChar w:fldCharType="end"/>
            </w:r>
            <w:r>
              <w:t>气体的水溶液，清澈，无色、发烟的腐蚀性液体，有剧烈刺激性气味。氢氟酸是一种</w:t>
            </w:r>
            <w:r>
              <w:fldChar w:fldCharType="begin"/>
            </w:r>
            <w:r>
              <w:instrText xml:space="preserve"> HYPERLINK "https://baike.baidu.com/item/%E5%BC%B1%E9%85%B8/10492312" \t "_blank" </w:instrText>
            </w:r>
            <w:r>
              <w:fldChar w:fldCharType="separate"/>
            </w:r>
            <w:r>
              <w:rPr>
                <w:shd w:val="clear" w:color="auto" w:fill="FFFFFF"/>
              </w:rPr>
              <w:t>弱酸</w:t>
            </w:r>
            <w:r>
              <w:rPr>
                <w:shd w:val="clear" w:color="auto" w:fill="FFFFFF"/>
              </w:rPr>
              <w:fldChar w:fldCharType="end"/>
            </w:r>
            <w:r>
              <w:t>，具有极强的</w:t>
            </w:r>
            <w:r>
              <w:fldChar w:fldCharType="begin"/>
            </w:r>
            <w:r>
              <w:instrText xml:space="preserve"> HYPERLINK "https://baike.baidu.com/item/%E8%85%90%E8%9A%80%E6%80%A7/770500" \t "_blank" </w:instrText>
            </w:r>
            <w:r>
              <w:fldChar w:fldCharType="separate"/>
            </w:r>
            <w:r>
              <w:rPr>
                <w:shd w:val="clear" w:color="auto" w:fill="FFFFFF"/>
              </w:rPr>
              <w:t>腐蚀性</w:t>
            </w:r>
            <w:r>
              <w:rPr>
                <w:shd w:val="clear" w:color="auto" w:fill="FFFFFF"/>
              </w:rPr>
              <w:fldChar w:fldCharType="end"/>
            </w:r>
            <w:r>
              <w:t>，能强烈地腐蚀金属、</w:t>
            </w:r>
            <w:r>
              <w:fldChar w:fldCharType="begin"/>
            </w:r>
            <w:r>
              <w:instrText xml:space="preserve"> HYPERLINK "https://baike.baidu.com/item/%E7%8E%BB%E7%92%83/287" \t "_blank" </w:instrText>
            </w:r>
            <w:r>
              <w:fldChar w:fldCharType="separate"/>
            </w:r>
            <w:r>
              <w:rPr>
                <w:shd w:val="clear" w:color="auto" w:fill="FFFFFF"/>
              </w:rPr>
              <w:t>玻璃</w:t>
            </w:r>
            <w:r>
              <w:rPr>
                <w:shd w:val="clear" w:color="auto" w:fill="FFFFFF"/>
              </w:rPr>
              <w:fldChar w:fldCharType="end"/>
            </w:r>
            <w:r>
              <w:t>和含硅的物体。</w:t>
            </w:r>
          </w:p>
        </w:tc>
        <w:tc>
          <w:tcPr>
            <w:tcW w:w="508" w:type="pct"/>
            <w:vAlign w:val="center"/>
          </w:tcPr>
          <w:p w14:paraId="5B63D637">
            <w:pPr>
              <w:pStyle w:val="1535"/>
            </w:pPr>
            <w:r>
              <w:t>/</w:t>
            </w:r>
          </w:p>
        </w:tc>
        <w:tc>
          <w:tcPr>
            <w:tcW w:w="2410" w:type="pct"/>
            <w:vAlign w:val="center"/>
          </w:tcPr>
          <w:p w14:paraId="201DF36B">
            <w:pPr>
              <w:pStyle w:val="1535"/>
            </w:pPr>
            <w:r>
              <w:t>对皮肤有强烈刺激性和腐蚀性。氢氟酸中的</w:t>
            </w:r>
            <w:r>
              <w:fldChar w:fldCharType="begin"/>
            </w:r>
            <w:r>
              <w:instrText xml:space="preserve"> HYPERLINK "https://baike.baidu.com/item/%E6%B0%A2%E7%A6%BB%E5%AD%90" \t "_blank" </w:instrText>
            </w:r>
            <w:r>
              <w:fldChar w:fldCharType="separate"/>
            </w:r>
            <w:r>
              <w:rPr>
                <w:shd w:val="clear" w:color="auto" w:fill="FFFFFF"/>
              </w:rPr>
              <w:t>氢离子</w:t>
            </w:r>
            <w:r>
              <w:rPr>
                <w:shd w:val="clear" w:color="auto" w:fill="FFFFFF"/>
              </w:rPr>
              <w:fldChar w:fldCharType="end"/>
            </w:r>
            <w:r>
              <w:t>对人体组织有脱水和</w:t>
            </w:r>
            <w:r>
              <w:fldChar w:fldCharType="begin"/>
            </w:r>
            <w:r>
              <w:instrText xml:space="preserve"> HYPERLINK "https://baike.baidu.com/item/%E8%85%90%E8%9A%80%E4%BD%9C%E7%94%A8" \t "_blank" </w:instrText>
            </w:r>
            <w:r>
              <w:fldChar w:fldCharType="separate"/>
            </w:r>
            <w:r>
              <w:rPr>
                <w:shd w:val="clear" w:color="auto" w:fill="FFFFFF"/>
              </w:rPr>
              <w:t>腐蚀作用</w:t>
            </w:r>
            <w:r>
              <w:rPr>
                <w:shd w:val="clear" w:color="auto" w:fill="FFFFFF"/>
              </w:rPr>
              <w:fldChar w:fldCharType="end"/>
            </w:r>
            <w:r>
              <w:t>，而氟是最活泼的</w:t>
            </w:r>
            <w:r>
              <w:fldChar w:fldCharType="begin"/>
            </w:r>
            <w:r>
              <w:instrText xml:space="preserve"> HYPERLINK "https://baike.baidu.com/item/%E9%9D%9E%E9%87%91%E5%B1%9E%E5%85%83%E7%B4%A0" \t "_blank" </w:instrText>
            </w:r>
            <w:r>
              <w:fldChar w:fldCharType="separate"/>
            </w:r>
            <w:r>
              <w:rPr>
                <w:shd w:val="clear" w:color="auto" w:fill="FFFFFF"/>
              </w:rPr>
              <w:t>非金属元素</w:t>
            </w:r>
            <w:r>
              <w:rPr>
                <w:shd w:val="clear" w:color="auto" w:fill="FFFFFF"/>
              </w:rPr>
              <w:fldChar w:fldCharType="end"/>
            </w:r>
            <w:r>
              <w:t>之一。皮肤与氢氟酸接触后，氟离子不断解离而渗透到深层组织，溶解细胞膜，造成表皮、真皮、皮下组织乃至肌层液化坏死。氟离子还可干扰</w:t>
            </w:r>
            <w:r>
              <w:fldChar w:fldCharType="begin"/>
            </w:r>
            <w:r>
              <w:instrText xml:space="preserve"> HYPERLINK "https://baike.baidu.com/item/%E7%83%AF%E9%86%87%E5%8C%96%E9%85%B6" \t "_blank" </w:instrText>
            </w:r>
            <w:r>
              <w:fldChar w:fldCharType="separate"/>
            </w:r>
            <w:r>
              <w:rPr>
                <w:shd w:val="clear" w:color="auto" w:fill="FFFFFF"/>
              </w:rPr>
              <w:t>烯醇化酶</w:t>
            </w:r>
            <w:r>
              <w:rPr>
                <w:shd w:val="clear" w:color="auto" w:fill="FFFFFF"/>
              </w:rPr>
              <w:fldChar w:fldCharType="end"/>
            </w:r>
            <w:r>
              <w:t>的活性使皮肤细胞摄氧能力受到抑制。估计人摄入1.5g氢氟酸可致立即死亡。吸入高浓度的氢氟酸酸雾，引起</w:t>
            </w:r>
            <w:r>
              <w:fldChar w:fldCharType="begin"/>
            </w:r>
            <w:r>
              <w:instrText xml:space="preserve"> HYPERLINK "https://baike.baidu.com/item/%E6%94%AF%E6%B0%94%E7%AE%A1%E7%82%8E/982703" \t "_blank" </w:instrText>
            </w:r>
            <w:r>
              <w:fldChar w:fldCharType="separate"/>
            </w:r>
            <w:r>
              <w:rPr>
                <w:shd w:val="clear" w:color="auto" w:fill="FFFFFF"/>
              </w:rPr>
              <w:t>支气管炎</w:t>
            </w:r>
            <w:r>
              <w:rPr>
                <w:shd w:val="clear" w:color="auto" w:fill="FFFFFF"/>
              </w:rPr>
              <w:fldChar w:fldCharType="end"/>
            </w:r>
            <w:r>
              <w:t>和出血性</w:t>
            </w:r>
            <w:r>
              <w:fldChar w:fldCharType="begin"/>
            </w:r>
            <w:r>
              <w:instrText xml:space="preserve"> HYPERLINK "https://baike.baidu.com/item/%E8%82%BA%E6%B0%B4%E8%82%BF" \t "_blank" </w:instrText>
            </w:r>
            <w:r>
              <w:fldChar w:fldCharType="separate"/>
            </w:r>
            <w:r>
              <w:rPr>
                <w:shd w:val="clear" w:color="auto" w:fill="FFFFFF"/>
              </w:rPr>
              <w:t>肺水肿</w:t>
            </w:r>
            <w:r>
              <w:rPr>
                <w:shd w:val="clear" w:color="auto" w:fill="FFFFFF"/>
              </w:rPr>
              <w:fldChar w:fldCharType="end"/>
            </w:r>
            <w:r>
              <w:t>。氢氟酸也可经皮肤吸收而引起严重中毒。</w:t>
            </w:r>
          </w:p>
        </w:tc>
      </w:tr>
      <w:tr w14:paraId="639B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14:paraId="5C70DB91">
            <w:pPr>
              <w:pStyle w:val="1535"/>
            </w:pPr>
            <w:r>
              <w:t>盐酸HCL</w:t>
            </w:r>
          </w:p>
        </w:tc>
        <w:tc>
          <w:tcPr>
            <w:tcW w:w="1575" w:type="pct"/>
            <w:vAlign w:val="center"/>
          </w:tcPr>
          <w:p w14:paraId="70A438CB">
            <w:pPr>
              <w:pStyle w:val="1535"/>
            </w:pPr>
            <w:r>
              <w:t>密度1.18g/cm³，无色至淡黄色清澈液体，是</w:t>
            </w:r>
            <w:r>
              <w:fldChar w:fldCharType="begin"/>
            </w:r>
            <w:r>
              <w:instrText xml:space="preserve"> HYPERLINK "https://baike.baidu.com/item/%E6%B0%AF%E5%8C%96%E6%B0%A2" \t "_blank" </w:instrText>
            </w:r>
            <w:r>
              <w:fldChar w:fldCharType="separate"/>
            </w:r>
            <w:r>
              <w:rPr>
                <w:shd w:val="clear" w:color="auto" w:fill="FFFFFF"/>
              </w:rPr>
              <w:t>氯化氢</w:t>
            </w:r>
            <w:r>
              <w:rPr>
                <w:shd w:val="clear" w:color="auto" w:fill="FFFFFF"/>
              </w:rPr>
              <w:fldChar w:fldCharType="end"/>
            </w:r>
            <w:r>
              <w:t>（HCl）的水溶液[2]，属于</w:t>
            </w:r>
            <w:r>
              <w:fldChar w:fldCharType="begin"/>
            </w:r>
            <w:r>
              <w:instrText xml:space="preserve"> HYPERLINK "https://baike.baidu.com/item/%E4%B8%80%E5%85%83" \t "_blank" </w:instrText>
            </w:r>
            <w:r>
              <w:fldChar w:fldCharType="separate"/>
            </w:r>
            <w:r>
              <w:rPr>
                <w:shd w:val="clear" w:color="auto" w:fill="FFFFFF"/>
              </w:rPr>
              <w:t>一元</w:t>
            </w:r>
            <w:r>
              <w:rPr>
                <w:shd w:val="clear" w:color="auto" w:fill="FFFFFF"/>
              </w:rPr>
              <w:fldChar w:fldCharType="end"/>
            </w:r>
            <w:r>
              <w:fldChar w:fldCharType="begin"/>
            </w:r>
            <w:r>
              <w:instrText xml:space="preserve"> HYPERLINK "https://baike.baidu.com/item/%E6%97%A0%E6%9C%BA" \t "_blank" </w:instrText>
            </w:r>
            <w:r>
              <w:fldChar w:fldCharType="separate"/>
            </w:r>
            <w:r>
              <w:rPr>
                <w:shd w:val="clear" w:color="auto" w:fill="FFFFFF"/>
              </w:rPr>
              <w:t>无机</w:t>
            </w:r>
            <w:r>
              <w:rPr>
                <w:shd w:val="clear" w:color="auto" w:fill="FFFFFF"/>
              </w:rPr>
              <w:fldChar w:fldCharType="end"/>
            </w:r>
            <w:r>
              <w:fldChar w:fldCharType="begin"/>
            </w:r>
            <w:r>
              <w:instrText xml:space="preserve"> HYPERLINK "https://baike.baidu.com/item/%E5%BC%BA%E9%85%B8" \t "_blank" </w:instrText>
            </w:r>
            <w:r>
              <w:fldChar w:fldCharType="separate"/>
            </w:r>
            <w:r>
              <w:rPr>
                <w:shd w:val="clear" w:color="auto" w:fill="FFFFFF"/>
              </w:rPr>
              <w:t>强酸</w:t>
            </w:r>
            <w:r>
              <w:rPr>
                <w:shd w:val="clear" w:color="auto" w:fill="FFFFFF"/>
              </w:rPr>
              <w:fldChar w:fldCharType="end"/>
            </w:r>
            <w:r>
              <w:t>，工业用途广泛。盐酸的性状为无色透明的液体，有强烈的</w:t>
            </w:r>
            <w:r>
              <w:fldChar w:fldCharType="begin"/>
            </w:r>
            <w:r>
              <w:instrText xml:space="preserve"> HYPERLINK "https://baike.baidu.com/item/%E5%88%BA%E9%BC%BB" \t "_blank" </w:instrText>
            </w:r>
            <w:r>
              <w:fldChar w:fldCharType="separate"/>
            </w:r>
            <w:r>
              <w:rPr>
                <w:shd w:val="clear" w:color="auto" w:fill="FFFFFF"/>
              </w:rPr>
              <w:t>刺鼻</w:t>
            </w:r>
            <w:r>
              <w:rPr>
                <w:shd w:val="clear" w:color="auto" w:fill="FFFFFF"/>
              </w:rPr>
              <w:fldChar w:fldCharType="end"/>
            </w:r>
            <w:r>
              <w:t>气味，具有较高的</w:t>
            </w:r>
            <w:r>
              <w:fldChar w:fldCharType="begin"/>
            </w:r>
            <w:r>
              <w:instrText xml:space="preserve"> HYPERLINK "https://baike.baidu.com/item/%E8%85%90%E8%9A%80%E6%80%A7/770500" \t "_blank" </w:instrText>
            </w:r>
            <w:r>
              <w:fldChar w:fldCharType="separate"/>
            </w:r>
            <w:r>
              <w:rPr>
                <w:shd w:val="clear" w:color="auto" w:fill="FFFFFF"/>
              </w:rPr>
              <w:t>腐蚀性</w:t>
            </w:r>
            <w:r>
              <w:rPr>
                <w:shd w:val="clear" w:color="auto" w:fill="FFFFFF"/>
              </w:rPr>
              <w:fldChar w:fldCharType="end"/>
            </w:r>
            <w:r>
              <w:t>。</w:t>
            </w:r>
          </w:p>
        </w:tc>
        <w:tc>
          <w:tcPr>
            <w:tcW w:w="508" w:type="pct"/>
            <w:vAlign w:val="center"/>
          </w:tcPr>
          <w:p w14:paraId="6723ABE5">
            <w:pPr>
              <w:pStyle w:val="1535"/>
            </w:pPr>
            <w:r>
              <w:t>/</w:t>
            </w:r>
          </w:p>
        </w:tc>
        <w:tc>
          <w:tcPr>
            <w:tcW w:w="2410" w:type="pct"/>
            <w:vAlign w:val="center"/>
          </w:tcPr>
          <w:p w14:paraId="5E865C9C">
            <w:pPr>
              <w:pStyle w:val="1535"/>
            </w:pPr>
            <w:r>
              <w:t>急性毒性：LD50900mg/kg（兔经口）；LC503124ppm，1小时（大鼠吸入）危险特性：能与一些活性金属粉末发生反应，放出氢气。与碱发生中和反应，并放出大量的热。具有强腐蚀性。</w:t>
            </w:r>
          </w:p>
        </w:tc>
      </w:tr>
      <w:tr w14:paraId="0EFC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14:paraId="6A1B2A0A">
            <w:pPr>
              <w:pStyle w:val="1535"/>
            </w:pPr>
            <w:r>
              <w:t>硝酸HNO</w:t>
            </w:r>
            <w:r>
              <w:rPr>
                <w:vertAlign w:val="subscript"/>
              </w:rPr>
              <w:t>3</w:t>
            </w:r>
          </w:p>
        </w:tc>
        <w:tc>
          <w:tcPr>
            <w:tcW w:w="1575" w:type="pct"/>
            <w:vAlign w:val="center"/>
          </w:tcPr>
          <w:p w14:paraId="2F28A00B">
            <w:pPr>
              <w:pStyle w:val="1535"/>
            </w:pPr>
            <w:r>
              <w:t>纯硝酸为无色透明液体，相对密度(d204)1.41，熔点-42℃（无水），沸点120.5℃（68%）。浓硝酸含量为68%左右，易挥发，在空气中产生白雾，是硝酸蒸汽与水蒸汽结合而形成的硝酸小液滴。</w:t>
            </w:r>
          </w:p>
          <w:p w14:paraId="44909ABD">
            <w:pPr>
              <w:pStyle w:val="1535"/>
            </w:pPr>
            <w:r>
              <w:t>有强酸性，硝酸不稳定，遇光或热会分解而放出二氧化氮，分解产生二氧化氮。能与水混溶。能与水形成共沸混合物。与硝酸蒸气接触有很大危险性。硝酸液及硝酸蒸气对皮肤和粘膜有强刺激和腐蚀作用。</w:t>
            </w:r>
          </w:p>
        </w:tc>
        <w:tc>
          <w:tcPr>
            <w:tcW w:w="508" w:type="pct"/>
            <w:vAlign w:val="center"/>
          </w:tcPr>
          <w:p w14:paraId="7A8D2F34">
            <w:pPr>
              <w:pStyle w:val="1535"/>
            </w:pPr>
            <w:r>
              <w:rPr>
                <w:rFonts w:hint="eastAsia"/>
              </w:rPr>
              <w:t>/</w:t>
            </w:r>
          </w:p>
        </w:tc>
        <w:tc>
          <w:tcPr>
            <w:tcW w:w="2410" w:type="pct"/>
            <w:vAlign w:val="center"/>
          </w:tcPr>
          <w:p w14:paraId="1558E956">
            <w:pPr>
              <w:pStyle w:val="1535"/>
            </w:pPr>
            <w:r>
              <w:t>大鼠吸入LC5049ppm/4小时。与可燃物料接触可能引起火灾。皮肤接触：立即脱去污染的衣着，用大量流动清水冲洗20~30分钟。如有不适感，就医。眼睛接触：立即提起眼睑，用大量流动清水或生理盐水彻底冲洗10~15分钟。如有不适感，就医。吸入：迅速脱离现场至空气新鲜处。保持呼吸道通畅。如呼吸困难，给输氧。呼吸、心跳停止，立即进行心肺复苏术，立即就医。食入：用水漱口，给饮牛奶或蛋清，立即就医。</w:t>
            </w:r>
          </w:p>
        </w:tc>
      </w:tr>
      <w:tr w14:paraId="6454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14:paraId="7DBF912F">
            <w:pPr>
              <w:pStyle w:val="1535"/>
            </w:pPr>
            <w:r>
              <w:t>硫酸H</w:t>
            </w:r>
            <w:r>
              <w:rPr>
                <w:vertAlign w:val="subscript"/>
              </w:rPr>
              <w:t>2</w:t>
            </w:r>
            <w:r>
              <w:t>SO</w:t>
            </w:r>
            <w:r>
              <w:rPr>
                <w:vertAlign w:val="subscript"/>
              </w:rPr>
              <w:t>4</w:t>
            </w:r>
          </w:p>
        </w:tc>
        <w:tc>
          <w:tcPr>
            <w:tcW w:w="1575" w:type="pct"/>
            <w:vAlign w:val="center"/>
          </w:tcPr>
          <w:p w14:paraId="3931BA60">
            <w:pPr>
              <w:pStyle w:val="1535"/>
            </w:pPr>
            <w:r>
              <w:t>纯品为无色透明油状液体，无臭。熔点：10.5℃，沸点：330.0℃，蒸汽压：0.13kPa（145.8℃），相对密度（水=1）：1.83，相对密度（空气=1）：3.4。与水混溶。</w:t>
            </w:r>
          </w:p>
          <w:p w14:paraId="43C7C9EB">
            <w:pPr>
              <w:pStyle w:val="1535"/>
            </w:pPr>
            <w:r>
              <w:t>可能接触其蒸气或烟雾时，必须佩戴防毒面具或供气式头盔；紧急事态抢救或逃生时，建议佩带自给式呼吸器；戴化学安全防护眼镜；穿工作服（防腐材料制作）；戴橡皮手套；工作后，淋浴更衣；单独存放被毒物污染的衣服，洗后再用。保持良好的卫生习惯。</w:t>
            </w:r>
          </w:p>
        </w:tc>
        <w:tc>
          <w:tcPr>
            <w:tcW w:w="508" w:type="pct"/>
            <w:vAlign w:val="center"/>
          </w:tcPr>
          <w:p w14:paraId="629A1C6D">
            <w:pPr>
              <w:pStyle w:val="1535"/>
            </w:pPr>
            <w:r>
              <w:t>/</w:t>
            </w:r>
          </w:p>
        </w:tc>
        <w:tc>
          <w:tcPr>
            <w:tcW w:w="2410" w:type="pct"/>
            <w:vAlign w:val="center"/>
          </w:tcPr>
          <w:p w14:paraId="4D417C8E">
            <w:pPr>
              <w:pStyle w:val="1535"/>
            </w:pPr>
            <w:r>
              <w:t>LD50：21400mg/kg，(大鼠经口)LC50：510mg/</w:t>
            </w:r>
            <w:r>
              <w:rPr>
                <w:rFonts w:hint="eastAsia"/>
              </w:rPr>
              <w:t xml:space="preserve"> m</w:t>
            </w:r>
            <w:r>
              <w:rPr>
                <w:rFonts w:hint="eastAsia"/>
                <w:vertAlign w:val="superscript"/>
              </w:rPr>
              <w:t>3</w:t>
            </w:r>
            <w:r>
              <w:t>，2小时(大鼠吸入)；320mg/</w:t>
            </w:r>
            <w:r>
              <w:rPr>
                <w:rFonts w:hint="eastAsia"/>
              </w:rPr>
              <w:t xml:space="preserve"> m</w:t>
            </w:r>
            <w:r>
              <w:rPr>
                <w:rFonts w:hint="eastAsia"/>
                <w:vertAlign w:val="superscript"/>
              </w:rPr>
              <w:t>3</w:t>
            </w:r>
            <w:r>
              <w:t>，2小时(小鼠吸入)。皮肤接触：脱去污染的衣着，立即用水冲洗至少15分钟。或用2%碳酸氢钠溶液冲洗，立即就医。眼睛接触：立即提起眼睑，用流动清水或生理盐水冲洗至少15分钟，立即就医。吸入：迅速脱离现场至空气新鲜处。呼吸困难时给输氧。给予2-4%碳酸氢钠溶液雾化吸入，立即就医。食入：误服者给牛奶、蛋清、植物油等口服，不可催吐。立即就医。</w:t>
            </w:r>
          </w:p>
        </w:tc>
      </w:tr>
      <w:tr w14:paraId="1483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14:paraId="0CC9DB7D">
            <w:pPr>
              <w:pStyle w:val="1535"/>
            </w:pPr>
            <w:r>
              <w:t>草酸C</w:t>
            </w:r>
            <w:r>
              <w:rPr>
                <w:vertAlign w:val="subscript"/>
              </w:rPr>
              <w:t>2</w:t>
            </w:r>
            <w:r>
              <w:t>H</w:t>
            </w:r>
            <w:r>
              <w:rPr>
                <w:vertAlign w:val="subscript"/>
              </w:rPr>
              <w:t>2</w:t>
            </w:r>
            <w:r>
              <w:t>O</w:t>
            </w:r>
            <w:r>
              <w:rPr>
                <w:vertAlign w:val="subscript"/>
              </w:rPr>
              <w:t>4</w:t>
            </w:r>
          </w:p>
        </w:tc>
        <w:tc>
          <w:tcPr>
            <w:tcW w:w="1575" w:type="pct"/>
            <w:vAlign w:val="center"/>
          </w:tcPr>
          <w:p w14:paraId="36F5FE69">
            <w:pPr>
              <w:pStyle w:val="1535"/>
            </w:pPr>
            <w:r>
              <w:t>草酸是最简单的二元羧酸，也称乙二酸，常温下为无色透明晶体，通常含有两个分子结晶水，加热至100.1℃时失去结晶水，成为无水草酸。有毒，对人体有害。有吸湿性，易溶于乙醇、溶于水、微溶于乙醚。不溶于苯和氯仿。</w:t>
            </w:r>
          </w:p>
        </w:tc>
        <w:tc>
          <w:tcPr>
            <w:tcW w:w="508" w:type="pct"/>
            <w:vAlign w:val="center"/>
          </w:tcPr>
          <w:p w14:paraId="162DDE3C">
            <w:pPr>
              <w:pStyle w:val="1535"/>
            </w:pPr>
            <w:r>
              <w:t>/</w:t>
            </w:r>
          </w:p>
        </w:tc>
        <w:tc>
          <w:tcPr>
            <w:tcW w:w="2410" w:type="pct"/>
            <w:vAlign w:val="center"/>
          </w:tcPr>
          <w:p w14:paraId="78B36056">
            <w:pPr>
              <w:pStyle w:val="1535"/>
            </w:pPr>
            <w:r>
              <w:t>口服-大鼠LD50:7500毫克/公斤；腹腔-小鼠LD50:270毫克/公斤</w:t>
            </w:r>
          </w:p>
        </w:tc>
      </w:tr>
      <w:tr w14:paraId="7F0D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14:paraId="1C94CDAF">
            <w:pPr>
              <w:pStyle w:val="1535"/>
            </w:pPr>
            <w:r>
              <w:t>甲基三氯硅烷CH</w:t>
            </w:r>
            <w:r>
              <w:rPr>
                <w:vertAlign w:val="subscript"/>
              </w:rPr>
              <w:t>3</w:t>
            </w:r>
            <w:r>
              <w:t>Cl</w:t>
            </w:r>
            <w:r>
              <w:rPr>
                <w:vertAlign w:val="subscript"/>
              </w:rPr>
              <w:t>3</w:t>
            </w:r>
            <w:r>
              <w:t>Si</w:t>
            </w:r>
          </w:p>
        </w:tc>
        <w:tc>
          <w:tcPr>
            <w:tcW w:w="1575" w:type="pct"/>
            <w:vAlign w:val="center"/>
          </w:tcPr>
          <w:p w14:paraId="13A36860">
            <w:pPr>
              <w:pStyle w:val="1535"/>
            </w:pPr>
            <w:r>
              <w:t>纯品为无色透明油状液体，具有刺鼻恶臭，易潮解。熔点：-77℃，沸点：66℃，闪点：-9℃，蒸汽压：17.9kPa(20℃)，相对密度(水=1)：1.273，相对蒸气密度(空气=1)：5.5。溶于苯、乙醚。</w:t>
            </w:r>
          </w:p>
        </w:tc>
        <w:tc>
          <w:tcPr>
            <w:tcW w:w="508" w:type="pct"/>
            <w:vAlign w:val="center"/>
          </w:tcPr>
          <w:p w14:paraId="7EE7EE62">
            <w:pPr>
              <w:pStyle w:val="1535"/>
            </w:pPr>
            <w:r>
              <w:t>高度易燃，与水反应剧烈</w:t>
            </w:r>
          </w:p>
        </w:tc>
        <w:tc>
          <w:tcPr>
            <w:tcW w:w="2410" w:type="pct"/>
            <w:vAlign w:val="center"/>
          </w:tcPr>
          <w:p w14:paraId="22B118B2">
            <w:pPr>
              <w:pStyle w:val="1535"/>
            </w:pPr>
            <w:r>
              <w:rPr>
                <w:rFonts w:hint="eastAsia"/>
              </w:rPr>
              <w:t>对呼吸道和眼结膜有强烈有刺激作用。工人可有眼睛流泪、咳嗽、头痛、恶心、呕吐、喘息、易激动、皮肤发痒等症状。吸入后可有咽喉、支气管的痉挛、水肿，化学性肺炎、肺水肿而致死。IDLH：100ppm(以氯化氢计)嗅阈；在潮湿的空气中分解，产生的氯化氢嗅阈0.255~10.06ppm；</w:t>
            </w:r>
            <w:r>
              <w:t>LD50：1.62mL/kg，(大鼠经口)LC50：450mg/</w:t>
            </w:r>
            <w:r>
              <w:rPr>
                <w:rFonts w:hint="eastAsia"/>
              </w:rPr>
              <w:t xml:space="preserve"> m</w:t>
            </w:r>
            <w:r>
              <w:rPr>
                <w:rFonts w:hint="eastAsia"/>
                <w:vertAlign w:val="superscript"/>
              </w:rPr>
              <w:t>3</w:t>
            </w:r>
            <w:r>
              <w:t>，4小时(大鼠吸入)；180mg/</w:t>
            </w:r>
            <w:r>
              <w:rPr>
                <w:rFonts w:hint="eastAsia"/>
              </w:rPr>
              <w:t xml:space="preserve"> m</w:t>
            </w:r>
            <w:r>
              <w:rPr>
                <w:rFonts w:hint="eastAsia"/>
                <w:vertAlign w:val="superscript"/>
              </w:rPr>
              <w:t>3</w:t>
            </w:r>
            <w:r>
              <w:t>，2小时(小鼠吸入)。皮肤接触：立即脱去被污染的衣着，用大量流动清水冲洗至少15分钟。就医。眼睛接触：立即提起眼睑，用大量流动清水或生理盐水彻底冲洗至少15分钟。就医。吸入：迅速脱离现场至空气新鲜处。保持呼吸道通畅。如呼吸困难，给输氧。如呼吸停止时，立即进行人工呼吸。就医。食入：误服者用水漱口，给饮牛奶或蛋清。就医。</w:t>
            </w:r>
          </w:p>
        </w:tc>
      </w:tr>
    </w:tbl>
    <w:p w14:paraId="3463EEC0">
      <w:pPr>
        <w:ind w:firstLine="520"/>
        <w:rPr>
          <w:color w:val="000000" w:themeColor="text1"/>
          <w14:textFill>
            <w14:solidFill>
              <w14:schemeClr w14:val="tx1"/>
            </w14:solidFill>
          </w14:textFill>
        </w:rPr>
      </w:pPr>
    </w:p>
    <w:p w14:paraId="78CB1549">
      <w:pPr>
        <w:ind w:firstLine="520"/>
        <w:rPr>
          <w:color w:val="000000" w:themeColor="text1"/>
          <w14:textFill>
            <w14:solidFill>
              <w14:schemeClr w14:val="tx1"/>
            </w14:solidFill>
          </w14:textFill>
        </w:rPr>
        <w:sectPr>
          <w:pgSz w:w="16838" w:h="11906" w:orient="landscape"/>
          <w:pgMar w:top="1800" w:right="1440" w:bottom="1800" w:left="1440" w:header="851" w:footer="992" w:gutter="0"/>
          <w:cols w:space="720" w:num="1"/>
          <w:docGrid w:type="lines" w:linePitch="354" w:charSpace="0"/>
        </w:sectPr>
      </w:pPr>
    </w:p>
    <w:p w14:paraId="21FC940C">
      <w:pPr>
        <w:pStyle w:val="4"/>
        <w:rPr>
          <w:color w:val="000000" w:themeColor="text1"/>
          <w14:textFill>
            <w14:solidFill>
              <w14:schemeClr w14:val="tx1"/>
            </w14:solidFill>
          </w14:textFill>
        </w:rPr>
      </w:pPr>
      <w:bookmarkStart w:id="162" w:name="_Toc30505"/>
      <w:r>
        <w:rPr>
          <w:color w:val="000000" w:themeColor="text1"/>
          <w14:textFill>
            <w14:solidFill>
              <w14:schemeClr w14:val="tx1"/>
            </w14:solidFill>
          </w14:textFill>
        </w:rPr>
        <w:t>生产设备清单</w:t>
      </w:r>
      <w:bookmarkEnd w:id="162"/>
    </w:p>
    <w:p w14:paraId="71C8540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扩建项目新增GASKET产品、石墨产品生产设施设备，扩建前后全厂设备情况详见下表：</w:t>
      </w:r>
    </w:p>
    <w:p w14:paraId="2D4C1E7B">
      <w:pPr>
        <w:ind w:firstLine="52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5C3A266E">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设备清单</w:t>
      </w:r>
      <w:r>
        <w:rPr>
          <w:rFonts w:hint="eastAsia"/>
          <w:color w:val="000000" w:themeColor="text1"/>
          <w14:textFill>
            <w14:solidFill>
              <w14:schemeClr w14:val="tx1"/>
            </w14:solidFill>
          </w14:textFill>
        </w:rPr>
        <w:t>及增加情况表</w:t>
      </w:r>
    </w:p>
    <w:tbl>
      <w:tblPr>
        <w:tblStyle w:val="88"/>
        <w:tblW w:w="5000" w:type="pct"/>
        <w:jc w:val="center"/>
        <w:tblLayout w:type="autofit"/>
        <w:tblCellMar>
          <w:top w:w="0" w:type="dxa"/>
          <w:left w:w="108" w:type="dxa"/>
          <w:bottom w:w="0" w:type="dxa"/>
          <w:right w:w="108" w:type="dxa"/>
        </w:tblCellMar>
      </w:tblPr>
      <w:tblGrid>
        <w:gridCol w:w="732"/>
        <w:gridCol w:w="1441"/>
        <w:gridCol w:w="3297"/>
        <w:gridCol w:w="4609"/>
        <w:gridCol w:w="1152"/>
        <w:gridCol w:w="1297"/>
        <w:gridCol w:w="1646"/>
      </w:tblGrid>
      <w:tr w14:paraId="19CC52D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DE12A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序号</w:t>
            </w:r>
          </w:p>
        </w:tc>
        <w:tc>
          <w:tcPr>
            <w:tcW w:w="1418" w:type="dxa"/>
            <w:tcBorders>
              <w:top w:val="single" w:color="000000" w:sz="4" w:space="0"/>
              <w:left w:val="single" w:color="000000" w:sz="4" w:space="0"/>
              <w:bottom w:val="single" w:color="000000" w:sz="4" w:space="0"/>
              <w:right w:val="single" w:color="000000" w:sz="4" w:space="0"/>
            </w:tcBorders>
            <w:vAlign w:val="center"/>
          </w:tcPr>
          <w:p w14:paraId="022155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生产线</w:t>
            </w:r>
          </w:p>
        </w:tc>
        <w:tc>
          <w:tcPr>
            <w:tcW w:w="3244" w:type="dxa"/>
            <w:tcBorders>
              <w:top w:val="single" w:color="000000" w:sz="4" w:space="0"/>
              <w:left w:val="single" w:color="000000" w:sz="4" w:space="0"/>
              <w:bottom w:val="single" w:color="000000" w:sz="4" w:space="0"/>
              <w:right w:val="single" w:color="000000" w:sz="4" w:space="0"/>
            </w:tcBorders>
            <w:vAlign w:val="center"/>
          </w:tcPr>
          <w:p w14:paraId="53E8FE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设备名称</w:t>
            </w:r>
          </w:p>
        </w:tc>
        <w:tc>
          <w:tcPr>
            <w:tcW w:w="4536" w:type="dxa"/>
            <w:tcBorders>
              <w:top w:val="single" w:color="000000" w:sz="4" w:space="0"/>
              <w:left w:val="single" w:color="000000" w:sz="4" w:space="0"/>
              <w:bottom w:val="single" w:color="000000" w:sz="4" w:space="0"/>
              <w:right w:val="single" w:color="000000" w:sz="4" w:space="0"/>
            </w:tcBorders>
            <w:vAlign w:val="center"/>
          </w:tcPr>
          <w:p w14:paraId="2C7158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设备型号及规格尺寸</w:t>
            </w:r>
          </w:p>
        </w:tc>
        <w:tc>
          <w:tcPr>
            <w:tcW w:w="1134" w:type="dxa"/>
            <w:tcBorders>
              <w:top w:val="single" w:color="000000" w:sz="4" w:space="0"/>
              <w:left w:val="single" w:color="000000" w:sz="4" w:space="0"/>
              <w:bottom w:val="single" w:color="000000" w:sz="4" w:space="0"/>
              <w:right w:val="single" w:color="000000" w:sz="4" w:space="0"/>
            </w:tcBorders>
            <w:vAlign w:val="center"/>
          </w:tcPr>
          <w:p w14:paraId="13534C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现有数量/台/套</w:t>
            </w:r>
          </w:p>
        </w:tc>
        <w:tc>
          <w:tcPr>
            <w:tcW w:w="1276" w:type="dxa"/>
            <w:tcBorders>
              <w:top w:val="single" w:color="000000" w:sz="4" w:space="0"/>
              <w:left w:val="single" w:color="000000" w:sz="4" w:space="0"/>
              <w:bottom w:val="single" w:color="000000" w:sz="4" w:space="0"/>
              <w:right w:val="single" w:color="000000" w:sz="4" w:space="0"/>
            </w:tcBorders>
            <w:vAlign w:val="center"/>
          </w:tcPr>
          <w:p w14:paraId="7D9DDA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扩建项目</w:t>
            </w:r>
            <w:r>
              <w:rPr>
                <w:rFonts w:hint="eastAsia"/>
                <w:snapToGrid/>
                <w:color w:val="000000" w:themeColor="text1"/>
                <w:sz w:val="21"/>
                <w:szCs w:val="21"/>
                <w14:textFill>
                  <w14:solidFill>
                    <w14:schemeClr w14:val="tx1"/>
                  </w14:solidFill>
                </w14:textFill>
              </w:rPr>
              <w:t>数量/台/套</w:t>
            </w:r>
          </w:p>
        </w:tc>
        <w:tc>
          <w:tcPr>
            <w:tcW w:w="1620" w:type="dxa"/>
            <w:tcBorders>
              <w:top w:val="single" w:color="000000" w:sz="4" w:space="0"/>
              <w:left w:val="single" w:color="000000" w:sz="4" w:space="0"/>
              <w:bottom w:val="single" w:color="000000" w:sz="4" w:space="0"/>
              <w:right w:val="single" w:color="000000" w:sz="4" w:space="0"/>
            </w:tcBorders>
            <w:vAlign w:val="center"/>
          </w:tcPr>
          <w:p w14:paraId="2BE561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项目建成后全厂</w:t>
            </w:r>
            <w:r>
              <w:rPr>
                <w:rFonts w:hint="eastAsia"/>
                <w:snapToGrid/>
                <w:color w:val="000000" w:themeColor="text1"/>
                <w:sz w:val="21"/>
                <w:szCs w:val="21"/>
                <w14:textFill>
                  <w14:solidFill>
                    <w14:schemeClr w14:val="tx1"/>
                  </w14:solidFill>
                </w14:textFill>
              </w:rPr>
              <w:t>数量/台/套</w:t>
            </w:r>
          </w:p>
        </w:tc>
      </w:tr>
      <w:tr w14:paraId="130A120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E937E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bookmarkStart w:id="163" w:name="_Hlk201267913"/>
            <w:r>
              <w:rPr>
                <w:rFonts w:hint="eastAsia"/>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right w:val="single" w:color="000000" w:sz="4" w:space="0"/>
            </w:tcBorders>
            <w:vAlign w:val="center"/>
          </w:tcPr>
          <w:p w14:paraId="0B78AB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color w:val="000000" w:themeColor="text1"/>
                <w:kern w:val="44"/>
                <w:sz w:val="21"/>
                <w:szCs w:val="44"/>
                <w14:textFill>
                  <w14:solidFill>
                    <w14:schemeClr w14:val="tx1"/>
                  </w14:solidFill>
                </w14:textFill>
              </w:rPr>
              <w:t>GASKET产品</w:t>
            </w:r>
          </w:p>
        </w:tc>
        <w:tc>
          <w:tcPr>
            <w:tcW w:w="3244" w:type="dxa"/>
            <w:tcBorders>
              <w:top w:val="single" w:color="000000" w:sz="4" w:space="0"/>
              <w:left w:val="single" w:color="000000" w:sz="4" w:space="0"/>
              <w:bottom w:val="single" w:color="000000" w:sz="4" w:space="0"/>
              <w:right w:val="single" w:color="000000" w:sz="4" w:space="0"/>
            </w:tcBorders>
            <w:vAlign w:val="center"/>
          </w:tcPr>
          <w:p w14:paraId="2F5090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纵切型自动车床(走心机)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40B400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47E08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0225BD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7CE5B2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r>
      <w:tr w14:paraId="4849A98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461C0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c>
          <w:tcPr>
            <w:tcW w:w="1418" w:type="dxa"/>
            <w:vMerge w:val="continue"/>
            <w:tcBorders>
              <w:left w:val="single" w:color="000000" w:sz="4" w:space="0"/>
              <w:right w:val="single" w:color="000000" w:sz="4" w:space="0"/>
            </w:tcBorders>
            <w:vAlign w:val="center"/>
          </w:tcPr>
          <w:p w14:paraId="353220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5F0867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高速离心式抛光机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08642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9B732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2419E0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0FD3B8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r>
      <w:tr w14:paraId="4C8E44D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CF9D7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w:t>
            </w:r>
          </w:p>
        </w:tc>
        <w:tc>
          <w:tcPr>
            <w:tcW w:w="1418" w:type="dxa"/>
            <w:vMerge w:val="continue"/>
            <w:tcBorders>
              <w:left w:val="single" w:color="000000" w:sz="4" w:space="0"/>
              <w:right w:val="single" w:color="000000" w:sz="4" w:space="0"/>
            </w:tcBorders>
            <w:vAlign w:val="center"/>
          </w:tcPr>
          <w:p w14:paraId="27CEC3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22024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自动切断机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62ACA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2A659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12C274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48F3D0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r>
      <w:tr w14:paraId="20E5B0C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8F32A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w:t>
            </w:r>
          </w:p>
        </w:tc>
        <w:tc>
          <w:tcPr>
            <w:tcW w:w="1418" w:type="dxa"/>
            <w:vMerge w:val="continue"/>
            <w:tcBorders>
              <w:left w:val="single" w:color="000000" w:sz="4" w:space="0"/>
              <w:right w:val="single" w:color="000000" w:sz="4" w:space="0"/>
            </w:tcBorders>
            <w:vAlign w:val="center"/>
          </w:tcPr>
          <w:p w14:paraId="73BF72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129068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伺服模切压力机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48FAA5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2B2B1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2C4957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14B28D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r>
      <w:tr w14:paraId="0E452FD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6BC93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c>
          <w:tcPr>
            <w:tcW w:w="1418" w:type="dxa"/>
            <w:vMerge w:val="continue"/>
            <w:tcBorders>
              <w:left w:val="single" w:color="000000" w:sz="4" w:space="0"/>
              <w:right w:val="single" w:color="000000" w:sz="4" w:space="0"/>
            </w:tcBorders>
            <w:vAlign w:val="center"/>
          </w:tcPr>
          <w:p w14:paraId="2B610B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5122B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薄片清洁机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51424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0C47D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1D07A1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48C024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r>
      <w:tr w14:paraId="5903629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F4865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w:t>
            </w:r>
          </w:p>
        </w:tc>
        <w:tc>
          <w:tcPr>
            <w:tcW w:w="1418" w:type="dxa"/>
            <w:vMerge w:val="continue"/>
            <w:tcBorders>
              <w:left w:val="single" w:color="000000" w:sz="4" w:space="0"/>
              <w:bottom w:val="single" w:color="000000" w:sz="4" w:space="0"/>
              <w:right w:val="single" w:color="000000" w:sz="4" w:space="0"/>
            </w:tcBorders>
            <w:vAlign w:val="center"/>
          </w:tcPr>
          <w:p w14:paraId="677093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4E136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外抽真空包装机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2EE22E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62509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w:t>
            </w:r>
          </w:p>
        </w:tc>
        <w:tc>
          <w:tcPr>
            <w:tcW w:w="1276" w:type="dxa"/>
            <w:tcBorders>
              <w:top w:val="single" w:color="000000" w:sz="4" w:space="0"/>
              <w:left w:val="single" w:color="000000" w:sz="4" w:space="0"/>
              <w:bottom w:val="single" w:color="000000" w:sz="4" w:space="0"/>
              <w:right w:val="single" w:color="000000" w:sz="4" w:space="0"/>
            </w:tcBorders>
            <w:vAlign w:val="center"/>
          </w:tcPr>
          <w:p w14:paraId="45DFA4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2FC5F9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r>
      <w:bookmarkEnd w:id="163"/>
      <w:tr w14:paraId="5C666DC8">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71E97E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bookmarkStart w:id="164" w:name="_Hlk201267839"/>
            <w:r>
              <w:rPr>
                <w:rFonts w:hint="eastAsia"/>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right w:val="single" w:color="000000" w:sz="4" w:space="0"/>
            </w:tcBorders>
            <w:vAlign w:val="center"/>
          </w:tcPr>
          <w:p w14:paraId="25B0E5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石墨产品生产线</w:t>
            </w:r>
          </w:p>
        </w:tc>
        <w:tc>
          <w:tcPr>
            <w:tcW w:w="3244" w:type="dxa"/>
            <w:tcBorders>
              <w:top w:val="single" w:color="000000" w:sz="4" w:space="0"/>
              <w:left w:val="single" w:color="000000" w:sz="4" w:space="0"/>
              <w:bottom w:val="single" w:color="000000" w:sz="4" w:space="0"/>
              <w:right w:val="single" w:color="000000" w:sz="4" w:space="0"/>
            </w:tcBorders>
            <w:vAlign w:val="center"/>
          </w:tcPr>
          <w:p w14:paraId="0E5287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立式数控砂线切割机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0F24AD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D15D2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vAlign w:val="center"/>
          </w:tcPr>
          <w:p w14:paraId="193B2E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0E688F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r>
      <w:tr w14:paraId="35D3C38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08E87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c>
          <w:tcPr>
            <w:tcW w:w="1418" w:type="dxa"/>
            <w:vMerge w:val="continue"/>
            <w:tcBorders>
              <w:left w:val="single" w:color="000000" w:sz="4" w:space="0"/>
              <w:right w:val="single" w:color="000000" w:sz="4" w:space="0"/>
            </w:tcBorders>
            <w:vAlign w:val="center"/>
          </w:tcPr>
          <w:p w14:paraId="56E089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EFCEE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立式带锯床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4850D7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606FC2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vAlign w:val="center"/>
          </w:tcPr>
          <w:p w14:paraId="3A78EB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c>
          <w:tcPr>
            <w:tcW w:w="1620" w:type="dxa"/>
            <w:tcBorders>
              <w:top w:val="single" w:color="000000" w:sz="4" w:space="0"/>
              <w:left w:val="single" w:color="000000" w:sz="4" w:space="0"/>
              <w:bottom w:val="single" w:color="000000" w:sz="4" w:space="0"/>
              <w:right w:val="single" w:color="000000" w:sz="4" w:space="0"/>
            </w:tcBorders>
            <w:vAlign w:val="center"/>
          </w:tcPr>
          <w:p w14:paraId="4BE1F0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r>
      <w:tr w14:paraId="203003B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1800DC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w:t>
            </w:r>
          </w:p>
        </w:tc>
        <w:tc>
          <w:tcPr>
            <w:tcW w:w="1418" w:type="dxa"/>
            <w:vMerge w:val="continue"/>
            <w:tcBorders>
              <w:left w:val="single" w:color="000000" w:sz="4" w:space="0"/>
              <w:right w:val="single" w:color="000000" w:sz="4" w:space="0"/>
            </w:tcBorders>
            <w:vAlign w:val="center"/>
          </w:tcPr>
          <w:p w14:paraId="742728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1D4EE1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立式加工中心</w:t>
            </w:r>
          </w:p>
        </w:tc>
        <w:tc>
          <w:tcPr>
            <w:tcW w:w="4536" w:type="dxa"/>
            <w:tcBorders>
              <w:top w:val="single" w:color="000000" w:sz="4" w:space="0"/>
              <w:left w:val="single" w:color="000000" w:sz="4" w:space="0"/>
              <w:bottom w:val="single" w:color="000000" w:sz="4" w:space="0"/>
              <w:right w:val="single" w:color="000000" w:sz="4" w:space="0"/>
            </w:tcBorders>
            <w:vAlign w:val="center"/>
          </w:tcPr>
          <w:p w14:paraId="7621BE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7976E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vAlign w:val="center"/>
          </w:tcPr>
          <w:p w14:paraId="576E71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c>
          <w:tcPr>
            <w:tcW w:w="1620" w:type="dxa"/>
            <w:tcBorders>
              <w:top w:val="single" w:color="000000" w:sz="4" w:space="0"/>
              <w:left w:val="single" w:color="000000" w:sz="4" w:space="0"/>
              <w:bottom w:val="single" w:color="000000" w:sz="4" w:space="0"/>
              <w:right w:val="single" w:color="000000" w:sz="4" w:space="0"/>
            </w:tcBorders>
            <w:vAlign w:val="center"/>
          </w:tcPr>
          <w:p w14:paraId="4311E2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w:t>
            </w:r>
          </w:p>
        </w:tc>
      </w:tr>
      <w:tr w14:paraId="2279690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D0A88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w:t>
            </w:r>
          </w:p>
        </w:tc>
        <w:tc>
          <w:tcPr>
            <w:tcW w:w="1418" w:type="dxa"/>
            <w:vMerge w:val="continue"/>
            <w:tcBorders>
              <w:left w:val="single" w:color="000000" w:sz="4" w:space="0"/>
              <w:right w:val="single" w:color="000000" w:sz="4" w:space="0"/>
            </w:tcBorders>
            <w:vAlign w:val="center"/>
          </w:tcPr>
          <w:p w14:paraId="4832B3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5C0DB4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高速精雕机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14CACF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37CDB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vAlign w:val="center"/>
          </w:tcPr>
          <w:p w14:paraId="27FAF2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6130A6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r>
      <w:tr w14:paraId="05BFA80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6BF90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c>
          <w:tcPr>
            <w:tcW w:w="1418" w:type="dxa"/>
            <w:vMerge w:val="continue"/>
            <w:tcBorders>
              <w:left w:val="single" w:color="000000" w:sz="4" w:space="0"/>
              <w:right w:val="single" w:color="000000" w:sz="4" w:space="0"/>
            </w:tcBorders>
            <w:vAlign w:val="center"/>
          </w:tcPr>
          <w:p w14:paraId="1E0FDA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14BA0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卧式数控车削中心</w:t>
            </w:r>
          </w:p>
        </w:tc>
        <w:tc>
          <w:tcPr>
            <w:tcW w:w="4536" w:type="dxa"/>
            <w:tcBorders>
              <w:top w:val="single" w:color="000000" w:sz="4" w:space="0"/>
              <w:left w:val="single" w:color="000000" w:sz="4" w:space="0"/>
              <w:bottom w:val="single" w:color="000000" w:sz="4" w:space="0"/>
              <w:right w:val="single" w:color="000000" w:sz="4" w:space="0"/>
            </w:tcBorders>
            <w:vAlign w:val="center"/>
          </w:tcPr>
          <w:p w14:paraId="2D66CC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BB578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vAlign w:val="center"/>
          </w:tcPr>
          <w:p w14:paraId="5BD51A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97056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r>
      <w:tr w14:paraId="235B9AC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49E0A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w:t>
            </w:r>
          </w:p>
        </w:tc>
        <w:tc>
          <w:tcPr>
            <w:tcW w:w="1418" w:type="dxa"/>
            <w:vMerge w:val="continue"/>
            <w:tcBorders>
              <w:left w:val="single" w:color="000000" w:sz="4" w:space="0"/>
              <w:right w:val="single" w:color="000000" w:sz="4" w:space="0"/>
            </w:tcBorders>
            <w:vAlign w:val="center"/>
          </w:tcPr>
          <w:p w14:paraId="5E0206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0ECFC4E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卧式数控车床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53C29F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6C67FE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vAlign w:val="center"/>
          </w:tcPr>
          <w:p w14:paraId="6CA35C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c>
          <w:tcPr>
            <w:tcW w:w="1620" w:type="dxa"/>
            <w:tcBorders>
              <w:top w:val="single" w:color="000000" w:sz="4" w:space="0"/>
              <w:left w:val="single" w:color="000000" w:sz="4" w:space="0"/>
              <w:bottom w:val="single" w:color="000000" w:sz="4" w:space="0"/>
              <w:right w:val="single" w:color="000000" w:sz="4" w:space="0"/>
            </w:tcBorders>
            <w:vAlign w:val="center"/>
          </w:tcPr>
          <w:p w14:paraId="5229A9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w:t>
            </w:r>
          </w:p>
        </w:tc>
      </w:tr>
      <w:tr w14:paraId="7498CD5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C4CF8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7</w:t>
            </w:r>
          </w:p>
        </w:tc>
        <w:tc>
          <w:tcPr>
            <w:tcW w:w="1418" w:type="dxa"/>
            <w:vMerge w:val="continue"/>
            <w:tcBorders>
              <w:left w:val="single" w:color="000000" w:sz="4" w:space="0"/>
              <w:right w:val="single" w:color="000000" w:sz="4" w:space="0"/>
            </w:tcBorders>
            <w:vAlign w:val="center"/>
          </w:tcPr>
          <w:p w14:paraId="7FDF0E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B316F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卧式普通车床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229091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F2C52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vAlign w:val="center"/>
          </w:tcPr>
          <w:p w14:paraId="0273F2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352C03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r>
      <w:tr w14:paraId="4CD6037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50B80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w:t>
            </w:r>
          </w:p>
        </w:tc>
        <w:tc>
          <w:tcPr>
            <w:tcW w:w="1418" w:type="dxa"/>
            <w:vMerge w:val="continue"/>
            <w:tcBorders>
              <w:left w:val="single" w:color="000000" w:sz="4" w:space="0"/>
              <w:right w:val="single" w:color="000000" w:sz="4" w:space="0"/>
            </w:tcBorders>
            <w:vAlign w:val="center"/>
          </w:tcPr>
          <w:p w14:paraId="45429B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756DE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立式砂光机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4AA279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613EC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vAlign w:val="center"/>
          </w:tcPr>
          <w:p w14:paraId="5571CF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0A35CB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w:t>
            </w:r>
          </w:p>
        </w:tc>
      </w:tr>
      <w:tr w14:paraId="12E71F3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95035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9</w:t>
            </w:r>
          </w:p>
        </w:tc>
        <w:tc>
          <w:tcPr>
            <w:tcW w:w="1418" w:type="dxa"/>
            <w:vMerge w:val="continue"/>
            <w:tcBorders>
              <w:left w:val="single" w:color="000000" w:sz="4" w:space="0"/>
              <w:right w:val="single" w:color="000000" w:sz="4" w:space="0"/>
            </w:tcBorders>
            <w:vAlign w:val="center"/>
          </w:tcPr>
          <w:p w14:paraId="252C51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03B15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立式炮塔铣床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65C748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292C9C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vAlign w:val="center"/>
          </w:tcPr>
          <w:p w14:paraId="2F7F39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3EC126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r>
      <w:bookmarkEnd w:id="164"/>
      <w:tr w14:paraId="4E164A94">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7A5EA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w:t>
            </w:r>
          </w:p>
        </w:tc>
        <w:tc>
          <w:tcPr>
            <w:tcW w:w="1418" w:type="dxa"/>
            <w:vMerge w:val="continue"/>
            <w:tcBorders>
              <w:left w:val="single" w:color="000000" w:sz="4" w:space="0"/>
              <w:right w:val="single" w:color="000000" w:sz="4" w:space="0"/>
            </w:tcBorders>
            <w:vAlign w:val="center"/>
          </w:tcPr>
          <w:p w14:paraId="431AA4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01E02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纯化炉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4A4E06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2E4901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76" w:type="dxa"/>
            <w:tcBorders>
              <w:top w:val="single" w:color="000000" w:sz="4" w:space="0"/>
              <w:left w:val="single" w:color="000000" w:sz="4" w:space="0"/>
              <w:bottom w:val="single" w:color="000000" w:sz="4" w:space="0"/>
              <w:right w:val="single" w:color="000000" w:sz="4" w:space="0"/>
            </w:tcBorders>
            <w:vAlign w:val="center"/>
          </w:tcPr>
          <w:p w14:paraId="41D89F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2E5D58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6</w:t>
            </w:r>
          </w:p>
        </w:tc>
      </w:tr>
      <w:tr w14:paraId="2361110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837E8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11</w:t>
            </w:r>
          </w:p>
        </w:tc>
        <w:tc>
          <w:tcPr>
            <w:tcW w:w="1418" w:type="dxa"/>
            <w:vMerge w:val="continue"/>
            <w:tcBorders>
              <w:left w:val="single" w:color="000000" w:sz="4" w:space="0"/>
              <w:right w:val="single" w:color="000000" w:sz="4" w:space="0"/>
            </w:tcBorders>
            <w:vAlign w:val="center"/>
          </w:tcPr>
          <w:p w14:paraId="23E732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78A6F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高温处理炉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14F321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4E4D4A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vAlign w:val="center"/>
          </w:tcPr>
          <w:p w14:paraId="063BEA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43A4C6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r>
      <w:tr w14:paraId="51EA563D">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5DD7B1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12</w:t>
            </w:r>
          </w:p>
        </w:tc>
        <w:tc>
          <w:tcPr>
            <w:tcW w:w="1418" w:type="dxa"/>
            <w:vMerge w:val="continue"/>
            <w:tcBorders>
              <w:left w:val="single" w:color="000000" w:sz="4" w:space="0"/>
              <w:right w:val="single" w:color="000000" w:sz="4" w:space="0"/>
            </w:tcBorders>
            <w:vAlign w:val="center"/>
          </w:tcPr>
          <w:p w14:paraId="36BAD7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8F010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CVDSIC炉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6CAF97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2764FD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vAlign w:val="center"/>
          </w:tcPr>
          <w:p w14:paraId="685FCD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3E5EB2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r>
      <w:tr w14:paraId="1AC6B78F">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5FB33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13</w:t>
            </w:r>
          </w:p>
        </w:tc>
        <w:tc>
          <w:tcPr>
            <w:tcW w:w="1418" w:type="dxa"/>
            <w:vMerge w:val="continue"/>
            <w:tcBorders>
              <w:left w:val="single" w:color="000000" w:sz="4" w:space="0"/>
              <w:right w:val="single" w:color="000000" w:sz="4" w:space="0"/>
            </w:tcBorders>
            <w:vAlign w:val="center"/>
          </w:tcPr>
          <w:p w14:paraId="30E38D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4A76F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立式碳化硅沉积炉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467C1F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22D02D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76" w:type="dxa"/>
            <w:tcBorders>
              <w:top w:val="single" w:color="000000" w:sz="4" w:space="0"/>
              <w:left w:val="single" w:color="000000" w:sz="4" w:space="0"/>
              <w:bottom w:val="single" w:color="000000" w:sz="4" w:space="0"/>
              <w:right w:val="single" w:color="000000" w:sz="4" w:space="0"/>
            </w:tcBorders>
            <w:vAlign w:val="center"/>
          </w:tcPr>
          <w:p w14:paraId="277967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77691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r>
      <w:tr w14:paraId="4B096680">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547CAE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14</w:t>
            </w:r>
          </w:p>
        </w:tc>
        <w:tc>
          <w:tcPr>
            <w:tcW w:w="1418" w:type="dxa"/>
            <w:vMerge w:val="continue"/>
            <w:tcBorders>
              <w:left w:val="single" w:color="000000" w:sz="4" w:space="0"/>
              <w:right w:val="single" w:color="000000" w:sz="4" w:space="0"/>
            </w:tcBorders>
            <w:vAlign w:val="center"/>
          </w:tcPr>
          <w:p w14:paraId="4E4173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00AF0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7ECC42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w:t>
            </w:r>
            <w:r>
              <w:rPr>
                <w:rFonts w:hint="eastAsia"/>
                <w:snapToGrid/>
                <w:color w:val="000000" w:themeColor="text1"/>
                <w:sz w:val="21"/>
                <w:szCs w:val="21"/>
                <w14:textFill>
                  <w14:solidFill>
                    <w14:schemeClr w14:val="tx1"/>
                  </w14:solidFill>
                </w14:textFill>
              </w:rPr>
              <w:t>mm</w:t>
            </w:r>
            <w:r>
              <w:rPr>
                <w:snapToGrid/>
                <w:color w:val="000000" w:themeColor="text1"/>
                <w:sz w:val="21"/>
                <w:szCs w:val="21"/>
                <w14:textFill>
                  <w14:solidFill>
                    <w14:schemeClr w14:val="tx1"/>
                  </w14:solidFill>
                </w14:textFill>
              </w:rPr>
              <w:t>×1000</w:t>
            </w:r>
            <w:r>
              <w:rPr>
                <w:rFonts w:hint="eastAsia"/>
                <w:snapToGrid/>
                <w:color w:val="000000" w:themeColor="text1"/>
                <w:sz w:val="21"/>
                <w:szCs w:val="21"/>
                <w14:textFill>
                  <w14:solidFill>
                    <w14:schemeClr w14:val="tx1"/>
                  </w14:solidFill>
                </w14:textFill>
              </w:rPr>
              <w:t>mm</w:t>
            </w:r>
            <w:r>
              <w:rPr>
                <w:snapToGrid/>
                <w:color w:val="000000" w:themeColor="text1"/>
                <w:sz w:val="21"/>
                <w:szCs w:val="21"/>
                <w14:textFill>
                  <w14:solidFill>
                    <w14:schemeClr w14:val="tx1"/>
                  </w14:solidFill>
                </w14:textFill>
              </w:rPr>
              <w:t>×500</w:t>
            </w:r>
            <w:r>
              <w:rPr>
                <w:rFonts w:hint="eastAsia"/>
                <w:snapToGrid/>
                <w:color w:val="000000" w:themeColor="text1"/>
                <w:sz w:val="21"/>
                <w:szCs w:val="21"/>
                <w14:textFill>
                  <w14:solidFill>
                    <w14:schemeClr w14:val="tx1"/>
                  </w14:solidFill>
                </w14:textFill>
              </w:rPr>
              <w:t>mm</w:t>
            </w:r>
          </w:p>
        </w:tc>
        <w:tc>
          <w:tcPr>
            <w:tcW w:w="1134" w:type="dxa"/>
            <w:tcBorders>
              <w:top w:val="single" w:color="000000" w:sz="4" w:space="0"/>
              <w:left w:val="single" w:color="000000" w:sz="4" w:space="0"/>
              <w:bottom w:val="single" w:color="000000" w:sz="4" w:space="0"/>
              <w:right w:val="single" w:color="000000" w:sz="4" w:space="0"/>
            </w:tcBorders>
            <w:vAlign w:val="center"/>
          </w:tcPr>
          <w:p w14:paraId="7D2B75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vAlign w:val="center"/>
          </w:tcPr>
          <w:p w14:paraId="075A11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255864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r>
      <w:tr w14:paraId="3A2F07D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2AE12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15</w:t>
            </w:r>
          </w:p>
        </w:tc>
        <w:tc>
          <w:tcPr>
            <w:tcW w:w="1418" w:type="dxa"/>
            <w:vMerge w:val="continue"/>
            <w:tcBorders>
              <w:left w:val="single" w:color="000000" w:sz="4" w:space="0"/>
              <w:right w:val="single" w:color="000000" w:sz="4" w:space="0"/>
            </w:tcBorders>
            <w:vAlign w:val="center"/>
          </w:tcPr>
          <w:p w14:paraId="2AFAE0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58428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洁净防爆干燥箱（小）</w:t>
            </w:r>
          </w:p>
        </w:tc>
        <w:tc>
          <w:tcPr>
            <w:tcW w:w="4536" w:type="dxa"/>
            <w:tcBorders>
              <w:top w:val="single" w:color="000000" w:sz="4" w:space="0"/>
              <w:left w:val="single" w:color="000000" w:sz="4" w:space="0"/>
              <w:bottom w:val="single" w:color="000000" w:sz="4" w:space="0"/>
              <w:right w:val="single" w:color="000000" w:sz="4" w:space="0"/>
            </w:tcBorders>
            <w:vAlign w:val="center"/>
          </w:tcPr>
          <w:p w14:paraId="6A0B17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200L</w:t>
            </w:r>
          </w:p>
        </w:tc>
        <w:tc>
          <w:tcPr>
            <w:tcW w:w="1134" w:type="dxa"/>
            <w:tcBorders>
              <w:top w:val="single" w:color="000000" w:sz="4" w:space="0"/>
              <w:left w:val="single" w:color="000000" w:sz="4" w:space="0"/>
              <w:bottom w:val="single" w:color="000000" w:sz="4" w:space="0"/>
              <w:right w:val="single" w:color="000000" w:sz="4" w:space="0"/>
            </w:tcBorders>
            <w:vAlign w:val="center"/>
          </w:tcPr>
          <w:p w14:paraId="46A270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vAlign w:val="center"/>
          </w:tcPr>
          <w:p w14:paraId="60B1E4C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23A2DE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w:t>
            </w:r>
          </w:p>
        </w:tc>
      </w:tr>
      <w:tr w14:paraId="642CB17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94CF4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16</w:t>
            </w:r>
          </w:p>
        </w:tc>
        <w:tc>
          <w:tcPr>
            <w:tcW w:w="1418" w:type="dxa"/>
            <w:vMerge w:val="continue"/>
            <w:tcBorders>
              <w:left w:val="single" w:color="000000" w:sz="4" w:space="0"/>
              <w:bottom w:val="single" w:color="000000" w:sz="4" w:space="0"/>
              <w:right w:val="single" w:color="000000" w:sz="4" w:space="0"/>
            </w:tcBorders>
            <w:vAlign w:val="center"/>
          </w:tcPr>
          <w:p w14:paraId="584B2A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56AB91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洁净防爆干燥箱（大）</w:t>
            </w:r>
          </w:p>
        </w:tc>
        <w:tc>
          <w:tcPr>
            <w:tcW w:w="4536" w:type="dxa"/>
            <w:tcBorders>
              <w:top w:val="single" w:color="000000" w:sz="4" w:space="0"/>
              <w:left w:val="single" w:color="000000" w:sz="4" w:space="0"/>
              <w:bottom w:val="single" w:color="000000" w:sz="4" w:space="0"/>
              <w:right w:val="single" w:color="000000" w:sz="4" w:space="0"/>
            </w:tcBorders>
            <w:vAlign w:val="center"/>
          </w:tcPr>
          <w:p w14:paraId="0EED49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1000L</w:t>
            </w:r>
          </w:p>
        </w:tc>
        <w:tc>
          <w:tcPr>
            <w:tcW w:w="1134" w:type="dxa"/>
            <w:tcBorders>
              <w:top w:val="single" w:color="000000" w:sz="4" w:space="0"/>
              <w:left w:val="single" w:color="000000" w:sz="4" w:space="0"/>
              <w:bottom w:val="single" w:color="000000" w:sz="4" w:space="0"/>
              <w:right w:val="single" w:color="000000" w:sz="4" w:space="0"/>
            </w:tcBorders>
            <w:vAlign w:val="center"/>
          </w:tcPr>
          <w:p w14:paraId="401C6D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vAlign w:val="center"/>
          </w:tcPr>
          <w:p w14:paraId="1D983B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620" w:type="dxa"/>
            <w:tcBorders>
              <w:top w:val="single" w:color="000000" w:sz="4" w:space="0"/>
              <w:left w:val="single" w:color="000000" w:sz="4" w:space="0"/>
              <w:bottom w:val="single" w:color="000000" w:sz="4" w:space="0"/>
              <w:right w:val="single" w:color="000000" w:sz="4" w:space="0"/>
            </w:tcBorders>
            <w:vAlign w:val="center"/>
          </w:tcPr>
          <w:p w14:paraId="7439B0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w:t>
            </w:r>
          </w:p>
        </w:tc>
      </w:tr>
      <w:tr w14:paraId="347D303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1A01C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bottom w:val="single" w:color="000000" w:sz="4" w:space="0"/>
              <w:right w:val="single" w:color="000000" w:sz="4" w:space="0"/>
            </w:tcBorders>
            <w:noWrap/>
            <w:vAlign w:val="center"/>
          </w:tcPr>
          <w:p w14:paraId="167192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石英产品（除石英环）</w:t>
            </w:r>
          </w:p>
        </w:tc>
        <w:tc>
          <w:tcPr>
            <w:tcW w:w="3244" w:type="dxa"/>
            <w:tcBorders>
              <w:top w:val="single" w:color="000000" w:sz="4" w:space="0"/>
              <w:left w:val="single" w:color="000000" w:sz="4" w:space="0"/>
              <w:bottom w:val="single" w:color="000000" w:sz="4" w:space="0"/>
              <w:right w:val="single" w:color="000000" w:sz="4" w:space="0"/>
            </w:tcBorders>
            <w:vAlign w:val="center"/>
          </w:tcPr>
          <w:p w14:paraId="1DFF77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大璇盘机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C8F5A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主轴通孔620mm，床身长度8000mm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529EF2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vAlign w:val="center"/>
          </w:tcPr>
          <w:p w14:paraId="36C2A8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4D758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59986C9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41B037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04386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59808C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退火炉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33A65D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2000mm*1000mm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105921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76" w:type="dxa"/>
            <w:tcBorders>
              <w:top w:val="single" w:color="000000" w:sz="4" w:space="0"/>
              <w:left w:val="single" w:color="000000" w:sz="4" w:space="0"/>
              <w:bottom w:val="single" w:color="000000" w:sz="4" w:space="0"/>
              <w:right w:val="single" w:color="000000" w:sz="4" w:space="0"/>
            </w:tcBorders>
          </w:tcPr>
          <w:p w14:paraId="4678BE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12D15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r>
      <w:tr w14:paraId="0CF2CC6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478BC4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7F32B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6CB41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喷砂房</w:t>
            </w:r>
          </w:p>
        </w:tc>
        <w:tc>
          <w:tcPr>
            <w:tcW w:w="4536" w:type="dxa"/>
            <w:tcBorders>
              <w:top w:val="single" w:color="000000" w:sz="4" w:space="0"/>
              <w:left w:val="single" w:color="000000" w:sz="4" w:space="0"/>
              <w:bottom w:val="single" w:color="000000" w:sz="4" w:space="0"/>
              <w:right w:val="single" w:color="000000" w:sz="4" w:space="0"/>
            </w:tcBorders>
            <w:vAlign w:val="center"/>
          </w:tcPr>
          <w:p w14:paraId="5E96C6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100平方米</w:t>
            </w:r>
          </w:p>
        </w:tc>
        <w:tc>
          <w:tcPr>
            <w:tcW w:w="1134" w:type="dxa"/>
            <w:tcBorders>
              <w:top w:val="single" w:color="000000" w:sz="4" w:space="0"/>
              <w:left w:val="single" w:color="000000" w:sz="4" w:space="0"/>
              <w:bottom w:val="single" w:color="000000" w:sz="4" w:space="0"/>
              <w:right w:val="single" w:color="000000" w:sz="4" w:space="0"/>
            </w:tcBorders>
            <w:vAlign w:val="center"/>
          </w:tcPr>
          <w:p w14:paraId="59472E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AC7E6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1D96B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057054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998B1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1D15A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78EE7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切割机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70493E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6000mm*600mm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44F0FC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6C2278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17CEB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2D647A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57225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720E0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351B1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圆筒机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101F14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6000mm*600mm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135FD6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EA337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68837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820AF6F">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186BE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95004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0DCC19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脱脂清洗</w:t>
            </w:r>
          </w:p>
        </w:tc>
        <w:tc>
          <w:tcPr>
            <w:tcW w:w="4536" w:type="dxa"/>
            <w:tcBorders>
              <w:top w:val="single" w:color="000000" w:sz="4" w:space="0"/>
              <w:left w:val="single" w:color="000000" w:sz="4" w:space="0"/>
              <w:bottom w:val="single" w:color="000000" w:sz="4" w:space="0"/>
              <w:right w:val="single" w:color="000000" w:sz="4" w:space="0"/>
            </w:tcBorders>
            <w:vAlign w:val="center"/>
          </w:tcPr>
          <w:p w14:paraId="69F924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6000X1000X800mm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15F90B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E41BD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B1ED0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E42FA8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8F702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73905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01820A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纯水冲淋</w:t>
            </w:r>
          </w:p>
        </w:tc>
        <w:tc>
          <w:tcPr>
            <w:tcW w:w="4536" w:type="dxa"/>
            <w:tcBorders>
              <w:top w:val="single" w:color="000000" w:sz="4" w:space="0"/>
              <w:left w:val="single" w:color="000000" w:sz="4" w:space="0"/>
              <w:bottom w:val="single" w:color="000000" w:sz="4" w:space="0"/>
              <w:right w:val="single" w:color="000000" w:sz="4" w:space="0"/>
            </w:tcBorders>
            <w:vAlign w:val="center"/>
          </w:tcPr>
          <w:p w14:paraId="74E046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6000X1000X800mm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5AF874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8A748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49BF6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0D4C6B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A92AC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7DE09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C1FF4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酸洗</w:t>
            </w:r>
          </w:p>
        </w:tc>
        <w:tc>
          <w:tcPr>
            <w:tcW w:w="4536" w:type="dxa"/>
            <w:tcBorders>
              <w:top w:val="single" w:color="000000" w:sz="4" w:space="0"/>
              <w:left w:val="single" w:color="000000" w:sz="4" w:space="0"/>
              <w:bottom w:val="single" w:color="000000" w:sz="4" w:space="0"/>
              <w:right w:val="single" w:color="000000" w:sz="4" w:space="0"/>
            </w:tcBorders>
            <w:vAlign w:val="center"/>
          </w:tcPr>
          <w:p w14:paraId="70F993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6000X1000X800mm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319C27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E952B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BA054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9C1F2F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DD886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6A1D2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190645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纯水超声</w:t>
            </w:r>
          </w:p>
        </w:tc>
        <w:tc>
          <w:tcPr>
            <w:tcW w:w="4536" w:type="dxa"/>
            <w:tcBorders>
              <w:top w:val="single" w:color="000000" w:sz="4" w:space="0"/>
              <w:left w:val="single" w:color="000000" w:sz="4" w:space="0"/>
              <w:bottom w:val="single" w:color="000000" w:sz="4" w:space="0"/>
              <w:right w:val="single" w:color="000000" w:sz="4" w:space="0"/>
            </w:tcBorders>
            <w:vAlign w:val="center"/>
          </w:tcPr>
          <w:p w14:paraId="20AEBE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6000X1000X800mm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6ADB89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34845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6A52D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30A6DB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70927D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bottom w:val="single" w:color="000000" w:sz="4" w:space="0"/>
              <w:right w:val="single" w:color="000000" w:sz="4" w:space="0"/>
            </w:tcBorders>
            <w:noWrap/>
            <w:vAlign w:val="center"/>
          </w:tcPr>
          <w:p w14:paraId="3EF500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硅产品生产线（包括石英环）</w:t>
            </w: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82EA0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掏芯机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0FDA0C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沈阳华腾数控立式钻铣床 HT-ZK5460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B0EB1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tcPr>
          <w:p w14:paraId="3DBBC7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7ECD0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614A6F30">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42200F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2F6CB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30F13F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单线切割</w:t>
            </w:r>
          </w:p>
        </w:tc>
        <w:tc>
          <w:tcPr>
            <w:tcW w:w="4536" w:type="dxa"/>
            <w:tcBorders>
              <w:top w:val="single" w:color="000000" w:sz="4" w:space="0"/>
              <w:left w:val="single" w:color="000000" w:sz="4" w:space="0"/>
              <w:bottom w:val="single" w:color="000000" w:sz="4" w:space="0"/>
              <w:right w:val="single" w:color="000000" w:sz="4" w:space="0"/>
            </w:tcBorders>
            <w:vAlign w:val="center"/>
          </w:tcPr>
          <w:p w14:paraId="3215A2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上海日进 单线裁断机    NWD-600JD</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2FF07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276" w:type="dxa"/>
            <w:tcBorders>
              <w:top w:val="single" w:color="000000" w:sz="4" w:space="0"/>
              <w:left w:val="single" w:color="000000" w:sz="4" w:space="0"/>
              <w:bottom w:val="single" w:color="000000" w:sz="4" w:space="0"/>
              <w:right w:val="single" w:color="000000" w:sz="4" w:space="0"/>
            </w:tcBorders>
          </w:tcPr>
          <w:p w14:paraId="0CC55E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ABF20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r>
      <w:tr w14:paraId="56842078">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7F9871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640CE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F41D1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多线切割</w:t>
            </w:r>
          </w:p>
        </w:tc>
        <w:tc>
          <w:tcPr>
            <w:tcW w:w="4536" w:type="dxa"/>
            <w:tcBorders>
              <w:top w:val="single" w:color="000000" w:sz="4" w:space="0"/>
              <w:left w:val="single" w:color="000000" w:sz="4" w:space="0"/>
              <w:bottom w:val="single" w:color="000000" w:sz="4" w:space="0"/>
              <w:right w:val="single" w:color="000000" w:sz="4" w:space="0"/>
            </w:tcBorders>
            <w:vAlign w:val="center"/>
          </w:tcPr>
          <w:p w14:paraId="2B1369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唐山晶玉 多线切割机  YBDX5056</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2C9CC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76" w:type="dxa"/>
            <w:tcBorders>
              <w:top w:val="single" w:color="000000" w:sz="4" w:space="0"/>
              <w:left w:val="single" w:color="000000" w:sz="4" w:space="0"/>
              <w:bottom w:val="single" w:color="000000" w:sz="4" w:space="0"/>
              <w:right w:val="single" w:color="000000" w:sz="4" w:space="0"/>
            </w:tcBorders>
          </w:tcPr>
          <w:p w14:paraId="32A687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99CFC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r>
      <w:tr w14:paraId="5628084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5DE83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46E1C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F454B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车床切割</w:t>
            </w:r>
          </w:p>
        </w:tc>
        <w:tc>
          <w:tcPr>
            <w:tcW w:w="4536" w:type="dxa"/>
            <w:tcBorders>
              <w:top w:val="single" w:color="000000" w:sz="4" w:space="0"/>
              <w:left w:val="single" w:color="000000" w:sz="4" w:space="0"/>
              <w:bottom w:val="single" w:color="000000" w:sz="4" w:space="0"/>
              <w:right w:val="single" w:color="000000" w:sz="4" w:space="0"/>
            </w:tcBorders>
            <w:vAlign w:val="center"/>
          </w:tcPr>
          <w:p w14:paraId="5064C5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宝鸡/You Ji</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4F1AF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tcPr>
          <w:p w14:paraId="06E998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A9521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237F8E2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8D383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56ADC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2F8761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平磨机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77C14D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台湾佳和新机CRG-H6/日进磨床NVG-1000DNVG-750/OD磨床TGUA-35A</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DC7CE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1276" w:type="dxa"/>
            <w:tcBorders>
              <w:top w:val="single" w:color="000000" w:sz="4" w:space="0"/>
              <w:left w:val="single" w:color="000000" w:sz="4" w:space="0"/>
              <w:bottom w:val="single" w:color="000000" w:sz="4" w:space="0"/>
              <w:right w:val="single" w:color="000000" w:sz="4" w:space="0"/>
            </w:tcBorders>
          </w:tcPr>
          <w:p w14:paraId="053857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D6FC2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r>
      <w:tr w14:paraId="26E4749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F7D1C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DA8F2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564C2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转台</w:t>
            </w:r>
          </w:p>
        </w:tc>
        <w:tc>
          <w:tcPr>
            <w:tcW w:w="4536" w:type="dxa"/>
            <w:tcBorders>
              <w:top w:val="single" w:color="000000" w:sz="4" w:space="0"/>
              <w:left w:val="single" w:color="000000" w:sz="4" w:space="0"/>
              <w:bottom w:val="single" w:color="000000" w:sz="4" w:space="0"/>
              <w:right w:val="single" w:color="000000" w:sz="4" w:space="0"/>
            </w:tcBorders>
            <w:vAlign w:val="center"/>
          </w:tcPr>
          <w:p w14:paraId="458E2C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常州/华驰</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A4D7A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c>
          <w:tcPr>
            <w:tcW w:w="1276" w:type="dxa"/>
            <w:tcBorders>
              <w:top w:val="single" w:color="000000" w:sz="4" w:space="0"/>
              <w:left w:val="single" w:color="000000" w:sz="4" w:space="0"/>
              <w:bottom w:val="single" w:color="000000" w:sz="4" w:space="0"/>
              <w:right w:val="single" w:color="000000" w:sz="4" w:space="0"/>
            </w:tcBorders>
          </w:tcPr>
          <w:p w14:paraId="0965FC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8A6ED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r>
      <w:tr w14:paraId="068323C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55A92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EB37F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72F88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MCT</w:t>
            </w:r>
          </w:p>
        </w:tc>
        <w:tc>
          <w:tcPr>
            <w:tcW w:w="4536" w:type="dxa"/>
            <w:tcBorders>
              <w:top w:val="single" w:color="000000" w:sz="4" w:space="0"/>
              <w:left w:val="single" w:color="000000" w:sz="4" w:space="0"/>
              <w:bottom w:val="single" w:color="000000" w:sz="4" w:space="0"/>
              <w:right w:val="single" w:color="000000" w:sz="4" w:space="0"/>
            </w:tcBorders>
            <w:vAlign w:val="center"/>
          </w:tcPr>
          <w:p w14:paraId="25A1D8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捷甬达/纽威/颖元/马扎克/澳柯玛</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D0A06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150</w:t>
            </w:r>
          </w:p>
        </w:tc>
        <w:tc>
          <w:tcPr>
            <w:tcW w:w="1276" w:type="dxa"/>
            <w:tcBorders>
              <w:top w:val="single" w:color="000000" w:sz="4" w:space="0"/>
              <w:left w:val="single" w:color="000000" w:sz="4" w:space="0"/>
              <w:bottom w:val="single" w:color="000000" w:sz="4" w:space="0"/>
              <w:right w:val="single" w:color="000000" w:sz="4" w:space="0"/>
            </w:tcBorders>
          </w:tcPr>
          <w:p w14:paraId="14B109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6C09E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150</w:t>
            </w:r>
          </w:p>
        </w:tc>
      </w:tr>
      <w:tr w14:paraId="1EADBFE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7000B4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61994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E65B1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抛光机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1E63F7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SINGLE SIDE POLISHNG MACHNE/台克立</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C198E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76" w:type="dxa"/>
            <w:tcBorders>
              <w:top w:val="single" w:color="000000" w:sz="4" w:space="0"/>
              <w:left w:val="single" w:color="000000" w:sz="4" w:space="0"/>
              <w:bottom w:val="single" w:color="000000" w:sz="4" w:space="0"/>
              <w:right w:val="single" w:color="000000" w:sz="4" w:space="0"/>
            </w:tcBorders>
          </w:tcPr>
          <w:p w14:paraId="7B7647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3A652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1AE49A4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0AA807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B39E8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27A04D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研磨机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4BD1BA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名正</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7F9E3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76" w:type="dxa"/>
            <w:tcBorders>
              <w:top w:val="single" w:color="000000" w:sz="4" w:space="0"/>
              <w:left w:val="single" w:color="000000" w:sz="4" w:space="0"/>
              <w:bottom w:val="single" w:color="000000" w:sz="4" w:space="0"/>
              <w:right w:val="single" w:color="000000" w:sz="4" w:space="0"/>
            </w:tcBorders>
          </w:tcPr>
          <w:p w14:paraId="588A7F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44CA1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0B5CE1C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4EFEB9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D18C6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A776D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刻蚀线</w:t>
            </w:r>
          </w:p>
        </w:tc>
        <w:tc>
          <w:tcPr>
            <w:tcW w:w="4536" w:type="dxa"/>
            <w:tcBorders>
              <w:top w:val="single" w:color="000000" w:sz="4" w:space="0"/>
              <w:left w:val="single" w:color="000000" w:sz="4" w:space="0"/>
              <w:bottom w:val="single" w:color="000000" w:sz="4" w:space="0"/>
              <w:right w:val="single" w:color="000000" w:sz="4" w:space="0"/>
            </w:tcBorders>
            <w:vAlign w:val="center"/>
          </w:tcPr>
          <w:p w14:paraId="32A0BC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科本</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B69C7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040B66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46C57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019DB215">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054EAF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6A3B6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18DF2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光学显微镜</w:t>
            </w:r>
          </w:p>
        </w:tc>
        <w:tc>
          <w:tcPr>
            <w:tcW w:w="4536" w:type="dxa"/>
            <w:tcBorders>
              <w:top w:val="single" w:color="000000" w:sz="4" w:space="0"/>
              <w:left w:val="single" w:color="000000" w:sz="4" w:space="0"/>
              <w:bottom w:val="single" w:color="000000" w:sz="4" w:space="0"/>
              <w:right w:val="single" w:color="000000" w:sz="4" w:space="0"/>
            </w:tcBorders>
            <w:vAlign w:val="center"/>
          </w:tcPr>
          <w:p w14:paraId="7D96C6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基恩士710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C576B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60C29F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5607C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2FFD07F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9C580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8D359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F1E55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粗糙度仪</w:t>
            </w:r>
          </w:p>
        </w:tc>
        <w:tc>
          <w:tcPr>
            <w:tcW w:w="4536" w:type="dxa"/>
            <w:tcBorders>
              <w:top w:val="single" w:color="000000" w:sz="4" w:space="0"/>
              <w:left w:val="single" w:color="000000" w:sz="4" w:space="0"/>
              <w:bottom w:val="single" w:color="000000" w:sz="4" w:space="0"/>
              <w:right w:val="single" w:color="000000" w:sz="4" w:space="0"/>
            </w:tcBorders>
            <w:vAlign w:val="center"/>
          </w:tcPr>
          <w:p w14:paraId="79CFE7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SJ410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7EA73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3862D9E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34E5A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4A515C4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92764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750E1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14E059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影像仪</w:t>
            </w:r>
          </w:p>
        </w:tc>
        <w:tc>
          <w:tcPr>
            <w:tcW w:w="4536" w:type="dxa"/>
            <w:tcBorders>
              <w:top w:val="single" w:color="000000" w:sz="4" w:space="0"/>
              <w:left w:val="single" w:color="000000" w:sz="4" w:space="0"/>
              <w:bottom w:val="single" w:color="000000" w:sz="4" w:space="0"/>
              <w:right w:val="single" w:color="000000" w:sz="4" w:space="0"/>
            </w:tcBorders>
            <w:vAlign w:val="center"/>
          </w:tcPr>
          <w:p w14:paraId="7DC65C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德仁652</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DC884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507FA7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C5A96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524A98DD">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E4EF0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56F57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3B8509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三坐标</w:t>
            </w:r>
          </w:p>
        </w:tc>
        <w:tc>
          <w:tcPr>
            <w:tcW w:w="4536" w:type="dxa"/>
            <w:tcBorders>
              <w:top w:val="single" w:color="000000" w:sz="4" w:space="0"/>
              <w:left w:val="single" w:color="000000" w:sz="4" w:space="0"/>
              <w:bottom w:val="single" w:color="000000" w:sz="4" w:space="0"/>
              <w:right w:val="single" w:color="000000" w:sz="4" w:space="0"/>
            </w:tcBorders>
            <w:vAlign w:val="center"/>
          </w:tcPr>
          <w:p w14:paraId="79C6B3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德仁81206/海克斯康8106/海克斯康102108</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6D84B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276" w:type="dxa"/>
            <w:tcBorders>
              <w:top w:val="single" w:color="000000" w:sz="4" w:space="0"/>
              <w:left w:val="single" w:color="000000" w:sz="4" w:space="0"/>
              <w:bottom w:val="single" w:color="000000" w:sz="4" w:space="0"/>
              <w:right w:val="single" w:color="000000" w:sz="4" w:space="0"/>
            </w:tcBorders>
          </w:tcPr>
          <w:p w14:paraId="42DF4E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BDA57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r>
      <w:tr w14:paraId="0980854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2D73B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62158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285FE6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千级清洗线（含洁净室装修）</w:t>
            </w:r>
          </w:p>
        </w:tc>
        <w:tc>
          <w:tcPr>
            <w:tcW w:w="4536" w:type="dxa"/>
            <w:tcBorders>
              <w:top w:val="single" w:color="000000" w:sz="4" w:space="0"/>
              <w:left w:val="single" w:color="000000" w:sz="4" w:space="0"/>
              <w:bottom w:val="single" w:color="000000" w:sz="4" w:space="0"/>
              <w:right w:val="single" w:color="000000" w:sz="4" w:space="0"/>
            </w:tcBorders>
            <w:vAlign w:val="center"/>
          </w:tcPr>
          <w:p w14:paraId="02275C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科本</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B038D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tcPr>
          <w:p w14:paraId="12620A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64AAA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39644FD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284F3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17469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9F444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烘箱</w:t>
            </w:r>
          </w:p>
        </w:tc>
        <w:tc>
          <w:tcPr>
            <w:tcW w:w="4536" w:type="dxa"/>
            <w:tcBorders>
              <w:top w:val="single" w:color="000000" w:sz="4" w:space="0"/>
              <w:left w:val="single" w:color="000000" w:sz="4" w:space="0"/>
              <w:bottom w:val="single" w:color="000000" w:sz="4" w:space="0"/>
              <w:right w:val="single" w:color="000000" w:sz="4" w:space="0"/>
            </w:tcBorders>
            <w:vAlign w:val="center"/>
          </w:tcPr>
          <w:p w14:paraId="3AE983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阿泰可</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B55E6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tcPr>
          <w:p w14:paraId="1979FA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79C11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760125BF">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85818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6A7B9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2B8ECF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百级清洗线（含洁净室装修）</w:t>
            </w:r>
          </w:p>
        </w:tc>
        <w:tc>
          <w:tcPr>
            <w:tcW w:w="4536" w:type="dxa"/>
            <w:tcBorders>
              <w:top w:val="single" w:color="000000" w:sz="4" w:space="0"/>
              <w:left w:val="single" w:color="000000" w:sz="4" w:space="0"/>
              <w:bottom w:val="single" w:color="000000" w:sz="4" w:space="0"/>
              <w:right w:val="single" w:color="000000" w:sz="4" w:space="0"/>
            </w:tcBorders>
            <w:vAlign w:val="center"/>
          </w:tcPr>
          <w:p w14:paraId="20B385C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科本、苏州尚纯</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220F8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65EDA1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8468F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3F67942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511FF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E8F5F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1D5246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LPC</w:t>
            </w:r>
          </w:p>
        </w:tc>
        <w:tc>
          <w:tcPr>
            <w:tcW w:w="4536" w:type="dxa"/>
            <w:tcBorders>
              <w:top w:val="single" w:color="000000" w:sz="4" w:space="0"/>
              <w:left w:val="single" w:color="000000" w:sz="4" w:space="0"/>
              <w:bottom w:val="single" w:color="000000" w:sz="4" w:space="0"/>
              <w:right w:val="single" w:color="000000" w:sz="4" w:space="0"/>
            </w:tcBorders>
            <w:vAlign w:val="center"/>
          </w:tcPr>
          <w:p w14:paraId="7872C3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日本理音KS-42B</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5B078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3E0C81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0C277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2700749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03AC35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0911D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A1925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真空包装机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11B079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迩杰罗包装机</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A2D99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026078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9F3BF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1F9E94F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7861C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EFD4B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63FA5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激光打标机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32B019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ALF-N20/ALC-N10W</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8C829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21E124C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54DAAC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472CF2B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1C603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bottom w:val="single" w:color="000000" w:sz="4" w:space="0"/>
              <w:right w:val="single" w:color="000000" w:sz="4" w:space="0"/>
            </w:tcBorders>
            <w:noWrap/>
            <w:vAlign w:val="center"/>
          </w:tcPr>
          <w:p w14:paraId="4472C7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陶瓷产品生产线</w:t>
            </w: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0255C0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CIP</w:t>
            </w:r>
          </w:p>
        </w:tc>
        <w:tc>
          <w:tcPr>
            <w:tcW w:w="4536" w:type="dxa"/>
            <w:tcBorders>
              <w:top w:val="single" w:color="000000" w:sz="4" w:space="0"/>
              <w:left w:val="single" w:color="000000" w:sz="4" w:space="0"/>
              <w:bottom w:val="single" w:color="000000" w:sz="4" w:space="0"/>
              <w:right w:val="single" w:color="000000" w:sz="4" w:space="0"/>
            </w:tcBorders>
            <w:vAlign w:val="center"/>
          </w:tcPr>
          <w:p w14:paraId="2EB95B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5000×5000/30kw/380v</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7F64F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5F4E20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33C30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1782F2A8">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2677C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71722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D890F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车床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1E3766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斗山 LYNX220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E54E3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29AFB4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4AD4D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763BE78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5A3D1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8ADC2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D0FD2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精雕机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730D83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德夫曼 DFM-G400-Z4</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876DC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304BB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79E7D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1A10CF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732EB7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23DF60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E154D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烧结炉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124FEB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韩国烧结炉 KF2017-1001/费舍罗烧结炉 FZL-320117</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F08DC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tcPr>
          <w:p w14:paraId="320FEF0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8528A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00553BB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A7A27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B43C1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151AE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成型磨床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459401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普创  PGS-618M</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A0AE0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6E5437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FE85D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0699C75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0E0FE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285BE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FEEFA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数控外圆磨床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1E0392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上海机床MKA1320C/H</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A1E51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48307C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7313A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3108343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48183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7AF69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F7023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平面磨床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3C13AB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普创自动平面磨床 PGC-50150AHD/韩国 Youji YGS-2512SCYZ</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99AFF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2A56C0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D2A0B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2886526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2C838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6384F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95601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手动外圆磨床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238E3B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豪特曼 FX32-60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29A11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B9976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9568D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24E8B3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441445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8C7E5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07B699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工具磨床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033AA4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豪特曼万能工具磨床 FX-40/营口万能工具磨床 2M91256</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BCF73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6094AA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26F48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71E3034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A3F76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FC13F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39CCC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无心磨床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7157C7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富信成 HX80-518S</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F868A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78D77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92880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2F86F2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D01B8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61C3E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48B62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MCT</w:t>
            </w:r>
          </w:p>
        </w:tc>
        <w:tc>
          <w:tcPr>
            <w:tcW w:w="4536" w:type="dxa"/>
            <w:tcBorders>
              <w:top w:val="single" w:color="000000" w:sz="4" w:space="0"/>
              <w:left w:val="single" w:color="000000" w:sz="4" w:space="0"/>
              <w:bottom w:val="single" w:color="000000" w:sz="4" w:space="0"/>
              <w:right w:val="single" w:color="000000" w:sz="4" w:space="0"/>
            </w:tcBorders>
            <w:vAlign w:val="center"/>
          </w:tcPr>
          <w:p w14:paraId="2261D8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颖元/捷甬达</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EBACC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276" w:type="dxa"/>
            <w:tcBorders>
              <w:top w:val="single" w:color="000000" w:sz="4" w:space="0"/>
              <w:left w:val="single" w:color="000000" w:sz="4" w:space="0"/>
              <w:bottom w:val="single" w:color="000000" w:sz="4" w:space="0"/>
              <w:right w:val="single" w:color="000000" w:sz="4" w:space="0"/>
            </w:tcBorders>
          </w:tcPr>
          <w:p w14:paraId="7F4A51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121A65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r>
      <w:tr w14:paraId="06DF56D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FCC8F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5B359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1C889E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激光打标机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403A77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ALF-N20/ALC-N10W</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DFB00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1585B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5BA4B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16EF8A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411289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F279F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2E2105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影像仪</w:t>
            </w:r>
          </w:p>
        </w:tc>
        <w:tc>
          <w:tcPr>
            <w:tcW w:w="4536" w:type="dxa"/>
            <w:tcBorders>
              <w:top w:val="single" w:color="000000" w:sz="4" w:space="0"/>
              <w:left w:val="single" w:color="000000" w:sz="4" w:space="0"/>
              <w:bottom w:val="single" w:color="000000" w:sz="4" w:space="0"/>
              <w:right w:val="single" w:color="000000" w:sz="4" w:space="0"/>
            </w:tcBorders>
            <w:vAlign w:val="center"/>
          </w:tcPr>
          <w:p w14:paraId="43EA01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德仁652</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34EBA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E57FE0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0BA2D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3A019D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94546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1BBF7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0313EA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三坐标</w:t>
            </w:r>
          </w:p>
        </w:tc>
        <w:tc>
          <w:tcPr>
            <w:tcW w:w="4536" w:type="dxa"/>
            <w:tcBorders>
              <w:top w:val="single" w:color="000000" w:sz="4" w:space="0"/>
              <w:left w:val="single" w:color="000000" w:sz="4" w:space="0"/>
              <w:bottom w:val="single" w:color="000000" w:sz="4" w:space="0"/>
              <w:right w:val="single" w:color="000000" w:sz="4" w:space="0"/>
            </w:tcBorders>
            <w:vAlign w:val="center"/>
          </w:tcPr>
          <w:p w14:paraId="2E0BD56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德仁81206/海克斯康8106/海克斯康102108</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705CE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4E0E9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35EB7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CF8827D">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00B99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81757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27D60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气氛炉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4EF53A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4000×5000/75kw/380V</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0C6CD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55C10E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A57FF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7DBEDB3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74B2CB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A4161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09547F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500T油压机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099EDE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5000×5000/25kw/380v</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ECB8E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238CD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832BE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B27984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DEBD0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ABCC9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377CED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DIP</w:t>
            </w:r>
          </w:p>
        </w:tc>
        <w:tc>
          <w:tcPr>
            <w:tcW w:w="4536" w:type="dxa"/>
            <w:tcBorders>
              <w:top w:val="single" w:color="000000" w:sz="4" w:space="0"/>
              <w:left w:val="single" w:color="000000" w:sz="4" w:space="0"/>
              <w:bottom w:val="single" w:color="000000" w:sz="4" w:space="0"/>
              <w:right w:val="single" w:color="000000" w:sz="4" w:space="0"/>
            </w:tcBorders>
            <w:vAlign w:val="center"/>
          </w:tcPr>
          <w:p w14:paraId="4EB6D4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2000×4000/20kw/380V</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71247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3438DC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1A3FC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09513BF">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0908A8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C31D5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0EDFCE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震动台</w:t>
            </w:r>
          </w:p>
        </w:tc>
        <w:tc>
          <w:tcPr>
            <w:tcW w:w="4536" w:type="dxa"/>
            <w:tcBorders>
              <w:top w:val="single" w:color="000000" w:sz="4" w:space="0"/>
              <w:left w:val="single" w:color="000000" w:sz="4" w:space="0"/>
              <w:bottom w:val="single" w:color="000000" w:sz="4" w:space="0"/>
              <w:right w:val="single" w:color="000000" w:sz="4" w:space="0"/>
            </w:tcBorders>
            <w:vAlign w:val="center"/>
          </w:tcPr>
          <w:p w14:paraId="3AF12D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3000×3000/5kw/380V</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16920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9082C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99628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279C4A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22377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5A4BA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BA632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真空包装机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11F055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3000×3000/20kw/380V</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BFCA1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5DBF9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2F600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E67B0C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4795F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F53A9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78FB2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CNC</w:t>
            </w:r>
          </w:p>
        </w:tc>
        <w:tc>
          <w:tcPr>
            <w:tcW w:w="4536" w:type="dxa"/>
            <w:tcBorders>
              <w:top w:val="single" w:color="000000" w:sz="4" w:space="0"/>
              <w:left w:val="single" w:color="000000" w:sz="4" w:space="0"/>
              <w:bottom w:val="single" w:color="000000" w:sz="4" w:space="0"/>
              <w:right w:val="single" w:color="000000" w:sz="4" w:space="0"/>
            </w:tcBorders>
            <w:vAlign w:val="center"/>
          </w:tcPr>
          <w:p w14:paraId="3ED298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3000×4000/20kw/380V</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02FA6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2F1B3E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331F3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129D36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AF588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87F98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31F874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加热台</w:t>
            </w:r>
          </w:p>
        </w:tc>
        <w:tc>
          <w:tcPr>
            <w:tcW w:w="4536" w:type="dxa"/>
            <w:tcBorders>
              <w:top w:val="single" w:color="000000" w:sz="4" w:space="0"/>
              <w:left w:val="single" w:color="000000" w:sz="4" w:space="0"/>
              <w:bottom w:val="single" w:color="000000" w:sz="4" w:space="0"/>
              <w:right w:val="single" w:color="000000" w:sz="4" w:space="0"/>
            </w:tcBorders>
            <w:vAlign w:val="center"/>
          </w:tcPr>
          <w:p w14:paraId="239372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2000×1300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AAD32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173BC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0037E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637D5A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7CA090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6E6B0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B042A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平面磨床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79D55F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YGS-2512SCYZ</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9C4FA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64DCC4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472E1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2A1A98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70D12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B90A0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67B6A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龙门加工中心</w:t>
            </w:r>
          </w:p>
        </w:tc>
        <w:tc>
          <w:tcPr>
            <w:tcW w:w="4536" w:type="dxa"/>
            <w:tcBorders>
              <w:top w:val="single" w:color="000000" w:sz="4" w:space="0"/>
              <w:left w:val="single" w:color="000000" w:sz="4" w:space="0"/>
              <w:bottom w:val="single" w:color="000000" w:sz="4" w:space="0"/>
              <w:right w:val="single" w:color="000000" w:sz="4" w:space="0"/>
            </w:tcBorders>
            <w:vAlign w:val="center"/>
          </w:tcPr>
          <w:p w14:paraId="77BC79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BTMC-0814</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47D1E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F1262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F4D46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DCBDCB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3EF224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A6EDE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3A52F2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加工中心</w:t>
            </w:r>
          </w:p>
        </w:tc>
        <w:tc>
          <w:tcPr>
            <w:tcW w:w="4536" w:type="dxa"/>
            <w:tcBorders>
              <w:top w:val="single" w:color="000000" w:sz="4" w:space="0"/>
              <w:left w:val="single" w:color="000000" w:sz="4" w:space="0"/>
              <w:bottom w:val="single" w:color="000000" w:sz="4" w:space="0"/>
              <w:right w:val="single" w:color="000000" w:sz="4" w:space="0"/>
            </w:tcBorders>
            <w:vAlign w:val="center"/>
          </w:tcPr>
          <w:p w14:paraId="1B288A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VMC-FU2101AF</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D5E59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76" w:type="dxa"/>
            <w:tcBorders>
              <w:top w:val="single" w:color="000000" w:sz="4" w:space="0"/>
              <w:left w:val="single" w:color="000000" w:sz="4" w:space="0"/>
              <w:bottom w:val="single" w:color="000000" w:sz="4" w:space="0"/>
              <w:right w:val="single" w:color="000000" w:sz="4" w:space="0"/>
            </w:tcBorders>
          </w:tcPr>
          <w:p w14:paraId="2798DD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E6AAF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206DAFF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0DF77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7E90E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02E750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龙门加工中心</w:t>
            </w:r>
          </w:p>
        </w:tc>
        <w:tc>
          <w:tcPr>
            <w:tcW w:w="4536" w:type="dxa"/>
            <w:tcBorders>
              <w:top w:val="single" w:color="000000" w:sz="4" w:space="0"/>
              <w:left w:val="single" w:color="000000" w:sz="4" w:space="0"/>
              <w:bottom w:val="single" w:color="000000" w:sz="4" w:space="0"/>
              <w:right w:val="single" w:color="000000" w:sz="4" w:space="0"/>
            </w:tcBorders>
            <w:vAlign w:val="center"/>
          </w:tcPr>
          <w:p w14:paraId="7F16E1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BTMC(L)-0812</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BCFAE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961C6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6F718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7763A55">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B04D2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31219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18662C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平面磨床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22C198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PGC-50150AHD</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7F1F1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7D054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E45D1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50D6F2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DA8B5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C4056C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B4E5A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加工中心</w:t>
            </w:r>
          </w:p>
        </w:tc>
        <w:tc>
          <w:tcPr>
            <w:tcW w:w="4536" w:type="dxa"/>
            <w:tcBorders>
              <w:top w:val="single" w:color="000000" w:sz="4" w:space="0"/>
              <w:left w:val="single" w:color="000000" w:sz="4" w:space="0"/>
              <w:bottom w:val="single" w:color="000000" w:sz="4" w:space="0"/>
              <w:right w:val="single" w:color="000000" w:sz="4" w:space="0"/>
            </w:tcBorders>
            <w:vAlign w:val="center"/>
          </w:tcPr>
          <w:p w14:paraId="0804E9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VMC-AP1000AF</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F784A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4DC79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929D6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C680730">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F6E08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B4729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410DC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数控外圆磨床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25DFB7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MKA132C/H</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29D36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3440EC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9CDEF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3932711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DE892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E419A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5CA09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众肯高精密外圆磨床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72D808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FX32-60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4C0F9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A215E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D405C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D288345">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F293C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BF736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6016B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众肯高精密无心磨床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5F83CB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FX-18S</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E13AA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3891B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DF0E2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4C68C0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640A9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31</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9A476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1553C8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推板试自动送/推料机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4A519F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无心磨床用</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86C16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25A5FC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BCA8E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EAB83A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FF74E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D8B49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38D05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精雕机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41372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DFM-G400-Z4</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923A2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7269C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F5944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96DB90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4E64D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24B0F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4A034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斗山数控车床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510B90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Lynx220B-NT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3C1FB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3D1B0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E5CCE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DEADD90">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316094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11E1FE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BBBC4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曦华干袋式等静压机DIP</w:t>
            </w:r>
          </w:p>
        </w:tc>
        <w:tc>
          <w:tcPr>
            <w:tcW w:w="4536" w:type="dxa"/>
            <w:tcBorders>
              <w:top w:val="single" w:color="000000" w:sz="4" w:space="0"/>
              <w:left w:val="single" w:color="000000" w:sz="4" w:space="0"/>
              <w:bottom w:val="single" w:color="000000" w:sz="4" w:space="0"/>
              <w:right w:val="single" w:color="000000" w:sz="4" w:space="0"/>
            </w:tcBorders>
            <w:vAlign w:val="center"/>
          </w:tcPr>
          <w:p w14:paraId="4D750B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XH-850A</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E3A67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19451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1F48D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15F0DD8">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4642C9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B3685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5A412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冷等静压机CIP</w:t>
            </w:r>
          </w:p>
        </w:tc>
        <w:tc>
          <w:tcPr>
            <w:tcW w:w="4536" w:type="dxa"/>
            <w:tcBorders>
              <w:top w:val="single" w:color="000000" w:sz="4" w:space="0"/>
              <w:left w:val="single" w:color="000000" w:sz="4" w:space="0"/>
              <w:bottom w:val="single" w:color="000000" w:sz="4" w:space="0"/>
              <w:right w:val="single" w:color="000000" w:sz="4" w:space="0"/>
            </w:tcBorders>
            <w:vAlign w:val="center"/>
          </w:tcPr>
          <w:p w14:paraId="4272B8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ZA-CIP-001</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629CC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C99ED4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830C0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444F4F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06A2E2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1DCCE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EF344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万能工具磨床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559142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2M9125C</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0AD34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FD225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BF4AA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A0654F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4763E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75183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D1E1C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万能工具磨床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07265E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FX-40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60767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52400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138C5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C403FC4">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FF6BD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7D3D0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401E4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普创（手动）平面磨床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17A3AC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PGS-618M</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D11A1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287912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7CE9B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B5A27E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7DB21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C98DA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2F07A4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可控气氛任务处理炉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534C4E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TM-EA808060F</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15984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523D4A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46540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0B0E131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1CBA85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A9477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CB292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钟罩式烧结炉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19B5BE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FZL-320/17</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C4C9A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76" w:type="dxa"/>
            <w:tcBorders>
              <w:top w:val="single" w:color="000000" w:sz="4" w:space="0"/>
              <w:left w:val="single" w:color="000000" w:sz="4" w:space="0"/>
              <w:bottom w:val="single" w:color="000000" w:sz="4" w:space="0"/>
              <w:right w:val="single" w:color="000000" w:sz="4" w:space="0"/>
            </w:tcBorders>
          </w:tcPr>
          <w:p w14:paraId="51C9A9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07CB3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71B0E15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35FF03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bottom w:val="single" w:color="000000" w:sz="4" w:space="0"/>
              <w:right w:val="single" w:color="000000" w:sz="4" w:space="0"/>
            </w:tcBorders>
            <w:noWrap/>
            <w:vAlign w:val="center"/>
          </w:tcPr>
          <w:p w14:paraId="1348E8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碳化硅产品生产线</w:t>
            </w: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F0512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CVD SIC 再生设备</w:t>
            </w:r>
          </w:p>
        </w:tc>
        <w:tc>
          <w:tcPr>
            <w:tcW w:w="4536" w:type="dxa"/>
            <w:tcBorders>
              <w:top w:val="single" w:color="000000" w:sz="4" w:space="0"/>
              <w:left w:val="single" w:color="000000" w:sz="4" w:space="0"/>
              <w:bottom w:val="single" w:color="000000" w:sz="4" w:space="0"/>
              <w:right w:val="single" w:color="000000" w:sz="4" w:space="0"/>
            </w:tcBorders>
            <w:vAlign w:val="center"/>
          </w:tcPr>
          <w:p w14:paraId="3090EB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定制设备</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2B436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16902A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3CD9A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49ADB3B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9C250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EA956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16716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真空泵</w:t>
            </w:r>
          </w:p>
        </w:tc>
        <w:tc>
          <w:tcPr>
            <w:tcW w:w="4536" w:type="dxa"/>
            <w:tcBorders>
              <w:top w:val="single" w:color="000000" w:sz="4" w:space="0"/>
              <w:left w:val="single" w:color="000000" w:sz="4" w:space="0"/>
              <w:bottom w:val="single" w:color="000000" w:sz="4" w:space="0"/>
              <w:right w:val="single" w:color="000000" w:sz="4" w:space="0"/>
            </w:tcBorders>
            <w:vAlign w:val="center"/>
          </w:tcPr>
          <w:p w14:paraId="4ADCF5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9C08B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AADCD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8B102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FD9019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7D564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08612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2753E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叉车</w:t>
            </w:r>
          </w:p>
        </w:tc>
        <w:tc>
          <w:tcPr>
            <w:tcW w:w="4536" w:type="dxa"/>
            <w:tcBorders>
              <w:top w:val="single" w:color="000000" w:sz="4" w:space="0"/>
              <w:left w:val="single" w:color="000000" w:sz="4" w:space="0"/>
              <w:bottom w:val="single" w:color="000000" w:sz="4" w:space="0"/>
              <w:right w:val="single" w:color="000000" w:sz="4" w:space="0"/>
            </w:tcBorders>
            <w:vAlign w:val="center"/>
          </w:tcPr>
          <w:p w14:paraId="16ED12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合力</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FE493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F0337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9849F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60C66D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31EC0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DCA81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3CD417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防爆吸尘器</w:t>
            </w:r>
          </w:p>
        </w:tc>
        <w:tc>
          <w:tcPr>
            <w:tcW w:w="4536" w:type="dxa"/>
            <w:tcBorders>
              <w:top w:val="single" w:color="000000" w:sz="4" w:space="0"/>
              <w:left w:val="single" w:color="000000" w:sz="4" w:space="0"/>
              <w:bottom w:val="single" w:color="000000" w:sz="4" w:space="0"/>
              <w:right w:val="single" w:color="000000" w:sz="4" w:space="0"/>
            </w:tcBorders>
            <w:vAlign w:val="center"/>
          </w:tcPr>
          <w:p w14:paraId="2F9763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DC638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87757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57008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43E2CBD">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44D256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43BBB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1289F0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氦气质谱仪</w:t>
            </w:r>
          </w:p>
        </w:tc>
        <w:tc>
          <w:tcPr>
            <w:tcW w:w="4536" w:type="dxa"/>
            <w:tcBorders>
              <w:top w:val="single" w:color="000000" w:sz="4" w:space="0"/>
              <w:left w:val="single" w:color="000000" w:sz="4" w:space="0"/>
              <w:bottom w:val="single" w:color="000000" w:sz="4" w:space="0"/>
              <w:right w:val="single" w:color="000000" w:sz="4" w:space="0"/>
            </w:tcBorders>
            <w:vAlign w:val="center"/>
          </w:tcPr>
          <w:p w14:paraId="50ED1D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39A29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C3DF2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F8CB6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F3B9E9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04725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47C4D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0FA621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测电阻仪器-高电阻(四探针）</w:t>
            </w:r>
          </w:p>
        </w:tc>
        <w:tc>
          <w:tcPr>
            <w:tcW w:w="4536" w:type="dxa"/>
            <w:tcBorders>
              <w:top w:val="single" w:color="000000" w:sz="4" w:space="0"/>
              <w:left w:val="single" w:color="000000" w:sz="4" w:space="0"/>
              <w:bottom w:val="single" w:color="000000" w:sz="4" w:space="0"/>
              <w:right w:val="single" w:color="000000" w:sz="4" w:space="0"/>
            </w:tcBorders>
            <w:vAlign w:val="center"/>
          </w:tcPr>
          <w:p w14:paraId="73611E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FD7E7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8CC85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91C56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7B3407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D3FDA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5B5E8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2EAF2B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行车</w:t>
            </w:r>
          </w:p>
        </w:tc>
        <w:tc>
          <w:tcPr>
            <w:tcW w:w="4536" w:type="dxa"/>
            <w:tcBorders>
              <w:top w:val="single" w:color="000000" w:sz="4" w:space="0"/>
              <w:left w:val="single" w:color="000000" w:sz="4" w:space="0"/>
              <w:bottom w:val="single" w:color="000000" w:sz="4" w:space="0"/>
              <w:right w:val="single" w:color="000000" w:sz="4" w:space="0"/>
            </w:tcBorders>
            <w:vAlign w:val="center"/>
          </w:tcPr>
          <w:p w14:paraId="111B08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52B60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C29A0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404D0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DE2611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22BCE1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3188F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203806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H2，N2，Ar，CDA管道及设备</w:t>
            </w:r>
          </w:p>
        </w:tc>
        <w:tc>
          <w:tcPr>
            <w:tcW w:w="4536" w:type="dxa"/>
            <w:tcBorders>
              <w:top w:val="single" w:color="000000" w:sz="4" w:space="0"/>
              <w:left w:val="single" w:color="000000" w:sz="4" w:space="0"/>
              <w:bottom w:val="single" w:color="000000" w:sz="4" w:space="0"/>
              <w:right w:val="single" w:color="000000" w:sz="4" w:space="0"/>
            </w:tcBorders>
            <w:vAlign w:val="center"/>
          </w:tcPr>
          <w:p w14:paraId="205401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定制</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1C817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42C26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CE024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72D760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0B43E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DC0FC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FA41D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CVD炉新品设备</w:t>
            </w:r>
          </w:p>
        </w:tc>
        <w:tc>
          <w:tcPr>
            <w:tcW w:w="4536" w:type="dxa"/>
            <w:tcBorders>
              <w:top w:val="single" w:color="000000" w:sz="4" w:space="0"/>
              <w:left w:val="single" w:color="000000" w:sz="4" w:space="0"/>
              <w:bottom w:val="single" w:color="000000" w:sz="4" w:space="0"/>
              <w:right w:val="single" w:color="000000" w:sz="4" w:space="0"/>
            </w:tcBorders>
            <w:vAlign w:val="center"/>
          </w:tcPr>
          <w:p w14:paraId="05FC93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5AA22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2B02BB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2D52D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5083DB5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614E5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AC835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6DAA6C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CDA空压机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3E0AC7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E9F01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50853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B6BC5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B316FC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D81B8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48632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B4AB0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冷却机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0B54DF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21B6D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tcPr>
          <w:p w14:paraId="014C7A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DFA6C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33A2A1A8">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729912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55C65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4C00E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冷却水箱</w:t>
            </w:r>
          </w:p>
        </w:tc>
        <w:tc>
          <w:tcPr>
            <w:tcW w:w="4536" w:type="dxa"/>
            <w:tcBorders>
              <w:top w:val="single" w:color="000000" w:sz="4" w:space="0"/>
              <w:left w:val="single" w:color="000000" w:sz="4" w:space="0"/>
              <w:bottom w:val="single" w:color="000000" w:sz="4" w:space="0"/>
              <w:right w:val="single" w:color="000000" w:sz="4" w:space="0"/>
            </w:tcBorders>
            <w:vAlign w:val="center"/>
          </w:tcPr>
          <w:p w14:paraId="06F126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C5302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79903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417E4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C44075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01207A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5FA24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7856F4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冷却水循环泵</w:t>
            </w:r>
          </w:p>
        </w:tc>
        <w:tc>
          <w:tcPr>
            <w:tcW w:w="4536" w:type="dxa"/>
            <w:tcBorders>
              <w:top w:val="single" w:color="000000" w:sz="4" w:space="0"/>
              <w:left w:val="single" w:color="000000" w:sz="4" w:space="0"/>
              <w:bottom w:val="single" w:color="000000" w:sz="4" w:space="0"/>
              <w:right w:val="single" w:color="000000" w:sz="4" w:space="0"/>
            </w:tcBorders>
            <w:vAlign w:val="center"/>
          </w:tcPr>
          <w:p w14:paraId="3AE258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8591F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2E09FD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058DD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4B5763B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58DAFE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44F655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54F0D4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压滤机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361F22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1250液压隔膜250平</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3708E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02984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3D2DC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5E29BB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7299BB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EB80A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458362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测厚仪</w:t>
            </w:r>
          </w:p>
        </w:tc>
        <w:tc>
          <w:tcPr>
            <w:tcW w:w="4536" w:type="dxa"/>
            <w:tcBorders>
              <w:top w:val="single" w:color="000000" w:sz="4" w:space="0"/>
              <w:left w:val="single" w:color="000000" w:sz="4" w:space="0"/>
              <w:bottom w:val="single" w:color="000000" w:sz="4" w:space="0"/>
              <w:right w:val="single" w:color="000000" w:sz="4" w:space="0"/>
            </w:tcBorders>
            <w:vAlign w:val="center"/>
          </w:tcPr>
          <w:p w14:paraId="5C5FA3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Niton™ XL3t XRF</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C09A8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9941D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242C0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C969DF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317BE2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8B750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noWrap/>
            <w:vAlign w:val="center"/>
          </w:tcPr>
          <w:p w14:paraId="2B9DA2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测阻仪</w:t>
            </w:r>
          </w:p>
        </w:tc>
        <w:tc>
          <w:tcPr>
            <w:tcW w:w="4536" w:type="dxa"/>
            <w:tcBorders>
              <w:top w:val="single" w:color="000000" w:sz="4" w:space="0"/>
              <w:left w:val="single" w:color="000000" w:sz="4" w:space="0"/>
              <w:bottom w:val="single" w:color="000000" w:sz="4" w:space="0"/>
              <w:right w:val="single" w:color="000000" w:sz="4" w:space="0"/>
            </w:tcBorders>
            <w:vAlign w:val="center"/>
          </w:tcPr>
          <w:p w14:paraId="597BA3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72F2C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67BA6F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65A2D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EF11E3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937B4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bottom w:val="single" w:color="000000" w:sz="4" w:space="0"/>
              <w:right w:val="single" w:color="000000" w:sz="4" w:space="0"/>
            </w:tcBorders>
            <w:noWrap/>
            <w:vAlign w:val="center"/>
          </w:tcPr>
          <w:p w14:paraId="29135D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静电卡盘ESC（LAM374）</w:t>
            </w:r>
          </w:p>
        </w:tc>
        <w:tc>
          <w:tcPr>
            <w:tcW w:w="3244" w:type="dxa"/>
            <w:tcBorders>
              <w:top w:val="single" w:color="000000" w:sz="4" w:space="0"/>
              <w:left w:val="single" w:color="000000" w:sz="4" w:space="0"/>
              <w:bottom w:val="single" w:color="000000" w:sz="4" w:space="0"/>
              <w:right w:val="single" w:color="000000" w:sz="4" w:space="0"/>
            </w:tcBorders>
            <w:vAlign w:val="center"/>
          </w:tcPr>
          <w:p w14:paraId="66F2EA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流延机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102B23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23140*1370*2100</w:t>
            </w:r>
          </w:p>
        </w:tc>
        <w:tc>
          <w:tcPr>
            <w:tcW w:w="1134" w:type="dxa"/>
            <w:tcBorders>
              <w:top w:val="single" w:color="000000" w:sz="4" w:space="0"/>
              <w:left w:val="single" w:color="000000" w:sz="4" w:space="0"/>
              <w:bottom w:val="single" w:color="000000" w:sz="4" w:space="0"/>
              <w:right w:val="single" w:color="000000" w:sz="4" w:space="0"/>
            </w:tcBorders>
            <w:vAlign w:val="center"/>
          </w:tcPr>
          <w:p w14:paraId="61FF74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2015AC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A8517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13A44F8">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3215F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2604A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130615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叠层机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B8569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1800*1700*2720</w:t>
            </w:r>
          </w:p>
        </w:tc>
        <w:tc>
          <w:tcPr>
            <w:tcW w:w="1134" w:type="dxa"/>
            <w:tcBorders>
              <w:top w:val="single" w:color="000000" w:sz="4" w:space="0"/>
              <w:left w:val="single" w:color="000000" w:sz="4" w:space="0"/>
              <w:bottom w:val="single" w:color="000000" w:sz="4" w:space="0"/>
              <w:right w:val="single" w:color="000000" w:sz="4" w:space="0"/>
            </w:tcBorders>
            <w:vAlign w:val="center"/>
          </w:tcPr>
          <w:p w14:paraId="782DBD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DBA7C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63F9B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51E49E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374A3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CB340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3C4E8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温等静压机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40F54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2100*1320*2600</w:t>
            </w:r>
          </w:p>
        </w:tc>
        <w:tc>
          <w:tcPr>
            <w:tcW w:w="1134" w:type="dxa"/>
            <w:tcBorders>
              <w:top w:val="single" w:color="000000" w:sz="4" w:space="0"/>
              <w:left w:val="single" w:color="000000" w:sz="4" w:space="0"/>
              <w:bottom w:val="single" w:color="000000" w:sz="4" w:space="0"/>
              <w:right w:val="single" w:color="000000" w:sz="4" w:space="0"/>
            </w:tcBorders>
            <w:vAlign w:val="center"/>
          </w:tcPr>
          <w:p w14:paraId="3B1ACD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E48AA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4CA04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3D2E4B0">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1606F0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34DCB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A7407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丝网印刷机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5044CF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2546*1385*1906</w:t>
            </w:r>
          </w:p>
        </w:tc>
        <w:tc>
          <w:tcPr>
            <w:tcW w:w="1134" w:type="dxa"/>
            <w:tcBorders>
              <w:top w:val="single" w:color="000000" w:sz="4" w:space="0"/>
              <w:left w:val="single" w:color="000000" w:sz="4" w:space="0"/>
              <w:bottom w:val="single" w:color="000000" w:sz="4" w:space="0"/>
              <w:right w:val="single" w:color="000000" w:sz="4" w:space="0"/>
            </w:tcBorders>
            <w:vAlign w:val="center"/>
          </w:tcPr>
          <w:p w14:paraId="7ADCF0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90463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87C4E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9C9FE54">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C9BFB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71D3B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789D7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激光打孔机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7E0F68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1690*1740*1665</w:t>
            </w:r>
          </w:p>
        </w:tc>
        <w:tc>
          <w:tcPr>
            <w:tcW w:w="1134" w:type="dxa"/>
            <w:tcBorders>
              <w:top w:val="single" w:color="000000" w:sz="4" w:space="0"/>
              <w:left w:val="single" w:color="000000" w:sz="4" w:space="0"/>
              <w:bottom w:val="single" w:color="000000" w:sz="4" w:space="0"/>
              <w:right w:val="single" w:color="000000" w:sz="4" w:space="0"/>
            </w:tcBorders>
            <w:vAlign w:val="center"/>
          </w:tcPr>
          <w:p w14:paraId="301E65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92866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DEA1F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8AFA9B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52EB1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B617A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5B3DA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烘箱</w:t>
            </w:r>
          </w:p>
        </w:tc>
        <w:tc>
          <w:tcPr>
            <w:tcW w:w="4536" w:type="dxa"/>
            <w:tcBorders>
              <w:top w:val="single" w:color="000000" w:sz="4" w:space="0"/>
              <w:left w:val="single" w:color="000000" w:sz="4" w:space="0"/>
              <w:bottom w:val="single" w:color="000000" w:sz="4" w:space="0"/>
              <w:right w:val="single" w:color="000000" w:sz="4" w:space="0"/>
            </w:tcBorders>
            <w:vAlign w:val="center"/>
          </w:tcPr>
          <w:p w14:paraId="1FC726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620CB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276" w:type="dxa"/>
            <w:tcBorders>
              <w:top w:val="single" w:color="000000" w:sz="4" w:space="0"/>
              <w:left w:val="single" w:color="000000" w:sz="4" w:space="0"/>
              <w:bottom w:val="single" w:color="000000" w:sz="4" w:space="0"/>
              <w:right w:val="single" w:color="000000" w:sz="4" w:space="0"/>
            </w:tcBorders>
          </w:tcPr>
          <w:p w14:paraId="233524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8B87D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r>
      <w:tr w14:paraId="0A569D60">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60EAE6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C4515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1498F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自动裁切机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E1D7C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620*930*500</w:t>
            </w:r>
          </w:p>
        </w:tc>
        <w:tc>
          <w:tcPr>
            <w:tcW w:w="1134" w:type="dxa"/>
            <w:tcBorders>
              <w:top w:val="single" w:color="000000" w:sz="4" w:space="0"/>
              <w:left w:val="single" w:color="000000" w:sz="4" w:space="0"/>
              <w:bottom w:val="single" w:color="000000" w:sz="4" w:space="0"/>
              <w:right w:val="single" w:color="000000" w:sz="4" w:space="0"/>
            </w:tcBorders>
            <w:vAlign w:val="center"/>
          </w:tcPr>
          <w:p w14:paraId="7C4468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676A53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4FF89C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443944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7E010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9F7AA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1D4931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离心脱泡机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1BFE01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380*300*340</w:t>
            </w:r>
          </w:p>
        </w:tc>
        <w:tc>
          <w:tcPr>
            <w:tcW w:w="1134" w:type="dxa"/>
            <w:tcBorders>
              <w:top w:val="single" w:color="000000" w:sz="4" w:space="0"/>
              <w:left w:val="single" w:color="000000" w:sz="4" w:space="0"/>
              <w:bottom w:val="single" w:color="000000" w:sz="4" w:space="0"/>
              <w:right w:val="single" w:color="000000" w:sz="4" w:space="0"/>
            </w:tcBorders>
            <w:vAlign w:val="center"/>
          </w:tcPr>
          <w:p w14:paraId="7A8996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B58E5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C611A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7F7673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F9CE6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14E18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C0E56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真空包装机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4D0992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1000*1000*800</w:t>
            </w:r>
          </w:p>
        </w:tc>
        <w:tc>
          <w:tcPr>
            <w:tcW w:w="1134" w:type="dxa"/>
            <w:tcBorders>
              <w:top w:val="single" w:color="000000" w:sz="4" w:space="0"/>
              <w:left w:val="single" w:color="000000" w:sz="4" w:space="0"/>
              <w:bottom w:val="single" w:color="000000" w:sz="4" w:space="0"/>
              <w:right w:val="single" w:color="000000" w:sz="4" w:space="0"/>
            </w:tcBorders>
            <w:vAlign w:val="center"/>
          </w:tcPr>
          <w:p w14:paraId="034C43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FBBB5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F3965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ACE96B8">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93F9E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8A0D4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D13DD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烧结炉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3E36E3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5270*3000*4100</w:t>
            </w:r>
          </w:p>
        </w:tc>
        <w:tc>
          <w:tcPr>
            <w:tcW w:w="1134" w:type="dxa"/>
            <w:tcBorders>
              <w:top w:val="single" w:color="000000" w:sz="4" w:space="0"/>
              <w:left w:val="single" w:color="000000" w:sz="4" w:space="0"/>
              <w:bottom w:val="single" w:color="000000" w:sz="4" w:space="0"/>
              <w:right w:val="single" w:color="000000" w:sz="4" w:space="0"/>
            </w:tcBorders>
            <w:vAlign w:val="center"/>
          </w:tcPr>
          <w:p w14:paraId="5AC2D4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F5D6B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DECA6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924FE4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278D8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1210C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BDC27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排胶炉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07E0A8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4000*2000*4013</w:t>
            </w:r>
          </w:p>
        </w:tc>
        <w:tc>
          <w:tcPr>
            <w:tcW w:w="1134" w:type="dxa"/>
            <w:tcBorders>
              <w:top w:val="single" w:color="000000" w:sz="4" w:space="0"/>
              <w:left w:val="single" w:color="000000" w:sz="4" w:space="0"/>
              <w:bottom w:val="single" w:color="000000" w:sz="4" w:space="0"/>
              <w:right w:val="single" w:color="000000" w:sz="4" w:space="0"/>
            </w:tcBorders>
            <w:vAlign w:val="center"/>
          </w:tcPr>
          <w:p w14:paraId="50AF3F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6E1F46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0DBBE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C6334A8">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B3C3A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09EC2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59031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三坐标</w:t>
            </w:r>
          </w:p>
        </w:tc>
        <w:tc>
          <w:tcPr>
            <w:tcW w:w="4536" w:type="dxa"/>
            <w:tcBorders>
              <w:top w:val="single" w:color="000000" w:sz="4" w:space="0"/>
              <w:left w:val="single" w:color="000000" w:sz="4" w:space="0"/>
              <w:bottom w:val="single" w:color="000000" w:sz="4" w:space="0"/>
              <w:right w:val="single" w:color="000000" w:sz="4" w:space="0"/>
            </w:tcBorders>
            <w:vAlign w:val="center"/>
          </w:tcPr>
          <w:p w14:paraId="27C9CF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1277*1908*2777</w:t>
            </w:r>
          </w:p>
        </w:tc>
        <w:tc>
          <w:tcPr>
            <w:tcW w:w="1134" w:type="dxa"/>
            <w:tcBorders>
              <w:top w:val="single" w:color="000000" w:sz="4" w:space="0"/>
              <w:left w:val="single" w:color="000000" w:sz="4" w:space="0"/>
              <w:bottom w:val="single" w:color="000000" w:sz="4" w:space="0"/>
              <w:right w:val="single" w:color="000000" w:sz="4" w:space="0"/>
            </w:tcBorders>
            <w:vAlign w:val="center"/>
          </w:tcPr>
          <w:p w14:paraId="042C52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367CE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069F8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5309D7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4E80E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57FA1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C5FD2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非接触式三坐标</w:t>
            </w:r>
          </w:p>
        </w:tc>
        <w:tc>
          <w:tcPr>
            <w:tcW w:w="4536" w:type="dxa"/>
            <w:tcBorders>
              <w:top w:val="single" w:color="000000" w:sz="4" w:space="0"/>
              <w:left w:val="single" w:color="000000" w:sz="4" w:space="0"/>
              <w:bottom w:val="single" w:color="000000" w:sz="4" w:space="0"/>
              <w:right w:val="single" w:color="000000" w:sz="4" w:space="0"/>
            </w:tcBorders>
            <w:vAlign w:val="center"/>
          </w:tcPr>
          <w:p w14:paraId="1325AE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1110*1480*1750</w:t>
            </w:r>
          </w:p>
        </w:tc>
        <w:tc>
          <w:tcPr>
            <w:tcW w:w="1134" w:type="dxa"/>
            <w:tcBorders>
              <w:top w:val="single" w:color="000000" w:sz="4" w:space="0"/>
              <w:left w:val="single" w:color="000000" w:sz="4" w:space="0"/>
              <w:bottom w:val="single" w:color="000000" w:sz="4" w:space="0"/>
              <w:right w:val="single" w:color="000000" w:sz="4" w:space="0"/>
            </w:tcBorders>
            <w:vAlign w:val="center"/>
          </w:tcPr>
          <w:p w14:paraId="279304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E1DFC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F7637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594C004">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55165E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6367C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036076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Testchamber</w:t>
            </w:r>
          </w:p>
        </w:tc>
        <w:tc>
          <w:tcPr>
            <w:tcW w:w="4536" w:type="dxa"/>
            <w:tcBorders>
              <w:top w:val="single" w:color="000000" w:sz="4" w:space="0"/>
              <w:left w:val="single" w:color="000000" w:sz="4" w:space="0"/>
              <w:bottom w:val="single" w:color="000000" w:sz="4" w:space="0"/>
              <w:right w:val="single" w:color="000000" w:sz="4" w:space="0"/>
            </w:tcBorders>
            <w:vAlign w:val="center"/>
          </w:tcPr>
          <w:p w14:paraId="269E06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2180*910*1715</w:t>
            </w:r>
          </w:p>
        </w:tc>
        <w:tc>
          <w:tcPr>
            <w:tcW w:w="1134" w:type="dxa"/>
            <w:tcBorders>
              <w:top w:val="single" w:color="000000" w:sz="4" w:space="0"/>
              <w:left w:val="single" w:color="000000" w:sz="4" w:space="0"/>
              <w:bottom w:val="single" w:color="000000" w:sz="4" w:space="0"/>
              <w:right w:val="single" w:color="000000" w:sz="4" w:space="0"/>
            </w:tcBorders>
            <w:vAlign w:val="center"/>
          </w:tcPr>
          <w:p w14:paraId="176C29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2B794F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7F679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5BBADDF">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6974A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512AD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8A64B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耐电压</w:t>
            </w:r>
          </w:p>
        </w:tc>
        <w:tc>
          <w:tcPr>
            <w:tcW w:w="4536" w:type="dxa"/>
            <w:tcBorders>
              <w:top w:val="single" w:color="000000" w:sz="4" w:space="0"/>
              <w:left w:val="single" w:color="000000" w:sz="4" w:space="0"/>
              <w:bottom w:val="single" w:color="000000" w:sz="4" w:space="0"/>
              <w:right w:val="single" w:color="000000" w:sz="4" w:space="0"/>
            </w:tcBorders>
            <w:vAlign w:val="center"/>
          </w:tcPr>
          <w:p w14:paraId="2EB45C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85978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B7161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7C1ED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E01684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C0A40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06669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3EED9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清洗槽</w:t>
            </w:r>
          </w:p>
        </w:tc>
        <w:tc>
          <w:tcPr>
            <w:tcW w:w="4536" w:type="dxa"/>
            <w:tcBorders>
              <w:top w:val="single" w:color="000000" w:sz="4" w:space="0"/>
              <w:left w:val="single" w:color="000000" w:sz="4" w:space="0"/>
              <w:bottom w:val="single" w:color="000000" w:sz="4" w:space="0"/>
              <w:right w:val="single" w:color="000000" w:sz="4" w:space="0"/>
            </w:tcBorders>
            <w:vAlign w:val="center"/>
          </w:tcPr>
          <w:p w14:paraId="1D2343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6CE0A5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12C3F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992C0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AF86E7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70B03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C8532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CEB1D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超声扫描显微镜</w:t>
            </w:r>
          </w:p>
        </w:tc>
        <w:tc>
          <w:tcPr>
            <w:tcW w:w="4536" w:type="dxa"/>
            <w:tcBorders>
              <w:top w:val="single" w:color="000000" w:sz="4" w:space="0"/>
              <w:left w:val="single" w:color="000000" w:sz="4" w:space="0"/>
              <w:bottom w:val="single" w:color="000000" w:sz="4" w:space="0"/>
              <w:right w:val="single" w:color="000000" w:sz="4" w:space="0"/>
            </w:tcBorders>
            <w:vAlign w:val="center"/>
          </w:tcPr>
          <w:p w14:paraId="52D7A0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1900*1550*1650</w:t>
            </w:r>
          </w:p>
        </w:tc>
        <w:tc>
          <w:tcPr>
            <w:tcW w:w="1134" w:type="dxa"/>
            <w:tcBorders>
              <w:top w:val="single" w:color="000000" w:sz="4" w:space="0"/>
              <w:left w:val="single" w:color="000000" w:sz="4" w:space="0"/>
              <w:bottom w:val="single" w:color="000000" w:sz="4" w:space="0"/>
              <w:right w:val="single" w:color="000000" w:sz="4" w:space="0"/>
            </w:tcBorders>
            <w:vAlign w:val="center"/>
          </w:tcPr>
          <w:p w14:paraId="353CCD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8AEB0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0C043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0C6BF0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7B1DA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D0E33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4D2BB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平面裁切机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038270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E11F4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1DE82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051E4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E41514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39BD6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C6E73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452E9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加热平台</w:t>
            </w:r>
          </w:p>
        </w:tc>
        <w:tc>
          <w:tcPr>
            <w:tcW w:w="4536" w:type="dxa"/>
            <w:tcBorders>
              <w:top w:val="single" w:color="000000" w:sz="4" w:space="0"/>
              <w:left w:val="single" w:color="000000" w:sz="4" w:space="0"/>
              <w:bottom w:val="single" w:color="000000" w:sz="4" w:space="0"/>
              <w:right w:val="single" w:color="000000" w:sz="4" w:space="0"/>
            </w:tcBorders>
            <w:vAlign w:val="center"/>
          </w:tcPr>
          <w:p w14:paraId="1BD847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32CBD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76676C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8ABB4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479174A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5AD73D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E5B45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5E89EC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C4B75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870*760*925</w:t>
            </w:r>
          </w:p>
        </w:tc>
        <w:tc>
          <w:tcPr>
            <w:tcW w:w="1134" w:type="dxa"/>
            <w:tcBorders>
              <w:top w:val="single" w:color="000000" w:sz="4" w:space="0"/>
              <w:left w:val="single" w:color="000000" w:sz="4" w:space="0"/>
              <w:bottom w:val="single" w:color="000000" w:sz="4" w:space="0"/>
              <w:right w:val="single" w:color="000000" w:sz="4" w:space="0"/>
            </w:tcBorders>
            <w:vAlign w:val="center"/>
          </w:tcPr>
          <w:p w14:paraId="25F54E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EBFBC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CB56F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EF74F8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23454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CA050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D3A43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曝光机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4F3E96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2F16CB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89533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EF66E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DC792F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0B382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1A918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F1888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清洗槽</w:t>
            </w:r>
          </w:p>
        </w:tc>
        <w:tc>
          <w:tcPr>
            <w:tcW w:w="4536" w:type="dxa"/>
            <w:tcBorders>
              <w:top w:val="single" w:color="000000" w:sz="4" w:space="0"/>
              <w:left w:val="single" w:color="000000" w:sz="4" w:space="0"/>
              <w:bottom w:val="single" w:color="000000" w:sz="4" w:space="0"/>
              <w:right w:val="single" w:color="000000" w:sz="4" w:space="0"/>
            </w:tcBorders>
            <w:vAlign w:val="center"/>
          </w:tcPr>
          <w:p w14:paraId="6B42BC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A4C7E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63AE3A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E0F58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282569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C5D16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A4146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527C5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脱泡机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41C1FC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A0248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4B26D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C2C17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A76E43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7D41BE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E35D2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51D838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球磨机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F008B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2600*1000*1250</w:t>
            </w:r>
          </w:p>
        </w:tc>
        <w:tc>
          <w:tcPr>
            <w:tcW w:w="1134" w:type="dxa"/>
            <w:tcBorders>
              <w:top w:val="single" w:color="000000" w:sz="4" w:space="0"/>
              <w:left w:val="single" w:color="000000" w:sz="4" w:space="0"/>
              <w:bottom w:val="single" w:color="000000" w:sz="4" w:space="0"/>
              <w:right w:val="single" w:color="000000" w:sz="4" w:space="0"/>
            </w:tcBorders>
            <w:vAlign w:val="center"/>
          </w:tcPr>
          <w:p w14:paraId="02F629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89AD4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6E92D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141A89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1E1E46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A82CC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56EB3E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19C7FC0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870*760*925</w:t>
            </w:r>
          </w:p>
        </w:tc>
        <w:tc>
          <w:tcPr>
            <w:tcW w:w="1134" w:type="dxa"/>
            <w:tcBorders>
              <w:top w:val="single" w:color="000000" w:sz="4" w:space="0"/>
              <w:left w:val="single" w:color="000000" w:sz="4" w:space="0"/>
              <w:bottom w:val="single" w:color="000000" w:sz="4" w:space="0"/>
              <w:right w:val="single" w:color="000000" w:sz="4" w:space="0"/>
            </w:tcBorders>
            <w:vAlign w:val="center"/>
          </w:tcPr>
          <w:p w14:paraId="281D47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651BB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887EA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C48067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EED6A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529A1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09240B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清洗槽</w:t>
            </w:r>
          </w:p>
        </w:tc>
        <w:tc>
          <w:tcPr>
            <w:tcW w:w="4536" w:type="dxa"/>
            <w:tcBorders>
              <w:top w:val="single" w:color="000000" w:sz="4" w:space="0"/>
              <w:left w:val="single" w:color="000000" w:sz="4" w:space="0"/>
              <w:bottom w:val="single" w:color="000000" w:sz="4" w:space="0"/>
              <w:right w:val="single" w:color="000000" w:sz="4" w:space="0"/>
            </w:tcBorders>
            <w:vAlign w:val="center"/>
          </w:tcPr>
          <w:p w14:paraId="46D638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234618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32D8F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5E8BA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7E6579F">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122CB2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7CED6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5044B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研磨机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00E04A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78ADD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6561E9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84C73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6A70AAF">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ABC34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137B0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07265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喷砂机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7F9D00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52013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A9A38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97EF5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3AB3D1D">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151DB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bottom w:val="single" w:color="000000" w:sz="4" w:space="0"/>
              <w:right w:val="single" w:color="000000" w:sz="4" w:space="0"/>
            </w:tcBorders>
            <w:noWrap/>
            <w:vAlign w:val="center"/>
          </w:tcPr>
          <w:p w14:paraId="2C5AD3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石墨部件（含涂层部件）</w:t>
            </w:r>
          </w:p>
        </w:tc>
        <w:tc>
          <w:tcPr>
            <w:tcW w:w="3244" w:type="dxa"/>
            <w:tcBorders>
              <w:top w:val="single" w:color="000000" w:sz="4" w:space="0"/>
              <w:left w:val="single" w:color="000000" w:sz="4" w:space="0"/>
              <w:bottom w:val="single" w:color="000000" w:sz="4" w:space="0"/>
              <w:right w:val="single" w:color="000000" w:sz="4" w:space="0"/>
            </w:tcBorders>
            <w:vAlign w:val="center"/>
          </w:tcPr>
          <w:p w14:paraId="3374F5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立式数控砂线切割机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29016D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6D198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21CD41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A5E6DE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132E735">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B5467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016CE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60157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立式带锯床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3C79E9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2BF849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6F2D55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930D3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C73385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8DCA6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3E9C3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9FACA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立式带锯床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653A0F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F78CC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83D89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BDB706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D0736D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B4457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7E3DF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BF7EF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立式加工中心</w:t>
            </w:r>
          </w:p>
        </w:tc>
        <w:tc>
          <w:tcPr>
            <w:tcW w:w="4536" w:type="dxa"/>
            <w:tcBorders>
              <w:top w:val="single" w:color="000000" w:sz="4" w:space="0"/>
              <w:left w:val="single" w:color="000000" w:sz="4" w:space="0"/>
              <w:bottom w:val="single" w:color="000000" w:sz="4" w:space="0"/>
              <w:right w:val="single" w:color="000000" w:sz="4" w:space="0"/>
            </w:tcBorders>
            <w:vAlign w:val="center"/>
          </w:tcPr>
          <w:p w14:paraId="71B60C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00A12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D867B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B483A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D34650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78D052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AEA10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09077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高速精雕机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314271E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D198F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8A02B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3C024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FD7368C">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E14E1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2185C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BA16E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卧式数控车床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0B2448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A0B84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6DE4A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8D509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6624CC4">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E5469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753FF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C6F3A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卧式普通车床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421F67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9C789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700B7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1982F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720CCC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427AE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16ADA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B51FD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立式砂光机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136E35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603A7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52BA5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68BAA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B7C159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05BCA4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C6BC8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DEB64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立式炮塔铣床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3A6853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F5F01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AC828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BC54F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0BC5FD4">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25444C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5E040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70D67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纯化炉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183D67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06BA33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044BD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828CF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556329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5B527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1B836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310D6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高温处理炉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58067C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0BD328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EB8BA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FE092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D36AC6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6E029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0B7CC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0629E1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碳化硅沉积炉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0FCAAF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6DBEA7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63AC7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57F496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5D7ED8A">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158036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2B57D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78EC4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7B0583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1D924A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03351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BC955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C5C2834">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17C07B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E51E2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6715D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洁净防爆干燥箱（小）</w:t>
            </w:r>
          </w:p>
        </w:tc>
        <w:tc>
          <w:tcPr>
            <w:tcW w:w="4536" w:type="dxa"/>
            <w:tcBorders>
              <w:top w:val="single" w:color="000000" w:sz="4" w:space="0"/>
              <w:left w:val="single" w:color="000000" w:sz="4" w:space="0"/>
              <w:bottom w:val="single" w:color="000000" w:sz="4" w:space="0"/>
              <w:right w:val="single" w:color="000000" w:sz="4" w:space="0"/>
            </w:tcBorders>
            <w:vAlign w:val="center"/>
          </w:tcPr>
          <w:p w14:paraId="362D93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200L</w:t>
            </w:r>
          </w:p>
        </w:tc>
        <w:tc>
          <w:tcPr>
            <w:tcW w:w="1134" w:type="dxa"/>
            <w:tcBorders>
              <w:top w:val="single" w:color="000000" w:sz="4" w:space="0"/>
              <w:left w:val="single" w:color="000000" w:sz="4" w:space="0"/>
              <w:bottom w:val="single" w:color="000000" w:sz="4" w:space="0"/>
              <w:right w:val="single" w:color="000000" w:sz="4" w:space="0"/>
            </w:tcBorders>
            <w:vAlign w:val="center"/>
          </w:tcPr>
          <w:p w14:paraId="0D781B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3D16D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45783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8001F98">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67F2B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7C435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1D332D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洁净防爆干燥箱（大）</w:t>
            </w:r>
          </w:p>
        </w:tc>
        <w:tc>
          <w:tcPr>
            <w:tcW w:w="4536" w:type="dxa"/>
            <w:tcBorders>
              <w:top w:val="single" w:color="000000" w:sz="4" w:space="0"/>
              <w:left w:val="single" w:color="000000" w:sz="4" w:space="0"/>
              <w:bottom w:val="single" w:color="000000" w:sz="4" w:space="0"/>
              <w:right w:val="single" w:color="000000" w:sz="4" w:space="0"/>
            </w:tcBorders>
            <w:vAlign w:val="center"/>
          </w:tcPr>
          <w:p w14:paraId="4F74C1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1000L</w:t>
            </w:r>
          </w:p>
        </w:tc>
        <w:tc>
          <w:tcPr>
            <w:tcW w:w="1134" w:type="dxa"/>
            <w:tcBorders>
              <w:top w:val="single" w:color="000000" w:sz="4" w:space="0"/>
              <w:left w:val="single" w:color="000000" w:sz="4" w:space="0"/>
              <w:bottom w:val="single" w:color="000000" w:sz="4" w:space="0"/>
              <w:right w:val="single" w:color="000000" w:sz="4" w:space="0"/>
            </w:tcBorders>
            <w:vAlign w:val="center"/>
          </w:tcPr>
          <w:p w14:paraId="4D1DCF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0BA6D2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9D914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6810D4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77C8CE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bottom w:val="single" w:color="000000" w:sz="4" w:space="0"/>
              <w:right w:val="single" w:color="000000" w:sz="4" w:space="0"/>
            </w:tcBorders>
            <w:noWrap/>
            <w:vAlign w:val="center"/>
          </w:tcPr>
          <w:p w14:paraId="6D9D6A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碳化硅炉管</w:t>
            </w:r>
          </w:p>
        </w:tc>
        <w:tc>
          <w:tcPr>
            <w:tcW w:w="3244" w:type="dxa"/>
            <w:tcBorders>
              <w:top w:val="single" w:color="000000" w:sz="4" w:space="0"/>
              <w:left w:val="single" w:color="000000" w:sz="4" w:space="0"/>
              <w:bottom w:val="single" w:color="000000" w:sz="4" w:space="0"/>
              <w:right w:val="single" w:color="000000" w:sz="4" w:space="0"/>
            </w:tcBorders>
            <w:vAlign w:val="center"/>
          </w:tcPr>
          <w:p w14:paraId="4B1551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球磨机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0BE61C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50L</w:t>
            </w:r>
          </w:p>
        </w:tc>
        <w:tc>
          <w:tcPr>
            <w:tcW w:w="1134" w:type="dxa"/>
            <w:tcBorders>
              <w:top w:val="single" w:color="000000" w:sz="4" w:space="0"/>
              <w:left w:val="single" w:color="000000" w:sz="4" w:space="0"/>
              <w:bottom w:val="single" w:color="000000" w:sz="4" w:space="0"/>
              <w:right w:val="single" w:color="000000" w:sz="4" w:space="0"/>
            </w:tcBorders>
            <w:vAlign w:val="center"/>
          </w:tcPr>
          <w:p w14:paraId="15ED01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058C7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8DF38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0F8A6A4">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FE7A5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4CE96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247978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搅拌机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2FD59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100L</w:t>
            </w:r>
          </w:p>
        </w:tc>
        <w:tc>
          <w:tcPr>
            <w:tcW w:w="1134" w:type="dxa"/>
            <w:tcBorders>
              <w:top w:val="single" w:color="000000" w:sz="4" w:space="0"/>
              <w:left w:val="single" w:color="000000" w:sz="4" w:space="0"/>
              <w:bottom w:val="single" w:color="000000" w:sz="4" w:space="0"/>
              <w:right w:val="single" w:color="000000" w:sz="4" w:space="0"/>
            </w:tcBorders>
            <w:vAlign w:val="center"/>
          </w:tcPr>
          <w:p w14:paraId="2C5921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tcPr>
          <w:p w14:paraId="725667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7CAFA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r>
      <w:tr w14:paraId="5B51A0E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1E1DA6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28CAD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19E8B5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混料机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0F7F64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100L</w:t>
            </w:r>
          </w:p>
        </w:tc>
        <w:tc>
          <w:tcPr>
            <w:tcW w:w="1134" w:type="dxa"/>
            <w:tcBorders>
              <w:top w:val="single" w:color="000000" w:sz="4" w:space="0"/>
              <w:left w:val="single" w:color="000000" w:sz="4" w:space="0"/>
              <w:bottom w:val="single" w:color="000000" w:sz="4" w:space="0"/>
              <w:right w:val="single" w:color="000000" w:sz="4" w:space="0"/>
            </w:tcBorders>
            <w:vAlign w:val="center"/>
          </w:tcPr>
          <w:p w14:paraId="253B5D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178CC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25BEA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CDB707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597A1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052813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D90BF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喷雾造粒机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52042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30Kg/h</w:t>
            </w:r>
          </w:p>
        </w:tc>
        <w:tc>
          <w:tcPr>
            <w:tcW w:w="1134" w:type="dxa"/>
            <w:tcBorders>
              <w:top w:val="single" w:color="000000" w:sz="4" w:space="0"/>
              <w:left w:val="single" w:color="000000" w:sz="4" w:space="0"/>
              <w:bottom w:val="single" w:color="000000" w:sz="4" w:space="0"/>
              <w:right w:val="single" w:color="000000" w:sz="4" w:space="0"/>
            </w:tcBorders>
            <w:vAlign w:val="center"/>
          </w:tcPr>
          <w:p w14:paraId="21A0A9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2B91DC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5BB48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8E2566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197648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9D72D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EF90C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烘干机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335C6A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B7F25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7C1D4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41FCC3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1C11B2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E18DE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5B17A4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50124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冷等静压机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07D446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75AF07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6CD8D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6CD01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7C146BE">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83B38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2F838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795BF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立式加工中心</w:t>
            </w:r>
          </w:p>
        </w:tc>
        <w:tc>
          <w:tcPr>
            <w:tcW w:w="4536" w:type="dxa"/>
            <w:tcBorders>
              <w:top w:val="single" w:color="000000" w:sz="4" w:space="0"/>
              <w:left w:val="single" w:color="000000" w:sz="4" w:space="0"/>
              <w:bottom w:val="single" w:color="000000" w:sz="4" w:space="0"/>
              <w:right w:val="single" w:color="000000" w:sz="4" w:space="0"/>
            </w:tcBorders>
            <w:vAlign w:val="center"/>
          </w:tcPr>
          <w:p w14:paraId="76CFAC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823C0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2EAB64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0340C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1F36002">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7CC3C6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D96D5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1E7C68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精雕机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25D031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EFEDA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51FE9C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FD60E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0A0159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30B6F7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63C34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EBAC9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数控车床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5EE10B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A7FF9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AA62A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3C827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264A35D">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786935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740A05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0553A7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数控砂线切割机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75569C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6BD01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6BDF4E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0DA51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25F75AF">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9DBE4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3D7FC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FFBBA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端面研磨机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7732EA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765DB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992D2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0A26D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7196663">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0332A5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491519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499020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内外圆磨床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393C58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B0D73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2E2357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CE778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43CEE67">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479D4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0C913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CEE83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真空烧结炉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1529EC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0475C2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4AB47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29E5E9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15C0AB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092EA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7F2C4E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1D5EB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超声波清洗机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66A625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非标</w:t>
            </w:r>
          </w:p>
        </w:tc>
        <w:tc>
          <w:tcPr>
            <w:tcW w:w="1134" w:type="dxa"/>
            <w:tcBorders>
              <w:top w:val="single" w:color="000000" w:sz="4" w:space="0"/>
              <w:left w:val="single" w:color="000000" w:sz="4" w:space="0"/>
              <w:bottom w:val="single" w:color="000000" w:sz="4" w:space="0"/>
              <w:right w:val="single" w:color="000000" w:sz="4" w:space="0"/>
            </w:tcBorders>
            <w:vAlign w:val="center"/>
          </w:tcPr>
          <w:p w14:paraId="0F0948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7232A6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1C3391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EBBA58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431464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418" w:type="dxa"/>
            <w:vMerge w:val="restart"/>
            <w:tcBorders>
              <w:top w:val="single" w:color="000000" w:sz="4" w:space="0"/>
              <w:left w:val="single" w:color="000000" w:sz="4" w:space="0"/>
              <w:bottom w:val="single" w:color="000000" w:sz="4" w:space="0"/>
              <w:right w:val="single" w:color="000000" w:sz="4" w:space="0"/>
            </w:tcBorders>
            <w:noWrap/>
            <w:vAlign w:val="center"/>
          </w:tcPr>
          <w:p w14:paraId="004E2D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特殊涂层</w:t>
            </w:r>
          </w:p>
        </w:tc>
        <w:tc>
          <w:tcPr>
            <w:tcW w:w="3244" w:type="dxa"/>
            <w:tcBorders>
              <w:top w:val="single" w:color="000000" w:sz="4" w:space="0"/>
              <w:left w:val="single" w:color="000000" w:sz="4" w:space="0"/>
              <w:bottom w:val="single" w:color="000000" w:sz="4" w:space="0"/>
              <w:right w:val="single" w:color="000000" w:sz="4" w:space="0"/>
            </w:tcBorders>
            <w:vAlign w:val="center"/>
          </w:tcPr>
          <w:p w14:paraId="524574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精密平面磨床</w:t>
            </w:r>
          </w:p>
        </w:tc>
        <w:tc>
          <w:tcPr>
            <w:tcW w:w="4536" w:type="dxa"/>
            <w:tcBorders>
              <w:top w:val="single" w:color="000000" w:sz="4" w:space="0"/>
              <w:left w:val="single" w:color="000000" w:sz="4" w:space="0"/>
              <w:bottom w:val="single" w:color="000000" w:sz="4" w:space="0"/>
              <w:right w:val="single" w:color="000000" w:sz="4" w:space="0"/>
            </w:tcBorders>
            <w:vAlign w:val="center"/>
          </w:tcPr>
          <w:p w14:paraId="4D87E0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D-600</w:t>
            </w:r>
          </w:p>
        </w:tc>
        <w:tc>
          <w:tcPr>
            <w:tcW w:w="1134" w:type="dxa"/>
            <w:tcBorders>
              <w:top w:val="single" w:color="000000" w:sz="4" w:space="0"/>
              <w:left w:val="single" w:color="000000" w:sz="4" w:space="0"/>
              <w:bottom w:val="single" w:color="000000" w:sz="4" w:space="0"/>
              <w:right w:val="single" w:color="000000" w:sz="4" w:space="0"/>
            </w:tcBorders>
            <w:vAlign w:val="center"/>
          </w:tcPr>
          <w:p w14:paraId="70B045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356795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1E4B9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F1BAAA9">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1FCA46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DFE51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108193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单面抛光机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55F3F7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D-600</w:t>
            </w:r>
          </w:p>
        </w:tc>
        <w:tc>
          <w:tcPr>
            <w:tcW w:w="1134" w:type="dxa"/>
            <w:tcBorders>
              <w:top w:val="single" w:color="000000" w:sz="4" w:space="0"/>
              <w:left w:val="single" w:color="000000" w:sz="4" w:space="0"/>
              <w:bottom w:val="single" w:color="000000" w:sz="4" w:space="0"/>
              <w:right w:val="single" w:color="000000" w:sz="4" w:space="0"/>
            </w:tcBorders>
            <w:vAlign w:val="center"/>
          </w:tcPr>
          <w:p w14:paraId="0B763A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tcPr>
          <w:p w14:paraId="51A6A8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019E40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r>
      <w:tr w14:paraId="3103D796">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536EED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191F1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36E429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烘箱</w:t>
            </w:r>
          </w:p>
        </w:tc>
        <w:tc>
          <w:tcPr>
            <w:tcW w:w="4536" w:type="dxa"/>
            <w:tcBorders>
              <w:top w:val="single" w:color="000000" w:sz="4" w:space="0"/>
              <w:left w:val="single" w:color="000000" w:sz="4" w:space="0"/>
              <w:bottom w:val="single" w:color="000000" w:sz="4" w:space="0"/>
              <w:right w:val="single" w:color="000000" w:sz="4" w:space="0"/>
            </w:tcBorders>
            <w:vAlign w:val="center"/>
          </w:tcPr>
          <w:p w14:paraId="6A29B0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50L</w:t>
            </w:r>
          </w:p>
        </w:tc>
        <w:tc>
          <w:tcPr>
            <w:tcW w:w="1134" w:type="dxa"/>
            <w:tcBorders>
              <w:top w:val="single" w:color="000000" w:sz="4" w:space="0"/>
              <w:left w:val="single" w:color="000000" w:sz="4" w:space="0"/>
              <w:bottom w:val="single" w:color="000000" w:sz="4" w:space="0"/>
              <w:right w:val="single" w:color="000000" w:sz="4" w:space="0"/>
            </w:tcBorders>
            <w:vAlign w:val="center"/>
          </w:tcPr>
          <w:p w14:paraId="5C6FC5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6EFAF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741A53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23A41F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7B7252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6BC4D3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790566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ADCoating机</w:t>
            </w:r>
          </w:p>
        </w:tc>
        <w:tc>
          <w:tcPr>
            <w:tcW w:w="4536" w:type="dxa"/>
            <w:tcBorders>
              <w:top w:val="single" w:color="000000" w:sz="4" w:space="0"/>
              <w:left w:val="single" w:color="000000" w:sz="4" w:space="0"/>
              <w:bottom w:val="single" w:color="000000" w:sz="4" w:space="0"/>
              <w:right w:val="single" w:color="000000" w:sz="4" w:space="0"/>
            </w:tcBorders>
            <w:vAlign w:val="center"/>
          </w:tcPr>
          <w:p w14:paraId="5F30A1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有效喷涂面积580mm*580mm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67A72C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1354CE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3793F5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2058461">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500086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3F21AA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09A378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电加热窑炉</w:t>
            </w:r>
          </w:p>
        </w:tc>
        <w:tc>
          <w:tcPr>
            <w:tcW w:w="4536" w:type="dxa"/>
            <w:tcBorders>
              <w:top w:val="single" w:color="000000" w:sz="4" w:space="0"/>
              <w:left w:val="single" w:color="000000" w:sz="4" w:space="0"/>
              <w:bottom w:val="single" w:color="000000" w:sz="4" w:space="0"/>
              <w:right w:val="single" w:color="000000" w:sz="4" w:space="0"/>
            </w:tcBorders>
            <w:vAlign w:val="center"/>
          </w:tcPr>
          <w:p w14:paraId="5F4E1A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有效温区600*600*500mm</w:t>
            </w:r>
          </w:p>
        </w:tc>
        <w:tc>
          <w:tcPr>
            <w:tcW w:w="1134" w:type="dxa"/>
            <w:tcBorders>
              <w:top w:val="single" w:color="000000" w:sz="4" w:space="0"/>
              <w:left w:val="single" w:color="000000" w:sz="4" w:space="0"/>
              <w:bottom w:val="single" w:color="000000" w:sz="4" w:space="0"/>
              <w:right w:val="single" w:color="000000" w:sz="4" w:space="0"/>
            </w:tcBorders>
            <w:vAlign w:val="center"/>
          </w:tcPr>
          <w:p w14:paraId="526029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E2497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CD6A8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E40308B">
        <w:tblPrEx>
          <w:tblCellMar>
            <w:top w:w="0" w:type="dxa"/>
            <w:left w:w="108" w:type="dxa"/>
            <w:bottom w:w="0" w:type="dxa"/>
            <w:right w:w="108" w:type="dxa"/>
          </w:tblCellMar>
        </w:tblPrEx>
        <w:trPr>
          <w:trHeight w:val="2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28B41E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20F4CE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3244" w:type="dxa"/>
            <w:tcBorders>
              <w:top w:val="single" w:color="000000" w:sz="4" w:space="0"/>
              <w:left w:val="single" w:color="000000" w:sz="4" w:space="0"/>
              <w:bottom w:val="single" w:color="000000" w:sz="4" w:space="0"/>
              <w:right w:val="single" w:color="000000" w:sz="4" w:space="0"/>
            </w:tcBorders>
            <w:vAlign w:val="center"/>
          </w:tcPr>
          <w:p w14:paraId="6A9869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气体回收循环系统</w:t>
            </w:r>
          </w:p>
        </w:tc>
        <w:tc>
          <w:tcPr>
            <w:tcW w:w="4536" w:type="dxa"/>
            <w:tcBorders>
              <w:top w:val="single" w:color="000000" w:sz="4" w:space="0"/>
              <w:left w:val="single" w:color="000000" w:sz="4" w:space="0"/>
              <w:bottom w:val="single" w:color="000000" w:sz="4" w:space="0"/>
              <w:right w:val="single" w:color="000000" w:sz="4" w:space="0"/>
            </w:tcBorders>
            <w:vAlign w:val="center"/>
          </w:tcPr>
          <w:p w14:paraId="741AED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80A0E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tcPr>
          <w:p w14:paraId="44C8D0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620" w:type="dxa"/>
            <w:tcBorders>
              <w:top w:val="single" w:color="000000" w:sz="4" w:space="0"/>
              <w:left w:val="single" w:color="000000" w:sz="4" w:space="0"/>
              <w:bottom w:val="single" w:color="000000" w:sz="4" w:space="0"/>
              <w:right w:val="single" w:color="000000" w:sz="4" w:space="0"/>
            </w:tcBorders>
            <w:vAlign w:val="center"/>
          </w:tcPr>
          <w:p w14:paraId="66E159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bl>
    <w:p w14:paraId="2F93417A">
      <w:pPr>
        <w:ind w:firstLine="0" w:firstLineChars="0"/>
        <w:jc w:val="center"/>
        <w:rPr>
          <w:color w:val="000000" w:themeColor="text1"/>
          <w14:textFill>
            <w14:solidFill>
              <w14:schemeClr w14:val="tx1"/>
            </w14:solidFill>
          </w14:textFill>
        </w:rPr>
      </w:pPr>
    </w:p>
    <w:p w14:paraId="3F43BE43">
      <w:pPr>
        <w:ind w:firstLine="520"/>
        <w:rPr>
          <w:color w:val="000000" w:themeColor="text1"/>
          <w14:textFill>
            <w14:solidFill>
              <w14:schemeClr w14:val="tx1"/>
            </w14:solidFill>
          </w14:textFill>
        </w:rPr>
        <w:sectPr>
          <w:pgSz w:w="16838" w:h="11906" w:orient="landscape"/>
          <w:pgMar w:top="1800" w:right="1440" w:bottom="1800" w:left="1440" w:header="851" w:footer="992" w:gutter="0"/>
          <w:cols w:space="720" w:num="1"/>
          <w:docGrid w:type="lines" w:linePitch="354" w:charSpace="0"/>
        </w:sectPr>
      </w:pPr>
    </w:p>
    <w:p w14:paraId="24E6DB1F">
      <w:pPr>
        <w:pStyle w:val="4"/>
        <w:rPr>
          <w:color w:val="000000" w:themeColor="text1"/>
          <w14:textFill>
            <w14:solidFill>
              <w14:schemeClr w14:val="tx1"/>
            </w14:solidFill>
          </w14:textFill>
        </w:rPr>
      </w:pPr>
      <w:bookmarkStart w:id="165" w:name="_Toc9929"/>
      <w:r>
        <w:rPr>
          <w:color w:val="000000" w:themeColor="text1"/>
          <w14:textFill>
            <w14:solidFill>
              <w14:schemeClr w14:val="tx1"/>
            </w14:solidFill>
          </w14:textFill>
        </w:rPr>
        <w:t>总平面布置</w:t>
      </w:r>
      <w:bookmarkEnd w:id="165"/>
    </w:p>
    <w:p w14:paraId="4770F26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臻宝半导体公司</w:t>
      </w:r>
      <w:r>
        <w:rPr>
          <w:color w:val="000000" w:themeColor="text1"/>
          <w14:textFill>
            <w14:solidFill>
              <w14:schemeClr w14:val="tx1"/>
            </w14:solidFill>
          </w14:textFill>
        </w:rPr>
        <w:t>整个厂区由2栋生产厂房、</w:t>
      </w:r>
      <w:r>
        <w:rPr>
          <w:rFonts w:hint="eastAsia"/>
          <w:color w:val="000000" w:themeColor="text1"/>
          <w14:textFill>
            <w14:solidFill>
              <w14:schemeClr w14:val="tx1"/>
            </w14:solidFill>
          </w14:textFill>
        </w:rPr>
        <w:t>3栋附属用房</w:t>
      </w:r>
      <w:r>
        <w:rPr>
          <w:color w:val="000000" w:themeColor="text1"/>
          <w14:textFill>
            <w14:solidFill>
              <w14:schemeClr w14:val="tx1"/>
            </w14:solidFill>
          </w14:textFill>
        </w:rPr>
        <w:t>和门卫室等附属建筑物构成。</w:t>
      </w:r>
      <w:r>
        <w:rPr>
          <w:rFonts w:hint="eastAsia"/>
          <w:color w:val="000000" w:themeColor="text1"/>
          <w14:textFill>
            <w14:solidFill>
              <w14:schemeClr w14:val="tx1"/>
            </w14:solidFill>
          </w14:textFill>
        </w:rPr>
        <w:t>项目在1#厂房东南侧闲置区域建设，主要布置石墨产品纯化及碳化硅涂层产品设备。</w:t>
      </w:r>
    </w:p>
    <w:p w14:paraId="530F3CF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臻宝科技公司整个厂区由1栋联合厂房、1座办公研发楼和3座附属用房及1座配电房等建筑物构成。项目租赁联合厂房东南侧闲置区域及附属用房01建设，其中联合厂房闲置区域主要布置GASKET产品生产设备，附属用房01主要布置石墨产品机加设备。</w:t>
      </w:r>
    </w:p>
    <w:p w14:paraId="0AA2C5B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两个厂区均位于西彭工业园区D标准分区，南北相距约550m。厂区内厂房四周均设置车行道，保障物流运输和消防安全的通畅；各建筑由道路、绿化相隔，如此最大限度的减少了各功能区的相互影响。总体布置体现了安全性、实用性、灵活性、经济性、科学性及可持续性的设计理念。厂区整体布局体现了规整气派的现代化厂区风貌。道路线形绿化与广场片状绿化不但美化环境的作用，还起到了隔音防尘的作用。从环保角度分析，布局总体合理。</w:t>
      </w:r>
    </w:p>
    <w:p w14:paraId="2188E716">
      <w:pPr>
        <w:pStyle w:val="4"/>
        <w:rPr>
          <w:color w:val="000000" w:themeColor="text1"/>
          <w14:textFill>
            <w14:solidFill>
              <w14:schemeClr w14:val="tx1"/>
            </w14:solidFill>
          </w14:textFill>
        </w:rPr>
      </w:pPr>
      <w:bookmarkStart w:id="166" w:name="_Toc845"/>
      <w:r>
        <w:rPr>
          <w:color w:val="000000" w:themeColor="text1"/>
          <w14:textFill>
            <w14:solidFill>
              <w14:schemeClr w14:val="tx1"/>
            </w14:solidFill>
          </w14:textFill>
        </w:rPr>
        <w:t>主要经济技术指标</w:t>
      </w:r>
      <w:bookmarkEnd w:id="166"/>
    </w:p>
    <w:p w14:paraId="1C160166">
      <w:pPr>
        <w:ind w:firstLine="520"/>
        <w:rPr>
          <w:color w:val="000000" w:themeColor="text1"/>
          <w14:textFill>
            <w14:solidFill>
              <w14:schemeClr w14:val="tx1"/>
            </w14:solidFill>
          </w14:textFill>
        </w:rPr>
      </w:pPr>
      <w:r>
        <w:rPr>
          <w:color w:val="000000" w:themeColor="text1"/>
          <w14:textFill>
            <w14:solidFill>
              <w14:schemeClr w14:val="tx1"/>
            </w14:solidFill>
          </w14:textFill>
        </w:rPr>
        <w:t>厂区主要技术经济指标详见表</w:t>
      </w:r>
    </w:p>
    <w:p w14:paraId="134067B2">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总图主要数据表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512"/>
        <w:gridCol w:w="842"/>
        <w:gridCol w:w="1880"/>
        <w:gridCol w:w="2328"/>
      </w:tblGrid>
      <w:tr w14:paraId="17D4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Align w:val="center"/>
          </w:tcPr>
          <w:p w14:paraId="28D6CFA3">
            <w:pPr>
              <w:pStyle w:val="1535"/>
            </w:pPr>
            <w:r>
              <w:t>编号</w:t>
            </w:r>
          </w:p>
        </w:tc>
        <w:tc>
          <w:tcPr>
            <w:tcW w:w="1474" w:type="pct"/>
            <w:vAlign w:val="center"/>
          </w:tcPr>
          <w:p w14:paraId="53E86DFD">
            <w:pPr>
              <w:pStyle w:val="1535"/>
            </w:pPr>
            <w:r>
              <w:t>项目</w:t>
            </w:r>
          </w:p>
        </w:tc>
        <w:tc>
          <w:tcPr>
            <w:tcW w:w="494" w:type="pct"/>
            <w:vAlign w:val="center"/>
          </w:tcPr>
          <w:p w14:paraId="16D07195">
            <w:pPr>
              <w:pStyle w:val="1535"/>
            </w:pPr>
            <w:r>
              <w:t>单位</w:t>
            </w:r>
          </w:p>
        </w:tc>
        <w:tc>
          <w:tcPr>
            <w:tcW w:w="1103" w:type="pct"/>
            <w:vAlign w:val="center"/>
          </w:tcPr>
          <w:p w14:paraId="55A21F78">
            <w:pPr>
              <w:pStyle w:val="1535"/>
            </w:pPr>
            <w:r>
              <w:t>数量</w:t>
            </w:r>
          </w:p>
        </w:tc>
        <w:tc>
          <w:tcPr>
            <w:tcW w:w="1366" w:type="pct"/>
            <w:vAlign w:val="center"/>
          </w:tcPr>
          <w:p w14:paraId="479E1D3A">
            <w:pPr>
              <w:pStyle w:val="1535"/>
            </w:pPr>
            <w:r>
              <w:t>备注</w:t>
            </w:r>
          </w:p>
        </w:tc>
      </w:tr>
      <w:tr w14:paraId="45DD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noWrap/>
            <w:vAlign w:val="center"/>
          </w:tcPr>
          <w:p w14:paraId="406B2807">
            <w:pPr>
              <w:pStyle w:val="1535"/>
            </w:pPr>
            <w:r>
              <w:t>1</w:t>
            </w:r>
          </w:p>
        </w:tc>
        <w:tc>
          <w:tcPr>
            <w:tcW w:w="1474" w:type="pct"/>
            <w:vAlign w:val="center"/>
          </w:tcPr>
          <w:p w14:paraId="69EB7ABE">
            <w:pPr>
              <w:pStyle w:val="1535"/>
            </w:pPr>
            <w:r>
              <w:t>规划建设用地面积</w:t>
            </w:r>
          </w:p>
        </w:tc>
        <w:tc>
          <w:tcPr>
            <w:tcW w:w="494" w:type="pct"/>
            <w:noWrap/>
            <w:vAlign w:val="center"/>
          </w:tcPr>
          <w:p w14:paraId="09D0C1F0">
            <w:pPr>
              <w:pStyle w:val="1535"/>
            </w:pPr>
            <w:r>
              <w:rPr>
                <w:rFonts w:hint="eastAsia"/>
              </w:rPr>
              <w:t>m</w:t>
            </w:r>
            <w:r>
              <w:rPr>
                <w:rFonts w:hint="eastAsia"/>
                <w:vertAlign w:val="superscript"/>
              </w:rPr>
              <w:t>2</w:t>
            </w:r>
          </w:p>
        </w:tc>
        <w:tc>
          <w:tcPr>
            <w:tcW w:w="1103" w:type="pct"/>
            <w:noWrap/>
            <w:vAlign w:val="center"/>
          </w:tcPr>
          <w:p w14:paraId="28ACD1C8">
            <w:pPr>
              <w:pStyle w:val="1535"/>
            </w:pPr>
            <w:r>
              <w:t>38196.7</w:t>
            </w:r>
          </w:p>
        </w:tc>
        <w:tc>
          <w:tcPr>
            <w:tcW w:w="1366" w:type="pct"/>
            <w:noWrap/>
            <w:vAlign w:val="center"/>
          </w:tcPr>
          <w:p w14:paraId="08F8A4F9">
            <w:pPr>
              <w:pStyle w:val="1535"/>
            </w:pPr>
            <w:r>
              <w:t>/</w:t>
            </w:r>
          </w:p>
        </w:tc>
      </w:tr>
      <w:tr w14:paraId="2442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restart"/>
            <w:noWrap/>
            <w:vAlign w:val="center"/>
          </w:tcPr>
          <w:p w14:paraId="63E63D4B">
            <w:pPr>
              <w:pStyle w:val="1535"/>
            </w:pPr>
            <w:r>
              <w:t>2</w:t>
            </w:r>
          </w:p>
        </w:tc>
        <w:tc>
          <w:tcPr>
            <w:tcW w:w="1474" w:type="pct"/>
            <w:vAlign w:val="center"/>
          </w:tcPr>
          <w:p w14:paraId="12CA494E">
            <w:pPr>
              <w:pStyle w:val="1535"/>
            </w:pPr>
            <w:r>
              <w:t>总建筑面积</w:t>
            </w:r>
          </w:p>
        </w:tc>
        <w:tc>
          <w:tcPr>
            <w:tcW w:w="494" w:type="pct"/>
            <w:noWrap/>
            <w:vAlign w:val="center"/>
          </w:tcPr>
          <w:p w14:paraId="756AEDC1">
            <w:pPr>
              <w:pStyle w:val="1535"/>
            </w:pPr>
            <w:r>
              <w:rPr>
                <w:rFonts w:hint="eastAsia"/>
              </w:rPr>
              <w:t>m</w:t>
            </w:r>
            <w:r>
              <w:rPr>
                <w:rFonts w:hint="eastAsia"/>
                <w:vertAlign w:val="superscript"/>
              </w:rPr>
              <w:t>2</w:t>
            </w:r>
          </w:p>
        </w:tc>
        <w:tc>
          <w:tcPr>
            <w:tcW w:w="1103" w:type="pct"/>
            <w:noWrap/>
            <w:vAlign w:val="center"/>
          </w:tcPr>
          <w:p w14:paraId="222FFCB3">
            <w:pPr>
              <w:pStyle w:val="1535"/>
            </w:pPr>
            <w:r>
              <w:t>38396.53</w:t>
            </w:r>
          </w:p>
        </w:tc>
        <w:tc>
          <w:tcPr>
            <w:tcW w:w="1366" w:type="pct"/>
            <w:noWrap/>
            <w:vAlign w:val="center"/>
          </w:tcPr>
          <w:p w14:paraId="25FE34F9">
            <w:pPr>
              <w:pStyle w:val="1535"/>
            </w:pPr>
            <w:r>
              <w:t>/</w:t>
            </w:r>
          </w:p>
        </w:tc>
      </w:tr>
      <w:tr w14:paraId="292D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37BF96DD">
            <w:pPr>
              <w:pStyle w:val="1535"/>
            </w:pPr>
          </w:p>
        </w:tc>
        <w:tc>
          <w:tcPr>
            <w:tcW w:w="1474" w:type="pct"/>
            <w:vAlign w:val="center"/>
          </w:tcPr>
          <w:p w14:paraId="4C0B7D64">
            <w:pPr>
              <w:pStyle w:val="1535"/>
            </w:pPr>
            <w:r>
              <w:t>地上建筑面积</w:t>
            </w:r>
          </w:p>
        </w:tc>
        <w:tc>
          <w:tcPr>
            <w:tcW w:w="494" w:type="pct"/>
            <w:noWrap/>
            <w:vAlign w:val="center"/>
          </w:tcPr>
          <w:p w14:paraId="6FD64EC0">
            <w:pPr>
              <w:pStyle w:val="1535"/>
            </w:pPr>
            <w:r>
              <w:rPr>
                <w:rFonts w:hint="eastAsia"/>
              </w:rPr>
              <w:t>m</w:t>
            </w:r>
            <w:r>
              <w:rPr>
                <w:rFonts w:hint="eastAsia"/>
                <w:vertAlign w:val="superscript"/>
              </w:rPr>
              <w:t>2</w:t>
            </w:r>
          </w:p>
        </w:tc>
        <w:tc>
          <w:tcPr>
            <w:tcW w:w="1103" w:type="pct"/>
            <w:noWrap/>
            <w:vAlign w:val="center"/>
          </w:tcPr>
          <w:p w14:paraId="0B980B66">
            <w:pPr>
              <w:pStyle w:val="1535"/>
            </w:pPr>
            <w:r>
              <w:t>38396.53</w:t>
            </w:r>
          </w:p>
        </w:tc>
        <w:tc>
          <w:tcPr>
            <w:tcW w:w="1366" w:type="pct"/>
            <w:noWrap/>
            <w:vAlign w:val="center"/>
          </w:tcPr>
          <w:p w14:paraId="62F9EE0B">
            <w:pPr>
              <w:pStyle w:val="1535"/>
            </w:pPr>
            <w:r>
              <w:t>/</w:t>
            </w:r>
          </w:p>
        </w:tc>
      </w:tr>
      <w:tr w14:paraId="5051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restart"/>
            <w:noWrap/>
            <w:vAlign w:val="center"/>
          </w:tcPr>
          <w:p w14:paraId="63C3FE55">
            <w:pPr>
              <w:pStyle w:val="1535"/>
            </w:pPr>
            <w:r>
              <w:t>3</w:t>
            </w:r>
          </w:p>
        </w:tc>
        <w:tc>
          <w:tcPr>
            <w:tcW w:w="1474" w:type="pct"/>
            <w:vAlign w:val="center"/>
          </w:tcPr>
          <w:p w14:paraId="710100C1">
            <w:pPr>
              <w:pStyle w:val="1535"/>
            </w:pPr>
            <w:r>
              <w:t>工业建筑面积</w:t>
            </w:r>
          </w:p>
        </w:tc>
        <w:tc>
          <w:tcPr>
            <w:tcW w:w="494" w:type="pct"/>
            <w:noWrap/>
            <w:vAlign w:val="center"/>
          </w:tcPr>
          <w:p w14:paraId="4E86F24F">
            <w:pPr>
              <w:pStyle w:val="1535"/>
            </w:pPr>
            <w:r>
              <w:rPr>
                <w:rFonts w:hint="eastAsia"/>
              </w:rPr>
              <w:t>m</w:t>
            </w:r>
            <w:r>
              <w:rPr>
                <w:rFonts w:hint="eastAsia"/>
                <w:vertAlign w:val="superscript"/>
              </w:rPr>
              <w:t>2</w:t>
            </w:r>
          </w:p>
        </w:tc>
        <w:tc>
          <w:tcPr>
            <w:tcW w:w="1103" w:type="pct"/>
            <w:noWrap/>
            <w:vAlign w:val="center"/>
          </w:tcPr>
          <w:p w14:paraId="2A0AA6D4">
            <w:pPr>
              <w:pStyle w:val="1535"/>
            </w:pPr>
            <w:r>
              <w:t>38396.53</w:t>
            </w:r>
          </w:p>
        </w:tc>
        <w:tc>
          <w:tcPr>
            <w:tcW w:w="1366" w:type="pct"/>
            <w:noWrap/>
            <w:vAlign w:val="center"/>
          </w:tcPr>
          <w:p w14:paraId="75AEDC98">
            <w:pPr>
              <w:pStyle w:val="1535"/>
            </w:pPr>
            <w:r>
              <w:t>/</w:t>
            </w:r>
          </w:p>
        </w:tc>
      </w:tr>
      <w:tr w14:paraId="1347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65BF719F">
            <w:pPr>
              <w:pStyle w:val="1535"/>
            </w:pPr>
          </w:p>
        </w:tc>
        <w:tc>
          <w:tcPr>
            <w:tcW w:w="1474" w:type="pct"/>
            <w:vAlign w:val="center"/>
          </w:tcPr>
          <w:p w14:paraId="7C76D7BF">
            <w:pPr>
              <w:pStyle w:val="1535"/>
            </w:pPr>
            <w:r>
              <w:t>生产厂房</w:t>
            </w:r>
          </w:p>
        </w:tc>
        <w:tc>
          <w:tcPr>
            <w:tcW w:w="494" w:type="pct"/>
            <w:noWrap/>
            <w:vAlign w:val="center"/>
          </w:tcPr>
          <w:p w14:paraId="763FA54E">
            <w:pPr>
              <w:pStyle w:val="1535"/>
            </w:pPr>
            <w:r>
              <w:rPr>
                <w:rFonts w:hint="eastAsia"/>
              </w:rPr>
              <w:t>m</w:t>
            </w:r>
            <w:r>
              <w:rPr>
                <w:rFonts w:hint="eastAsia"/>
                <w:vertAlign w:val="superscript"/>
              </w:rPr>
              <w:t>2</w:t>
            </w:r>
          </w:p>
        </w:tc>
        <w:tc>
          <w:tcPr>
            <w:tcW w:w="1103" w:type="pct"/>
            <w:noWrap/>
            <w:vAlign w:val="center"/>
          </w:tcPr>
          <w:p w14:paraId="02B5A956">
            <w:pPr>
              <w:pStyle w:val="1535"/>
            </w:pPr>
            <w:r>
              <w:t>38396.53</w:t>
            </w:r>
          </w:p>
        </w:tc>
        <w:tc>
          <w:tcPr>
            <w:tcW w:w="1366" w:type="pct"/>
            <w:noWrap/>
            <w:vAlign w:val="center"/>
          </w:tcPr>
          <w:p w14:paraId="0E2DEF6F">
            <w:pPr>
              <w:pStyle w:val="1535"/>
            </w:pPr>
            <w:r>
              <w:t>1#厂房、2#厂房</w:t>
            </w:r>
          </w:p>
        </w:tc>
      </w:tr>
      <w:tr w14:paraId="44FB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2BF24947">
            <w:pPr>
              <w:pStyle w:val="1535"/>
            </w:pPr>
          </w:p>
        </w:tc>
        <w:tc>
          <w:tcPr>
            <w:tcW w:w="1474" w:type="pct"/>
            <w:vAlign w:val="center"/>
          </w:tcPr>
          <w:p w14:paraId="08F1FD3E">
            <w:pPr>
              <w:pStyle w:val="1535"/>
            </w:pPr>
            <w:r>
              <w:t>其中：1#厂房</w:t>
            </w:r>
          </w:p>
        </w:tc>
        <w:tc>
          <w:tcPr>
            <w:tcW w:w="494" w:type="pct"/>
            <w:noWrap/>
            <w:vAlign w:val="center"/>
          </w:tcPr>
          <w:p w14:paraId="468CDBD6">
            <w:pPr>
              <w:pStyle w:val="1535"/>
            </w:pPr>
            <w:r>
              <w:rPr>
                <w:rFonts w:hint="eastAsia"/>
              </w:rPr>
              <w:t>m</w:t>
            </w:r>
            <w:r>
              <w:rPr>
                <w:rFonts w:hint="eastAsia"/>
                <w:vertAlign w:val="superscript"/>
              </w:rPr>
              <w:t>2</w:t>
            </w:r>
          </w:p>
        </w:tc>
        <w:tc>
          <w:tcPr>
            <w:tcW w:w="1103" w:type="pct"/>
            <w:noWrap/>
            <w:vAlign w:val="center"/>
          </w:tcPr>
          <w:p w14:paraId="24DA6FF2">
            <w:pPr>
              <w:pStyle w:val="1535"/>
            </w:pPr>
            <w:r>
              <w:t>7878.23</w:t>
            </w:r>
          </w:p>
        </w:tc>
        <w:tc>
          <w:tcPr>
            <w:tcW w:w="1366" w:type="pct"/>
            <w:noWrap/>
            <w:vAlign w:val="center"/>
          </w:tcPr>
          <w:p w14:paraId="6B054A2A">
            <w:pPr>
              <w:pStyle w:val="1535"/>
            </w:pPr>
            <w:r>
              <w:rPr>
                <w:rFonts w:hint="eastAsia"/>
              </w:rPr>
              <w:t>1</w:t>
            </w:r>
            <w:r>
              <w:t>层</w:t>
            </w:r>
          </w:p>
        </w:tc>
      </w:tr>
      <w:tr w14:paraId="6724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6EB08BCA">
            <w:pPr>
              <w:pStyle w:val="1535"/>
            </w:pPr>
          </w:p>
        </w:tc>
        <w:tc>
          <w:tcPr>
            <w:tcW w:w="1474" w:type="pct"/>
            <w:vAlign w:val="center"/>
          </w:tcPr>
          <w:p w14:paraId="05EFBED2">
            <w:pPr>
              <w:pStyle w:val="1535"/>
            </w:pPr>
            <w:r>
              <w:t>其中：2#厂房</w:t>
            </w:r>
          </w:p>
        </w:tc>
        <w:tc>
          <w:tcPr>
            <w:tcW w:w="494" w:type="pct"/>
            <w:noWrap/>
            <w:vAlign w:val="center"/>
          </w:tcPr>
          <w:p w14:paraId="59782A45">
            <w:pPr>
              <w:pStyle w:val="1535"/>
            </w:pPr>
            <w:r>
              <w:rPr>
                <w:rFonts w:hint="eastAsia"/>
              </w:rPr>
              <w:t>m</w:t>
            </w:r>
            <w:r>
              <w:rPr>
                <w:rFonts w:hint="eastAsia"/>
                <w:vertAlign w:val="superscript"/>
              </w:rPr>
              <w:t>2</w:t>
            </w:r>
          </w:p>
        </w:tc>
        <w:tc>
          <w:tcPr>
            <w:tcW w:w="1103" w:type="pct"/>
            <w:noWrap/>
            <w:vAlign w:val="center"/>
          </w:tcPr>
          <w:p w14:paraId="71FA8ACE">
            <w:pPr>
              <w:pStyle w:val="1535"/>
            </w:pPr>
            <w:r>
              <w:t>13636.3</w:t>
            </w:r>
          </w:p>
        </w:tc>
        <w:tc>
          <w:tcPr>
            <w:tcW w:w="1366" w:type="pct"/>
            <w:noWrap/>
            <w:vAlign w:val="center"/>
          </w:tcPr>
          <w:p w14:paraId="33ABF6B3">
            <w:pPr>
              <w:pStyle w:val="1535"/>
            </w:pPr>
            <w:r>
              <w:rPr>
                <w:rFonts w:hint="eastAsia"/>
              </w:rPr>
              <w:t>1</w:t>
            </w:r>
            <w:r>
              <w:t>层</w:t>
            </w:r>
          </w:p>
        </w:tc>
      </w:tr>
      <w:tr w14:paraId="524C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6B298AAF">
            <w:pPr>
              <w:pStyle w:val="1535"/>
            </w:pPr>
          </w:p>
        </w:tc>
        <w:tc>
          <w:tcPr>
            <w:tcW w:w="1474" w:type="pct"/>
            <w:vAlign w:val="center"/>
          </w:tcPr>
          <w:p w14:paraId="33BA3EB5">
            <w:pPr>
              <w:pStyle w:val="1535"/>
            </w:pPr>
            <w:r>
              <w:t>其中：</w:t>
            </w:r>
            <w:r>
              <w:rPr>
                <w:rFonts w:hint="eastAsia"/>
              </w:rPr>
              <w:t>3</w:t>
            </w:r>
            <w:r>
              <w:t>#厂房</w:t>
            </w:r>
          </w:p>
        </w:tc>
        <w:tc>
          <w:tcPr>
            <w:tcW w:w="494" w:type="pct"/>
            <w:noWrap/>
            <w:vAlign w:val="center"/>
          </w:tcPr>
          <w:p w14:paraId="0B046539">
            <w:pPr>
              <w:pStyle w:val="1535"/>
            </w:pPr>
            <w:r>
              <w:rPr>
                <w:rFonts w:hint="eastAsia"/>
              </w:rPr>
              <w:t>m</w:t>
            </w:r>
            <w:r>
              <w:rPr>
                <w:rFonts w:hint="eastAsia"/>
                <w:vertAlign w:val="superscript"/>
              </w:rPr>
              <w:t>2</w:t>
            </w:r>
          </w:p>
        </w:tc>
        <w:tc>
          <w:tcPr>
            <w:tcW w:w="1103" w:type="pct"/>
            <w:noWrap/>
            <w:vAlign w:val="center"/>
          </w:tcPr>
          <w:p w14:paraId="42ABE96A">
            <w:pPr>
              <w:pStyle w:val="1535"/>
            </w:pPr>
            <w:r>
              <w:t>5300</w:t>
            </w:r>
          </w:p>
        </w:tc>
        <w:tc>
          <w:tcPr>
            <w:tcW w:w="1366" w:type="pct"/>
            <w:noWrap/>
            <w:vAlign w:val="center"/>
          </w:tcPr>
          <w:p w14:paraId="582659B4">
            <w:pPr>
              <w:pStyle w:val="1535"/>
            </w:pPr>
            <w:r>
              <w:rPr>
                <w:rFonts w:hint="eastAsia"/>
              </w:rPr>
              <w:t>1</w:t>
            </w:r>
            <w:r>
              <w:t>层</w:t>
            </w:r>
          </w:p>
        </w:tc>
      </w:tr>
      <w:tr w14:paraId="7261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502E7FE8">
            <w:pPr>
              <w:pStyle w:val="1535"/>
            </w:pPr>
          </w:p>
        </w:tc>
        <w:tc>
          <w:tcPr>
            <w:tcW w:w="1474" w:type="pct"/>
            <w:vAlign w:val="center"/>
          </w:tcPr>
          <w:p w14:paraId="22EDB5A9">
            <w:pPr>
              <w:pStyle w:val="1535"/>
            </w:pPr>
            <w:r>
              <w:t>其中：</w:t>
            </w:r>
            <w:r>
              <w:rPr>
                <w:rFonts w:hint="eastAsia"/>
              </w:rPr>
              <w:t>4</w:t>
            </w:r>
            <w:r>
              <w:t>#厂房</w:t>
            </w:r>
          </w:p>
        </w:tc>
        <w:tc>
          <w:tcPr>
            <w:tcW w:w="494" w:type="pct"/>
            <w:noWrap/>
            <w:vAlign w:val="center"/>
          </w:tcPr>
          <w:p w14:paraId="145EC7B9">
            <w:pPr>
              <w:pStyle w:val="1535"/>
            </w:pPr>
            <w:r>
              <w:rPr>
                <w:rFonts w:hint="eastAsia"/>
              </w:rPr>
              <w:t>m</w:t>
            </w:r>
            <w:r>
              <w:rPr>
                <w:rFonts w:hint="eastAsia"/>
                <w:vertAlign w:val="superscript"/>
              </w:rPr>
              <w:t>2</w:t>
            </w:r>
          </w:p>
        </w:tc>
        <w:tc>
          <w:tcPr>
            <w:tcW w:w="1103" w:type="pct"/>
            <w:noWrap/>
            <w:vAlign w:val="center"/>
          </w:tcPr>
          <w:p w14:paraId="1320C7F2">
            <w:pPr>
              <w:pStyle w:val="1535"/>
            </w:pPr>
            <w:r>
              <w:t>7300</w:t>
            </w:r>
          </w:p>
        </w:tc>
        <w:tc>
          <w:tcPr>
            <w:tcW w:w="1366" w:type="pct"/>
            <w:noWrap/>
            <w:vAlign w:val="center"/>
          </w:tcPr>
          <w:p w14:paraId="6BA34A2E">
            <w:pPr>
              <w:pStyle w:val="1535"/>
            </w:pPr>
            <w:r>
              <w:rPr>
                <w:rFonts w:hint="eastAsia"/>
              </w:rPr>
              <w:t>1</w:t>
            </w:r>
            <w:r>
              <w:t>层</w:t>
            </w:r>
          </w:p>
        </w:tc>
      </w:tr>
      <w:tr w14:paraId="5B9D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restart"/>
            <w:noWrap/>
            <w:vAlign w:val="center"/>
          </w:tcPr>
          <w:p w14:paraId="2A3E862C">
            <w:pPr>
              <w:pStyle w:val="1535"/>
            </w:pPr>
            <w:r>
              <w:t>4</w:t>
            </w:r>
          </w:p>
        </w:tc>
        <w:tc>
          <w:tcPr>
            <w:tcW w:w="1474" w:type="pct"/>
            <w:vAlign w:val="center"/>
          </w:tcPr>
          <w:p w14:paraId="3BADFC75">
            <w:pPr>
              <w:pStyle w:val="1535"/>
            </w:pPr>
            <w:r>
              <w:rPr>
                <w:rFonts w:hint="eastAsia"/>
              </w:rPr>
              <w:t>1#附属用房</w:t>
            </w:r>
          </w:p>
        </w:tc>
        <w:tc>
          <w:tcPr>
            <w:tcW w:w="494" w:type="pct"/>
            <w:noWrap/>
            <w:vAlign w:val="center"/>
          </w:tcPr>
          <w:p w14:paraId="1CBAF05E">
            <w:pPr>
              <w:pStyle w:val="1535"/>
            </w:pPr>
            <w:r>
              <w:rPr>
                <w:rFonts w:hint="eastAsia"/>
              </w:rPr>
              <w:t>m</w:t>
            </w:r>
            <w:r>
              <w:rPr>
                <w:rFonts w:hint="eastAsia"/>
                <w:vertAlign w:val="superscript"/>
              </w:rPr>
              <w:t>2</w:t>
            </w:r>
          </w:p>
        </w:tc>
        <w:tc>
          <w:tcPr>
            <w:tcW w:w="1103" w:type="pct"/>
            <w:noWrap/>
            <w:vAlign w:val="center"/>
          </w:tcPr>
          <w:p w14:paraId="4AA41426">
            <w:pPr>
              <w:pStyle w:val="1535"/>
            </w:pPr>
            <w:r>
              <w:t>2380</w:t>
            </w:r>
          </w:p>
        </w:tc>
        <w:tc>
          <w:tcPr>
            <w:tcW w:w="1366" w:type="pct"/>
            <w:noWrap/>
            <w:vAlign w:val="center"/>
          </w:tcPr>
          <w:p w14:paraId="13A5D305">
            <w:pPr>
              <w:pStyle w:val="1535"/>
            </w:pPr>
            <w:r>
              <w:t>1层</w:t>
            </w:r>
          </w:p>
        </w:tc>
      </w:tr>
      <w:tr w14:paraId="12DF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34CD0381">
            <w:pPr>
              <w:pStyle w:val="1535"/>
            </w:pPr>
          </w:p>
        </w:tc>
        <w:tc>
          <w:tcPr>
            <w:tcW w:w="1474" w:type="pct"/>
            <w:vAlign w:val="center"/>
          </w:tcPr>
          <w:p w14:paraId="380C4AF3">
            <w:pPr>
              <w:pStyle w:val="1535"/>
            </w:pPr>
            <w:r>
              <w:rPr>
                <w:rFonts w:hint="eastAsia"/>
              </w:rPr>
              <w:t>2#附属用房</w:t>
            </w:r>
          </w:p>
        </w:tc>
        <w:tc>
          <w:tcPr>
            <w:tcW w:w="494" w:type="pct"/>
            <w:noWrap/>
            <w:vAlign w:val="center"/>
          </w:tcPr>
          <w:p w14:paraId="4AA41302">
            <w:pPr>
              <w:pStyle w:val="1535"/>
            </w:pPr>
            <w:r>
              <w:rPr>
                <w:rFonts w:hint="eastAsia"/>
              </w:rPr>
              <w:t>m</w:t>
            </w:r>
            <w:r>
              <w:rPr>
                <w:rFonts w:hint="eastAsia"/>
                <w:vertAlign w:val="superscript"/>
              </w:rPr>
              <w:t>2</w:t>
            </w:r>
          </w:p>
        </w:tc>
        <w:tc>
          <w:tcPr>
            <w:tcW w:w="1103" w:type="pct"/>
            <w:noWrap/>
            <w:vAlign w:val="center"/>
          </w:tcPr>
          <w:p w14:paraId="137A1F8D">
            <w:pPr>
              <w:pStyle w:val="1535"/>
            </w:pPr>
            <w:r>
              <w:t>750</w:t>
            </w:r>
          </w:p>
        </w:tc>
        <w:tc>
          <w:tcPr>
            <w:tcW w:w="1366" w:type="pct"/>
            <w:noWrap/>
            <w:vAlign w:val="center"/>
          </w:tcPr>
          <w:p w14:paraId="4F19264F">
            <w:pPr>
              <w:pStyle w:val="1535"/>
            </w:pPr>
            <w:r>
              <w:rPr>
                <w:rFonts w:hint="eastAsia"/>
              </w:rPr>
              <w:t>1</w:t>
            </w:r>
            <w:r>
              <w:t>层</w:t>
            </w:r>
          </w:p>
        </w:tc>
      </w:tr>
      <w:tr w14:paraId="234F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2436F819">
            <w:pPr>
              <w:pStyle w:val="1535"/>
            </w:pPr>
          </w:p>
        </w:tc>
        <w:tc>
          <w:tcPr>
            <w:tcW w:w="1474" w:type="pct"/>
            <w:vAlign w:val="center"/>
          </w:tcPr>
          <w:p w14:paraId="6BD8A1A2">
            <w:pPr>
              <w:pStyle w:val="1535"/>
            </w:pPr>
            <w:r>
              <w:rPr>
                <w:rFonts w:hint="eastAsia"/>
              </w:rPr>
              <w:t>3#附属用房</w:t>
            </w:r>
          </w:p>
        </w:tc>
        <w:tc>
          <w:tcPr>
            <w:tcW w:w="494" w:type="pct"/>
            <w:noWrap/>
            <w:vAlign w:val="center"/>
          </w:tcPr>
          <w:p w14:paraId="70BDB9C9">
            <w:pPr>
              <w:pStyle w:val="1535"/>
            </w:pPr>
            <w:r>
              <w:rPr>
                <w:rFonts w:hint="eastAsia"/>
              </w:rPr>
              <w:t>m</w:t>
            </w:r>
            <w:r>
              <w:rPr>
                <w:rFonts w:hint="eastAsia"/>
                <w:vertAlign w:val="superscript"/>
              </w:rPr>
              <w:t>2</w:t>
            </w:r>
          </w:p>
        </w:tc>
        <w:tc>
          <w:tcPr>
            <w:tcW w:w="1103" w:type="pct"/>
            <w:noWrap/>
            <w:vAlign w:val="center"/>
          </w:tcPr>
          <w:p w14:paraId="398D50A0">
            <w:pPr>
              <w:pStyle w:val="1535"/>
            </w:pPr>
            <w:r>
              <w:t>1152</w:t>
            </w:r>
          </w:p>
        </w:tc>
        <w:tc>
          <w:tcPr>
            <w:tcW w:w="1366" w:type="pct"/>
            <w:noWrap/>
            <w:vAlign w:val="center"/>
          </w:tcPr>
          <w:p w14:paraId="7D5AE6A8">
            <w:pPr>
              <w:pStyle w:val="1535"/>
            </w:pPr>
            <w:r>
              <w:rPr>
                <w:rFonts w:hint="eastAsia"/>
              </w:rPr>
              <w:t>1层</w:t>
            </w:r>
          </w:p>
        </w:tc>
      </w:tr>
      <w:tr w14:paraId="583E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restart"/>
            <w:noWrap/>
            <w:vAlign w:val="center"/>
          </w:tcPr>
          <w:p w14:paraId="46AEC905">
            <w:pPr>
              <w:pStyle w:val="1535"/>
            </w:pPr>
            <w:r>
              <w:rPr>
                <w:rFonts w:hint="eastAsia"/>
              </w:rPr>
              <w:t>5</w:t>
            </w:r>
          </w:p>
        </w:tc>
        <w:tc>
          <w:tcPr>
            <w:tcW w:w="1474" w:type="pct"/>
            <w:vAlign w:val="center"/>
          </w:tcPr>
          <w:p w14:paraId="3A62AE77">
            <w:pPr>
              <w:pStyle w:val="1535"/>
            </w:pPr>
            <w:r>
              <w:rPr>
                <w:rFonts w:hint="eastAsia"/>
              </w:rPr>
              <w:t>总投资</w:t>
            </w:r>
          </w:p>
        </w:tc>
        <w:tc>
          <w:tcPr>
            <w:tcW w:w="494" w:type="pct"/>
            <w:noWrap/>
            <w:vAlign w:val="center"/>
          </w:tcPr>
          <w:p w14:paraId="76CBE96A">
            <w:pPr>
              <w:pStyle w:val="1535"/>
            </w:pPr>
            <w:r>
              <w:rPr>
                <w:rFonts w:hint="eastAsia"/>
              </w:rPr>
              <w:t>万元</w:t>
            </w:r>
          </w:p>
        </w:tc>
        <w:tc>
          <w:tcPr>
            <w:tcW w:w="1103" w:type="pct"/>
            <w:noWrap/>
            <w:vAlign w:val="center"/>
          </w:tcPr>
          <w:p w14:paraId="07C66DB7">
            <w:pPr>
              <w:pStyle w:val="1535"/>
            </w:pPr>
            <w:r>
              <w:rPr>
                <w:rFonts w:hint="eastAsia"/>
              </w:rPr>
              <w:t>5000</w:t>
            </w:r>
          </w:p>
        </w:tc>
        <w:tc>
          <w:tcPr>
            <w:tcW w:w="1366" w:type="pct"/>
            <w:noWrap/>
            <w:vAlign w:val="center"/>
          </w:tcPr>
          <w:p w14:paraId="626BAFAA">
            <w:pPr>
              <w:pStyle w:val="1535"/>
            </w:pPr>
            <w:r>
              <w:rPr>
                <w:rFonts w:hint="eastAsia"/>
              </w:rPr>
              <w:t>/</w:t>
            </w:r>
          </w:p>
        </w:tc>
      </w:tr>
      <w:tr w14:paraId="6ED7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01A55BCD">
            <w:pPr>
              <w:pStyle w:val="1535"/>
            </w:pPr>
          </w:p>
        </w:tc>
        <w:tc>
          <w:tcPr>
            <w:tcW w:w="1474" w:type="pct"/>
            <w:vAlign w:val="center"/>
          </w:tcPr>
          <w:p w14:paraId="3FBF673E">
            <w:pPr>
              <w:pStyle w:val="1535"/>
            </w:pPr>
            <w:r>
              <w:rPr>
                <w:rFonts w:hint="eastAsia"/>
              </w:rPr>
              <w:t>其中环保投资</w:t>
            </w:r>
          </w:p>
        </w:tc>
        <w:tc>
          <w:tcPr>
            <w:tcW w:w="494" w:type="pct"/>
            <w:noWrap/>
            <w:vAlign w:val="center"/>
          </w:tcPr>
          <w:p w14:paraId="2CE88FF7">
            <w:pPr>
              <w:pStyle w:val="1535"/>
            </w:pPr>
            <w:r>
              <w:rPr>
                <w:rFonts w:hint="eastAsia"/>
              </w:rPr>
              <w:t>万元</w:t>
            </w:r>
          </w:p>
        </w:tc>
        <w:tc>
          <w:tcPr>
            <w:tcW w:w="1103" w:type="pct"/>
            <w:noWrap/>
            <w:vAlign w:val="center"/>
          </w:tcPr>
          <w:p w14:paraId="70E7BEE2">
            <w:pPr>
              <w:pStyle w:val="1535"/>
            </w:pPr>
            <w:r>
              <w:rPr>
                <w:rFonts w:hint="eastAsia"/>
              </w:rPr>
              <w:t>100</w:t>
            </w:r>
          </w:p>
        </w:tc>
        <w:tc>
          <w:tcPr>
            <w:tcW w:w="1366" w:type="pct"/>
            <w:noWrap/>
            <w:vAlign w:val="center"/>
          </w:tcPr>
          <w:p w14:paraId="0592E13C">
            <w:pPr>
              <w:pStyle w:val="1535"/>
            </w:pPr>
            <w:r>
              <w:rPr>
                <w:rFonts w:hint="eastAsia"/>
              </w:rPr>
              <w:t>占比：2.0%</w:t>
            </w:r>
          </w:p>
        </w:tc>
      </w:tr>
      <w:tr w14:paraId="4659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restart"/>
            <w:noWrap/>
            <w:vAlign w:val="center"/>
          </w:tcPr>
          <w:p w14:paraId="5BA82E57">
            <w:pPr>
              <w:pStyle w:val="1535"/>
            </w:pPr>
            <w:r>
              <w:rPr>
                <w:rFonts w:hint="eastAsia"/>
              </w:rPr>
              <w:t>6</w:t>
            </w:r>
          </w:p>
        </w:tc>
        <w:tc>
          <w:tcPr>
            <w:tcW w:w="1474" w:type="pct"/>
            <w:vAlign w:val="center"/>
          </w:tcPr>
          <w:p w14:paraId="5E069CBD">
            <w:pPr>
              <w:pStyle w:val="1535"/>
            </w:pPr>
            <w:r>
              <w:rPr>
                <w:rFonts w:hint="eastAsia"/>
              </w:rPr>
              <w:t>石墨产品</w:t>
            </w:r>
          </w:p>
        </w:tc>
        <w:tc>
          <w:tcPr>
            <w:tcW w:w="494" w:type="pct"/>
            <w:noWrap/>
            <w:vAlign w:val="center"/>
          </w:tcPr>
          <w:p w14:paraId="3EB7F665">
            <w:pPr>
              <w:pStyle w:val="1535"/>
            </w:pPr>
            <w:r>
              <w:rPr>
                <w:rFonts w:hint="eastAsia"/>
              </w:rPr>
              <w:t>件/a</w:t>
            </w:r>
          </w:p>
        </w:tc>
        <w:tc>
          <w:tcPr>
            <w:tcW w:w="1103" w:type="pct"/>
            <w:noWrap/>
            <w:vAlign w:val="center"/>
          </w:tcPr>
          <w:p w14:paraId="32746492">
            <w:pPr>
              <w:pStyle w:val="1535"/>
            </w:pPr>
            <w:r>
              <w:rPr>
                <w:rFonts w:hint="eastAsia"/>
              </w:rPr>
              <w:t>170000</w:t>
            </w:r>
          </w:p>
        </w:tc>
        <w:tc>
          <w:tcPr>
            <w:tcW w:w="1366" w:type="pct"/>
            <w:noWrap/>
            <w:vAlign w:val="center"/>
          </w:tcPr>
          <w:p w14:paraId="364313C0">
            <w:pPr>
              <w:pStyle w:val="1535"/>
            </w:pPr>
            <w:r>
              <w:rPr>
                <w:rFonts w:hint="eastAsia"/>
              </w:rPr>
              <w:t>/</w:t>
            </w:r>
          </w:p>
        </w:tc>
      </w:tr>
      <w:tr w14:paraId="7918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71373B6D">
            <w:pPr>
              <w:pStyle w:val="1535"/>
            </w:pPr>
          </w:p>
        </w:tc>
        <w:tc>
          <w:tcPr>
            <w:tcW w:w="1474" w:type="pct"/>
            <w:vAlign w:val="center"/>
          </w:tcPr>
          <w:p w14:paraId="6EEFAB2C">
            <w:pPr>
              <w:pStyle w:val="1535"/>
            </w:pPr>
            <w:r>
              <w:rPr>
                <w:rFonts w:hint="eastAsia"/>
              </w:rPr>
              <w:t>碳化硅涂层部件</w:t>
            </w:r>
          </w:p>
        </w:tc>
        <w:tc>
          <w:tcPr>
            <w:tcW w:w="494" w:type="pct"/>
            <w:noWrap/>
            <w:vAlign w:val="center"/>
          </w:tcPr>
          <w:p w14:paraId="7B86AA72">
            <w:pPr>
              <w:pStyle w:val="1535"/>
            </w:pPr>
            <w:r>
              <w:rPr>
                <w:rFonts w:hint="eastAsia"/>
              </w:rPr>
              <w:t>套/a</w:t>
            </w:r>
          </w:p>
        </w:tc>
        <w:tc>
          <w:tcPr>
            <w:tcW w:w="1103" w:type="pct"/>
            <w:noWrap/>
            <w:vAlign w:val="center"/>
          </w:tcPr>
          <w:p w14:paraId="7845D42B">
            <w:pPr>
              <w:pStyle w:val="1535"/>
            </w:pPr>
            <w:r>
              <w:rPr>
                <w:rFonts w:hint="eastAsia"/>
              </w:rPr>
              <w:t>1000</w:t>
            </w:r>
          </w:p>
        </w:tc>
        <w:tc>
          <w:tcPr>
            <w:tcW w:w="1366" w:type="pct"/>
            <w:noWrap/>
            <w:vAlign w:val="center"/>
          </w:tcPr>
          <w:p w14:paraId="29E96019">
            <w:pPr>
              <w:pStyle w:val="1535"/>
            </w:pPr>
            <w:r>
              <w:rPr>
                <w:rFonts w:hint="eastAsia"/>
              </w:rPr>
              <w:t>/</w:t>
            </w:r>
          </w:p>
        </w:tc>
      </w:tr>
      <w:tr w14:paraId="7D45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35CAC21F">
            <w:pPr>
              <w:pStyle w:val="1535"/>
            </w:pPr>
          </w:p>
        </w:tc>
        <w:tc>
          <w:tcPr>
            <w:tcW w:w="1474" w:type="pct"/>
            <w:vAlign w:val="center"/>
          </w:tcPr>
          <w:p w14:paraId="3E85EFCF">
            <w:pPr>
              <w:pStyle w:val="1535"/>
            </w:pPr>
            <w:r>
              <w:rPr>
                <w:rFonts w:hint="eastAsia"/>
              </w:rPr>
              <w:t>GASKET产品</w:t>
            </w:r>
          </w:p>
        </w:tc>
        <w:tc>
          <w:tcPr>
            <w:tcW w:w="494" w:type="pct"/>
            <w:noWrap/>
            <w:vAlign w:val="center"/>
          </w:tcPr>
          <w:p w14:paraId="334DBC28">
            <w:pPr>
              <w:pStyle w:val="1535"/>
            </w:pPr>
            <w:r>
              <w:rPr>
                <w:rFonts w:hint="eastAsia"/>
              </w:rPr>
              <w:t>个/a</w:t>
            </w:r>
          </w:p>
        </w:tc>
        <w:tc>
          <w:tcPr>
            <w:tcW w:w="1103" w:type="pct"/>
            <w:noWrap/>
            <w:vAlign w:val="center"/>
          </w:tcPr>
          <w:p w14:paraId="483809D8">
            <w:pPr>
              <w:pStyle w:val="1535"/>
            </w:pPr>
            <w:r>
              <w:rPr>
                <w:rFonts w:hint="eastAsia"/>
              </w:rPr>
              <w:t>189000</w:t>
            </w:r>
          </w:p>
        </w:tc>
        <w:tc>
          <w:tcPr>
            <w:tcW w:w="1366" w:type="pct"/>
            <w:noWrap/>
            <w:vAlign w:val="center"/>
          </w:tcPr>
          <w:p w14:paraId="28DE8FF7">
            <w:pPr>
              <w:pStyle w:val="1535"/>
            </w:pPr>
            <w:r>
              <w:rPr>
                <w:rFonts w:hint="eastAsia"/>
              </w:rPr>
              <w:t>/</w:t>
            </w:r>
          </w:p>
        </w:tc>
      </w:tr>
      <w:tr w14:paraId="3E29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7A7641AC">
            <w:pPr>
              <w:pStyle w:val="1535"/>
            </w:pPr>
          </w:p>
        </w:tc>
        <w:tc>
          <w:tcPr>
            <w:tcW w:w="1474" w:type="pct"/>
            <w:vAlign w:val="center"/>
          </w:tcPr>
          <w:p w14:paraId="25C268C9">
            <w:pPr>
              <w:pStyle w:val="1535"/>
            </w:pPr>
            <w:r>
              <w:rPr>
                <w:rFonts w:hint="eastAsia"/>
              </w:rPr>
              <w:t>其中：垫片</w:t>
            </w:r>
          </w:p>
        </w:tc>
        <w:tc>
          <w:tcPr>
            <w:tcW w:w="494" w:type="pct"/>
            <w:noWrap/>
            <w:vAlign w:val="center"/>
          </w:tcPr>
          <w:p w14:paraId="2E3A9FE4">
            <w:pPr>
              <w:pStyle w:val="1535"/>
            </w:pPr>
            <w:r>
              <w:rPr>
                <w:rFonts w:hint="eastAsia"/>
              </w:rPr>
              <w:t>个/a</w:t>
            </w:r>
          </w:p>
        </w:tc>
        <w:tc>
          <w:tcPr>
            <w:tcW w:w="1103" w:type="pct"/>
            <w:noWrap/>
            <w:vAlign w:val="center"/>
          </w:tcPr>
          <w:p w14:paraId="1A14C280">
            <w:pPr>
              <w:pStyle w:val="1535"/>
            </w:pPr>
            <w:r>
              <w:rPr>
                <w:rFonts w:hint="eastAsia"/>
              </w:rPr>
              <w:t>83000</w:t>
            </w:r>
          </w:p>
        </w:tc>
        <w:tc>
          <w:tcPr>
            <w:tcW w:w="1366" w:type="pct"/>
            <w:noWrap/>
            <w:vAlign w:val="center"/>
          </w:tcPr>
          <w:p w14:paraId="297665B8">
            <w:pPr>
              <w:pStyle w:val="1535"/>
            </w:pPr>
            <w:r>
              <w:rPr>
                <w:rFonts w:hint="eastAsia"/>
              </w:rPr>
              <w:t>/</w:t>
            </w:r>
          </w:p>
        </w:tc>
      </w:tr>
      <w:tr w14:paraId="6BFD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46F21BF3">
            <w:pPr>
              <w:pStyle w:val="1535"/>
            </w:pPr>
          </w:p>
        </w:tc>
        <w:tc>
          <w:tcPr>
            <w:tcW w:w="1474" w:type="pct"/>
            <w:vAlign w:val="center"/>
          </w:tcPr>
          <w:p w14:paraId="512711D8">
            <w:pPr>
              <w:pStyle w:val="1535"/>
            </w:pPr>
            <w:r>
              <w:rPr>
                <w:rFonts w:hint="eastAsia"/>
              </w:rPr>
              <w:t>其中：塑料零部件</w:t>
            </w:r>
          </w:p>
        </w:tc>
        <w:tc>
          <w:tcPr>
            <w:tcW w:w="494" w:type="pct"/>
            <w:noWrap/>
            <w:vAlign w:val="center"/>
          </w:tcPr>
          <w:p w14:paraId="62E459C4">
            <w:pPr>
              <w:pStyle w:val="1535"/>
            </w:pPr>
            <w:r>
              <w:rPr>
                <w:rFonts w:hint="eastAsia"/>
              </w:rPr>
              <w:t>个/a</w:t>
            </w:r>
          </w:p>
        </w:tc>
        <w:tc>
          <w:tcPr>
            <w:tcW w:w="1103" w:type="pct"/>
            <w:noWrap/>
            <w:vAlign w:val="center"/>
          </w:tcPr>
          <w:p w14:paraId="6D54AD49">
            <w:pPr>
              <w:pStyle w:val="1535"/>
            </w:pPr>
            <w:r>
              <w:rPr>
                <w:rFonts w:hint="eastAsia"/>
              </w:rPr>
              <w:t>55000</w:t>
            </w:r>
          </w:p>
        </w:tc>
        <w:tc>
          <w:tcPr>
            <w:tcW w:w="1366" w:type="pct"/>
            <w:noWrap/>
            <w:vAlign w:val="center"/>
          </w:tcPr>
          <w:p w14:paraId="6488B7BD">
            <w:pPr>
              <w:pStyle w:val="1535"/>
            </w:pPr>
            <w:r>
              <w:rPr>
                <w:rFonts w:hint="eastAsia"/>
              </w:rPr>
              <w:t>/</w:t>
            </w:r>
          </w:p>
        </w:tc>
      </w:tr>
      <w:tr w14:paraId="6822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vMerge w:val="continue"/>
            <w:noWrap/>
            <w:vAlign w:val="center"/>
          </w:tcPr>
          <w:p w14:paraId="7E2F1E3C">
            <w:pPr>
              <w:pStyle w:val="1535"/>
            </w:pPr>
          </w:p>
        </w:tc>
        <w:tc>
          <w:tcPr>
            <w:tcW w:w="1474" w:type="pct"/>
            <w:vAlign w:val="center"/>
          </w:tcPr>
          <w:p w14:paraId="70A7ED96">
            <w:pPr>
              <w:pStyle w:val="1535"/>
            </w:pPr>
            <w:r>
              <w:rPr>
                <w:rFonts w:hint="eastAsia"/>
              </w:rPr>
              <w:t>其中：金属零部件</w:t>
            </w:r>
          </w:p>
        </w:tc>
        <w:tc>
          <w:tcPr>
            <w:tcW w:w="494" w:type="pct"/>
            <w:noWrap/>
            <w:vAlign w:val="center"/>
          </w:tcPr>
          <w:p w14:paraId="75529531">
            <w:pPr>
              <w:pStyle w:val="1535"/>
            </w:pPr>
            <w:r>
              <w:rPr>
                <w:rFonts w:hint="eastAsia"/>
              </w:rPr>
              <w:t>个/a</w:t>
            </w:r>
          </w:p>
        </w:tc>
        <w:tc>
          <w:tcPr>
            <w:tcW w:w="1103" w:type="pct"/>
            <w:noWrap/>
            <w:vAlign w:val="center"/>
          </w:tcPr>
          <w:p w14:paraId="7C3262D2">
            <w:pPr>
              <w:pStyle w:val="1535"/>
            </w:pPr>
            <w:r>
              <w:rPr>
                <w:rFonts w:hint="eastAsia"/>
              </w:rPr>
              <w:t>51000</w:t>
            </w:r>
          </w:p>
        </w:tc>
        <w:tc>
          <w:tcPr>
            <w:tcW w:w="1366" w:type="pct"/>
            <w:noWrap/>
            <w:vAlign w:val="center"/>
          </w:tcPr>
          <w:p w14:paraId="34061364">
            <w:pPr>
              <w:pStyle w:val="1535"/>
            </w:pPr>
            <w:r>
              <w:rPr>
                <w:rFonts w:hint="eastAsia"/>
              </w:rPr>
              <w:t>/</w:t>
            </w:r>
          </w:p>
        </w:tc>
      </w:tr>
      <w:tr w14:paraId="6AF5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noWrap/>
            <w:vAlign w:val="center"/>
          </w:tcPr>
          <w:p w14:paraId="1791EE5D">
            <w:pPr>
              <w:pStyle w:val="1535"/>
            </w:pPr>
            <w:r>
              <w:rPr>
                <w:rFonts w:hint="eastAsia"/>
              </w:rPr>
              <w:t>7</w:t>
            </w:r>
          </w:p>
        </w:tc>
        <w:tc>
          <w:tcPr>
            <w:tcW w:w="1474" w:type="pct"/>
            <w:vAlign w:val="center"/>
          </w:tcPr>
          <w:p w14:paraId="54723462">
            <w:pPr>
              <w:pStyle w:val="1535"/>
            </w:pPr>
            <w:r>
              <w:t>建筑密度</w:t>
            </w:r>
          </w:p>
        </w:tc>
        <w:tc>
          <w:tcPr>
            <w:tcW w:w="494" w:type="pct"/>
            <w:noWrap/>
            <w:vAlign w:val="center"/>
          </w:tcPr>
          <w:p w14:paraId="3C508232">
            <w:pPr>
              <w:pStyle w:val="1535"/>
            </w:pPr>
            <w:r>
              <w:t>%</w:t>
            </w:r>
          </w:p>
        </w:tc>
        <w:tc>
          <w:tcPr>
            <w:tcW w:w="1103" w:type="pct"/>
            <w:noWrap/>
            <w:vAlign w:val="center"/>
          </w:tcPr>
          <w:p w14:paraId="779F95E5">
            <w:pPr>
              <w:pStyle w:val="1535"/>
            </w:pPr>
            <w:r>
              <w:t xml:space="preserve">100.52 </w:t>
            </w:r>
          </w:p>
        </w:tc>
        <w:tc>
          <w:tcPr>
            <w:tcW w:w="1366" w:type="pct"/>
            <w:noWrap/>
            <w:vAlign w:val="center"/>
          </w:tcPr>
          <w:p w14:paraId="40467B4F">
            <w:pPr>
              <w:pStyle w:val="1535"/>
            </w:pPr>
            <w:r>
              <w:t>/</w:t>
            </w:r>
          </w:p>
        </w:tc>
      </w:tr>
      <w:tr w14:paraId="2439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noWrap/>
            <w:vAlign w:val="center"/>
          </w:tcPr>
          <w:p w14:paraId="64B4E7E7">
            <w:pPr>
              <w:pStyle w:val="1535"/>
            </w:pPr>
            <w:r>
              <w:rPr>
                <w:rFonts w:hint="eastAsia"/>
              </w:rPr>
              <w:t>8</w:t>
            </w:r>
          </w:p>
        </w:tc>
        <w:tc>
          <w:tcPr>
            <w:tcW w:w="1474" w:type="pct"/>
            <w:vAlign w:val="center"/>
          </w:tcPr>
          <w:p w14:paraId="0B317BA3">
            <w:pPr>
              <w:pStyle w:val="1535"/>
            </w:pPr>
            <w:r>
              <w:t>总计容建筑面积</w:t>
            </w:r>
          </w:p>
        </w:tc>
        <w:tc>
          <w:tcPr>
            <w:tcW w:w="494" w:type="pct"/>
            <w:noWrap/>
            <w:vAlign w:val="center"/>
          </w:tcPr>
          <w:p w14:paraId="0460D337">
            <w:pPr>
              <w:pStyle w:val="1535"/>
            </w:pPr>
            <w:r>
              <w:rPr>
                <w:rFonts w:hint="eastAsia"/>
              </w:rPr>
              <w:t>m</w:t>
            </w:r>
            <w:r>
              <w:rPr>
                <w:rFonts w:hint="eastAsia"/>
                <w:vertAlign w:val="superscript"/>
              </w:rPr>
              <w:t>2</w:t>
            </w:r>
          </w:p>
        </w:tc>
        <w:tc>
          <w:tcPr>
            <w:tcW w:w="1103" w:type="pct"/>
            <w:noWrap/>
            <w:vAlign w:val="center"/>
          </w:tcPr>
          <w:p w14:paraId="1193A4E6">
            <w:pPr>
              <w:pStyle w:val="1535"/>
            </w:pPr>
            <w:r>
              <w:t>38396.53</w:t>
            </w:r>
          </w:p>
        </w:tc>
        <w:tc>
          <w:tcPr>
            <w:tcW w:w="1366" w:type="pct"/>
            <w:vAlign w:val="center"/>
          </w:tcPr>
          <w:p w14:paraId="6829BCB5">
            <w:pPr>
              <w:pStyle w:val="1535"/>
            </w:pPr>
            <w:r>
              <w:t>/</w:t>
            </w:r>
          </w:p>
        </w:tc>
      </w:tr>
      <w:tr w14:paraId="7C6A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noWrap/>
            <w:vAlign w:val="center"/>
          </w:tcPr>
          <w:p w14:paraId="45159F8B">
            <w:pPr>
              <w:pStyle w:val="1535"/>
            </w:pPr>
            <w:r>
              <w:rPr>
                <w:rFonts w:hint="eastAsia"/>
              </w:rPr>
              <w:t>9</w:t>
            </w:r>
          </w:p>
        </w:tc>
        <w:tc>
          <w:tcPr>
            <w:tcW w:w="1474" w:type="pct"/>
            <w:vAlign w:val="center"/>
          </w:tcPr>
          <w:p w14:paraId="69968078">
            <w:pPr>
              <w:pStyle w:val="1535"/>
            </w:pPr>
            <w:r>
              <w:t>容积率</w:t>
            </w:r>
          </w:p>
        </w:tc>
        <w:tc>
          <w:tcPr>
            <w:tcW w:w="494" w:type="pct"/>
            <w:noWrap/>
            <w:vAlign w:val="center"/>
          </w:tcPr>
          <w:p w14:paraId="4DCB67CA">
            <w:pPr>
              <w:pStyle w:val="1535"/>
            </w:pPr>
            <w:r>
              <w:t>-</w:t>
            </w:r>
          </w:p>
        </w:tc>
        <w:tc>
          <w:tcPr>
            <w:tcW w:w="1103" w:type="pct"/>
            <w:noWrap/>
            <w:vAlign w:val="center"/>
          </w:tcPr>
          <w:p w14:paraId="0F599551">
            <w:pPr>
              <w:pStyle w:val="1535"/>
            </w:pPr>
            <w:r>
              <w:t>0.6</w:t>
            </w:r>
          </w:p>
        </w:tc>
        <w:tc>
          <w:tcPr>
            <w:tcW w:w="1366" w:type="pct"/>
            <w:noWrap/>
            <w:vAlign w:val="center"/>
          </w:tcPr>
          <w:p w14:paraId="7AC1EB3C">
            <w:pPr>
              <w:pStyle w:val="1535"/>
            </w:pPr>
            <w:r>
              <w:t>/</w:t>
            </w:r>
          </w:p>
        </w:tc>
      </w:tr>
      <w:tr w14:paraId="7B87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3" w:type="pct"/>
            <w:noWrap/>
            <w:vAlign w:val="center"/>
          </w:tcPr>
          <w:p w14:paraId="1802D4CD">
            <w:pPr>
              <w:pStyle w:val="1535"/>
            </w:pPr>
            <w:r>
              <w:rPr>
                <w:rFonts w:hint="eastAsia"/>
              </w:rPr>
              <w:t>10</w:t>
            </w:r>
          </w:p>
        </w:tc>
        <w:tc>
          <w:tcPr>
            <w:tcW w:w="1474" w:type="pct"/>
            <w:vAlign w:val="center"/>
          </w:tcPr>
          <w:p w14:paraId="3FAA78CA">
            <w:pPr>
              <w:pStyle w:val="1535"/>
            </w:pPr>
            <w:r>
              <w:t>绿地率</w:t>
            </w:r>
          </w:p>
        </w:tc>
        <w:tc>
          <w:tcPr>
            <w:tcW w:w="494" w:type="pct"/>
            <w:noWrap/>
            <w:vAlign w:val="center"/>
          </w:tcPr>
          <w:p w14:paraId="09E8BFB1">
            <w:pPr>
              <w:pStyle w:val="1535"/>
            </w:pPr>
            <w:r>
              <w:t>%</w:t>
            </w:r>
          </w:p>
        </w:tc>
        <w:tc>
          <w:tcPr>
            <w:tcW w:w="1103" w:type="pct"/>
            <w:noWrap/>
            <w:vAlign w:val="center"/>
          </w:tcPr>
          <w:p w14:paraId="410EA8C4">
            <w:pPr>
              <w:pStyle w:val="1535"/>
            </w:pPr>
            <w:r>
              <w:t>6.31</w:t>
            </w:r>
          </w:p>
        </w:tc>
        <w:tc>
          <w:tcPr>
            <w:tcW w:w="1366" w:type="pct"/>
            <w:noWrap/>
            <w:vAlign w:val="center"/>
          </w:tcPr>
          <w:p w14:paraId="6A6D3B45">
            <w:pPr>
              <w:pStyle w:val="1535"/>
            </w:pPr>
            <w:r>
              <w:t>/</w:t>
            </w:r>
          </w:p>
        </w:tc>
      </w:tr>
    </w:tbl>
    <w:p w14:paraId="21A8E3EF">
      <w:pPr>
        <w:spacing w:before="32"/>
        <w:ind w:firstLine="520"/>
        <w:jc w:val="left"/>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673CF933">
      <w:pPr>
        <w:pStyle w:val="3"/>
        <w:spacing w:after="326"/>
        <w:rPr>
          <w:color w:val="000000" w:themeColor="text1"/>
          <w14:textFill>
            <w14:solidFill>
              <w14:schemeClr w14:val="tx1"/>
            </w14:solidFill>
          </w14:textFill>
        </w:rPr>
      </w:pPr>
      <w:bookmarkStart w:id="167" w:name="_Toc24585"/>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工程分析</w:t>
      </w:r>
      <w:bookmarkEnd w:id="167"/>
    </w:p>
    <w:p w14:paraId="29310E44">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w:t>
      </w:r>
      <w:r>
        <w:rPr>
          <w:rFonts w:hint="eastAsia"/>
          <w:color w:val="000000" w:themeColor="text1"/>
          <w14:textFill>
            <w14:solidFill>
              <w14:schemeClr w14:val="tx1"/>
            </w14:solidFill>
          </w14:textFill>
        </w:rPr>
        <w:t>主要产品为</w:t>
      </w:r>
      <w:r>
        <w:rPr>
          <w:color w:val="000000" w:themeColor="text1"/>
          <w14:textFill>
            <w14:solidFill>
              <w14:schemeClr w14:val="tx1"/>
            </w14:solidFill>
          </w14:textFill>
        </w:rPr>
        <w:t>GASKET</w:t>
      </w:r>
      <w:r>
        <w:rPr>
          <w:rFonts w:hint="eastAsia"/>
          <w:color w:val="000000" w:themeColor="text1"/>
          <w14:textFill>
            <w14:solidFill>
              <w14:schemeClr w14:val="tx1"/>
            </w14:solidFill>
          </w14:textFill>
        </w:rPr>
        <w:t>、石墨及碳化硅涂层产品，其生产工艺及产排污环节如下：</w:t>
      </w:r>
    </w:p>
    <w:p w14:paraId="59FD2064">
      <w:pPr>
        <w:pStyle w:val="4"/>
        <w:rPr>
          <w:color w:val="000000" w:themeColor="text1"/>
          <w14:textFill>
            <w14:solidFill>
              <w14:schemeClr w14:val="tx1"/>
            </w14:solidFill>
          </w14:textFill>
        </w:rPr>
      </w:pPr>
      <w:bookmarkStart w:id="168" w:name="_Toc5546"/>
      <w:r>
        <w:rPr>
          <w:rFonts w:hint="eastAsia"/>
          <w:color w:val="000000" w:themeColor="text1"/>
          <w14:textFill>
            <w14:solidFill>
              <w14:schemeClr w14:val="tx1"/>
            </w14:solidFill>
          </w14:textFill>
        </w:rPr>
        <w:t>GASKET产品</w:t>
      </w:r>
      <w:r>
        <w:rPr>
          <w:color w:val="000000" w:themeColor="text1"/>
          <w14:textFill>
            <w14:solidFill>
              <w14:schemeClr w14:val="tx1"/>
            </w14:solidFill>
          </w14:textFill>
        </w:rPr>
        <w:t>生产线</w:t>
      </w:r>
      <w:bookmarkEnd w:id="168"/>
    </w:p>
    <w:p w14:paraId="5ED0866D">
      <w:pPr>
        <w:pStyle w:val="5"/>
        <w:rPr>
          <w:color w:val="000000" w:themeColor="text1"/>
          <w14:textFill>
            <w14:solidFill>
              <w14:schemeClr w14:val="tx1"/>
            </w14:solidFill>
          </w14:textFill>
        </w:rPr>
      </w:pPr>
      <w:r>
        <w:rPr>
          <w:color w:val="000000" w:themeColor="text1"/>
          <w14:textFill>
            <w14:solidFill>
              <w14:schemeClr w14:val="tx1"/>
            </w14:solidFill>
          </w14:textFill>
        </w:rPr>
        <w:t>GASKET</w:t>
      </w:r>
      <w:r>
        <w:rPr>
          <w:rFonts w:hint="eastAsia"/>
          <w:color w:val="000000" w:themeColor="text1"/>
          <w14:textFill>
            <w14:solidFill>
              <w14:schemeClr w14:val="tx1"/>
            </w14:solidFill>
          </w14:textFill>
        </w:rPr>
        <w:t>塑料及金属零部件生产工艺</w:t>
      </w:r>
    </w:p>
    <w:p w14:paraId="00C1E53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GASKET塑料及金属零部件生产工艺一致，主要为：走心机加工、抛光、清洗、烘干及包装等，具体工艺流程及产排污环节如下：</w:t>
      </w:r>
    </w:p>
    <w:p w14:paraId="2983D5E9">
      <w:pPr>
        <w:spacing w:line="240" w:lineRule="auto"/>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2651125</wp:posOffset>
                </wp:positionH>
                <wp:positionV relativeFrom="paragraph">
                  <wp:posOffset>15875</wp:posOffset>
                </wp:positionV>
                <wp:extent cx="2618105" cy="920115"/>
                <wp:effectExtent l="0" t="0" r="10795" b="13970"/>
                <wp:wrapNone/>
                <wp:docPr id="1977819919" name="矩形 26"/>
                <wp:cNvGraphicFramePr/>
                <a:graphic xmlns:a="http://schemas.openxmlformats.org/drawingml/2006/main">
                  <a:graphicData uri="http://schemas.microsoft.com/office/word/2010/wordprocessingShape">
                    <wps:wsp>
                      <wps:cNvSpPr/>
                      <wps:spPr>
                        <a:xfrm>
                          <a:off x="0" y="0"/>
                          <a:ext cx="2618105" cy="919892"/>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208.75pt;margin-top:1.25pt;height:72.45pt;width:206.15pt;z-index:251685888;v-text-anchor:middle;mso-width-relative:page;mso-height-relative:page;" filled="f" stroked="t" coordsize="21600,21600" o:gfxdata="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8sRfftkAAAAJAQAADwAAAAAAAAABACAAAAAiAAAAZHJz&#10;L2Rvd25yZXYueG1sUEsBAhQAFAAAAAgAh07iQI+k3/R1AgAA1QQAAA4AAAAAAAAAAQAgAAAAKAEA&#10;AGRycy9lMm9Eb2MueG1sUEsFBgAAAAAGAAYAWQEAAA8GAAAAAA==&#10;">
                <v:fill on="f" focussize="0,0"/>
                <v:stroke weight="1pt" color="#0000FF [3204]" miterlimit="8" joinstyle="miter"/>
                <v:imagedata o:title=""/>
                <o:lock v:ext="edit" aspectratio="f"/>
              </v:rect>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-14605</wp:posOffset>
                </wp:positionH>
                <wp:positionV relativeFrom="paragraph">
                  <wp:posOffset>10160</wp:posOffset>
                </wp:positionV>
                <wp:extent cx="2559050" cy="926465"/>
                <wp:effectExtent l="0" t="0" r="12700" b="26670"/>
                <wp:wrapNone/>
                <wp:docPr id="1530647871" name="矩形 26"/>
                <wp:cNvGraphicFramePr/>
                <a:graphic xmlns:a="http://schemas.openxmlformats.org/drawingml/2006/main">
                  <a:graphicData uri="http://schemas.microsoft.com/office/word/2010/wordprocessingShape">
                    <wps:wsp>
                      <wps:cNvSpPr/>
                      <wps:spPr>
                        <a:xfrm>
                          <a:off x="0" y="0"/>
                          <a:ext cx="2559132" cy="926276"/>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1.15pt;margin-top:0.8pt;height:72.95pt;width:201.5pt;z-index:251684864;v-text-anchor:middle;mso-width-relative:page;mso-height-relative:page;" filled="f" stroked="t" coordsize="21600,21600" o:gfxdata="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ai9/XAAAACAEAAA8AAAAAAAAAAQAgAAAAIgAAAGRycy9k&#10;b3ducmV2LnhtbFBLAQIUABQAAAAIAIdO4kDvwPIUdQIAANUEAAAOAAAAAAAAAAEAIAAAACYBAABk&#10;cnMvZTJvRG9jLnhtbFBLBQYAAAAABgAGAFkBAAANBgAAAAA=&#10;">
                <v:fill on="f" focussize="0,0"/>
                <v:stroke weight="1pt" color="#EE0000 [3204]" miterlimit="8" joinstyle="miter"/>
                <v:imagedata o:title=""/>
                <o:lock v:ext="edit" aspectratio="f"/>
              </v:rect>
            </w:pict>
          </mc:Fallback>
        </mc:AlternateContent>
      </w:r>
      <w:r>
        <w:rPr>
          <w:snapToGrid/>
          <w:color w:val="000000" w:themeColor="text1"/>
          <w14:textFill>
            <w14:solidFill>
              <w14:schemeClr w14:val="tx1"/>
            </w14:solidFill>
          </w14:textFill>
        </w:rPr>
        <w:drawing>
          <wp:inline distT="0" distB="0" distL="0" distR="0">
            <wp:extent cx="5274310" cy="1041400"/>
            <wp:effectExtent l="0" t="0" r="2540" b="6350"/>
            <wp:docPr id="2143542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42183" name="图片 1"/>
                    <pic:cNvPicPr>
                      <a:picLocks noChangeAspect="1"/>
                    </pic:cNvPicPr>
                  </pic:nvPicPr>
                  <pic:blipFill>
                    <a:blip r:embed="rId46"/>
                    <a:stretch>
                      <a:fillRect/>
                    </a:stretch>
                  </pic:blipFill>
                  <pic:spPr>
                    <a:xfrm>
                      <a:off x="0" y="0"/>
                      <a:ext cx="5274310" cy="1041400"/>
                    </a:xfrm>
                    <a:prstGeom prst="rect">
                      <a:avLst/>
                    </a:prstGeom>
                  </pic:spPr>
                </pic:pic>
              </a:graphicData>
            </a:graphic>
          </wp:inline>
        </w:drawing>
      </w:r>
    </w:p>
    <w:p w14:paraId="41B21E71">
      <w:pPr>
        <w:ind w:firstLine="0" w:firstLineChars="0"/>
        <w:rPr>
          <w:color w:val="000000" w:themeColor="text1"/>
          <w:sz w:val="21"/>
          <w:szCs w:val="2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margin">
                  <wp:posOffset>2464435</wp:posOffset>
                </wp:positionH>
                <wp:positionV relativeFrom="paragraph">
                  <wp:posOffset>119380</wp:posOffset>
                </wp:positionV>
                <wp:extent cx="314960" cy="130810"/>
                <wp:effectExtent l="0" t="0" r="28575" b="22225"/>
                <wp:wrapNone/>
                <wp:docPr id="1817064924" name="矩形 26"/>
                <wp:cNvGraphicFramePr/>
                <a:graphic xmlns:a="http://schemas.openxmlformats.org/drawingml/2006/main">
                  <a:graphicData uri="http://schemas.microsoft.com/office/word/2010/wordprocessingShape">
                    <wps:wsp>
                      <wps:cNvSpPr/>
                      <wps:spPr>
                        <a:xfrm>
                          <a:off x="0" y="0"/>
                          <a:ext cx="314696" cy="130629"/>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194.05pt;margin-top:9.4pt;height:10.3pt;width:24.8pt;mso-position-horizontal-relative:margin;z-index:251687936;v-text-anchor:middle;mso-width-relative:page;mso-height-relative:page;" filled="f" stroked="t" coordsize="21600,21600" o:gfxdata="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iabQQ2AAAAAkBAAAPAAAAAAAAAAEAIAAAACIAAABkcnMv&#10;ZG93bnJldi54bWxQSwECFAAUAAAACACHTuJAEQM2m3UCAADUBAAADgAAAAAAAAABACAAAAAnAQAA&#10;ZHJzL2Uyb0RvYy54bWxQSwUGAAAAAAYABgBZAQAADgYAAAAA&#10;">
                <v:fill on="f" focussize="0,0"/>
                <v:stroke weight="1pt" color="#0000FF [3204]" miterlimit="8" joinstyle="miter"/>
                <v:imagedata o:title=""/>
                <o:lock v:ext="edit" aspectratio="f"/>
              </v:rect>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margin">
                  <wp:posOffset>441960</wp:posOffset>
                </wp:positionH>
                <wp:positionV relativeFrom="paragraph">
                  <wp:posOffset>110490</wp:posOffset>
                </wp:positionV>
                <wp:extent cx="314960" cy="130810"/>
                <wp:effectExtent l="0" t="0" r="28575" b="22225"/>
                <wp:wrapNone/>
                <wp:docPr id="1167921107" name="矩形 26"/>
                <wp:cNvGraphicFramePr/>
                <a:graphic xmlns:a="http://schemas.openxmlformats.org/drawingml/2006/main">
                  <a:graphicData uri="http://schemas.microsoft.com/office/word/2010/wordprocessingShape">
                    <wps:wsp>
                      <wps:cNvSpPr/>
                      <wps:spPr>
                        <a:xfrm>
                          <a:off x="0" y="0"/>
                          <a:ext cx="314696" cy="13062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34.8pt;margin-top:8.7pt;height:10.3pt;width:24.8pt;mso-position-horizontal-relative:margin;z-index:251686912;v-text-anchor:middle;mso-width-relative:page;mso-height-relative:page;" filled="f" stroked="t" coordsize="21600,21600" o:gfxdata="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s59w9cAAAAIAQAADwAAAAAAAAABACAAAAAiAAAAZHJzL2Rv&#10;d25yZXYueG1sUEsBAhQAFAAAAAgAh07iQGInhLl0AgAA1AQAAA4AAAAAAAAAAQAgAAAAJgEAAGRy&#10;cy9lMm9Eb2MueG1sUEsFBgAAAAAGAAYAWQEAAAwGAAAAAA==&#10;">
                <v:fill on="f" focussize="0,0"/>
                <v:stroke weight="1pt" color="#EE0000 [3204]" miterlimit="8" joinstyle="miter"/>
                <v:imagedata o:title=""/>
                <o:lock v:ext="edit" aspectratio="f"/>
              </v:rect>
            </w:pict>
          </mc:Fallback>
        </mc:AlternateContent>
      </w:r>
      <w:r>
        <w:rPr>
          <w:rFonts w:hint="eastAsia"/>
          <w:color w:val="000000" w:themeColor="text1"/>
          <w:sz w:val="21"/>
          <w:szCs w:val="21"/>
          <w14:textFill>
            <w14:solidFill>
              <w14:schemeClr w14:val="tx1"/>
            </w14:solidFill>
          </w14:textFill>
        </w:rPr>
        <w:t>图例：         位于臻宝科技公司厂区；               位于臻宝半导体公司厂区</w:t>
      </w:r>
    </w:p>
    <w:p w14:paraId="6946AF60">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GASKET</w:t>
      </w:r>
      <w:r>
        <w:rPr>
          <w:rFonts w:hint="eastAsia"/>
          <w:color w:val="000000" w:themeColor="text1"/>
          <w14:textFill>
            <w14:solidFill>
              <w14:schemeClr w14:val="tx1"/>
            </w14:solidFill>
          </w14:textFill>
        </w:rPr>
        <w:t>塑料及金属零部件</w:t>
      </w:r>
      <w:r>
        <w:rPr>
          <w:color w:val="000000" w:themeColor="text1"/>
          <w14:textFill>
            <w14:solidFill>
              <w14:schemeClr w14:val="tx1"/>
            </w14:solidFill>
          </w14:textFill>
        </w:rPr>
        <w:t>生产工艺流程</w:t>
      </w:r>
      <w:r>
        <w:rPr>
          <w:rFonts w:hint="eastAsia"/>
          <w:color w:val="000000" w:themeColor="text1"/>
          <w14:textFill>
            <w14:solidFill>
              <w14:schemeClr w14:val="tx1"/>
            </w14:solidFill>
          </w14:textFill>
        </w:rPr>
        <w:t>及产排污环节图</w:t>
      </w:r>
    </w:p>
    <w:p w14:paraId="57C2E19F">
      <w:pPr>
        <w:ind w:firstLine="520"/>
        <w:rPr>
          <w:color w:val="000000" w:themeColor="text1"/>
          <w14:textFill>
            <w14:solidFill>
              <w14:schemeClr w14:val="tx1"/>
            </w14:solidFill>
          </w14:textFill>
        </w:rPr>
      </w:pPr>
      <w:r>
        <w:rPr>
          <w:color w:val="000000" w:themeColor="text1"/>
          <w14:textFill>
            <w14:solidFill>
              <w14:schemeClr w14:val="tx1"/>
            </w14:solidFill>
          </w14:textFill>
        </w:rPr>
        <w:t>工艺说明及产污分析：</w:t>
      </w:r>
    </w:p>
    <w:p w14:paraId="6A56723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（1）机械加工：GASKET塑料及金属零部件以塑料及不锈钢棒料为原料，采用纵切型自动车床（走心机）对棒料进行加工，得到需要的零部件形状，加工过程全程使用切削液。</w:t>
      </w:r>
    </w:p>
    <w:p w14:paraId="11699A6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产排污：该过程会产生沾染切削液废塑料屑和废金属屑S1、废切削液S2和噪声N。</w:t>
      </w:r>
    </w:p>
    <w:p w14:paraId="1B5622A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（2）抛光：采用湿式抛光，在高速离心式抛光机中利用液体介质（</w:t>
      </w:r>
      <w:r>
        <w:rPr>
          <w:color w:val="000000" w:themeColor="text1"/>
          <w14:textFill>
            <w14:solidFill>
              <w14:schemeClr w14:val="tx1"/>
            </w14:solidFill>
          </w14:textFill>
        </w:rPr>
        <w:t>水</w:t>
      </w:r>
      <w:r>
        <w:rPr>
          <w:rFonts w:ascii="Cambria Math" w:hAnsi="Cambria Math" w:cs="Cambria Math"/>
          <w:color w:val="000000" w:themeColor="text1"/>
          <w14:textFill>
            <w14:solidFill>
              <w14:schemeClr w14:val="tx1"/>
            </w14:solidFill>
          </w14:textFill>
        </w:rPr>
        <w:t>∶</w:t>
      </w:r>
      <w:r>
        <w:rPr>
          <w:color w:val="000000" w:themeColor="text1"/>
          <w14:textFill>
            <w14:solidFill>
              <w14:schemeClr w14:val="tx1"/>
            </w14:solidFill>
          </w14:textFill>
        </w:rPr>
        <w:t>石英砂=3</w:t>
      </w:r>
      <w:r>
        <w:rPr>
          <w:rFonts w:ascii="Cambria Math" w:hAnsi="Cambria Math" w:cs="Cambria Math"/>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）对机加完成后的零部件进行抛光，配备水循环+磨料回收系统使用。</w:t>
      </w:r>
      <w:bookmarkStart w:id="169" w:name="_Hlk199854678"/>
    </w:p>
    <w:bookmarkEnd w:id="169"/>
    <w:p w14:paraId="527B954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产排污：该过程会产生废水W1和噪声。</w:t>
      </w:r>
    </w:p>
    <w:p w14:paraId="6A1B1C0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清洗：抛光完成的工件送至臻宝半导体公司位于千级洁净区的现有清洗线进行清洗，该清洗线主要包括：17个超声槽、25个浸洗槽、2个冲淋槽；扩建项目依托其中1个超声槽、1个浸洗槽和1个冲淋槽；其中浸洗槽中加入氢氟酸和硝酸，每次添加量分别为25L、75L，每15天添加1次。</w:t>
      </w:r>
    </w:p>
    <w:p w14:paraId="2D10660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产排污：该过程会产生废水W2，废气G1。</w:t>
      </w:r>
    </w:p>
    <w:p w14:paraId="6927210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（5）烘干</w:t>
      </w:r>
      <w:r>
        <w:rPr>
          <w:color w:val="000000" w:themeColor="text1"/>
          <w14:textFill>
            <w14:solidFill>
              <w14:schemeClr w14:val="tx1"/>
            </w14:solidFill>
          </w14:textFill>
        </w:rPr>
        <w:t>：在</w:t>
      </w:r>
      <w:r>
        <w:rPr>
          <w:rFonts w:hint="eastAsia"/>
          <w:color w:val="000000" w:themeColor="text1"/>
          <w14:textFill>
            <w14:solidFill>
              <w14:schemeClr w14:val="tx1"/>
            </w14:solidFill>
          </w14:textFill>
        </w:rPr>
        <w:t>电加热烘箱中对清洗完成的产品进行烘干；</w:t>
      </w:r>
    </w:p>
    <w:p w14:paraId="1D2B583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（6）包装：利用外抽真空包装机对烘干的产品进行包装。</w:t>
      </w:r>
    </w:p>
    <w:p w14:paraId="22E34EA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产排污：该工序会产生包装废料S7。</w:t>
      </w:r>
    </w:p>
    <w:p w14:paraId="054D4A5E">
      <w:pPr>
        <w:pStyle w:val="5"/>
        <w:rPr>
          <w:color w:val="000000" w:themeColor="text1"/>
          <w14:textFill>
            <w14:solidFill>
              <w14:schemeClr w14:val="tx1"/>
            </w14:solidFill>
          </w14:textFill>
        </w:rPr>
      </w:pPr>
      <w:r>
        <w:rPr>
          <w:color w:val="000000" w:themeColor="text1"/>
          <w14:textFill>
            <w14:solidFill>
              <w14:schemeClr w14:val="tx1"/>
            </w14:solidFill>
          </w14:textFill>
        </w:rPr>
        <w:t>GASKET</w:t>
      </w:r>
      <w:r>
        <w:rPr>
          <w:rFonts w:hint="eastAsia"/>
          <w:color w:val="000000" w:themeColor="text1"/>
          <w14:textFill>
            <w14:solidFill>
              <w14:schemeClr w14:val="tx1"/>
            </w14:solidFill>
          </w14:textFill>
        </w:rPr>
        <w:t>垫片生产工艺</w:t>
      </w:r>
    </w:p>
    <w:p w14:paraId="012AA8A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GASKET垫片生产工艺主要为：下料、表面清洁、模切成型及包装等均位于臻宝科技公司厂区，</w:t>
      </w:r>
      <w:r>
        <w:rPr>
          <w:color w:val="000000" w:themeColor="text1"/>
          <w14:textFill>
            <w14:solidFill>
              <w14:schemeClr w14:val="tx1"/>
            </w14:solidFill>
          </w14:textFill>
        </w:rPr>
        <w:t>采用</w:t>
      </w:r>
      <w:r>
        <w:rPr>
          <w:rFonts w:hint="eastAsia"/>
          <w:color w:val="000000" w:themeColor="text1"/>
          <w14:textFill>
            <w14:solidFill>
              <w14:schemeClr w14:val="tx1"/>
            </w14:solidFill>
          </w14:textFill>
        </w:rPr>
        <w:t>三</w:t>
      </w:r>
      <w:r>
        <w:rPr>
          <w:color w:val="000000" w:themeColor="text1"/>
          <w14:textFill>
            <w14:solidFill>
              <w14:schemeClr w14:val="tx1"/>
            </w14:solidFill>
          </w14:textFill>
        </w:rPr>
        <w:t>班生产制度，年生产时间300d</w:t>
      </w:r>
      <w:r>
        <w:rPr>
          <w:rFonts w:hint="eastAsia"/>
          <w:color w:val="000000" w:themeColor="text1"/>
          <w14:textFill>
            <w14:solidFill>
              <w14:schemeClr w14:val="tx1"/>
            </w14:solidFill>
          </w14:textFill>
        </w:rPr>
        <w:t>。具体工艺流程及产排污环节如下：</w:t>
      </w:r>
    </w:p>
    <w:p w14:paraId="5C93EFF8">
      <w:pPr>
        <w:spacing w:line="240" w:lineRule="auto"/>
        <w:ind w:firstLine="0" w:firstLineChars="0"/>
        <w:rPr>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5274310" cy="809625"/>
            <wp:effectExtent l="0" t="0" r="2540" b="9525"/>
            <wp:docPr id="1396548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48097" name="图片 1"/>
                    <pic:cNvPicPr>
                      <a:picLocks noChangeAspect="1"/>
                    </pic:cNvPicPr>
                  </pic:nvPicPr>
                  <pic:blipFill>
                    <a:blip r:embed="rId47"/>
                    <a:stretch>
                      <a:fillRect/>
                    </a:stretch>
                  </pic:blipFill>
                  <pic:spPr>
                    <a:xfrm>
                      <a:off x="0" y="0"/>
                      <a:ext cx="5274310" cy="809625"/>
                    </a:xfrm>
                    <a:prstGeom prst="rect">
                      <a:avLst/>
                    </a:prstGeom>
                  </pic:spPr>
                </pic:pic>
              </a:graphicData>
            </a:graphic>
          </wp:inline>
        </w:drawing>
      </w:r>
    </w:p>
    <w:p w14:paraId="3269E1E0">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GASKET</w:t>
      </w:r>
      <w:r>
        <w:rPr>
          <w:rFonts w:hint="eastAsia"/>
          <w:color w:val="000000" w:themeColor="text1"/>
          <w14:textFill>
            <w14:solidFill>
              <w14:schemeClr w14:val="tx1"/>
            </w14:solidFill>
          </w14:textFill>
        </w:rPr>
        <w:t>垫片</w:t>
      </w:r>
      <w:r>
        <w:rPr>
          <w:color w:val="000000" w:themeColor="text1"/>
          <w14:textFill>
            <w14:solidFill>
              <w14:schemeClr w14:val="tx1"/>
            </w14:solidFill>
          </w14:textFill>
        </w:rPr>
        <w:t>生产工艺流程</w:t>
      </w:r>
      <w:r>
        <w:rPr>
          <w:rFonts w:hint="eastAsia"/>
          <w:color w:val="000000" w:themeColor="text1"/>
          <w14:textFill>
            <w14:solidFill>
              <w14:schemeClr w14:val="tx1"/>
            </w14:solidFill>
          </w14:textFill>
        </w:rPr>
        <w:t>及产排污环节图</w:t>
      </w:r>
    </w:p>
    <w:p w14:paraId="230B1915">
      <w:pPr>
        <w:pStyle w:val="3752"/>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工艺说明及产污分析：</w:t>
      </w:r>
    </w:p>
    <w:p w14:paraId="7BCDF1C6">
      <w:pPr>
        <w:pStyle w:val="3752"/>
        <w:ind w:firstLine="520"/>
        <w:rPr>
          <w:bCs/>
          <w:color w:val="000000" w:themeColor="text1"/>
          <w:sz w:val="26"/>
          <w:szCs w:val="26"/>
          <w14:textFill>
            <w14:solidFill>
              <w14:schemeClr w14:val="tx1"/>
            </w14:solidFill>
          </w14:textFill>
        </w:rPr>
      </w:pPr>
      <w:r>
        <w:rPr>
          <w:rFonts w:hint="eastAsia"/>
          <w:bCs/>
          <w:color w:val="000000" w:themeColor="text1"/>
          <w:sz w:val="26"/>
          <w:szCs w:val="26"/>
          <w14:textFill>
            <w14:solidFill>
              <w14:schemeClr w14:val="tx1"/>
            </w14:solidFill>
          </w14:textFill>
        </w:rPr>
        <w:t>（1）裁切下料：将聚酰亚胺薄膜、石墨纸、</w:t>
      </w:r>
      <w:r>
        <w:rPr>
          <w:bCs/>
          <w:color w:val="000000" w:themeColor="text1"/>
          <w:sz w:val="26"/>
          <w:szCs w:val="26"/>
          <w14:textFill>
            <w14:solidFill>
              <w14:schemeClr w14:val="tx1"/>
            </w14:solidFill>
          </w14:textFill>
        </w:rPr>
        <w:t>Q-pad</w:t>
      </w:r>
      <w:r>
        <w:rPr>
          <w:rFonts w:hint="eastAsia"/>
          <w:bCs/>
          <w:color w:val="000000" w:themeColor="text1"/>
          <w:sz w:val="26"/>
          <w:szCs w:val="26"/>
          <w14:textFill>
            <w14:solidFill>
              <w14:schemeClr w14:val="tx1"/>
            </w14:solidFill>
          </w14:textFill>
        </w:rPr>
        <w:t>（中间铝箔+两面硅橡胶涂层）、导热硅胶片等薄膜材料在自动切断机下裁切出需要的尺寸。</w:t>
      </w:r>
    </w:p>
    <w:p w14:paraId="26C12D25">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产排污：该过程会产生边角料S1和噪声N。</w:t>
      </w:r>
    </w:p>
    <w:p w14:paraId="5BEDB3CA">
      <w:pPr>
        <w:pStyle w:val="3752"/>
        <w:ind w:firstLine="520"/>
        <w:rPr>
          <w:bCs/>
          <w:color w:val="000000" w:themeColor="text1"/>
          <w:sz w:val="26"/>
          <w:szCs w:val="26"/>
          <w14:textFill>
            <w14:solidFill>
              <w14:schemeClr w14:val="tx1"/>
            </w14:solidFill>
          </w14:textFill>
        </w:rPr>
      </w:pPr>
      <w:r>
        <w:rPr>
          <w:rFonts w:hint="eastAsia"/>
          <w:bCs/>
          <w:color w:val="000000" w:themeColor="text1"/>
          <w:sz w:val="26"/>
          <w:szCs w:val="26"/>
          <w14:textFill>
            <w14:solidFill>
              <w14:schemeClr w14:val="tx1"/>
            </w14:solidFill>
          </w14:textFill>
        </w:rPr>
        <w:t>（2）表面清洁：对裁切完成的薄膜材料表面进行检查，若需要清洁，在薄片清洁机内使用乙醇对薄膜表面进行清洁。</w:t>
      </w:r>
    </w:p>
    <w:p w14:paraId="491733EF">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产排污：该过程会产生清洁废气G2和沾染乙醇的抹布手套等S4。</w:t>
      </w:r>
    </w:p>
    <w:p w14:paraId="1A3032B7">
      <w:pPr>
        <w:pStyle w:val="3752"/>
        <w:ind w:firstLine="520"/>
        <w:rPr>
          <w:bCs/>
          <w:color w:val="000000" w:themeColor="text1"/>
          <w:sz w:val="26"/>
          <w:szCs w:val="26"/>
          <w14:textFill>
            <w14:solidFill>
              <w14:schemeClr w14:val="tx1"/>
            </w14:solidFill>
          </w14:textFill>
        </w:rPr>
      </w:pPr>
      <w:r>
        <w:rPr>
          <w:rFonts w:hint="eastAsia"/>
          <w:bCs/>
          <w:color w:val="000000" w:themeColor="text1"/>
          <w:sz w:val="26"/>
          <w:szCs w:val="26"/>
          <w14:textFill>
            <w14:solidFill>
              <w14:schemeClr w14:val="tx1"/>
            </w14:solidFill>
          </w14:textFill>
        </w:rPr>
        <w:t>（3）模切成型：采用伺服模切压力机对下料完成的膜/纸/片进行模切得到需要形状、尺寸的产品；</w:t>
      </w:r>
    </w:p>
    <w:p w14:paraId="4616569E">
      <w:pPr>
        <w:pStyle w:val="3752"/>
        <w:ind w:firstLine="520"/>
        <w:rPr>
          <w:bCs/>
          <w:color w:val="000000" w:themeColor="text1"/>
          <w:sz w:val="26"/>
          <w:szCs w:val="26"/>
          <w14:textFill>
            <w14:solidFill>
              <w14:schemeClr w14:val="tx1"/>
            </w14:solidFill>
          </w14:textFill>
        </w:rPr>
      </w:pPr>
      <w:r>
        <w:rPr>
          <w:rFonts w:hint="eastAsia"/>
          <w:bCs/>
          <w:color w:val="000000" w:themeColor="text1"/>
          <w:sz w:val="26"/>
          <w:szCs w:val="26"/>
          <w14:textFill>
            <w14:solidFill>
              <w14:schemeClr w14:val="tx1"/>
            </w14:solidFill>
          </w14:textFill>
        </w:rPr>
        <w:t>产排污：该过程会产生废弃边角料S3。</w:t>
      </w:r>
    </w:p>
    <w:p w14:paraId="6205D7D1">
      <w:pPr>
        <w:pStyle w:val="3752"/>
        <w:ind w:firstLine="520"/>
        <w:rPr>
          <w:bCs/>
          <w:color w:val="000000" w:themeColor="text1"/>
          <w:sz w:val="26"/>
          <w:szCs w:val="26"/>
          <w14:textFill>
            <w14:solidFill>
              <w14:schemeClr w14:val="tx1"/>
            </w14:solidFill>
          </w14:textFill>
        </w:rPr>
      </w:pPr>
      <w:r>
        <w:rPr>
          <w:rFonts w:hint="eastAsia"/>
          <w:bCs/>
          <w:color w:val="000000" w:themeColor="text1"/>
          <w:sz w:val="26"/>
          <w:szCs w:val="26"/>
          <w14:textFill>
            <w14:solidFill>
              <w14:schemeClr w14:val="tx1"/>
            </w14:solidFill>
          </w14:textFill>
        </w:rPr>
        <w:t>（4）表面清洁：模切后的部分产品需要在薄片清洁机内使用乙醇对薄膜表面进行清洁。</w:t>
      </w:r>
    </w:p>
    <w:p w14:paraId="153566C3">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产排污：该过程会产生清洁废气G2和沾染乙醇的抹布手套等S4。</w:t>
      </w:r>
    </w:p>
    <w:p w14:paraId="3CB407A7">
      <w:pPr>
        <w:ind w:firstLine="520"/>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（5）抽真空包装：将产品放置在真空板上，上面覆盖无尘纸装入包装袋内，使用外抽真空包装机包装。</w:t>
      </w:r>
    </w:p>
    <w:p w14:paraId="61967013">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产排污：该过程会产生噪声N和包装废料S7。</w:t>
      </w:r>
    </w:p>
    <w:p w14:paraId="63568402">
      <w:pPr>
        <w:pStyle w:val="4"/>
        <w:rPr>
          <w:color w:val="000000" w:themeColor="text1"/>
          <w14:textFill>
            <w14:solidFill>
              <w14:schemeClr w14:val="tx1"/>
            </w14:solidFill>
          </w14:textFill>
        </w:rPr>
      </w:pPr>
      <w:bookmarkStart w:id="170" w:name="_Toc26936"/>
      <w:r>
        <w:rPr>
          <w:rFonts w:hint="eastAsia"/>
          <w:color w:val="000000" w:themeColor="text1"/>
          <w14:textFill>
            <w14:solidFill>
              <w14:schemeClr w14:val="tx1"/>
            </w14:solidFill>
          </w14:textFill>
        </w:rPr>
        <w:t>石墨产品</w:t>
      </w:r>
      <w:r>
        <w:rPr>
          <w:color w:val="000000" w:themeColor="text1"/>
          <w14:textFill>
            <w14:solidFill>
              <w14:schemeClr w14:val="tx1"/>
            </w14:solidFill>
          </w14:textFill>
        </w:rPr>
        <w:t>生产线</w:t>
      </w:r>
      <w:bookmarkEnd w:id="170"/>
    </w:p>
    <w:p w14:paraId="09132B47">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w:t>
      </w:r>
      <w:r>
        <w:rPr>
          <w:rFonts w:hint="eastAsia"/>
          <w:color w:val="000000" w:themeColor="text1"/>
          <w14:textFill>
            <w14:solidFill>
              <w14:schemeClr w14:val="tx1"/>
            </w14:solidFill>
          </w14:textFill>
        </w:rPr>
        <w:t>石墨产品</w:t>
      </w:r>
      <w:r>
        <w:rPr>
          <w:color w:val="000000" w:themeColor="text1"/>
          <w14:textFill>
            <w14:solidFill>
              <w14:schemeClr w14:val="tx1"/>
            </w14:solidFill>
          </w14:textFill>
        </w:rPr>
        <w:t>生产线</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包括</w:t>
      </w:r>
      <w:r>
        <w:rPr>
          <w:rFonts w:hint="eastAsia"/>
          <w:color w:val="000000" w:themeColor="text1"/>
          <w14:textFill>
            <w14:solidFill>
              <w14:schemeClr w14:val="tx1"/>
            </w14:solidFill>
          </w14:textFill>
        </w:rPr>
        <w:t>：下料、机加、纯化、清洗等工序</w:t>
      </w:r>
      <w:r>
        <w:rPr>
          <w:color w:val="000000" w:themeColor="text1"/>
          <w14:textFill>
            <w14:solidFill>
              <w14:schemeClr w14:val="tx1"/>
            </w14:solidFill>
          </w14:textFill>
        </w:rPr>
        <w:t>。采用</w:t>
      </w:r>
      <w:r>
        <w:rPr>
          <w:rFonts w:hint="eastAsia"/>
          <w:color w:val="000000" w:themeColor="text1"/>
          <w14:textFill>
            <w14:solidFill>
              <w14:schemeClr w14:val="tx1"/>
            </w14:solidFill>
          </w14:textFill>
        </w:rPr>
        <w:t>三</w:t>
      </w:r>
      <w:r>
        <w:rPr>
          <w:color w:val="000000" w:themeColor="text1"/>
          <w14:textFill>
            <w14:solidFill>
              <w14:schemeClr w14:val="tx1"/>
            </w14:solidFill>
          </w14:textFill>
        </w:rPr>
        <w:t>班生产制度，年生产时间300d</w:t>
      </w:r>
      <w:r>
        <w:rPr>
          <w:rFonts w:hint="eastAsia"/>
          <w:color w:val="000000" w:themeColor="text1"/>
          <w14:textFill>
            <w14:solidFill>
              <w14:schemeClr w14:val="tx1"/>
            </w14:solidFill>
          </w14:textFill>
        </w:rPr>
        <w:t>。</w:t>
      </w:r>
    </w:p>
    <w:p w14:paraId="3F700182">
      <w:pPr>
        <w:spacing w:line="240" w:lineRule="auto"/>
        <w:ind w:firstLine="0" w:firstLineChars="0"/>
        <w:jc w:val="center"/>
        <w:rPr>
          <w:snapToGrid/>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13970</wp:posOffset>
                </wp:positionV>
                <wp:extent cx="3253740" cy="747395"/>
                <wp:effectExtent l="0" t="0" r="22860" b="14605"/>
                <wp:wrapNone/>
                <wp:docPr id="1207693020" name="矩形 26"/>
                <wp:cNvGraphicFramePr/>
                <a:graphic xmlns:a="http://schemas.openxmlformats.org/drawingml/2006/main">
                  <a:graphicData uri="http://schemas.microsoft.com/office/word/2010/wordprocessingShape">
                    <wps:wsp>
                      <wps:cNvSpPr/>
                      <wps:spPr>
                        <a:xfrm>
                          <a:off x="0" y="0"/>
                          <a:ext cx="3253773" cy="747428"/>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top:1.1pt;height:58.85pt;width:256.2pt;mso-position-horizontal:right;mso-position-horizontal-relative:margin;z-index:251692032;v-text-anchor:middle;mso-width-relative:page;mso-height-relative:page;" filled="f" stroked="t" coordsize="21600,21600" o:gfxdata="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YmjvNYAAAAGAQAADwAAAAAAAAABACAAAAAiAAAAZHJzL2Rv&#10;d25yZXYueG1sUEsBAhQAFAAAAAgAh07iQJie+gZ1AgAA1QQAAA4AAAAAAAAAAQAgAAAAJQEAAGRy&#10;cy9lMm9Eb2MueG1sUEsFBgAAAAAGAAYAWQEAAAwGAAAAAA==&#10;">
                <v:fill on="f" focussize="0,0"/>
                <v:stroke weight="1pt" color="#0000FF [3204]" miterlimit="8" joinstyle="miter"/>
                <v:imagedata o:title=""/>
                <o:lock v:ext="edit" aspectratio="f"/>
              </v:rect>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margin">
                  <wp:posOffset>-26670</wp:posOffset>
                </wp:positionH>
                <wp:positionV relativeFrom="paragraph">
                  <wp:posOffset>19685</wp:posOffset>
                </wp:positionV>
                <wp:extent cx="1965325" cy="741680"/>
                <wp:effectExtent l="0" t="0" r="16510" b="20320"/>
                <wp:wrapNone/>
                <wp:docPr id="405281170" name="矩形 26"/>
                <wp:cNvGraphicFramePr/>
                <a:graphic xmlns:a="http://schemas.openxmlformats.org/drawingml/2006/main">
                  <a:graphicData uri="http://schemas.microsoft.com/office/word/2010/wordprocessingShape">
                    <wps:wsp>
                      <wps:cNvSpPr/>
                      <wps:spPr>
                        <a:xfrm>
                          <a:off x="0" y="0"/>
                          <a:ext cx="1965168" cy="74196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2.1pt;margin-top:1.55pt;height:58.4pt;width:154.75pt;mso-position-horizontal-relative:margin;z-index:251691008;v-text-anchor:middle;mso-width-relative:page;mso-height-relative:page;" filled="f" stroked="t" coordsize="21600,21600" o:gfxdata="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sJ8ENgAAAAIAQAADwAAAAAAAAABACAAAAAiAAAAZHJzL2Rv&#10;d25yZXYueG1sUEsBAhQAFAAAAAgAh07iQEED+EpzAgAA1AQAAA4AAAAAAAAAAQAgAAAAJwEAAGRy&#10;cy9lMm9Eb2MueG1sUEsFBgAAAAAGAAYAWQEAAAwGAAAAAA==&#10;">
                <v:fill on="f" focussize="0,0"/>
                <v:stroke weight="1pt" color="#EE0000 [3204]" miterlimit="8" joinstyle="miter"/>
                <v:imagedata o:title=""/>
                <o:lock v:ext="edit" aspectratio="f"/>
              </v:rect>
            </w:pict>
          </mc:Fallback>
        </mc:AlternateContent>
      </w:r>
      <w:r>
        <w:rPr>
          <w:snapToGrid/>
          <w:color w:val="000000" w:themeColor="text1"/>
          <w14:textFill>
            <w14:solidFill>
              <w14:schemeClr w14:val="tx1"/>
            </w14:solidFill>
          </w14:textFill>
        </w:rPr>
        <w:drawing>
          <wp:inline distT="0" distB="0" distL="0" distR="0">
            <wp:extent cx="5274310" cy="735330"/>
            <wp:effectExtent l="0" t="0" r="2540" b="7620"/>
            <wp:docPr id="2131883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83701" name="图片 1"/>
                    <pic:cNvPicPr>
                      <a:picLocks noChangeAspect="1"/>
                    </pic:cNvPicPr>
                  </pic:nvPicPr>
                  <pic:blipFill>
                    <a:blip r:embed="rId48"/>
                    <a:stretch>
                      <a:fillRect/>
                    </a:stretch>
                  </pic:blipFill>
                  <pic:spPr>
                    <a:xfrm>
                      <a:off x="0" y="0"/>
                      <a:ext cx="5274310" cy="735330"/>
                    </a:xfrm>
                    <a:prstGeom prst="rect">
                      <a:avLst/>
                    </a:prstGeom>
                  </pic:spPr>
                </pic:pic>
              </a:graphicData>
            </a:graphic>
          </wp:inline>
        </w:drawing>
      </w:r>
    </w:p>
    <w:p w14:paraId="46F6B357">
      <w:pPr>
        <w:ind w:firstLine="0" w:firstLineChars="0"/>
        <w:rPr>
          <w:color w:val="000000" w:themeColor="text1"/>
          <w:sz w:val="21"/>
          <w:szCs w:val="2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margin">
                  <wp:posOffset>2464435</wp:posOffset>
                </wp:positionH>
                <wp:positionV relativeFrom="paragraph">
                  <wp:posOffset>119380</wp:posOffset>
                </wp:positionV>
                <wp:extent cx="314960" cy="130810"/>
                <wp:effectExtent l="0" t="0" r="28575" b="22225"/>
                <wp:wrapNone/>
                <wp:docPr id="2070468096" name="矩形 26"/>
                <wp:cNvGraphicFramePr/>
                <a:graphic xmlns:a="http://schemas.openxmlformats.org/drawingml/2006/main">
                  <a:graphicData uri="http://schemas.microsoft.com/office/word/2010/wordprocessingShape">
                    <wps:wsp>
                      <wps:cNvSpPr/>
                      <wps:spPr>
                        <a:xfrm>
                          <a:off x="0" y="0"/>
                          <a:ext cx="314696" cy="130629"/>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194.05pt;margin-top:9.4pt;height:10.3pt;width:24.8pt;mso-position-horizontal-relative:margin;z-index:251689984;v-text-anchor:middle;mso-width-relative:page;mso-height-relative:page;" filled="f" stroked="t" coordsize="21600,21600" o:gfxdata="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JptBDYAAAACQEAAA8AAAAAAAAAAQAgAAAAIgAAAGRycy9k&#10;b3ducmV2LnhtbFBLAQIUABQAAAAIAIdO4kDKqZ6xdAIAANQEAAAOAAAAAAAAAAEAIAAAACcBAABk&#10;cnMvZTJvRG9jLnhtbFBLBQYAAAAABgAGAFkBAAANBgAAAAA=&#10;">
                <v:fill on="f" focussize="0,0"/>
                <v:stroke weight="1pt" color="#0000FF [3204]" miterlimit="8" joinstyle="miter"/>
                <v:imagedata o:title=""/>
                <o:lock v:ext="edit" aspectratio="f"/>
              </v:rect>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margin">
                  <wp:posOffset>441960</wp:posOffset>
                </wp:positionH>
                <wp:positionV relativeFrom="paragraph">
                  <wp:posOffset>110490</wp:posOffset>
                </wp:positionV>
                <wp:extent cx="314960" cy="130810"/>
                <wp:effectExtent l="0" t="0" r="28575" b="22225"/>
                <wp:wrapNone/>
                <wp:docPr id="2101768934" name="矩形 26"/>
                <wp:cNvGraphicFramePr/>
                <a:graphic xmlns:a="http://schemas.openxmlformats.org/drawingml/2006/main">
                  <a:graphicData uri="http://schemas.microsoft.com/office/word/2010/wordprocessingShape">
                    <wps:wsp>
                      <wps:cNvSpPr/>
                      <wps:spPr>
                        <a:xfrm>
                          <a:off x="0" y="0"/>
                          <a:ext cx="314696" cy="13062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34.8pt;margin-top:8.7pt;height:10.3pt;width:24.8pt;mso-position-horizontal-relative:margin;z-index:251688960;v-text-anchor:middle;mso-width-relative:page;mso-height-relative:page;" filled="f" stroked="t" coordsize="21600,21600" o:gfxdata="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bOfcPXAAAACAEAAA8AAAAAAAAAAQAgAAAAIgAAAGRycy9k&#10;b3ducmV2LnhtbFBLAQIUABQAAAAIAIdO4kAS518edQIAANQEAAAOAAAAAAAAAAEAIAAAACYBAABk&#10;cnMvZTJvRG9jLnhtbFBLBQYAAAAABgAGAFkBAAANBgAAAAA=&#10;">
                <v:fill on="f" focussize="0,0"/>
                <v:stroke weight="1pt" color="#EE0000 [3204]" miterlimit="8" joinstyle="miter"/>
                <v:imagedata o:title=""/>
                <o:lock v:ext="edit" aspectratio="f"/>
              </v:rect>
            </w:pict>
          </mc:Fallback>
        </mc:AlternateContent>
      </w:r>
      <w:r>
        <w:rPr>
          <w:rFonts w:hint="eastAsia"/>
          <w:color w:val="000000" w:themeColor="text1"/>
          <w:sz w:val="21"/>
          <w:szCs w:val="21"/>
          <w14:textFill>
            <w14:solidFill>
              <w14:schemeClr w14:val="tx1"/>
            </w14:solidFill>
          </w14:textFill>
        </w:rPr>
        <w:t>图例：              位于臻宝科技公司厂区；               位于臻宝半导体公司厂区</w:t>
      </w:r>
    </w:p>
    <w:p w14:paraId="014AE5A7">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石墨产品生产</w:t>
      </w:r>
      <w:r>
        <w:rPr>
          <w:color w:val="000000" w:themeColor="text1"/>
          <w14:textFill>
            <w14:solidFill>
              <w14:schemeClr w14:val="tx1"/>
            </w14:solidFill>
          </w14:textFill>
        </w:rPr>
        <w:t>工艺流程</w:t>
      </w:r>
      <w:r>
        <w:rPr>
          <w:rFonts w:hint="eastAsia"/>
          <w:color w:val="000000" w:themeColor="text1"/>
          <w14:textFill>
            <w14:solidFill>
              <w14:schemeClr w14:val="tx1"/>
            </w14:solidFill>
          </w14:textFill>
        </w:rPr>
        <w:t>及产排污节点示意</w:t>
      </w:r>
      <w:r>
        <w:rPr>
          <w:color w:val="000000" w:themeColor="text1"/>
          <w14:textFill>
            <w14:solidFill>
              <w14:schemeClr w14:val="tx1"/>
            </w14:solidFill>
          </w14:textFill>
        </w:rPr>
        <w:t>图</w:t>
      </w:r>
    </w:p>
    <w:p w14:paraId="3158F15D">
      <w:pPr>
        <w:ind w:firstLine="520"/>
        <w:rPr>
          <w:color w:val="000000" w:themeColor="text1"/>
          <w14:textFill>
            <w14:solidFill>
              <w14:schemeClr w14:val="tx1"/>
            </w14:solidFill>
          </w14:textFill>
        </w:rPr>
      </w:pPr>
      <w:r>
        <w:rPr>
          <w:color w:val="000000" w:themeColor="text1"/>
          <w14:textFill>
            <w14:solidFill>
              <w14:schemeClr w14:val="tx1"/>
            </w14:solidFill>
          </w14:textFill>
        </w:rPr>
        <w:t>工艺说明及产污分析：</w:t>
      </w:r>
    </w:p>
    <w:p w14:paraId="3C305162">
      <w:pPr>
        <w:ind w:firstLine="52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下料</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外购石墨块材（圆柱体和立方体），经过立式数控砂线切割机或立式带锯床，将大块的石墨切割成所需的各种规格的石墨坯料；</w:t>
      </w:r>
    </w:p>
    <w:p w14:paraId="24AEDE5A">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产排污：该工序</w:t>
      </w:r>
      <w:r>
        <w:rPr>
          <w:color w:val="000000" w:themeColor="text1"/>
          <w14:textFill>
            <w14:solidFill>
              <w14:schemeClr w14:val="tx1"/>
            </w14:solidFill>
          </w14:textFill>
        </w:rPr>
        <w:t>会产生</w:t>
      </w:r>
      <w:r>
        <w:rPr>
          <w:rFonts w:hint="eastAsia"/>
          <w:color w:val="000000" w:themeColor="text1"/>
          <w14:textFill>
            <w14:solidFill>
              <w14:schemeClr w14:val="tx1"/>
            </w14:solidFill>
          </w14:textFill>
        </w:rPr>
        <w:t>切割粉尘G3、边角料S5、噪声N</w:t>
      </w:r>
      <w:r>
        <w:rPr>
          <w:color w:val="000000" w:themeColor="text1"/>
          <w14:textFill>
            <w14:solidFill>
              <w14:schemeClr w14:val="tx1"/>
            </w14:solidFill>
          </w14:textFill>
        </w:rPr>
        <w:t>；</w:t>
      </w:r>
    </w:p>
    <w:p w14:paraId="6394F843">
      <w:pPr>
        <w:ind w:firstLine="52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机加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利用车床、铣床、加工中心、精雕机等对石墨坯料进行机械加工，得到设计图纸所要求尺寸的零部件</w:t>
      </w:r>
      <w:r>
        <w:rPr>
          <w:color w:val="000000" w:themeColor="text1"/>
          <w14:textFill>
            <w14:solidFill>
              <w14:schemeClr w14:val="tx1"/>
            </w14:solidFill>
          </w14:textFill>
        </w:rPr>
        <w:t>；</w:t>
      </w:r>
    </w:p>
    <w:p w14:paraId="65050CD0">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产排污：该工序</w:t>
      </w:r>
      <w:r>
        <w:rPr>
          <w:color w:val="000000" w:themeColor="text1"/>
          <w14:textFill>
            <w14:solidFill>
              <w14:schemeClr w14:val="tx1"/>
            </w14:solidFill>
          </w14:textFill>
        </w:rPr>
        <w:t>会产生</w:t>
      </w:r>
      <w:r>
        <w:rPr>
          <w:rFonts w:hint="eastAsia"/>
          <w:color w:val="000000" w:themeColor="text1"/>
          <w14:textFill>
            <w14:solidFill>
              <w14:schemeClr w14:val="tx1"/>
            </w14:solidFill>
          </w14:textFill>
        </w:rPr>
        <w:t>机加粉尘</w:t>
      </w:r>
      <w:r>
        <w:rPr>
          <w:color w:val="000000" w:themeColor="text1"/>
          <w14:textFill>
            <w14:solidFill>
              <w14:schemeClr w14:val="tx1"/>
            </w14:solidFill>
          </w14:textFill>
        </w:rPr>
        <w:t>G</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、沾染切削液废石墨屑S6、噪声N</w:t>
      </w:r>
      <w:r>
        <w:rPr>
          <w:color w:val="000000" w:themeColor="text1"/>
          <w14:textFill>
            <w14:solidFill>
              <w14:schemeClr w14:val="tx1"/>
            </w14:solidFill>
          </w14:textFill>
        </w:rPr>
        <w:t>；</w:t>
      </w:r>
    </w:p>
    <w:p w14:paraId="0DC965AD">
      <w:pPr>
        <w:ind w:firstLine="52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纯化</w:t>
      </w:r>
      <w:r>
        <w:rPr>
          <w:color w:val="000000" w:themeColor="text1"/>
          <w14:textFill>
            <w14:solidFill>
              <w14:schemeClr w14:val="tx1"/>
            </w14:solidFill>
          </w14:textFill>
        </w:rPr>
        <w:t>：</w:t>
      </w:r>
      <w:bookmarkStart w:id="171" w:name="OLE_LINK10"/>
      <w:r>
        <w:rPr>
          <w:rFonts w:hint="eastAsia"/>
          <w:color w:val="000000" w:themeColor="text1"/>
          <w14:textFill>
            <w14:solidFill>
              <w14:schemeClr w14:val="tx1"/>
            </w14:solidFill>
          </w14:textFill>
        </w:rPr>
        <w:t>将加工好的石墨零部件摆放在纯化炉填料板上，将填料板运送至纯化炉底部，夹紧并密封，完成装料。此时炉内保持密闭状态，随后对纯化炉内抽真空，采用干式真空泵，真空度33mbar（-0.098MPa）。纯化炉内抽真空后通过电加热升温至 2200~2800℃，通入惰性气体氩气作保护气体，并通入HCl维持炉温1h-5h后，炉内抽真空，再次充入惰性气体氩气和HCl保持2200~2800℃1h-5h后继续抽真空，炉内抽真空，再次充入惰性气体氩气和HCl保持2200~2800℃1h-5h后继续抽真空，再次通入氩气，保持炉内压力2000Pa，升温至 2500~3000℃，保温2h，高温纯化所需总时间约为 38h。项目提纯的石墨为高纯石墨，石墨含量大于 99.9995%（具体详见附件石墨成分分析报告），纯化后石墨含量大于 99.99999%。金属杂质降低到5ppm以下。纯化原理：高温条件下通入的HCl与石墨中的杂质（主要是金属氧化物）反应生成氯化物或金属络合物从石墨中游离出来</w:t>
      </w:r>
      <w:bookmarkEnd w:id="171"/>
      <w:r>
        <w:rPr>
          <w:rFonts w:hint="eastAsia"/>
          <w:color w:val="000000" w:themeColor="text1"/>
          <w14:textFill>
            <w14:solidFill>
              <w14:schemeClr w14:val="tx1"/>
            </w14:solidFill>
          </w14:textFill>
        </w:rPr>
        <w:t>，主要化学反应如下：</w:t>
      </w:r>
      <w:r>
        <w:rPr>
          <w:color w:val="000000" w:themeColor="text1"/>
          <w14:textFill>
            <w14:solidFill>
              <w14:schemeClr w14:val="tx1"/>
            </w14:solidFill>
          </w14:textFill>
        </w:rPr>
        <w:t xml:space="preserve"> </w:t>
      </w:r>
    </w:p>
    <w:p w14:paraId="024E56B9">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SiO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+2Cl</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+C→SiCl</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p w14:paraId="1261A584">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2Al</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+6Cl</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+3C→4AlCl</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↑+3CO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p w14:paraId="4717762C">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2Fe</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+6Cl</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+3C→4FeCl</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↑+3CO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p w14:paraId="6A1D4FD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产排污：该工序会产生纯化炉废气（G</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），主要污染物为碳黑尘、氯化氢。</w:t>
      </w:r>
    </w:p>
    <w:p w14:paraId="018C235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4）石墨化：纯化完成的石墨零部件摆放在高温处理炉上料板上，将上料板运送至高温处理炉，完成装料。此时炉内保持密闭状态，随后对纯化炉内抽真空，采用干式真空泵，真空度33mbar（-0.098MPa）。石墨化炉内抽真空后，通过电加热升温至 2300~3000℃，然后通入惰性气体氩气和氮气作保护气体，维持炉温10h-15h后，完成石墨化。石墨化原理：通过高温热处理，</w:t>
      </w:r>
      <w:r>
        <w:rPr>
          <w:color w:val="000000" w:themeColor="text1"/>
          <w14:textFill>
            <w14:solidFill>
              <w14:schemeClr w14:val="tx1"/>
            </w14:solidFill>
          </w14:textFill>
        </w:rPr>
        <w:t>将碳原子从无序结构</w:t>
      </w:r>
      <w:r>
        <w:rPr>
          <w:rFonts w:hint="eastAsia"/>
          <w:color w:val="000000" w:themeColor="text1"/>
          <w14:textFill>
            <w14:solidFill>
              <w14:schemeClr w14:val="tx1"/>
            </w14:solidFill>
          </w14:textFill>
        </w:rPr>
        <w:t>转化为具有石墨三维规则有序结构的</w:t>
      </w:r>
      <w:r>
        <w:rPr>
          <w:color w:val="000000" w:themeColor="text1"/>
          <w14:textFill>
            <w14:solidFill>
              <w14:schemeClr w14:val="tx1"/>
            </w14:solidFill>
          </w14:textFill>
        </w:rPr>
        <w:t>石墨晶体的过程</w:t>
      </w:r>
      <w:r>
        <w:rPr>
          <w:rFonts w:hint="eastAsia"/>
          <w:color w:val="000000" w:themeColor="text1"/>
          <w14:textFill>
            <w14:solidFill>
              <w14:schemeClr w14:val="tx1"/>
            </w14:solidFill>
          </w14:textFill>
        </w:rPr>
        <w:t>。项目石墨产品应用于半导体领域，需纯化后再进行石墨化</w:t>
      </w:r>
    </w:p>
    <w:p w14:paraId="7834008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产排污：该工序会产生废气（G</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），主要污染物为碳黑尘。</w:t>
      </w:r>
    </w:p>
    <w:p w14:paraId="7E05A2B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（5）清洗：纯化后的产品放入超声波清洗机中，使用纯水进行清洗，去除掉附着在表面的粉尘颗粒。</w:t>
      </w:r>
    </w:p>
    <w:p w14:paraId="39406A8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产排污：该工序会产生废水W3。</w:t>
      </w:r>
    </w:p>
    <w:p w14:paraId="77427B8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（6）烘干：清洗后的石墨产品送入洁净防爆烘干箱中进行烘干，烘干箱采用电加热，该过程无污染物产生。</w:t>
      </w:r>
    </w:p>
    <w:p w14:paraId="4C88D6E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（7）包装：利用自动包装机对烘干完成的产品进行包装入库。</w:t>
      </w:r>
    </w:p>
    <w:p w14:paraId="38A87FD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产排污：该工序会产生包装废料S7。</w:t>
      </w:r>
    </w:p>
    <w:p w14:paraId="333CDF27">
      <w:pPr>
        <w:pStyle w:val="4"/>
        <w:rPr>
          <w:color w:val="000000" w:themeColor="text1"/>
          <w14:textFill>
            <w14:solidFill>
              <w14:schemeClr w14:val="tx1"/>
            </w14:solidFill>
          </w14:textFill>
        </w:rPr>
      </w:pPr>
      <w:bookmarkStart w:id="172" w:name="_Toc18798"/>
      <w:r>
        <w:rPr>
          <w:color w:val="000000" w:themeColor="text1"/>
          <w14:textFill>
            <w14:solidFill>
              <w14:schemeClr w14:val="tx1"/>
            </w14:solidFill>
          </w14:textFill>
        </w:rPr>
        <w:t>碳化硅</w:t>
      </w:r>
      <w:r>
        <w:rPr>
          <w:rFonts w:hint="eastAsia"/>
          <w:color w:val="000000" w:themeColor="text1"/>
          <w14:textFill>
            <w14:solidFill>
              <w14:schemeClr w14:val="tx1"/>
            </w14:solidFill>
          </w14:textFill>
        </w:rPr>
        <w:t>涂层产品</w:t>
      </w:r>
      <w:r>
        <w:rPr>
          <w:color w:val="000000" w:themeColor="text1"/>
          <w14:textFill>
            <w14:solidFill>
              <w14:schemeClr w14:val="tx1"/>
            </w14:solidFill>
          </w14:textFill>
        </w:rPr>
        <w:t>生产线</w:t>
      </w:r>
      <w:bookmarkEnd w:id="172"/>
    </w:p>
    <w:p w14:paraId="4149ADA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碳化硅涂层生产线位于臻宝半导体公司，</w:t>
      </w:r>
      <w:r>
        <w:rPr>
          <w:color w:val="000000" w:themeColor="text1"/>
          <w14:textFill>
            <w14:solidFill>
              <w14:schemeClr w14:val="tx1"/>
            </w14:solidFill>
          </w14:textFill>
        </w:rPr>
        <w:t>扩建项目主要以三氯甲基硅烷（MTS）及氢气（H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）在一定条件下生成碳化硅（SiC）及副产物氯化氢（HCl）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将生产设备内抽真空后注入高纯度氮气、氩气作为保护气，以高纯度氢气为载体输入原料三氯甲基硅烷（MTS），在设备内的高温条件下反应生产高纯度碳化硅，碳化硅为固体，在设备内的石墨支撑件内不断沉积，堆积厚度，且在高温的作用下形成分子键，堆积形成需要形状的碳化硅</w:t>
      </w:r>
      <w:r>
        <w:rPr>
          <w:rFonts w:hint="eastAsia"/>
          <w:color w:val="000000" w:themeColor="text1"/>
          <w14:textFill>
            <w14:solidFill>
              <w14:schemeClr w14:val="tx1"/>
            </w14:solidFill>
          </w14:textFill>
        </w:rPr>
        <w:t>涂层</w:t>
      </w:r>
      <w:r>
        <w:rPr>
          <w:color w:val="000000" w:themeColor="text1"/>
          <w14:textFill>
            <w14:solidFill>
              <w14:schemeClr w14:val="tx1"/>
            </w14:solidFill>
          </w14:textFill>
        </w:rPr>
        <w:t>，冷却后经过进一步精加工制得所需碳化硅</w:t>
      </w:r>
      <w:r>
        <w:rPr>
          <w:rFonts w:hint="eastAsia"/>
          <w:color w:val="000000" w:themeColor="text1"/>
          <w14:textFill>
            <w14:solidFill>
              <w14:schemeClr w14:val="tx1"/>
            </w14:solidFill>
          </w14:textFill>
        </w:rPr>
        <w:t>涂层</w:t>
      </w:r>
      <w:r>
        <w:rPr>
          <w:color w:val="000000" w:themeColor="text1"/>
          <w14:textFill>
            <w14:solidFill>
              <w14:schemeClr w14:val="tx1"/>
            </w14:solidFill>
          </w14:textFill>
        </w:rPr>
        <w:t>产品，MTS产率为50%。</w:t>
      </w:r>
    </w:p>
    <w:p w14:paraId="42982C13">
      <w:pPr>
        <w:ind w:firstLine="520"/>
        <w:rPr>
          <w:color w:val="000000" w:themeColor="text1"/>
          <w14:textFill>
            <w14:solidFill>
              <w14:schemeClr w14:val="tx1"/>
            </w14:solidFill>
          </w14:textFill>
        </w:rPr>
      </w:pPr>
      <w:r>
        <w:rPr>
          <w:color w:val="000000" w:themeColor="text1"/>
          <w14:textFill>
            <w14:solidFill>
              <w14:schemeClr w14:val="tx1"/>
            </w14:solidFill>
          </w14:textFill>
        </w:rPr>
        <w:t>生产线采用3班生产制度，年生产时间300d。</w:t>
      </w:r>
    </w:p>
    <w:p w14:paraId="62DF9C28">
      <w:pPr>
        <w:spacing w:line="240" w:lineRule="auto"/>
        <w:ind w:firstLine="0" w:firstLineChars="0"/>
        <w:rPr>
          <w:snapToGrid/>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4657725" cy="1085850"/>
            <wp:effectExtent l="0" t="0" r="9525" b="0"/>
            <wp:docPr id="700567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7622" name="图片 1"/>
                    <pic:cNvPicPr>
                      <a:picLocks noChangeAspect="1"/>
                    </pic:cNvPicPr>
                  </pic:nvPicPr>
                  <pic:blipFill>
                    <a:blip r:embed="rId49"/>
                    <a:stretch>
                      <a:fillRect/>
                    </a:stretch>
                  </pic:blipFill>
                  <pic:spPr>
                    <a:xfrm>
                      <a:off x="0" y="0"/>
                      <a:ext cx="4657725" cy="1085850"/>
                    </a:xfrm>
                    <a:prstGeom prst="rect">
                      <a:avLst/>
                    </a:prstGeom>
                  </pic:spPr>
                </pic:pic>
              </a:graphicData>
            </a:graphic>
          </wp:inline>
        </w:drawing>
      </w:r>
    </w:p>
    <w:p w14:paraId="3776A0C5">
      <w:pPr>
        <w:spacing w:before="32"/>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碳化硅合成工艺流程图</w:t>
      </w:r>
    </w:p>
    <w:p w14:paraId="5D02712B">
      <w:pPr>
        <w:spacing w:line="240" w:lineRule="auto"/>
        <w:ind w:firstLine="480"/>
        <w:rPr>
          <w:color w:val="000000" w:themeColor="text1"/>
          <w14:textFill>
            <w14:solidFill>
              <w14:schemeClr w14:val="tx1"/>
            </w14:solidFill>
          </w14:textFill>
        </w:rPr>
      </w:pPr>
      <w:r>
        <w:rPr>
          <w:snapToGrid/>
          <w:color w:val="000000" w:themeColor="text1"/>
          <w:sz w:val="24"/>
          <w14:textFill>
            <w14:solidFill>
              <w14:schemeClr w14:val="tx1"/>
            </w14:solidFill>
          </w14:textFill>
        </w:rPr>
        <w:drawing>
          <wp:inline distT="0" distB="0" distL="0" distR="0">
            <wp:extent cx="4711065" cy="1329690"/>
            <wp:effectExtent l="0" t="0" r="0" b="3810"/>
            <wp:docPr id="13364682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68285" name="图片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713703" cy="1330728"/>
                    </a:xfrm>
                    <a:prstGeom prst="rect">
                      <a:avLst/>
                    </a:prstGeom>
                    <a:noFill/>
                    <a:ln>
                      <a:noFill/>
                    </a:ln>
                  </pic:spPr>
                </pic:pic>
              </a:graphicData>
            </a:graphic>
          </wp:inline>
        </w:drawing>
      </w:r>
    </w:p>
    <w:p w14:paraId="41BC6306">
      <w:pPr>
        <w:spacing w:before="32"/>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碳化硅</w:t>
      </w:r>
      <w:r>
        <w:rPr>
          <w:rFonts w:hint="eastAsia"/>
          <w:color w:val="000000" w:themeColor="text1"/>
          <w14:textFill>
            <w14:solidFill>
              <w14:schemeClr w14:val="tx1"/>
            </w14:solidFill>
          </w14:textFill>
        </w:rPr>
        <w:t>CVD炉工艺参数示意</w:t>
      </w:r>
      <w:r>
        <w:rPr>
          <w:color w:val="000000" w:themeColor="text1"/>
          <w14:textFill>
            <w14:solidFill>
              <w14:schemeClr w14:val="tx1"/>
            </w14:solidFill>
          </w14:textFill>
        </w:rPr>
        <w:t>图</w:t>
      </w:r>
    </w:p>
    <w:p w14:paraId="732FC64D">
      <w:pPr>
        <w:ind w:firstLine="52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工艺流程简述：</w:t>
      </w:r>
    </w:p>
    <w:p w14:paraId="0AD7721C">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原料准备：</w:t>
      </w:r>
    </w:p>
    <w:p w14:paraId="064152A6">
      <w:pPr>
        <w:ind w:firstLine="520"/>
        <w:rPr>
          <w:bCs/>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甲基三氯硅烷（MTS）：</w:t>
      </w:r>
      <w:r>
        <w:rPr>
          <w:rFonts w:hint="eastAsia"/>
          <w:color w:val="000000" w:themeColor="text1"/>
          <w14:textFill>
            <w14:solidFill>
              <w14:schemeClr w14:val="tx1"/>
            </w14:solidFill>
          </w14:textFill>
        </w:rPr>
        <w:t>贮存</w:t>
      </w:r>
      <w:r>
        <w:rPr>
          <w:color w:val="000000" w:themeColor="text1"/>
          <w14:textFill>
            <w14:solidFill>
              <w14:schemeClr w14:val="tx1"/>
            </w14:solidFill>
          </w14:textFill>
        </w:rPr>
        <w:t>在</w:t>
      </w:r>
      <w:r>
        <w:rPr>
          <w:rFonts w:hint="eastAsia"/>
          <w:color w:val="000000" w:themeColor="text1"/>
          <w14:textFill>
            <w14:solidFill>
              <w14:schemeClr w14:val="tx1"/>
            </w14:solidFill>
          </w14:textFill>
        </w:rPr>
        <w:t>位于1#厂房东北侧的化学品库1</w:t>
      </w:r>
      <w:r>
        <w:rPr>
          <w:color w:val="000000" w:themeColor="text1"/>
          <w14:textFill>
            <w14:solidFill>
              <w14:schemeClr w14:val="tx1"/>
            </w14:solidFill>
          </w14:textFill>
        </w:rPr>
        <w:t>，根据需求订货，由销售单位安排危化品车辆运输。MTS在常温下为液体，采用特制金属压力罐封装，每罐约1t，罐内充入氮气作为保护气。MTS贮存间及使用区的厂房采取防渗措施，安装视频监控及检测报警装置。生产前，将MTS从原料罐通过管道压入</w:t>
      </w:r>
      <w:r>
        <w:rPr>
          <w:rFonts w:hint="eastAsia"/>
          <w:color w:val="000000" w:themeColor="text1"/>
          <w14:textFill>
            <w14:solidFill>
              <w14:schemeClr w14:val="tx1"/>
            </w14:solidFill>
          </w14:textFill>
        </w:rPr>
        <w:t>CVDSIC炉</w:t>
      </w:r>
      <w:r>
        <w:rPr>
          <w:color w:val="000000" w:themeColor="text1"/>
          <w14:textFill>
            <w14:solidFill>
              <w14:schemeClr w14:val="tx1"/>
            </w14:solidFill>
          </w14:textFill>
        </w:rPr>
        <w:t>内的原料槽内密闭，原料罐封闭，MTS在设备内暂存。使用过程中由</w:t>
      </w:r>
      <w:r>
        <w:rPr>
          <w:rFonts w:hint="eastAsia"/>
          <w:color w:val="000000" w:themeColor="text1"/>
          <w14:textFill>
            <w14:solidFill>
              <w14:schemeClr w14:val="tx1"/>
            </w14:solidFill>
          </w14:textFill>
        </w:rPr>
        <w:t>CVDSIC炉</w:t>
      </w:r>
      <w:r>
        <w:rPr>
          <w:color w:val="000000" w:themeColor="text1"/>
          <w14:textFill>
            <w14:solidFill>
              <w14:schemeClr w14:val="tx1"/>
            </w14:solidFill>
          </w14:textFill>
        </w:rPr>
        <w:t>内自动控制抽取，MTS不接触空气。MTS从金属罐导入设备内原料槽后，金属罐密封，由销售单位安排危化品车辆运回处置。</w:t>
      </w:r>
    </w:p>
    <w:p w14:paraId="130C5FCE">
      <w:pPr>
        <w:ind w:firstLine="520"/>
        <w:rPr>
          <w:bC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color w:val="000000" w:themeColor="text1"/>
          <w14:textFill>
            <w14:solidFill>
              <w14:schemeClr w14:val="tx1"/>
            </w14:solidFill>
          </w14:textFill>
        </w:rPr>
        <w:t>氢气：氢气使用钢瓶保存，</w:t>
      </w:r>
      <w:r>
        <w:rPr>
          <w:rFonts w:hint="eastAsia"/>
          <w:color w:val="000000" w:themeColor="text1"/>
          <w14:textFill>
            <w14:solidFill>
              <w14:schemeClr w14:val="tx1"/>
            </w14:solidFill>
          </w14:textFill>
        </w:rPr>
        <w:t>贮存在位于1#厂房辅房气站1</w:t>
      </w:r>
      <w:r>
        <w:rPr>
          <w:color w:val="000000" w:themeColor="text1"/>
          <w14:textFill>
            <w14:solidFill>
              <w14:schemeClr w14:val="tx1"/>
            </w14:solidFill>
          </w14:textFill>
        </w:rPr>
        <w:t>，气站按照防爆标准建设，安装检测报警装置。</w:t>
      </w:r>
    </w:p>
    <w:p w14:paraId="5CC42FD6">
      <w:pPr>
        <w:ind w:firstLine="520"/>
        <w:rPr>
          <w:bC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color w:val="000000" w:themeColor="text1"/>
          <w14:textFill>
            <w14:solidFill>
              <w14:schemeClr w14:val="tx1"/>
            </w14:solidFill>
          </w14:textFill>
        </w:rPr>
        <w:t>氮气、氩气：氮气氩气在气站</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内存放，在反应过程中作为反应的保护气，需连续补充入反应室。</w:t>
      </w:r>
    </w:p>
    <w:p w14:paraId="6D6C01F3">
      <w:pPr>
        <w:ind w:firstLine="520"/>
        <w:rPr>
          <w:bCs/>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w:t>
      </w:r>
      <w:r>
        <w:rPr>
          <w:color w:val="000000" w:themeColor="text1"/>
          <w14:textFill>
            <w14:solidFill>
              <w14:schemeClr w14:val="tx1"/>
            </w14:solidFill>
          </w14:textFill>
        </w:rPr>
        <w:t>反应过程：</w:t>
      </w:r>
    </w:p>
    <w:p w14:paraId="6393C5FB">
      <w:pPr>
        <w:ind w:firstLine="520"/>
        <w:rPr>
          <w:bCs/>
          <w:color w:val="000000" w:themeColor="text1"/>
          <w14:textFill>
            <w14:solidFill>
              <w14:schemeClr w14:val="tx1"/>
            </w14:solidFill>
          </w14:textFill>
        </w:rPr>
      </w:pPr>
      <w:r>
        <w:rPr>
          <w:color w:val="000000" w:themeColor="text1"/>
          <w14:textFill>
            <w14:solidFill>
              <w14:schemeClr w14:val="tx1"/>
            </w14:solidFill>
          </w14:textFill>
        </w:rPr>
        <w:t>将反应设备抽真空后，注入高纯度氮气或氩气作为保护气，反应设备内升温到1300℃~1500℃，连续向设备内注入MTS（MTS在常温常压下为液态，在反应设备高温下为气态）及高纯度氢气，氢气作为MTS的载体，在高温的环境中，MTS反应生成高纯度碳化硅粉末，并生成HCl，碳化硅粉末不断沉降在石墨</w:t>
      </w:r>
      <w:r>
        <w:rPr>
          <w:rFonts w:hint="eastAsia"/>
          <w:color w:val="000000" w:themeColor="text1"/>
          <w14:textFill>
            <w14:solidFill>
              <w14:schemeClr w14:val="tx1"/>
            </w14:solidFill>
          </w14:textFill>
        </w:rPr>
        <w:t>零部件</w:t>
      </w:r>
      <w:r>
        <w:rPr>
          <w:color w:val="000000" w:themeColor="text1"/>
          <w14:textFill>
            <w14:solidFill>
              <w14:schemeClr w14:val="tx1"/>
            </w14:solidFill>
          </w14:textFill>
        </w:rPr>
        <w:t>上，在高温的作用下，沉淀的碳化硅粉末堆积后形成分子键，成为一个整体，最终堆积形成需要形状的碳化硅</w:t>
      </w:r>
      <w:r>
        <w:rPr>
          <w:rFonts w:hint="eastAsia"/>
          <w:color w:val="000000" w:themeColor="text1"/>
          <w14:textFill>
            <w14:solidFill>
              <w14:schemeClr w14:val="tx1"/>
            </w14:solidFill>
          </w14:textFill>
        </w:rPr>
        <w:t>涂层</w:t>
      </w:r>
      <w:r>
        <w:rPr>
          <w:color w:val="000000" w:themeColor="text1"/>
          <w14:textFill>
            <w14:solidFill>
              <w14:schemeClr w14:val="tx1"/>
            </w14:solidFill>
          </w14:textFill>
        </w:rPr>
        <w:t>零件。</w:t>
      </w:r>
    </w:p>
    <w:p w14:paraId="371F0E05">
      <w:pPr>
        <w:ind w:firstLine="520"/>
        <w:rPr>
          <w:bCs/>
          <w:color w:val="000000" w:themeColor="text1"/>
          <w14:textFill>
            <w14:solidFill>
              <w14:schemeClr w14:val="tx1"/>
            </w14:solidFill>
          </w14:textFill>
        </w:rPr>
      </w:pPr>
      <w:r>
        <w:rPr>
          <w:color w:val="000000" w:themeColor="text1"/>
          <w14:textFill>
            <w14:solidFill>
              <w14:schemeClr w14:val="tx1"/>
            </w14:solidFill>
          </w14:textFill>
        </w:rPr>
        <w:t>MTS发生反应，生成高纯度碳化硅SiC粉末，化学反应方程式为：</w:t>
      </w:r>
    </w:p>
    <w:p w14:paraId="3D699582">
      <w:pPr>
        <w:ind w:firstLine="520"/>
        <w:jc w:val="center"/>
        <w:rPr>
          <w:bCs/>
          <w:color w:val="000000" w:themeColor="text1"/>
          <w14:textFill>
            <w14:solidFill>
              <w14:schemeClr w14:val="tx1"/>
            </w14:solidFill>
          </w14:textFill>
        </w:rPr>
      </w:pP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SiCl</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=SiC+3HCl</w:t>
      </w:r>
    </w:p>
    <w:p w14:paraId="16995ED7">
      <w:pPr>
        <w:ind w:firstLine="520"/>
        <w:rPr>
          <w:bCs/>
          <w:color w:val="000000" w:themeColor="text1"/>
          <w14:textFill>
            <w14:solidFill>
              <w14:schemeClr w14:val="tx1"/>
            </w14:solidFill>
          </w14:textFill>
        </w:rPr>
      </w:pPr>
      <w:r>
        <w:rPr>
          <w:color w:val="000000" w:themeColor="text1"/>
          <w14:textFill>
            <w14:solidFill>
              <w14:schemeClr w14:val="tx1"/>
            </w14:solidFill>
          </w14:textFill>
        </w:rPr>
        <w:t>设备连续注入原料及保护气，废气</w:t>
      </w:r>
      <w:r>
        <w:rPr>
          <w:rFonts w:hint="eastAsia"/>
          <w:color w:val="000000" w:themeColor="text1"/>
          <w14:textFill>
            <w14:solidFill>
              <w14:schemeClr w14:val="tx1"/>
            </w14:solidFill>
          </w14:textFill>
        </w:rPr>
        <w:t>G5</w:t>
      </w:r>
      <w:r>
        <w:rPr>
          <w:color w:val="000000" w:themeColor="text1"/>
          <w14:textFill>
            <w14:solidFill>
              <w14:schemeClr w14:val="tx1"/>
            </w14:solidFill>
          </w14:textFill>
        </w:rPr>
        <w:t>连续排放，主要为MTS、MTS反应生成的HCl和未参与反应的氢气、氮气，废气中含有少量生成的碳化硅粉末随废气一起排出。反应废气采用四级酸雾喷淋塔吸收，喷淋塔内碱液使用碱性NaOH溶液，采用自动加药系统保持溶液pH不低于12，吸收废气中的HCl及MTS，NaOH吸收HCl生成氯化钠和水，NaOH吸收MTS生成甲基硅酸和氯化钠。反应方程式为：</w:t>
      </w:r>
    </w:p>
    <w:p w14:paraId="14D823F1">
      <w:pPr>
        <w:ind w:firstLine="520"/>
        <w:jc w:val="center"/>
        <w:rPr>
          <w:bCs/>
          <w:color w:val="000000" w:themeColor="text1"/>
          <w14:textFill>
            <w14:solidFill>
              <w14:schemeClr w14:val="tx1"/>
            </w14:solidFill>
          </w14:textFill>
        </w:rPr>
      </w:pPr>
      <w:r>
        <w:rPr>
          <w:color w:val="000000" w:themeColor="text1"/>
          <w14:textFill>
            <w14:solidFill>
              <w14:schemeClr w14:val="tx1"/>
            </w14:solidFill>
          </w14:textFill>
        </w:rPr>
        <w:t>NaOH+HCl=H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O+NaCl</w:t>
      </w:r>
    </w:p>
    <w:p w14:paraId="42E7931E">
      <w:pPr>
        <w:ind w:firstLine="520"/>
        <w:jc w:val="center"/>
        <w:rPr>
          <w:bCs/>
          <w:color w:val="000000" w:themeColor="text1"/>
          <w14:textFill>
            <w14:solidFill>
              <w14:schemeClr w14:val="tx1"/>
            </w14:solidFill>
          </w14:textFill>
        </w:rPr>
      </w:pP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SiCl</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+3NaOH→CH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Si(OH)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↓+3NaCl</w:t>
      </w:r>
    </w:p>
    <w:p w14:paraId="4903B313">
      <w:pPr>
        <w:ind w:firstLine="520"/>
        <w:rPr>
          <w:bCs/>
          <w:color w:val="000000" w:themeColor="text1"/>
          <w14:textFill>
            <w14:solidFill>
              <w14:schemeClr w14:val="tx1"/>
            </w14:solidFill>
          </w14:textFill>
        </w:rPr>
      </w:pPr>
      <w:r>
        <w:rPr>
          <w:color w:val="000000" w:themeColor="text1"/>
          <w14:textFill>
            <w14:solidFill>
              <w14:schemeClr w14:val="tx1"/>
            </w14:solidFill>
          </w14:textFill>
        </w:rPr>
        <w:t>喷淋塔内的循环喷淋水进入中和水池处理后回用于酸雾喷淋塔：喷淋塔废水主要成分为氯化钠、甲基硅酸悬浮物和少量的碳化硅悬浮物。由于HCl产生量较大，经NaOH溶液吸收产生的废水盐度较高，</w:t>
      </w:r>
      <w:r>
        <w:rPr>
          <w:bCs/>
          <w:color w:val="000000" w:themeColor="text1"/>
          <w14:textFill>
            <w14:solidFill>
              <w14:schemeClr w14:val="tx1"/>
            </w14:solidFill>
          </w14:textFill>
        </w:rPr>
        <w:t>氯化钠不外排，在酸雾喷淋塔内的循环喷淋水为氯化钠的饱和溶液，</w:t>
      </w:r>
      <w:r>
        <w:rPr>
          <w:color w:val="000000" w:themeColor="text1"/>
          <w14:textFill>
            <w14:solidFill>
              <w14:schemeClr w14:val="tx1"/>
            </w14:solidFill>
          </w14:textFill>
        </w:rPr>
        <w:t>饱和溶液内经自动加药设备加入NaOH后，由于Na</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增加，水中的Na</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与Cl</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的溶度积超过氯化钠的溶度积常数，氯化钠在喷淋塔的循环水槽内结晶析出。喷淋塔的喷淋水进入中和水池，加入稀硫酸中和后，</w:t>
      </w:r>
      <w:r>
        <w:rPr>
          <w:b/>
          <w:color w:val="000000" w:themeColor="text1"/>
          <w14:textFill>
            <w14:solidFill>
              <w14:schemeClr w14:val="tx1"/>
            </w14:solidFill>
          </w14:textFill>
        </w:rPr>
        <w:t>使用压</w:t>
      </w:r>
      <w:r>
        <w:rPr>
          <w:bCs/>
          <w:color w:val="000000" w:themeColor="text1"/>
          <w14:textFill>
            <w14:solidFill>
              <w14:schemeClr w14:val="tx1"/>
            </w14:solidFill>
          </w14:textFill>
        </w:rPr>
        <w:t>滤机将喷淋水中的过饱和析出的结晶氯化钠、甲基硅酸悬浮物、碳化硅悬浮物及其他悬浮物压滤出，</w:t>
      </w:r>
      <w:r>
        <w:rPr>
          <w:color w:val="000000" w:themeColor="text1"/>
          <w14:textFill>
            <w14:solidFill>
              <w14:schemeClr w14:val="tx1"/>
            </w14:solidFill>
          </w14:textFill>
        </w:rPr>
        <w:t>鉴定其危险性质之前作为危险废物进行管理，鉴定后根据鉴定结果再确认是否按照危险废物进行管理，压滤出水回用于酸雾喷淋塔。</w:t>
      </w:r>
    </w:p>
    <w:p w14:paraId="2DF9BD31">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w:t>
      </w:r>
      <w:r>
        <w:rPr>
          <w:color w:val="000000" w:themeColor="text1"/>
          <w14:textFill>
            <w14:solidFill>
              <w14:schemeClr w14:val="tx1"/>
            </w14:solidFill>
          </w14:textFill>
        </w:rPr>
        <w:t>投料量及投料频次</w:t>
      </w:r>
    </w:p>
    <w:p w14:paraId="60DBB9BF">
      <w:pPr>
        <w:ind w:firstLine="520"/>
        <w:rPr>
          <w:bCs/>
          <w:color w:val="000000" w:themeColor="text1"/>
          <w14:textFill>
            <w14:solidFill>
              <w14:schemeClr w14:val="tx1"/>
            </w14:solidFill>
          </w14:textFill>
        </w:rPr>
      </w:pPr>
      <w:r>
        <w:rPr>
          <w:color w:val="000000" w:themeColor="text1"/>
          <w14:textFill>
            <w14:solidFill>
              <w14:schemeClr w14:val="tx1"/>
            </w14:solidFill>
          </w14:textFill>
        </w:rPr>
        <w:t>根据建设单位提供的数据，在设备内高温下MTS生成碳化硅</w:t>
      </w:r>
      <w:r>
        <w:rPr>
          <w:rFonts w:hint="eastAsia"/>
          <w:color w:val="000000" w:themeColor="text1"/>
          <w14:textFill>
            <w14:solidFill>
              <w14:schemeClr w14:val="tx1"/>
            </w14:solidFill>
          </w14:textFill>
        </w:rPr>
        <w:t>涂层</w:t>
      </w:r>
      <w:r>
        <w:rPr>
          <w:color w:val="000000" w:themeColor="text1"/>
          <w14:textFill>
            <w14:solidFill>
              <w14:schemeClr w14:val="tx1"/>
            </w14:solidFill>
          </w14:textFill>
        </w:rPr>
        <w:t>，MTS与氢气连续投料，反应24h后停止投料，静置24h，使得生成的碳化硅小分子间形成分子键。</w:t>
      </w:r>
    </w:p>
    <w:p w14:paraId="6871B006">
      <w:pPr>
        <w:ind w:firstLine="520"/>
        <w:rPr>
          <w:bCs/>
          <w:color w:val="000000" w:themeColor="text1"/>
          <w14:textFill>
            <w14:solidFill>
              <w14:schemeClr w14:val="tx1"/>
            </w14:solidFill>
          </w14:textFill>
        </w:rPr>
      </w:pPr>
      <w:r>
        <w:rPr>
          <w:color w:val="000000" w:themeColor="text1"/>
          <w14:textFill>
            <w14:solidFill>
              <w14:schemeClr w14:val="tx1"/>
            </w14:solidFill>
          </w14:textFill>
        </w:rPr>
        <w:t>扩建项目拟设1台</w:t>
      </w:r>
      <w:r>
        <w:rPr>
          <w:rFonts w:hint="eastAsia"/>
          <w:color w:val="000000" w:themeColor="text1"/>
          <w14:textFill>
            <w14:solidFill>
              <w14:schemeClr w14:val="tx1"/>
            </w14:solidFill>
          </w14:textFill>
        </w:rPr>
        <w:t>碳化硅沉积炉</w:t>
      </w:r>
      <w:r>
        <w:rPr>
          <w:color w:val="000000" w:themeColor="text1"/>
          <w14:textFill>
            <w14:solidFill>
              <w14:schemeClr w14:val="tx1"/>
            </w14:solidFill>
          </w14:textFill>
        </w:rPr>
        <w:t>。MTS年用量为</w:t>
      </w:r>
      <w:r>
        <w:rPr>
          <w:rFonts w:hint="eastAsia"/>
          <w:color w:val="000000" w:themeColor="text1"/>
          <w14:textFill>
            <w14:solidFill>
              <w14:schemeClr w14:val="tx1"/>
            </w14:solidFill>
          </w14:textFill>
        </w:rPr>
        <w:t>4.8</w:t>
      </w:r>
      <w:r>
        <w:rPr>
          <w:color w:val="000000" w:themeColor="text1"/>
          <w14:textFill>
            <w14:solidFill>
              <w14:schemeClr w14:val="tx1"/>
            </w14:solidFill>
          </w14:textFill>
        </w:rPr>
        <w:t>t/a，年生产时间300d，每天生产24h。生产过程中，每进料合成反应约24h后，停止投料约24h，堆积碳化硅产品进行稳固，之后再投料进行反应。</w:t>
      </w:r>
      <w:r>
        <w:rPr>
          <w:rFonts w:hint="eastAsia"/>
          <w:color w:val="000000" w:themeColor="text1"/>
          <w14:textFill>
            <w14:solidFill>
              <w14:schemeClr w14:val="tx1"/>
            </w14:solidFill>
          </w14:textFill>
        </w:rPr>
        <w:t>则</w:t>
      </w:r>
      <w:r>
        <w:rPr>
          <w:color w:val="000000" w:themeColor="text1"/>
          <w14:textFill>
            <w14:solidFill>
              <w14:schemeClr w14:val="tx1"/>
            </w14:solidFill>
          </w14:textFill>
        </w:rPr>
        <w:t>进料速率为</w:t>
      </w:r>
      <w:r>
        <w:rPr>
          <w:rFonts w:hint="eastAsia"/>
          <w:color w:val="000000" w:themeColor="text1"/>
          <w14:textFill>
            <w14:solidFill>
              <w14:schemeClr w14:val="tx1"/>
            </w14:solidFill>
          </w14:textFill>
        </w:rPr>
        <w:t>1.33</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平均每天投料时间为12h，每天使用MTS</w:t>
      </w:r>
      <w:r>
        <w:rPr>
          <w:rFonts w:hint="eastAsia"/>
          <w:color w:val="000000" w:themeColor="text1"/>
          <w14:textFill>
            <w14:solidFill>
              <w14:schemeClr w14:val="tx1"/>
            </w14:solidFill>
          </w14:textFill>
        </w:rPr>
        <w:t>0.16</w:t>
      </w:r>
      <w:r>
        <w:rPr>
          <w:color w:val="000000" w:themeColor="text1"/>
          <w14:textFill>
            <w14:solidFill>
              <w14:schemeClr w14:val="tx1"/>
            </w14:solidFill>
          </w14:textFill>
        </w:rPr>
        <w:t>t。</w:t>
      </w:r>
    </w:p>
    <w:p w14:paraId="6C7AB5A3">
      <w:pPr>
        <w:ind w:firstLine="520"/>
        <w:rPr>
          <w:color w:val="000000" w:themeColor="text1"/>
          <w14:textFill>
            <w14:solidFill>
              <w14:schemeClr w14:val="tx1"/>
            </w14:solidFill>
          </w14:textFill>
        </w:rPr>
      </w:pPr>
      <w:r>
        <w:rPr>
          <w:color w:val="000000" w:themeColor="text1"/>
          <w14:textFill>
            <w14:solidFill>
              <w14:schemeClr w14:val="tx1"/>
            </w14:solidFill>
          </w14:textFill>
        </w:rPr>
        <w:t>CVD</w:t>
      </w:r>
      <w:r>
        <w:rPr>
          <w:rFonts w:hint="eastAsia"/>
          <w:color w:val="000000" w:themeColor="text1"/>
          <w14:textFill>
            <w14:solidFill>
              <w14:schemeClr w14:val="tx1"/>
            </w14:solidFill>
          </w14:textFill>
        </w:rPr>
        <w:t>SIC</w:t>
      </w:r>
      <w:r>
        <w:rPr>
          <w:color w:val="000000" w:themeColor="text1"/>
          <w14:textFill>
            <w14:solidFill>
              <w14:schemeClr w14:val="tx1"/>
            </w14:solidFill>
          </w14:textFill>
        </w:rPr>
        <w:t>炉设备H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充入速度为60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/h，氮气充入速度为3.6m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/h。生产节拍见下表。</w:t>
      </w:r>
    </w:p>
    <w:p w14:paraId="3A9717CA">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碳化硅生产线生产节拍</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787"/>
        <w:gridCol w:w="681"/>
        <w:gridCol w:w="758"/>
        <w:gridCol w:w="1684"/>
        <w:gridCol w:w="815"/>
        <w:gridCol w:w="669"/>
        <w:gridCol w:w="730"/>
        <w:gridCol w:w="656"/>
        <w:gridCol w:w="800"/>
        <w:gridCol w:w="716"/>
      </w:tblGrid>
      <w:tr w14:paraId="3F1A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87" w:type="dxa"/>
            <w:vAlign w:val="center"/>
          </w:tcPr>
          <w:p w14:paraId="517877AC">
            <w:pPr>
              <w:pStyle w:val="1535"/>
            </w:pPr>
            <w:r>
              <w:t>设备名称</w:t>
            </w:r>
          </w:p>
        </w:tc>
        <w:tc>
          <w:tcPr>
            <w:tcW w:w="681" w:type="dxa"/>
            <w:vAlign w:val="center"/>
          </w:tcPr>
          <w:p w14:paraId="1593F2C7">
            <w:pPr>
              <w:pStyle w:val="1535"/>
            </w:pPr>
            <w:r>
              <w:t>全年生产批次</w:t>
            </w:r>
          </w:p>
        </w:tc>
        <w:tc>
          <w:tcPr>
            <w:tcW w:w="758" w:type="dxa"/>
            <w:vAlign w:val="center"/>
          </w:tcPr>
          <w:p w14:paraId="67D58858">
            <w:pPr>
              <w:pStyle w:val="1535"/>
            </w:pPr>
            <w:r>
              <w:t>1批次反应时间</w:t>
            </w:r>
          </w:p>
        </w:tc>
        <w:tc>
          <w:tcPr>
            <w:tcW w:w="1684" w:type="dxa"/>
            <w:vAlign w:val="center"/>
          </w:tcPr>
          <w:p w14:paraId="05DC7FD3">
            <w:pPr>
              <w:pStyle w:val="1535"/>
            </w:pPr>
            <w:r>
              <w:t>单批次生产控制</w:t>
            </w:r>
          </w:p>
        </w:tc>
        <w:tc>
          <w:tcPr>
            <w:tcW w:w="815" w:type="dxa"/>
            <w:vAlign w:val="center"/>
          </w:tcPr>
          <w:p w14:paraId="77206BAF">
            <w:pPr>
              <w:pStyle w:val="1535"/>
            </w:pPr>
            <w:r>
              <w:t>MTS投料速率kg/h</w:t>
            </w:r>
          </w:p>
        </w:tc>
        <w:tc>
          <w:tcPr>
            <w:tcW w:w="669" w:type="dxa"/>
            <w:vAlign w:val="center"/>
          </w:tcPr>
          <w:p w14:paraId="31D014F5">
            <w:pPr>
              <w:pStyle w:val="1535"/>
            </w:pPr>
            <w:r>
              <w:t>MTS投料时间h/a</w:t>
            </w:r>
          </w:p>
        </w:tc>
        <w:tc>
          <w:tcPr>
            <w:tcW w:w="730" w:type="dxa"/>
            <w:vAlign w:val="center"/>
          </w:tcPr>
          <w:p w14:paraId="16C0C290">
            <w:pPr>
              <w:pStyle w:val="1535"/>
            </w:pPr>
            <w:r>
              <w:t>氢气投料速率</w:t>
            </w:r>
            <w:r>
              <w:rPr>
                <w:rFonts w:hint="eastAsia"/>
              </w:rPr>
              <w:t>m</w:t>
            </w:r>
            <w:r>
              <w:rPr>
                <w:rFonts w:hint="eastAsia"/>
                <w:vertAlign w:val="superscript"/>
              </w:rPr>
              <w:t>3</w:t>
            </w:r>
            <w:r>
              <w:t>/h</w:t>
            </w:r>
          </w:p>
        </w:tc>
        <w:tc>
          <w:tcPr>
            <w:tcW w:w="656" w:type="dxa"/>
            <w:vAlign w:val="center"/>
          </w:tcPr>
          <w:p w14:paraId="7BF4D3B1">
            <w:pPr>
              <w:pStyle w:val="1535"/>
            </w:pPr>
            <w:r>
              <w:t>氢气投料时间h/a</w:t>
            </w:r>
          </w:p>
        </w:tc>
        <w:tc>
          <w:tcPr>
            <w:tcW w:w="800" w:type="dxa"/>
            <w:vAlign w:val="center"/>
          </w:tcPr>
          <w:p w14:paraId="7A6A3524">
            <w:pPr>
              <w:pStyle w:val="1535"/>
            </w:pPr>
            <w:r>
              <w:t>氮气投料速率</w:t>
            </w:r>
            <w:r>
              <w:rPr>
                <w:rFonts w:hint="eastAsia"/>
              </w:rPr>
              <w:t>m</w:t>
            </w:r>
            <w:r>
              <w:rPr>
                <w:rFonts w:hint="eastAsia"/>
                <w:vertAlign w:val="superscript"/>
              </w:rPr>
              <w:t>3</w:t>
            </w:r>
            <w:r>
              <w:t>/h</w:t>
            </w:r>
          </w:p>
        </w:tc>
        <w:tc>
          <w:tcPr>
            <w:tcW w:w="716" w:type="dxa"/>
            <w:vAlign w:val="center"/>
          </w:tcPr>
          <w:p w14:paraId="5785B26B">
            <w:pPr>
              <w:pStyle w:val="1535"/>
            </w:pPr>
            <w:r>
              <w:t>氮气投料时间h/a</w:t>
            </w:r>
          </w:p>
        </w:tc>
      </w:tr>
      <w:tr w14:paraId="4D18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87" w:type="dxa"/>
            <w:vAlign w:val="center"/>
          </w:tcPr>
          <w:p w14:paraId="79D1258F">
            <w:pPr>
              <w:pStyle w:val="1535"/>
            </w:pPr>
            <w:r>
              <w:t>CVD炉新品设备</w:t>
            </w:r>
          </w:p>
        </w:tc>
        <w:tc>
          <w:tcPr>
            <w:tcW w:w="681" w:type="dxa"/>
            <w:vAlign w:val="center"/>
          </w:tcPr>
          <w:p w14:paraId="679AE5BE">
            <w:pPr>
              <w:pStyle w:val="1535"/>
            </w:pPr>
            <w:r>
              <w:t>30</w:t>
            </w:r>
          </w:p>
        </w:tc>
        <w:tc>
          <w:tcPr>
            <w:tcW w:w="758" w:type="dxa"/>
            <w:vAlign w:val="center"/>
          </w:tcPr>
          <w:p w14:paraId="3C6CA189">
            <w:pPr>
              <w:pStyle w:val="1535"/>
            </w:pPr>
            <w:r>
              <w:t>10d</w:t>
            </w:r>
          </w:p>
        </w:tc>
        <w:tc>
          <w:tcPr>
            <w:tcW w:w="1684" w:type="dxa"/>
            <w:vAlign w:val="center"/>
          </w:tcPr>
          <w:p w14:paraId="2E7DD3BF">
            <w:pPr>
              <w:pStyle w:val="1535"/>
            </w:pPr>
            <w:r>
              <w:t>投料24h后停止投料，静置24h后再次投料24h，重复投料、静置动作</w:t>
            </w:r>
          </w:p>
        </w:tc>
        <w:tc>
          <w:tcPr>
            <w:tcW w:w="815" w:type="dxa"/>
            <w:vAlign w:val="center"/>
          </w:tcPr>
          <w:p w14:paraId="2C310B19">
            <w:pPr>
              <w:pStyle w:val="1535"/>
            </w:pPr>
            <w:r>
              <w:rPr>
                <w:rFonts w:hint="eastAsia"/>
              </w:rPr>
              <w:t>1.33</w:t>
            </w:r>
          </w:p>
        </w:tc>
        <w:tc>
          <w:tcPr>
            <w:tcW w:w="669" w:type="dxa"/>
            <w:vAlign w:val="center"/>
          </w:tcPr>
          <w:p w14:paraId="70838736">
            <w:pPr>
              <w:pStyle w:val="1535"/>
            </w:pPr>
            <w:r>
              <w:t>3600</w:t>
            </w:r>
          </w:p>
        </w:tc>
        <w:tc>
          <w:tcPr>
            <w:tcW w:w="730" w:type="dxa"/>
            <w:vAlign w:val="center"/>
          </w:tcPr>
          <w:p w14:paraId="00E70740">
            <w:pPr>
              <w:pStyle w:val="1535"/>
            </w:pPr>
            <w:r>
              <w:t>60</w:t>
            </w:r>
          </w:p>
        </w:tc>
        <w:tc>
          <w:tcPr>
            <w:tcW w:w="656" w:type="dxa"/>
            <w:vAlign w:val="center"/>
          </w:tcPr>
          <w:p w14:paraId="3A0DD3A1">
            <w:pPr>
              <w:pStyle w:val="1535"/>
            </w:pPr>
            <w:r>
              <w:t>3600</w:t>
            </w:r>
          </w:p>
        </w:tc>
        <w:tc>
          <w:tcPr>
            <w:tcW w:w="800" w:type="dxa"/>
            <w:vAlign w:val="center"/>
          </w:tcPr>
          <w:p w14:paraId="3F7C95DD">
            <w:pPr>
              <w:pStyle w:val="1535"/>
            </w:pPr>
            <w:r>
              <w:t>3.6</w:t>
            </w:r>
          </w:p>
        </w:tc>
        <w:tc>
          <w:tcPr>
            <w:tcW w:w="716" w:type="dxa"/>
            <w:vAlign w:val="center"/>
          </w:tcPr>
          <w:p w14:paraId="298E2471">
            <w:pPr>
              <w:pStyle w:val="1535"/>
            </w:pPr>
            <w:r>
              <w:t>7200</w:t>
            </w:r>
          </w:p>
        </w:tc>
      </w:tr>
      <w:tr w14:paraId="7789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87" w:type="dxa"/>
            <w:vAlign w:val="center"/>
          </w:tcPr>
          <w:p w14:paraId="495B5C7D">
            <w:pPr>
              <w:pStyle w:val="1535"/>
            </w:pPr>
            <w:r>
              <w:t>合计</w:t>
            </w:r>
          </w:p>
        </w:tc>
        <w:tc>
          <w:tcPr>
            <w:tcW w:w="681" w:type="dxa"/>
            <w:vAlign w:val="center"/>
          </w:tcPr>
          <w:p w14:paraId="50F807D8">
            <w:pPr>
              <w:pStyle w:val="1535"/>
            </w:pPr>
            <w:r>
              <w:t>/</w:t>
            </w:r>
          </w:p>
        </w:tc>
        <w:tc>
          <w:tcPr>
            <w:tcW w:w="758" w:type="dxa"/>
            <w:vAlign w:val="center"/>
          </w:tcPr>
          <w:p w14:paraId="5651BA8A">
            <w:pPr>
              <w:pStyle w:val="1535"/>
            </w:pPr>
            <w:r>
              <w:t>/</w:t>
            </w:r>
          </w:p>
        </w:tc>
        <w:tc>
          <w:tcPr>
            <w:tcW w:w="1684" w:type="dxa"/>
            <w:vAlign w:val="center"/>
          </w:tcPr>
          <w:p w14:paraId="186E2E81">
            <w:pPr>
              <w:pStyle w:val="1535"/>
            </w:pPr>
            <w:r>
              <w:t>/</w:t>
            </w:r>
          </w:p>
        </w:tc>
        <w:tc>
          <w:tcPr>
            <w:tcW w:w="815" w:type="dxa"/>
            <w:vAlign w:val="center"/>
          </w:tcPr>
          <w:p w14:paraId="55FAD3B1">
            <w:pPr>
              <w:pStyle w:val="1535"/>
            </w:pPr>
            <w:r>
              <w:rPr>
                <w:rFonts w:hint="eastAsia"/>
              </w:rPr>
              <w:t>1.33</w:t>
            </w:r>
          </w:p>
        </w:tc>
        <w:tc>
          <w:tcPr>
            <w:tcW w:w="669" w:type="dxa"/>
            <w:vAlign w:val="center"/>
          </w:tcPr>
          <w:p w14:paraId="12981C6C">
            <w:pPr>
              <w:pStyle w:val="1535"/>
            </w:pPr>
            <w:r>
              <w:t>3600</w:t>
            </w:r>
          </w:p>
        </w:tc>
        <w:tc>
          <w:tcPr>
            <w:tcW w:w="730" w:type="dxa"/>
            <w:vAlign w:val="center"/>
          </w:tcPr>
          <w:p w14:paraId="70871D05">
            <w:pPr>
              <w:pStyle w:val="1535"/>
            </w:pPr>
            <w:r>
              <w:t>60</w:t>
            </w:r>
          </w:p>
        </w:tc>
        <w:tc>
          <w:tcPr>
            <w:tcW w:w="656" w:type="dxa"/>
            <w:vAlign w:val="center"/>
          </w:tcPr>
          <w:p w14:paraId="0A713517">
            <w:pPr>
              <w:pStyle w:val="1535"/>
            </w:pPr>
            <w:r>
              <w:t>3600</w:t>
            </w:r>
          </w:p>
        </w:tc>
        <w:tc>
          <w:tcPr>
            <w:tcW w:w="800" w:type="dxa"/>
            <w:vAlign w:val="center"/>
          </w:tcPr>
          <w:p w14:paraId="340E78F7">
            <w:pPr>
              <w:pStyle w:val="1535"/>
            </w:pPr>
            <w:r>
              <w:t>3.6</w:t>
            </w:r>
          </w:p>
        </w:tc>
        <w:tc>
          <w:tcPr>
            <w:tcW w:w="716" w:type="dxa"/>
            <w:vAlign w:val="center"/>
          </w:tcPr>
          <w:p w14:paraId="2A436BC1">
            <w:pPr>
              <w:pStyle w:val="1535"/>
            </w:pPr>
            <w:r>
              <w:t>7200</w:t>
            </w:r>
          </w:p>
        </w:tc>
      </w:tr>
    </w:tbl>
    <w:p w14:paraId="767E76D4">
      <w:pPr>
        <w:ind w:firstLine="520"/>
        <w:rPr>
          <w:color w:val="000000" w:themeColor="text1"/>
          <w14:textFill>
            <w14:solidFill>
              <w14:schemeClr w14:val="tx1"/>
            </w14:solidFill>
          </w14:textFill>
        </w:rPr>
      </w:pPr>
      <w:r>
        <w:rPr>
          <w:color w:val="000000" w:themeColor="text1"/>
          <w14:textFill>
            <w14:solidFill>
              <w14:schemeClr w14:val="tx1"/>
            </w14:solidFill>
          </w14:textFill>
        </w:rPr>
        <w:t>（6）冷却：碳化硅</w:t>
      </w:r>
      <w:r>
        <w:rPr>
          <w:rFonts w:hint="eastAsia"/>
          <w:color w:val="000000" w:themeColor="text1"/>
          <w14:textFill>
            <w14:solidFill>
              <w14:schemeClr w14:val="tx1"/>
            </w14:solidFill>
          </w14:textFill>
        </w:rPr>
        <w:t>涂层</w:t>
      </w:r>
      <w:r>
        <w:rPr>
          <w:color w:val="000000" w:themeColor="text1"/>
          <w14:textFill>
            <w14:solidFill>
              <w14:schemeClr w14:val="tx1"/>
            </w14:solidFill>
          </w14:textFill>
        </w:rPr>
        <w:t>产品堆积完成后，使用自来水循环</w:t>
      </w:r>
      <w:r>
        <w:rPr>
          <w:rFonts w:hint="eastAsia"/>
          <w:color w:val="000000" w:themeColor="text1"/>
          <w14:textFill>
            <w14:solidFill>
              <w14:schemeClr w14:val="tx1"/>
            </w14:solidFill>
          </w14:textFill>
        </w:rPr>
        <w:t>间接</w:t>
      </w:r>
      <w:r>
        <w:rPr>
          <w:color w:val="000000" w:themeColor="text1"/>
          <w14:textFill>
            <w14:solidFill>
              <w14:schemeClr w14:val="tx1"/>
            </w14:solidFill>
          </w14:textFill>
        </w:rPr>
        <w:t>冷却， CVD</w:t>
      </w:r>
      <w:r>
        <w:rPr>
          <w:rFonts w:hint="eastAsia"/>
          <w:color w:val="000000" w:themeColor="text1"/>
          <w14:textFill>
            <w14:solidFill>
              <w14:schemeClr w14:val="tx1"/>
            </w14:solidFill>
          </w14:textFill>
        </w:rPr>
        <w:t>SIC</w:t>
      </w:r>
      <w:r>
        <w:rPr>
          <w:color w:val="000000" w:themeColor="text1"/>
          <w14:textFill>
            <w14:solidFill>
              <w14:schemeClr w14:val="tx1"/>
            </w14:solidFill>
          </w14:textFill>
        </w:rPr>
        <w:t>炉设备循环水用量为20m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p w14:paraId="6CA18D09">
      <w:pPr>
        <w:ind w:firstLine="520"/>
        <w:rPr>
          <w:color w:val="000000" w:themeColor="text1"/>
          <w14:textFill>
            <w14:solidFill>
              <w14:schemeClr w14:val="tx1"/>
            </w14:solidFill>
          </w14:textFill>
        </w:rPr>
      </w:pPr>
      <w:r>
        <w:rPr>
          <w:color w:val="000000" w:themeColor="text1"/>
          <w14:textFill>
            <w14:solidFill>
              <w14:schemeClr w14:val="tx1"/>
            </w14:solidFill>
          </w14:textFill>
        </w:rPr>
        <w:t>（7）质检：对碳化硅</w:t>
      </w:r>
      <w:r>
        <w:rPr>
          <w:rFonts w:hint="eastAsia"/>
          <w:color w:val="000000" w:themeColor="text1"/>
          <w14:textFill>
            <w14:solidFill>
              <w14:schemeClr w14:val="tx1"/>
            </w14:solidFill>
          </w14:textFill>
        </w:rPr>
        <w:t>涂层</w:t>
      </w:r>
      <w:r>
        <w:rPr>
          <w:color w:val="000000" w:themeColor="text1"/>
          <w14:textFill>
            <w14:solidFill>
              <w14:schemeClr w14:val="tx1"/>
            </w14:solidFill>
          </w14:textFill>
        </w:rPr>
        <w:t>产品进行检验。</w:t>
      </w:r>
    </w:p>
    <w:p w14:paraId="0CAC9360">
      <w:pPr>
        <w:pStyle w:val="4"/>
        <w:rPr>
          <w:color w:val="000000" w:themeColor="text1"/>
          <w14:textFill>
            <w14:solidFill>
              <w14:schemeClr w14:val="tx1"/>
            </w14:solidFill>
          </w14:textFill>
        </w:rPr>
      </w:pPr>
      <w:bookmarkStart w:id="173" w:name="_Toc12190"/>
      <w:r>
        <w:rPr>
          <w:color w:val="000000" w:themeColor="text1"/>
          <w14:textFill>
            <w14:solidFill>
              <w14:schemeClr w14:val="tx1"/>
            </w14:solidFill>
          </w14:textFill>
        </w:rPr>
        <w:t>公辅、环保工程以及生活产污分析</w:t>
      </w:r>
      <w:bookmarkEnd w:id="173"/>
    </w:p>
    <w:p w14:paraId="539E7C27">
      <w:pPr>
        <w:pStyle w:val="5"/>
        <w:rPr>
          <w:color w:val="000000" w:themeColor="text1"/>
          <w14:textFill>
            <w14:solidFill>
              <w14:schemeClr w14:val="tx1"/>
            </w14:solidFill>
          </w14:textFill>
        </w:rPr>
      </w:pPr>
      <w:r>
        <w:rPr>
          <w:color w:val="000000" w:themeColor="text1"/>
          <w14:textFill>
            <w14:solidFill>
              <w14:schemeClr w14:val="tx1"/>
            </w14:solidFill>
          </w14:textFill>
        </w:rPr>
        <w:t>纯水产污分析</w:t>
      </w:r>
    </w:p>
    <w:p w14:paraId="020DB97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石墨零及碳化硅涂层产品清洗使用纯水依托臻宝半导体公司现有</w:t>
      </w:r>
      <w:r>
        <w:rPr>
          <w:color w:val="000000" w:themeColor="text1"/>
          <w14:textFill>
            <w14:solidFill>
              <w14:schemeClr w14:val="tx1"/>
            </w14:solidFill>
          </w14:textFill>
        </w:rPr>
        <w:t>纯水</w:t>
      </w:r>
      <w:r>
        <w:rPr>
          <w:rFonts w:hint="eastAsia"/>
          <w:color w:val="000000" w:themeColor="text1"/>
          <w14:textFill>
            <w14:solidFill>
              <w14:schemeClr w14:val="tx1"/>
            </w14:solidFill>
          </w14:textFill>
        </w:rPr>
        <w:t>制备装置1；GASKET产品清洗使用纯水依托臻宝科技公司现有纯水制备装置；纯水制备装置均由</w:t>
      </w:r>
      <w:r>
        <w:rPr>
          <w:color w:val="000000" w:themeColor="text1"/>
          <w14:textFill>
            <w14:solidFill>
              <w14:schemeClr w14:val="tx1"/>
            </w14:solidFill>
          </w14:textFill>
        </w:rPr>
        <w:t>给水水管</w:t>
      </w:r>
      <w:r>
        <w:rPr>
          <w:rFonts w:hint="eastAsia"/>
          <w:color w:val="000000" w:themeColor="text1"/>
          <w14:textFill>
            <w14:solidFill>
              <w14:schemeClr w14:val="tx1"/>
            </w14:solidFill>
          </w14:textFill>
        </w:rPr>
        <w:t>供水</w:t>
      </w:r>
      <w:r>
        <w:rPr>
          <w:color w:val="000000" w:themeColor="text1"/>
          <w14:textFill>
            <w14:solidFill>
              <w14:schemeClr w14:val="tx1"/>
            </w14:solidFill>
          </w14:textFill>
        </w:rPr>
        <w:t>，加压经多介质+活性炭过滤+保安过滤器+二级RO反渗透+EDI，纯水制备过程中会产生</w:t>
      </w:r>
      <w:r>
        <w:rPr>
          <w:bCs/>
          <w:color w:val="000000" w:themeColor="text1"/>
          <w14:textFill>
            <w14:solidFill>
              <w14:schemeClr w14:val="tx1"/>
            </w14:solidFill>
          </w14:textFill>
        </w:rPr>
        <w:t>浓水W</w:t>
      </w:r>
      <w:r>
        <w:rPr>
          <w:rFonts w:hint="eastAsia"/>
          <w:bCs/>
          <w:color w:val="000000" w:themeColor="text1"/>
          <w:vertAlign w:val="subscript"/>
          <w14:textFill>
            <w14:solidFill>
              <w14:schemeClr w14:val="tx1"/>
            </w14:solidFill>
          </w14:textFill>
        </w:rPr>
        <w:t>5</w:t>
      </w:r>
      <w:r>
        <w:rPr>
          <w:color w:val="000000" w:themeColor="text1"/>
          <w14:textFill>
            <w14:solidFill>
              <w14:schemeClr w14:val="tx1"/>
            </w14:solidFill>
          </w14:textFill>
        </w:rPr>
        <w:t>，RO膜定期更换产生</w:t>
      </w:r>
      <w:r>
        <w:rPr>
          <w:bCs/>
          <w:color w:val="000000" w:themeColor="text1"/>
          <w14:textFill>
            <w14:solidFill>
              <w14:schemeClr w14:val="tx1"/>
            </w14:solidFill>
          </w14:textFill>
        </w:rPr>
        <w:t>废RO膜S</w:t>
      </w:r>
      <w:r>
        <w:rPr>
          <w:rFonts w:hint="eastAsia"/>
          <w:bCs/>
          <w:color w:val="000000" w:themeColor="text1"/>
          <w:vertAlign w:val="subscript"/>
          <w14:textFill>
            <w14:solidFill>
              <w14:schemeClr w14:val="tx1"/>
            </w14:solidFill>
          </w14:textFill>
        </w:rPr>
        <w:t>8</w:t>
      </w:r>
      <w:r>
        <w:rPr>
          <w:color w:val="000000" w:themeColor="text1"/>
          <w14:textFill>
            <w14:solidFill>
              <w14:schemeClr w14:val="tx1"/>
            </w14:solidFill>
          </w14:textFill>
        </w:rPr>
        <w:t>。</w:t>
      </w:r>
    </w:p>
    <w:p w14:paraId="638FCC49">
      <w:pPr>
        <w:pStyle w:val="5"/>
        <w:rPr>
          <w:color w:val="000000" w:themeColor="text1"/>
          <w14:textFill>
            <w14:solidFill>
              <w14:schemeClr w14:val="tx1"/>
            </w14:solidFill>
          </w14:textFill>
        </w:rPr>
      </w:pPr>
      <w:r>
        <w:rPr>
          <w:color w:val="000000" w:themeColor="text1"/>
          <w14:textFill>
            <w14:solidFill>
              <w14:schemeClr w14:val="tx1"/>
            </w14:solidFill>
          </w14:textFill>
        </w:rPr>
        <w:t>空压站产污分析</w:t>
      </w:r>
    </w:p>
    <w:p w14:paraId="1E9CFB1E">
      <w:pPr>
        <w:ind w:firstLine="520"/>
        <w:rPr>
          <w:color w:val="000000" w:themeColor="text1"/>
          <w14:textFill>
            <w14:solidFill>
              <w14:schemeClr w14:val="tx1"/>
            </w14:solidFill>
          </w14:textFill>
        </w:rPr>
      </w:pPr>
      <w:r>
        <w:rPr>
          <w:color w:val="000000" w:themeColor="text1"/>
          <w14:textFill>
            <w14:solidFill>
              <w14:schemeClr w14:val="tx1"/>
            </w14:solidFill>
          </w14:textFill>
        </w:rPr>
        <w:t>空压站产生少量</w:t>
      </w:r>
      <w:r>
        <w:rPr>
          <w:rFonts w:hint="eastAsia"/>
          <w:color w:val="000000" w:themeColor="text1"/>
          <w14:textFill>
            <w14:solidFill>
              <w14:schemeClr w14:val="tx1"/>
            </w14:solidFill>
          </w14:textFill>
        </w:rPr>
        <w:t>含油废液</w:t>
      </w:r>
      <w:r>
        <w:rPr>
          <w:bCs/>
          <w:color w:val="000000" w:themeColor="text1"/>
          <w14:textFill>
            <w14:solidFill>
              <w14:schemeClr w14:val="tx1"/>
            </w14:solidFill>
          </w14:textFill>
        </w:rPr>
        <w:t>S</w:t>
      </w:r>
      <w:r>
        <w:rPr>
          <w:rFonts w:hint="eastAsia"/>
          <w:bCs/>
          <w:color w:val="000000" w:themeColor="text1"/>
          <w:vertAlign w:val="subscript"/>
          <w14:textFill>
            <w14:solidFill>
              <w14:schemeClr w14:val="tx1"/>
            </w14:solidFill>
          </w14:textFill>
        </w:rPr>
        <w:t>9</w:t>
      </w:r>
      <w:r>
        <w:rPr>
          <w:color w:val="000000" w:themeColor="text1"/>
          <w14:textFill>
            <w14:solidFill>
              <w14:schemeClr w14:val="tx1"/>
            </w14:solidFill>
          </w14:textFill>
        </w:rPr>
        <w:t>。</w:t>
      </w:r>
    </w:p>
    <w:p w14:paraId="075A7C47">
      <w:pPr>
        <w:pStyle w:val="5"/>
        <w:rPr>
          <w:color w:val="000000" w:themeColor="text1"/>
          <w14:textFill>
            <w14:solidFill>
              <w14:schemeClr w14:val="tx1"/>
            </w14:solidFill>
          </w14:textFill>
        </w:rPr>
      </w:pPr>
      <w:r>
        <w:rPr>
          <w:color w:val="000000" w:themeColor="text1"/>
          <w14:textFill>
            <w14:solidFill>
              <w14:schemeClr w14:val="tx1"/>
            </w14:solidFill>
          </w14:textFill>
        </w:rPr>
        <w:t>除尘系统产污分析</w:t>
      </w:r>
    </w:p>
    <w:p w14:paraId="355E631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石墨零部件机加过程</w:t>
      </w:r>
      <w:r>
        <w:rPr>
          <w:color w:val="000000" w:themeColor="text1"/>
          <w14:textFill>
            <w14:solidFill>
              <w14:schemeClr w14:val="tx1"/>
            </w14:solidFill>
          </w14:textFill>
        </w:rPr>
        <w:t>粉尘除尘系统等截留的除尘灰，产生</w:t>
      </w:r>
      <w:r>
        <w:rPr>
          <w:bCs/>
          <w:color w:val="000000" w:themeColor="text1"/>
          <w14:textFill>
            <w14:solidFill>
              <w14:schemeClr w14:val="tx1"/>
            </w14:solidFill>
          </w14:textFill>
        </w:rPr>
        <w:t>固废S</w:t>
      </w:r>
      <w:r>
        <w:rPr>
          <w:rFonts w:hint="eastAsia"/>
          <w:bCs/>
          <w:color w:val="000000" w:themeColor="text1"/>
          <w:vertAlign w:val="subscript"/>
          <w14:textFill>
            <w14:solidFill>
              <w14:schemeClr w14:val="tx1"/>
            </w14:solidFill>
          </w14:textFill>
        </w:rPr>
        <w:t>10</w:t>
      </w:r>
      <w:r>
        <w:rPr>
          <w:b/>
          <w:color w:val="000000" w:themeColor="text1"/>
          <w14:textFill>
            <w14:solidFill>
              <w14:schemeClr w14:val="tx1"/>
            </w14:solidFill>
          </w14:textFill>
        </w:rPr>
        <w:t>。</w:t>
      </w:r>
    </w:p>
    <w:p w14:paraId="010D6000">
      <w:pPr>
        <w:pStyle w:val="5"/>
        <w:rPr>
          <w:color w:val="000000" w:themeColor="text1"/>
          <w14:textFill>
            <w14:solidFill>
              <w14:schemeClr w14:val="tx1"/>
            </w14:solidFill>
          </w14:textFill>
        </w:rPr>
      </w:pPr>
      <w:r>
        <w:rPr>
          <w:color w:val="000000" w:themeColor="text1"/>
          <w14:textFill>
            <w14:solidFill>
              <w14:schemeClr w14:val="tx1"/>
            </w14:solidFill>
          </w14:textFill>
        </w:rPr>
        <w:t>酸雾塔产污分析</w:t>
      </w:r>
    </w:p>
    <w:p w14:paraId="79289B44">
      <w:pPr>
        <w:ind w:firstLine="520"/>
        <w:rPr>
          <w:color w:val="000000" w:themeColor="text1"/>
          <w14:textFill>
            <w14:solidFill>
              <w14:schemeClr w14:val="tx1"/>
            </w14:solidFill>
          </w14:textFill>
        </w:rPr>
      </w:pPr>
      <w:r>
        <w:rPr>
          <w:color w:val="000000" w:themeColor="text1"/>
          <w14:textFill>
            <w14:solidFill>
              <w14:schemeClr w14:val="tx1"/>
            </w14:solidFill>
          </w14:textFill>
        </w:rPr>
        <w:t>碳化硅</w:t>
      </w:r>
      <w:r>
        <w:rPr>
          <w:rFonts w:hint="eastAsia"/>
          <w:color w:val="000000" w:themeColor="text1"/>
          <w14:textFill>
            <w14:solidFill>
              <w14:schemeClr w14:val="tx1"/>
            </w14:solidFill>
          </w14:textFill>
        </w:rPr>
        <w:t>涂层</w:t>
      </w:r>
      <w:r>
        <w:rPr>
          <w:color w:val="000000" w:themeColor="text1"/>
          <w14:textFill>
            <w14:solidFill>
              <w14:schemeClr w14:val="tx1"/>
            </w14:solidFill>
          </w14:textFill>
        </w:rPr>
        <w:t>生产线废气</w:t>
      </w:r>
      <w:r>
        <w:rPr>
          <w:rFonts w:hint="eastAsia"/>
          <w:color w:val="000000" w:themeColor="text1"/>
          <w14:textFill>
            <w14:solidFill>
              <w14:schemeClr w14:val="tx1"/>
            </w14:solidFill>
          </w14:textFill>
        </w:rPr>
        <w:t>依托现有1</w:t>
      </w:r>
      <w:r>
        <w:rPr>
          <w:rFonts w:hint="eastAsia"/>
          <w:color w:val="000000" w:themeColor="text1"/>
          <w:vertAlign w:val="superscript"/>
          <w14:textFill>
            <w14:solidFill>
              <w14:schemeClr w14:val="tx1"/>
            </w14:solidFill>
          </w14:textFill>
        </w:rPr>
        <w:t>#</w:t>
      </w:r>
      <w:r>
        <w:rPr>
          <w:color w:val="000000" w:themeColor="text1"/>
          <w14:textFill>
            <w14:solidFill>
              <w14:schemeClr w14:val="tx1"/>
            </w14:solidFill>
          </w14:textFill>
        </w:rPr>
        <w:t>四级酸雾吸收塔处理，废气主要污染物为MTS、HCl以及少量有机废气，酸雾塔产生</w:t>
      </w:r>
      <w:r>
        <w:rPr>
          <w:bCs/>
          <w:color w:val="000000" w:themeColor="text1"/>
          <w14:textFill>
            <w14:solidFill>
              <w14:schemeClr w14:val="tx1"/>
            </w14:solidFill>
          </w14:textFill>
        </w:rPr>
        <w:t>酸洗废水W</w:t>
      </w:r>
      <w:r>
        <w:rPr>
          <w:rFonts w:hint="eastAsia"/>
          <w:bCs/>
          <w:color w:val="000000" w:themeColor="text1"/>
          <w:vertAlign w:val="subscript"/>
          <w14:textFill>
            <w14:solidFill>
              <w14:schemeClr w14:val="tx1"/>
            </w14:solidFill>
          </w14:textFill>
        </w:rPr>
        <w:t>6</w:t>
      </w:r>
      <w:r>
        <w:rPr>
          <w:color w:val="000000" w:themeColor="text1"/>
          <w14:textFill>
            <w14:solidFill>
              <w14:schemeClr w14:val="tx1"/>
            </w14:solidFill>
          </w14:textFill>
        </w:rPr>
        <w:t>。</w:t>
      </w:r>
    </w:p>
    <w:p w14:paraId="25D9738C">
      <w:pPr>
        <w:pStyle w:val="5"/>
        <w:rPr>
          <w:color w:val="000000" w:themeColor="text1"/>
          <w14:textFill>
            <w14:solidFill>
              <w14:schemeClr w14:val="tx1"/>
            </w14:solidFill>
          </w14:textFill>
        </w:rPr>
      </w:pPr>
      <w:r>
        <w:rPr>
          <w:color w:val="000000" w:themeColor="text1"/>
          <w14:textFill>
            <w14:solidFill>
              <w14:schemeClr w14:val="tx1"/>
            </w14:solidFill>
          </w14:textFill>
        </w:rPr>
        <w:t>污水处理站污泥</w:t>
      </w:r>
    </w:p>
    <w:p w14:paraId="223279D5">
      <w:pPr>
        <w:ind w:firstLine="520"/>
        <w:rPr>
          <w:bCs/>
          <w:color w:val="000000" w:themeColor="text1"/>
          <w14:textFill>
            <w14:solidFill>
              <w14:schemeClr w14:val="tx1"/>
            </w14:solidFill>
          </w14:textFill>
        </w:rPr>
      </w:pPr>
      <w:r>
        <w:rPr>
          <w:color w:val="000000" w:themeColor="text1"/>
          <w14:textFill>
            <w14:solidFill>
              <w14:schemeClr w14:val="tx1"/>
            </w14:solidFill>
          </w14:textFill>
        </w:rPr>
        <w:t>厂区综合废水处理站污泥S</w:t>
      </w:r>
      <w:r>
        <w:rPr>
          <w:rFonts w:hint="eastAsia"/>
          <w:color w:val="000000" w:themeColor="text1"/>
          <w:vertAlign w:val="subscript"/>
          <w14:textFill>
            <w14:solidFill>
              <w14:schemeClr w14:val="tx1"/>
            </w14:solidFill>
          </w14:textFill>
        </w:rPr>
        <w:t>11</w:t>
      </w:r>
      <w:r>
        <w:rPr>
          <w:color w:val="000000" w:themeColor="text1"/>
          <w14:textFill>
            <w14:solidFill>
              <w14:schemeClr w14:val="tx1"/>
            </w14:solidFill>
          </w14:textFill>
        </w:rPr>
        <w:t>和生活污水生化池污泥S</w:t>
      </w:r>
      <w:r>
        <w:rPr>
          <w:rFonts w:hint="eastAsia"/>
          <w:color w:val="000000" w:themeColor="text1"/>
          <w:vertAlign w:val="subscript"/>
          <w14:textFill>
            <w14:solidFill>
              <w14:schemeClr w14:val="tx1"/>
            </w14:solidFill>
          </w14:textFill>
        </w:rPr>
        <w:t>12</w:t>
      </w:r>
      <w:r>
        <w:rPr>
          <w:color w:val="000000" w:themeColor="text1"/>
          <w14:textFill>
            <w14:solidFill>
              <w14:schemeClr w14:val="tx1"/>
            </w14:solidFill>
          </w14:textFill>
        </w:rPr>
        <w:t>。</w:t>
      </w:r>
    </w:p>
    <w:p w14:paraId="0578AE29">
      <w:pPr>
        <w:pStyle w:val="5"/>
        <w:rPr>
          <w:color w:val="000000" w:themeColor="text1"/>
          <w14:textFill>
            <w14:solidFill>
              <w14:schemeClr w14:val="tx1"/>
            </w14:solidFill>
          </w14:textFill>
        </w:rPr>
      </w:pPr>
      <w:r>
        <w:rPr>
          <w:color w:val="000000" w:themeColor="text1"/>
          <w14:textFill>
            <w14:solidFill>
              <w14:schemeClr w14:val="tx1"/>
            </w14:solidFill>
          </w14:textFill>
        </w:rPr>
        <w:t>切削液回收间</w:t>
      </w:r>
    </w:p>
    <w:p w14:paraId="01BDFCD7">
      <w:pPr>
        <w:ind w:firstLine="520"/>
        <w:rPr>
          <w:bCs/>
          <w:color w:val="000000" w:themeColor="text1"/>
          <w14:textFill>
            <w14:solidFill>
              <w14:schemeClr w14:val="tx1"/>
            </w14:solidFill>
          </w14:textFill>
        </w:rPr>
      </w:pPr>
      <w:r>
        <w:rPr>
          <w:color w:val="000000" w:themeColor="text1"/>
          <w14:textFill>
            <w14:solidFill>
              <w14:schemeClr w14:val="tx1"/>
            </w14:solidFill>
          </w14:textFill>
        </w:rPr>
        <w:t>为减少危险废物的产生，加强辅料综合利用，扩建项目</w:t>
      </w:r>
      <w:r>
        <w:rPr>
          <w:rFonts w:hint="eastAsia"/>
          <w:color w:val="000000" w:themeColor="text1"/>
          <w14:textFill>
            <w14:solidFill>
              <w14:schemeClr w14:val="tx1"/>
            </w14:solidFill>
          </w14:textFill>
        </w:rPr>
        <w:t>依托现有</w:t>
      </w:r>
      <w:r>
        <w:rPr>
          <w:color w:val="000000" w:themeColor="text1"/>
          <w14:textFill>
            <w14:solidFill>
              <w14:schemeClr w14:val="tx1"/>
            </w14:solidFill>
          </w14:textFill>
        </w:rPr>
        <w:t>切削液回收车间，将废切削液过滤处理后回用于生产。</w:t>
      </w:r>
    </w:p>
    <w:p w14:paraId="70998271">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现有工程</w:t>
      </w:r>
      <w:r>
        <w:rPr>
          <w:color w:val="000000" w:themeColor="text1"/>
          <w14:textFill>
            <w14:solidFill>
              <w14:schemeClr w14:val="tx1"/>
            </w14:solidFill>
          </w14:textFill>
        </w:rPr>
        <w:t>2</w:t>
      </w:r>
      <w:r>
        <w:rPr>
          <w:rFonts w:hint="eastAsia"/>
          <w:color w:val="000000" w:themeColor="text1"/>
          <w:vertAlign w:val="superscript"/>
          <w14:textFill>
            <w14:solidFill>
              <w14:schemeClr w14:val="tx1"/>
            </w14:solidFill>
          </w14:textFill>
        </w:rPr>
        <w:t>#</w:t>
      </w:r>
      <w:r>
        <w:rPr>
          <w:color w:val="000000" w:themeColor="text1"/>
          <w14:textFill>
            <w14:solidFill>
              <w14:schemeClr w14:val="tx1"/>
            </w14:solidFill>
          </w14:textFill>
        </w:rPr>
        <w:t>厂房的附属用房设置1个切削液回收操作间，采用压滤+三级过滤工艺将含杂质的切削液回收利用，压滤及过滤杂质脱水后转移到危废间临时贮存，产生含油</w:t>
      </w:r>
      <w:r>
        <w:rPr>
          <w:bCs/>
          <w:color w:val="000000" w:themeColor="text1"/>
          <w14:textFill>
            <w14:solidFill>
              <w14:schemeClr w14:val="tx1"/>
            </w14:solidFill>
          </w14:textFill>
        </w:rPr>
        <w:t>污泥S</w:t>
      </w:r>
      <w:r>
        <w:rPr>
          <w:rFonts w:hint="eastAsia"/>
          <w:bCs/>
          <w:color w:val="000000" w:themeColor="text1"/>
          <w:vertAlign w:val="subscript"/>
          <w14:textFill>
            <w14:solidFill>
              <w14:schemeClr w14:val="tx1"/>
            </w14:solidFill>
          </w14:textFill>
        </w:rPr>
        <w:t>13</w:t>
      </w:r>
      <w:r>
        <w:rPr>
          <w:color w:val="000000" w:themeColor="text1"/>
          <w14:textFill>
            <w14:solidFill>
              <w14:schemeClr w14:val="tx1"/>
            </w14:solidFill>
          </w14:textFill>
        </w:rPr>
        <w:t>。</w:t>
      </w:r>
    </w:p>
    <w:p w14:paraId="4C2E2E0D">
      <w:pPr>
        <w:pStyle w:val="5"/>
        <w:rPr>
          <w:color w:val="000000" w:themeColor="text1"/>
          <w14:textFill>
            <w14:solidFill>
              <w14:schemeClr w14:val="tx1"/>
            </w14:solidFill>
          </w14:textFill>
        </w:rPr>
      </w:pPr>
      <w:r>
        <w:rPr>
          <w:color w:val="000000" w:themeColor="text1"/>
          <w14:textFill>
            <w14:solidFill>
              <w14:schemeClr w14:val="tx1"/>
            </w14:solidFill>
          </w14:textFill>
        </w:rPr>
        <w:t>危险化学品桶</w:t>
      </w:r>
    </w:p>
    <w:p w14:paraId="22A98303">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扩建项目使用硫酸、MTS等原辅料使用后会产生</w:t>
      </w:r>
      <w:r>
        <w:rPr>
          <w:bCs/>
          <w:color w:val="000000" w:themeColor="text1"/>
          <w14:textFill>
            <w14:solidFill>
              <w14:schemeClr w14:val="tx1"/>
            </w14:solidFill>
          </w14:textFill>
        </w:rPr>
        <w:t>沾染危险化学品的容器S</w:t>
      </w:r>
      <w:r>
        <w:rPr>
          <w:rFonts w:hint="eastAsia"/>
          <w:bCs/>
          <w:color w:val="000000" w:themeColor="text1"/>
          <w:vertAlign w:val="subscript"/>
          <w14:textFill>
            <w14:solidFill>
              <w14:schemeClr w14:val="tx1"/>
            </w14:solidFill>
          </w14:textFill>
        </w:rPr>
        <w:t>14</w:t>
      </w:r>
      <w:r>
        <w:rPr>
          <w:color w:val="000000" w:themeColor="text1"/>
          <w14:textFill>
            <w14:solidFill>
              <w14:schemeClr w14:val="tx1"/>
            </w14:solidFill>
          </w14:textFill>
        </w:rPr>
        <w:t>。</w:t>
      </w:r>
    </w:p>
    <w:p w14:paraId="5C13DF35">
      <w:pPr>
        <w:pStyle w:val="5"/>
        <w:rPr>
          <w:color w:val="000000" w:themeColor="text1"/>
          <w14:textFill>
            <w14:solidFill>
              <w14:schemeClr w14:val="tx1"/>
            </w14:solidFill>
          </w14:textFill>
        </w:rPr>
      </w:pPr>
      <w:r>
        <w:rPr>
          <w:color w:val="000000" w:themeColor="text1"/>
          <w14:textFill>
            <w14:solidFill>
              <w14:schemeClr w14:val="tx1"/>
            </w14:solidFill>
          </w14:textFill>
        </w:rPr>
        <w:t>生活源产污分析</w:t>
      </w:r>
    </w:p>
    <w:p w14:paraId="0166DB49">
      <w:pPr>
        <w:ind w:firstLine="520"/>
        <w:rPr>
          <w:bCs/>
          <w:color w:val="000000" w:themeColor="text1"/>
          <w14:textFill>
            <w14:solidFill>
              <w14:schemeClr w14:val="tx1"/>
            </w14:solidFill>
          </w14:textFill>
        </w:rPr>
      </w:pPr>
      <w:r>
        <w:rPr>
          <w:color w:val="000000" w:themeColor="text1"/>
          <w14:textFill>
            <w14:solidFill>
              <w14:schemeClr w14:val="tx1"/>
            </w14:solidFill>
          </w14:textFill>
        </w:rPr>
        <w:t>生活污水W</w:t>
      </w:r>
      <w:r>
        <w:rPr>
          <w:rFonts w:hint="eastAsia"/>
          <w:color w:val="000000" w:themeColor="text1"/>
          <w:vertAlign w:val="subscript"/>
          <w14:textFill>
            <w14:solidFill>
              <w14:schemeClr w14:val="tx1"/>
            </w14:solidFill>
          </w14:textFill>
        </w:rPr>
        <w:t>7</w:t>
      </w:r>
      <w:r>
        <w:rPr>
          <w:color w:val="000000" w:themeColor="text1"/>
          <w14:textFill>
            <w14:solidFill>
              <w14:schemeClr w14:val="tx1"/>
            </w14:solidFill>
          </w14:textFill>
        </w:rPr>
        <w:t>，生活垃圾S</w:t>
      </w:r>
      <w:r>
        <w:rPr>
          <w:rFonts w:hint="eastAsia"/>
          <w:color w:val="000000" w:themeColor="text1"/>
          <w:vertAlign w:val="subscript"/>
          <w14:textFill>
            <w14:solidFill>
              <w14:schemeClr w14:val="tx1"/>
            </w14:solidFill>
          </w14:textFill>
        </w:rPr>
        <w:t>15</w:t>
      </w:r>
      <w:r>
        <w:rPr>
          <w:color w:val="000000" w:themeColor="text1"/>
          <w14:textFill>
            <w14:solidFill>
              <w14:schemeClr w14:val="tx1"/>
            </w14:solidFill>
          </w14:textFill>
        </w:rPr>
        <w:t>。</w:t>
      </w:r>
    </w:p>
    <w:p w14:paraId="61F729A1">
      <w:pPr>
        <w:pStyle w:val="4"/>
        <w:rPr>
          <w:color w:val="000000" w:themeColor="text1"/>
          <w14:textFill>
            <w14:solidFill>
              <w14:schemeClr w14:val="tx1"/>
            </w14:solidFill>
          </w14:textFill>
        </w:rPr>
      </w:pPr>
      <w:bookmarkStart w:id="174" w:name="_Toc25159"/>
      <w:r>
        <w:rPr>
          <w:rFonts w:hint="eastAsia"/>
          <w:color w:val="000000" w:themeColor="text1"/>
          <w14:textFill>
            <w14:solidFill>
              <w14:schemeClr w14:val="tx1"/>
            </w14:solidFill>
          </w14:textFill>
        </w:rPr>
        <w:t>物料平衡及</w:t>
      </w:r>
      <w:r>
        <w:rPr>
          <w:color w:val="000000" w:themeColor="text1"/>
          <w14:textFill>
            <w14:solidFill>
              <w14:schemeClr w14:val="tx1"/>
            </w14:solidFill>
          </w14:textFill>
        </w:rPr>
        <w:t>水平衡</w:t>
      </w:r>
      <w:bookmarkEnd w:id="174"/>
    </w:p>
    <w:p w14:paraId="6204E279">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物料平衡</w:t>
      </w:r>
    </w:p>
    <w:p w14:paraId="7071313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本次评价主要对石墨产品进行物料平衡分析。扩建项目石墨加工过程中涉及机加、纯化及石墨化等工序，其物料平衡详见下表：</w:t>
      </w:r>
    </w:p>
    <w:p w14:paraId="417A1573">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表4.5-1    石墨产品生产过程物料平衡表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582"/>
        <w:gridCol w:w="2236"/>
        <w:gridCol w:w="2650"/>
        <w:gridCol w:w="1362"/>
      </w:tblGrid>
      <w:tr w14:paraId="20EA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restart"/>
            <w:vAlign w:val="center"/>
          </w:tcPr>
          <w:p w14:paraId="0395AA0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序号</w:t>
            </w:r>
          </w:p>
        </w:tc>
        <w:tc>
          <w:tcPr>
            <w:tcW w:w="2240" w:type="pct"/>
            <w:gridSpan w:val="2"/>
            <w:vAlign w:val="center"/>
          </w:tcPr>
          <w:p w14:paraId="1FA8B2C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进料情况</w:t>
            </w:r>
          </w:p>
        </w:tc>
        <w:tc>
          <w:tcPr>
            <w:tcW w:w="2354" w:type="pct"/>
            <w:gridSpan w:val="2"/>
            <w:vAlign w:val="center"/>
          </w:tcPr>
          <w:p w14:paraId="25E0174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出料情况</w:t>
            </w:r>
          </w:p>
        </w:tc>
      </w:tr>
      <w:tr w14:paraId="47B2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vAlign w:val="center"/>
          </w:tcPr>
          <w:p w14:paraId="633AA1B2">
            <w:pPr>
              <w:spacing w:line="240" w:lineRule="auto"/>
              <w:ind w:firstLine="0" w:firstLineChars="0"/>
              <w:jc w:val="center"/>
              <w:rPr>
                <w:color w:val="000000" w:themeColor="text1"/>
                <w:sz w:val="22"/>
                <w:szCs w:val="22"/>
                <w14:textFill>
                  <w14:solidFill>
                    <w14:schemeClr w14:val="tx1"/>
                  </w14:solidFill>
                </w14:textFill>
              </w:rPr>
            </w:pPr>
          </w:p>
        </w:tc>
        <w:tc>
          <w:tcPr>
            <w:tcW w:w="928" w:type="pct"/>
            <w:vAlign w:val="center"/>
          </w:tcPr>
          <w:p w14:paraId="5B5A24FF">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名称</w:t>
            </w:r>
          </w:p>
        </w:tc>
        <w:tc>
          <w:tcPr>
            <w:tcW w:w="1312" w:type="pct"/>
            <w:vAlign w:val="center"/>
          </w:tcPr>
          <w:p w14:paraId="2C4A23B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数量（t/a）</w:t>
            </w:r>
          </w:p>
        </w:tc>
        <w:tc>
          <w:tcPr>
            <w:tcW w:w="1555" w:type="pct"/>
            <w:vAlign w:val="center"/>
          </w:tcPr>
          <w:p w14:paraId="33496F4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名称</w:t>
            </w:r>
          </w:p>
        </w:tc>
        <w:tc>
          <w:tcPr>
            <w:tcW w:w="799" w:type="pct"/>
            <w:vAlign w:val="center"/>
          </w:tcPr>
          <w:p w14:paraId="233F1FC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数量（t/a）</w:t>
            </w:r>
          </w:p>
        </w:tc>
      </w:tr>
      <w:tr w14:paraId="0422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Align w:val="center"/>
          </w:tcPr>
          <w:p w14:paraId="1780C29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c>
          <w:tcPr>
            <w:tcW w:w="928" w:type="pct"/>
            <w:vAlign w:val="center"/>
          </w:tcPr>
          <w:p w14:paraId="41B6B4E3">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石墨原料</w:t>
            </w:r>
          </w:p>
        </w:tc>
        <w:tc>
          <w:tcPr>
            <w:tcW w:w="1312" w:type="pct"/>
            <w:vAlign w:val="center"/>
          </w:tcPr>
          <w:p w14:paraId="1946369E">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53（纯度99.99%）</w:t>
            </w:r>
          </w:p>
        </w:tc>
        <w:tc>
          <w:tcPr>
            <w:tcW w:w="1555" w:type="pct"/>
            <w:vAlign w:val="center"/>
          </w:tcPr>
          <w:p w14:paraId="35AA102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产品</w:t>
            </w:r>
          </w:p>
        </w:tc>
        <w:tc>
          <w:tcPr>
            <w:tcW w:w="799" w:type="pct"/>
            <w:vAlign w:val="center"/>
          </w:tcPr>
          <w:p w14:paraId="583BAB2C">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51.319</w:t>
            </w:r>
          </w:p>
        </w:tc>
      </w:tr>
      <w:tr w14:paraId="54B4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Align w:val="center"/>
          </w:tcPr>
          <w:p w14:paraId="3E1A94D1">
            <w:pPr>
              <w:spacing w:line="240" w:lineRule="auto"/>
              <w:ind w:firstLine="0" w:firstLineChars="0"/>
              <w:jc w:val="center"/>
              <w:rPr>
                <w:color w:val="000000" w:themeColor="text1"/>
                <w:sz w:val="22"/>
                <w:szCs w:val="22"/>
                <w14:textFill>
                  <w14:solidFill>
                    <w14:schemeClr w14:val="tx1"/>
                  </w14:solidFill>
                </w14:textFill>
              </w:rPr>
            </w:pPr>
          </w:p>
        </w:tc>
        <w:tc>
          <w:tcPr>
            <w:tcW w:w="928" w:type="pct"/>
            <w:vAlign w:val="center"/>
          </w:tcPr>
          <w:p w14:paraId="1CCBD9D0">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312" w:type="pct"/>
            <w:vAlign w:val="center"/>
          </w:tcPr>
          <w:p w14:paraId="536FC9C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555" w:type="pct"/>
            <w:vAlign w:val="center"/>
          </w:tcPr>
          <w:p w14:paraId="029C4FCE">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下料、机加废气G3</w:t>
            </w:r>
          </w:p>
        </w:tc>
        <w:tc>
          <w:tcPr>
            <w:tcW w:w="799" w:type="pct"/>
            <w:vAlign w:val="center"/>
          </w:tcPr>
          <w:p w14:paraId="41AE3F05">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0.006</w:t>
            </w:r>
          </w:p>
        </w:tc>
      </w:tr>
      <w:tr w14:paraId="2E1D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Align w:val="center"/>
          </w:tcPr>
          <w:p w14:paraId="286A60E0">
            <w:pPr>
              <w:spacing w:line="240" w:lineRule="auto"/>
              <w:ind w:firstLine="0" w:firstLineChars="0"/>
              <w:jc w:val="center"/>
              <w:rPr>
                <w:color w:val="000000" w:themeColor="text1"/>
                <w:sz w:val="22"/>
                <w:szCs w:val="22"/>
                <w14:textFill>
                  <w14:solidFill>
                    <w14:schemeClr w14:val="tx1"/>
                  </w14:solidFill>
                </w14:textFill>
              </w:rPr>
            </w:pPr>
          </w:p>
        </w:tc>
        <w:tc>
          <w:tcPr>
            <w:tcW w:w="928" w:type="pct"/>
            <w:vAlign w:val="center"/>
          </w:tcPr>
          <w:p w14:paraId="14133D6E">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312" w:type="pct"/>
            <w:vAlign w:val="center"/>
          </w:tcPr>
          <w:p w14:paraId="4128667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555" w:type="pct"/>
            <w:vAlign w:val="center"/>
          </w:tcPr>
          <w:p w14:paraId="45EF1A2D">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纯化废气G4</w:t>
            </w:r>
          </w:p>
        </w:tc>
        <w:tc>
          <w:tcPr>
            <w:tcW w:w="799" w:type="pct"/>
            <w:vAlign w:val="center"/>
          </w:tcPr>
          <w:p w14:paraId="00CC065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0.031</w:t>
            </w:r>
          </w:p>
        </w:tc>
      </w:tr>
      <w:tr w14:paraId="7800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Align w:val="center"/>
          </w:tcPr>
          <w:p w14:paraId="2B56E424">
            <w:pPr>
              <w:spacing w:line="240" w:lineRule="auto"/>
              <w:ind w:firstLine="0" w:firstLineChars="0"/>
              <w:jc w:val="center"/>
              <w:rPr>
                <w:color w:val="000000" w:themeColor="text1"/>
                <w:sz w:val="22"/>
                <w:szCs w:val="22"/>
                <w14:textFill>
                  <w14:solidFill>
                    <w14:schemeClr w14:val="tx1"/>
                  </w14:solidFill>
                </w14:textFill>
              </w:rPr>
            </w:pPr>
          </w:p>
        </w:tc>
        <w:tc>
          <w:tcPr>
            <w:tcW w:w="928" w:type="pct"/>
            <w:vAlign w:val="center"/>
          </w:tcPr>
          <w:p w14:paraId="3F7AFFB3">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312" w:type="pct"/>
            <w:vAlign w:val="center"/>
          </w:tcPr>
          <w:p w14:paraId="6CB0443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555" w:type="pct"/>
            <w:vAlign w:val="center"/>
          </w:tcPr>
          <w:p w14:paraId="4135CD65">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石墨化废气G5</w:t>
            </w:r>
          </w:p>
        </w:tc>
        <w:tc>
          <w:tcPr>
            <w:tcW w:w="799" w:type="pct"/>
            <w:vAlign w:val="center"/>
          </w:tcPr>
          <w:p w14:paraId="4815663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0.031</w:t>
            </w:r>
          </w:p>
        </w:tc>
      </w:tr>
      <w:tr w14:paraId="251A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Align w:val="center"/>
          </w:tcPr>
          <w:p w14:paraId="3ECEDAF6">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w:t>
            </w:r>
          </w:p>
        </w:tc>
        <w:tc>
          <w:tcPr>
            <w:tcW w:w="928" w:type="pct"/>
            <w:vAlign w:val="center"/>
          </w:tcPr>
          <w:p w14:paraId="20B2DDF8">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312" w:type="pct"/>
            <w:vAlign w:val="center"/>
          </w:tcPr>
          <w:p w14:paraId="08FA3B5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555" w:type="pct"/>
            <w:vAlign w:val="center"/>
          </w:tcPr>
          <w:p w14:paraId="02C2BCE4">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布袋除尘器粉尘收集量</w:t>
            </w:r>
          </w:p>
        </w:tc>
        <w:tc>
          <w:tcPr>
            <w:tcW w:w="799" w:type="pct"/>
            <w:vAlign w:val="center"/>
          </w:tcPr>
          <w:p w14:paraId="03D5333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w:t>
            </w:r>
            <w:r>
              <w:rPr>
                <w:rFonts w:hint="eastAsia"/>
                <w:color w:val="000000" w:themeColor="text1"/>
                <w:sz w:val="22"/>
                <w:szCs w:val="22"/>
                <w14:textFill>
                  <w14:solidFill>
                    <w14:schemeClr w14:val="tx1"/>
                  </w14:solidFill>
                </w14:textFill>
              </w:rPr>
              <w:t>013</w:t>
            </w:r>
          </w:p>
        </w:tc>
      </w:tr>
      <w:tr w14:paraId="062D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Align w:val="center"/>
          </w:tcPr>
          <w:p w14:paraId="115BAA1A">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6</w:t>
            </w:r>
          </w:p>
        </w:tc>
        <w:tc>
          <w:tcPr>
            <w:tcW w:w="928" w:type="pct"/>
            <w:vAlign w:val="center"/>
          </w:tcPr>
          <w:p w14:paraId="04996394">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312" w:type="pct"/>
            <w:vAlign w:val="center"/>
          </w:tcPr>
          <w:p w14:paraId="0B8DE27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555" w:type="pct"/>
            <w:vAlign w:val="center"/>
          </w:tcPr>
          <w:p w14:paraId="5D35F28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边角料</w:t>
            </w:r>
          </w:p>
        </w:tc>
        <w:tc>
          <w:tcPr>
            <w:tcW w:w="799" w:type="pct"/>
            <w:vAlign w:val="center"/>
          </w:tcPr>
          <w:p w14:paraId="79A691A0">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0.6</w:t>
            </w:r>
          </w:p>
        </w:tc>
      </w:tr>
      <w:tr w14:paraId="03E4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Align w:val="center"/>
          </w:tcPr>
          <w:p w14:paraId="20A43166">
            <w:pPr>
              <w:spacing w:line="240" w:lineRule="auto"/>
              <w:ind w:firstLine="0" w:firstLineChars="0"/>
              <w:jc w:val="center"/>
              <w:rPr>
                <w:color w:val="000000" w:themeColor="text1"/>
                <w:sz w:val="22"/>
                <w:szCs w:val="22"/>
                <w14:textFill>
                  <w14:solidFill>
                    <w14:schemeClr w14:val="tx1"/>
                  </w14:solidFill>
                </w14:textFill>
              </w:rPr>
            </w:pPr>
          </w:p>
        </w:tc>
        <w:tc>
          <w:tcPr>
            <w:tcW w:w="928" w:type="pct"/>
            <w:vAlign w:val="center"/>
          </w:tcPr>
          <w:p w14:paraId="5607E5ED">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312" w:type="pct"/>
            <w:vAlign w:val="center"/>
          </w:tcPr>
          <w:p w14:paraId="080CA711">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1555" w:type="pct"/>
            <w:vAlign w:val="center"/>
          </w:tcPr>
          <w:p w14:paraId="6871F537">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石墨屑</w:t>
            </w:r>
          </w:p>
        </w:tc>
        <w:tc>
          <w:tcPr>
            <w:tcW w:w="799" w:type="pct"/>
            <w:vAlign w:val="center"/>
          </w:tcPr>
          <w:p w14:paraId="76D9281A">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1.0</w:t>
            </w:r>
          </w:p>
        </w:tc>
      </w:tr>
      <w:tr w14:paraId="66A2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pct"/>
            <w:gridSpan w:val="2"/>
            <w:vAlign w:val="center"/>
          </w:tcPr>
          <w:p w14:paraId="6C66759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合计</w:t>
            </w:r>
          </w:p>
        </w:tc>
        <w:tc>
          <w:tcPr>
            <w:tcW w:w="1312" w:type="pct"/>
            <w:vAlign w:val="center"/>
          </w:tcPr>
          <w:p w14:paraId="31BA70C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53</w:t>
            </w:r>
          </w:p>
        </w:tc>
        <w:tc>
          <w:tcPr>
            <w:tcW w:w="1555" w:type="pct"/>
            <w:vAlign w:val="center"/>
          </w:tcPr>
          <w:p w14:paraId="58868359">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合计</w:t>
            </w:r>
          </w:p>
        </w:tc>
        <w:tc>
          <w:tcPr>
            <w:tcW w:w="799" w:type="pct"/>
            <w:vAlign w:val="center"/>
          </w:tcPr>
          <w:p w14:paraId="3B69D87B">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53</w:t>
            </w:r>
          </w:p>
        </w:tc>
      </w:tr>
    </w:tbl>
    <w:p w14:paraId="0B4AF72B">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水平衡</w:t>
      </w:r>
    </w:p>
    <w:p w14:paraId="55F8DE4C">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扩建项目用水分为生产用水及生活用水，生活用水主要为职工生活、洗浴及办公用水。</w:t>
      </w:r>
    </w:p>
    <w:p w14:paraId="4774F3D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扩建项目生产用水主要包括：GASKET产品切削液配置用水、清洗用水；石墨产品清洗用水及碳化硅涂层产品冷却循环用水；纯水制备用水。</w:t>
      </w:r>
    </w:p>
    <w:p w14:paraId="6CBC0820">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GASKET产品生产过程中，切削液1: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水配置，切削液使用量为0.40t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a，配置切削液用水量约0.05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GASKET产品生产线租赁臻宝科技公司厂房闲置区域建设，其清洗均依托现有已建成清洗线，由于清洗量增加，清洗线废水排放频率由现有每2天排放1次，增加为每3天排放2次（即每1.5天排放1次），本次对清洗线整体废水量进行核算，扣除现有工程废水量，即为本次扩建项目排放废水量；清洗使用的纯水依托臻宝科技公司现有纯水制备系统，其纯水制备系统浓水排入臻宝科技公司雨水管网，不计入本次扩建项目。废水具体详见下表4.5-1。</w:t>
      </w:r>
    </w:p>
    <w:p w14:paraId="04909F3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石墨产品清洗在超声清洗机中进行，其废水每天排放1次，清洗使用纯水依托现有工程纯水制备装置1，具体详见下表4.5-1.</w:t>
      </w:r>
    </w:p>
    <w:p w14:paraId="3B39214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碳化硅涂层生产线用水主要为碳化硅沉积炉冷却用水。冷却用水量为0</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 xml:space="preserve"> 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/d，产污系数取9</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w:t>
      </w:r>
    </w:p>
    <w:p w14:paraId="19BD8266">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扩建项目石墨纯化+碳化硅涂层废气依托现有1#四级酸雾喷淋塔处理达标后排放，石墨纯化+碳化硅涂层废气污染物排放量约占现有工程污染物排放量的2%，则本次扩建后该酸雾塔用水量增加2%，根据现有项目环评报告，四级酸雾喷淋塔内废水连续排放，排放速率为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min，排放量为7</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/d，则本次扩建酸雾塔增加废水量约为1.44m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/d，折污系数考虑0.8，则酸雾塔补水量为1.8m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164036FC">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扩建项目用水情况见下表4.5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，水平衡见图4.5-1，扩建后全厂水平衡见图4.5-2。</w:t>
      </w:r>
    </w:p>
    <w:p w14:paraId="388A104E">
      <w:pPr>
        <w:spacing w:before="32"/>
        <w:ind w:firstLine="520"/>
        <w:rPr>
          <w:bCs/>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23A04100">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用排水情况一览表</w:t>
      </w:r>
    </w:p>
    <w:tbl>
      <w:tblPr>
        <w:tblStyle w:val="88"/>
        <w:tblW w:w="5000" w:type="pct"/>
        <w:jc w:val="center"/>
        <w:tblLayout w:type="fixed"/>
        <w:tblCellMar>
          <w:top w:w="0" w:type="dxa"/>
          <w:left w:w="108" w:type="dxa"/>
          <w:bottom w:w="0" w:type="dxa"/>
          <w:right w:w="108" w:type="dxa"/>
        </w:tblCellMar>
      </w:tblPr>
      <w:tblGrid>
        <w:gridCol w:w="550"/>
        <w:gridCol w:w="551"/>
        <w:gridCol w:w="664"/>
        <w:gridCol w:w="680"/>
        <w:gridCol w:w="1729"/>
        <w:gridCol w:w="1008"/>
        <w:gridCol w:w="1009"/>
        <w:gridCol w:w="719"/>
        <w:gridCol w:w="865"/>
        <w:gridCol w:w="1152"/>
        <w:gridCol w:w="864"/>
        <w:gridCol w:w="1152"/>
        <w:gridCol w:w="1152"/>
        <w:gridCol w:w="1297"/>
        <w:gridCol w:w="782"/>
      </w:tblGrid>
      <w:tr w14:paraId="51AC7715">
        <w:tblPrEx>
          <w:tblCellMar>
            <w:top w:w="0" w:type="dxa"/>
            <w:left w:w="108" w:type="dxa"/>
            <w:bottom w:w="0" w:type="dxa"/>
            <w:right w:w="108" w:type="dxa"/>
          </w:tblCellMar>
        </w:tblPrEx>
        <w:trPr>
          <w:trHeight w:val="20" w:hRule="atLeast"/>
          <w:jc w:val="center"/>
        </w:trPr>
        <w:tc>
          <w:tcPr>
            <w:tcW w:w="541" w:type="dxa"/>
            <w:tcBorders>
              <w:top w:val="single" w:color="000000" w:sz="4" w:space="0"/>
              <w:left w:val="single" w:color="000000" w:sz="4" w:space="0"/>
              <w:bottom w:val="single" w:color="000000" w:sz="4" w:space="0"/>
              <w:right w:val="single" w:color="000000" w:sz="4" w:space="0"/>
            </w:tcBorders>
            <w:vAlign w:val="center"/>
          </w:tcPr>
          <w:p w14:paraId="55EA6D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编号</w:t>
            </w:r>
          </w:p>
        </w:tc>
        <w:tc>
          <w:tcPr>
            <w:tcW w:w="1195" w:type="dxa"/>
            <w:gridSpan w:val="2"/>
            <w:tcBorders>
              <w:top w:val="single" w:color="000000" w:sz="4" w:space="0"/>
              <w:left w:val="single" w:color="000000" w:sz="4" w:space="0"/>
              <w:bottom w:val="single" w:color="000000" w:sz="4" w:space="0"/>
              <w:right w:val="single" w:color="000000" w:sz="4" w:space="0"/>
            </w:tcBorders>
            <w:vAlign w:val="center"/>
          </w:tcPr>
          <w:p w14:paraId="1D7697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工序或来源</w:t>
            </w:r>
          </w:p>
        </w:tc>
        <w:tc>
          <w:tcPr>
            <w:tcW w:w="669" w:type="dxa"/>
            <w:tcBorders>
              <w:top w:val="single" w:color="000000" w:sz="4" w:space="0"/>
              <w:left w:val="single" w:color="000000" w:sz="4" w:space="0"/>
              <w:bottom w:val="single" w:color="000000" w:sz="4" w:space="0"/>
              <w:right w:val="single" w:color="000000" w:sz="4" w:space="0"/>
            </w:tcBorders>
            <w:vAlign w:val="center"/>
          </w:tcPr>
          <w:p w14:paraId="69AFE2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废水种类</w:t>
            </w:r>
          </w:p>
        </w:tc>
        <w:tc>
          <w:tcPr>
            <w:tcW w:w="1701" w:type="dxa"/>
            <w:tcBorders>
              <w:top w:val="single" w:color="000000" w:sz="4" w:space="0"/>
              <w:left w:val="single" w:color="000000" w:sz="4" w:space="0"/>
              <w:bottom w:val="single" w:color="000000" w:sz="4" w:space="0"/>
              <w:right w:val="single" w:color="000000" w:sz="4" w:space="0"/>
            </w:tcBorders>
            <w:vAlign w:val="center"/>
          </w:tcPr>
          <w:p w14:paraId="1B8B5C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尺寸(mm)</w:t>
            </w:r>
          </w:p>
        </w:tc>
        <w:tc>
          <w:tcPr>
            <w:tcW w:w="992" w:type="dxa"/>
            <w:tcBorders>
              <w:top w:val="single" w:color="000000" w:sz="4" w:space="0"/>
              <w:left w:val="single" w:color="000000" w:sz="4" w:space="0"/>
              <w:bottom w:val="single" w:color="000000" w:sz="4" w:space="0"/>
              <w:right w:val="single" w:color="000000" w:sz="4" w:space="0"/>
            </w:tcBorders>
            <w:vAlign w:val="center"/>
          </w:tcPr>
          <w:p w14:paraId="4C66AC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槽体容积（m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19E532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槽体有效容积（m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08D87F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槽体数量</w:t>
            </w:r>
          </w:p>
        </w:tc>
        <w:tc>
          <w:tcPr>
            <w:tcW w:w="851" w:type="dxa"/>
            <w:tcBorders>
              <w:top w:val="single" w:color="000000" w:sz="4" w:space="0"/>
              <w:left w:val="single" w:color="000000" w:sz="4" w:space="0"/>
              <w:bottom w:val="single" w:color="000000" w:sz="4" w:space="0"/>
              <w:right w:val="single" w:color="000000" w:sz="4" w:space="0"/>
            </w:tcBorders>
            <w:vAlign w:val="center"/>
          </w:tcPr>
          <w:p w14:paraId="74B0D6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扩建前更换频率</w:t>
            </w:r>
          </w:p>
        </w:tc>
        <w:tc>
          <w:tcPr>
            <w:tcW w:w="1134" w:type="dxa"/>
            <w:tcBorders>
              <w:top w:val="single" w:color="000000" w:sz="4" w:space="0"/>
              <w:left w:val="single" w:color="000000" w:sz="4" w:space="0"/>
              <w:bottom w:val="single" w:color="000000" w:sz="4" w:space="0"/>
              <w:right w:val="single" w:color="000000" w:sz="4" w:space="0"/>
            </w:tcBorders>
            <w:vAlign w:val="center"/>
          </w:tcPr>
          <w:p w14:paraId="3F27B4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扩建后更换频率</w:t>
            </w:r>
          </w:p>
        </w:tc>
        <w:tc>
          <w:tcPr>
            <w:tcW w:w="850" w:type="dxa"/>
            <w:tcBorders>
              <w:top w:val="single" w:color="000000" w:sz="4" w:space="0"/>
              <w:left w:val="single" w:color="000000" w:sz="4" w:space="0"/>
              <w:bottom w:val="single" w:color="000000" w:sz="4" w:space="0"/>
              <w:right w:val="single" w:color="000000" w:sz="4" w:space="0"/>
            </w:tcBorders>
            <w:vAlign w:val="center"/>
          </w:tcPr>
          <w:p w14:paraId="71542C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用水量（m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/d）</w:t>
            </w:r>
          </w:p>
        </w:tc>
        <w:tc>
          <w:tcPr>
            <w:tcW w:w="1134" w:type="dxa"/>
            <w:tcBorders>
              <w:top w:val="single" w:color="000000" w:sz="4" w:space="0"/>
              <w:left w:val="single" w:color="000000" w:sz="4" w:space="0"/>
              <w:bottom w:val="single" w:color="000000" w:sz="4" w:space="0"/>
              <w:right w:val="single" w:color="000000" w:sz="4" w:space="0"/>
            </w:tcBorders>
            <w:vAlign w:val="center"/>
          </w:tcPr>
          <w:p w14:paraId="453767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现有清洗线废水量（m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/d）</w:t>
            </w:r>
          </w:p>
        </w:tc>
        <w:tc>
          <w:tcPr>
            <w:tcW w:w="1134" w:type="dxa"/>
            <w:tcBorders>
              <w:top w:val="single" w:color="000000" w:sz="4" w:space="0"/>
              <w:left w:val="single" w:color="000000" w:sz="4" w:space="0"/>
              <w:bottom w:val="single" w:color="000000" w:sz="4" w:space="0"/>
              <w:right w:val="single" w:color="000000" w:sz="4" w:space="0"/>
            </w:tcBorders>
            <w:vAlign w:val="center"/>
          </w:tcPr>
          <w:p w14:paraId="799D64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项目废水量（m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/d）</w:t>
            </w:r>
          </w:p>
        </w:tc>
        <w:tc>
          <w:tcPr>
            <w:tcW w:w="1276" w:type="dxa"/>
            <w:tcBorders>
              <w:top w:val="single" w:color="000000" w:sz="4" w:space="0"/>
              <w:left w:val="single" w:color="000000" w:sz="4" w:space="0"/>
              <w:bottom w:val="single" w:color="000000" w:sz="4" w:space="0"/>
              <w:right w:val="single" w:color="000000" w:sz="4" w:space="0"/>
            </w:tcBorders>
            <w:vAlign w:val="center"/>
          </w:tcPr>
          <w:p w14:paraId="262CF0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扩建后清洗线废水量（m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/d）</w:t>
            </w:r>
          </w:p>
        </w:tc>
        <w:tc>
          <w:tcPr>
            <w:tcW w:w="770" w:type="dxa"/>
            <w:tcBorders>
              <w:top w:val="single" w:color="000000" w:sz="4" w:space="0"/>
              <w:left w:val="single" w:color="000000" w:sz="4" w:space="0"/>
              <w:bottom w:val="single" w:color="000000" w:sz="4" w:space="0"/>
              <w:right w:val="single" w:color="000000" w:sz="4" w:space="0"/>
            </w:tcBorders>
            <w:vAlign w:val="center"/>
          </w:tcPr>
          <w:p w14:paraId="250BD3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备注</w:t>
            </w:r>
          </w:p>
        </w:tc>
      </w:tr>
      <w:tr w14:paraId="0EEA09CD">
        <w:tblPrEx>
          <w:tblCellMar>
            <w:top w:w="0" w:type="dxa"/>
            <w:left w:w="108" w:type="dxa"/>
            <w:bottom w:w="0" w:type="dxa"/>
            <w:right w:w="108" w:type="dxa"/>
          </w:tblCellMar>
        </w:tblPrEx>
        <w:trPr>
          <w:trHeight w:val="20" w:hRule="atLeast"/>
          <w:jc w:val="center"/>
        </w:trPr>
        <w:tc>
          <w:tcPr>
            <w:tcW w:w="13948" w:type="dxa"/>
            <w:gridSpan w:val="15"/>
            <w:tcBorders>
              <w:top w:val="single" w:color="000000" w:sz="4" w:space="0"/>
              <w:left w:val="single" w:color="000000" w:sz="4" w:space="0"/>
              <w:bottom w:val="single" w:color="000000" w:sz="4" w:space="0"/>
              <w:right w:val="single" w:color="000000" w:sz="4" w:space="0"/>
            </w:tcBorders>
            <w:vAlign w:val="center"/>
          </w:tcPr>
          <w:p w14:paraId="606146E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一、GASKET产品生产线</w:t>
            </w:r>
            <w:r>
              <w:rPr>
                <w:rFonts w:hint="eastAsia"/>
                <w:snapToGrid/>
                <w:color w:val="000000" w:themeColor="text1"/>
                <w:sz w:val="21"/>
                <w:szCs w:val="21"/>
                <w14:textFill>
                  <w14:solidFill>
                    <w14:schemeClr w14:val="tx1"/>
                  </w14:solidFill>
                </w14:textFill>
              </w:rPr>
              <w:t>（租赁臻宝科技公司厂房）</w:t>
            </w:r>
          </w:p>
        </w:tc>
      </w:tr>
      <w:tr w14:paraId="455EEDE3">
        <w:tblPrEx>
          <w:tblCellMar>
            <w:top w:w="0" w:type="dxa"/>
            <w:left w:w="108" w:type="dxa"/>
            <w:bottom w:w="0" w:type="dxa"/>
            <w:right w:w="108" w:type="dxa"/>
          </w:tblCellMar>
        </w:tblPrEx>
        <w:trPr>
          <w:trHeight w:val="20" w:hRule="atLeast"/>
          <w:jc w:val="center"/>
        </w:trPr>
        <w:tc>
          <w:tcPr>
            <w:tcW w:w="541" w:type="dxa"/>
            <w:tcBorders>
              <w:top w:val="single" w:color="auto" w:sz="4" w:space="0"/>
              <w:left w:val="single" w:color="000000" w:sz="4" w:space="0"/>
              <w:bottom w:val="single" w:color="auto" w:sz="4" w:space="0"/>
              <w:right w:val="single" w:color="000000" w:sz="4" w:space="0"/>
            </w:tcBorders>
            <w:vAlign w:val="center"/>
          </w:tcPr>
          <w:p w14:paraId="4386B6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195" w:type="dxa"/>
            <w:gridSpan w:val="2"/>
            <w:tcBorders>
              <w:top w:val="single" w:color="auto" w:sz="4" w:space="0"/>
              <w:left w:val="single" w:color="000000" w:sz="4" w:space="0"/>
              <w:bottom w:val="single" w:color="auto" w:sz="4" w:space="0"/>
              <w:right w:val="single" w:color="000000" w:sz="4" w:space="0"/>
            </w:tcBorders>
            <w:vAlign w:val="center"/>
          </w:tcPr>
          <w:p w14:paraId="222521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抛光</w:t>
            </w:r>
          </w:p>
        </w:tc>
        <w:tc>
          <w:tcPr>
            <w:tcW w:w="669" w:type="dxa"/>
            <w:tcBorders>
              <w:top w:val="single" w:color="000000" w:sz="4" w:space="0"/>
              <w:left w:val="single" w:color="000000" w:sz="4" w:space="0"/>
              <w:bottom w:val="single" w:color="auto" w:sz="4" w:space="0"/>
              <w:right w:val="single" w:color="000000" w:sz="4" w:space="0"/>
            </w:tcBorders>
            <w:vAlign w:val="center"/>
          </w:tcPr>
          <w:p w14:paraId="0586F9EC">
            <w:pPr>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262E98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649FD7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631F22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3C7ACC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4DFDB8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98FE5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4053E9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0.5</w:t>
            </w:r>
          </w:p>
        </w:tc>
        <w:tc>
          <w:tcPr>
            <w:tcW w:w="1134" w:type="dxa"/>
            <w:tcBorders>
              <w:top w:val="single" w:color="000000" w:sz="4" w:space="0"/>
              <w:left w:val="single" w:color="000000" w:sz="4" w:space="0"/>
              <w:bottom w:val="single" w:color="000000" w:sz="4" w:space="0"/>
              <w:right w:val="single" w:color="000000" w:sz="4" w:space="0"/>
            </w:tcBorders>
            <w:vAlign w:val="center"/>
          </w:tcPr>
          <w:p w14:paraId="6E2C57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638A8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0.45</w:t>
            </w:r>
          </w:p>
        </w:tc>
        <w:tc>
          <w:tcPr>
            <w:tcW w:w="1276" w:type="dxa"/>
            <w:tcBorders>
              <w:top w:val="single" w:color="000000" w:sz="4" w:space="0"/>
              <w:left w:val="single" w:color="000000" w:sz="4" w:space="0"/>
              <w:bottom w:val="single" w:color="000000" w:sz="4" w:space="0"/>
              <w:right w:val="single" w:color="000000" w:sz="4" w:space="0"/>
            </w:tcBorders>
            <w:vAlign w:val="center"/>
          </w:tcPr>
          <w:p w14:paraId="36B29D8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0.45</w:t>
            </w:r>
          </w:p>
        </w:tc>
        <w:tc>
          <w:tcPr>
            <w:tcW w:w="770" w:type="dxa"/>
            <w:tcBorders>
              <w:top w:val="single" w:color="000000" w:sz="4" w:space="0"/>
              <w:left w:val="single" w:color="000000" w:sz="4" w:space="0"/>
              <w:bottom w:val="single" w:color="000000" w:sz="4" w:space="0"/>
              <w:right w:val="single" w:color="000000" w:sz="4" w:space="0"/>
            </w:tcBorders>
            <w:vAlign w:val="center"/>
          </w:tcPr>
          <w:p w14:paraId="7D51C7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纯水</w:t>
            </w:r>
          </w:p>
        </w:tc>
      </w:tr>
      <w:tr w14:paraId="4EB40718">
        <w:tblPrEx>
          <w:tblCellMar>
            <w:top w:w="0" w:type="dxa"/>
            <w:left w:w="108" w:type="dxa"/>
            <w:bottom w:w="0" w:type="dxa"/>
            <w:right w:w="108" w:type="dxa"/>
          </w:tblCellMar>
        </w:tblPrEx>
        <w:trPr>
          <w:trHeight w:val="20" w:hRule="atLeast"/>
          <w:jc w:val="center"/>
        </w:trPr>
        <w:tc>
          <w:tcPr>
            <w:tcW w:w="13948" w:type="dxa"/>
            <w:gridSpan w:val="15"/>
            <w:tcBorders>
              <w:top w:val="single" w:color="auto" w:sz="4" w:space="0"/>
              <w:left w:val="single" w:color="000000" w:sz="4" w:space="0"/>
              <w:bottom w:val="single" w:color="auto" w:sz="4" w:space="0"/>
              <w:right w:val="single" w:color="000000" w:sz="4" w:space="0"/>
            </w:tcBorders>
            <w:vAlign w:val="center"/>
          </w:tcPr>
          <w:p w14:paraId="65D8F1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二</w:t>
            </w:r>
            <w:r>
              <w:rPr>
                <w:snapToGrid/>
                <w:color w:val="000000" w:themeColor="text1"/>
                <w:sz w:val="21"/>
                <w:szCs w:val="21"/>
                <w14:textFill>
                  <w14:solidFill>
                    <w14:schemeClr w14:val="tx1"/>
                  </w14:solidFill>
                </w14:textFill>
              </w:rPr>
              <w:t>、GASKET产品生产线</w:t>
            </w:r>
            <w:r>
              <w:rPr>
                <w:rFonts w:hint="eastAsia"/>
                <w:snapToGrid/>
                <w:color w:val="000000" w:themeColor="text1"/>
                <w:sz w:val="21"/>
                <w:szCs w:val="21"/>
                <w14:textFill>
                  <w14:solidFill>
                    <w14:schemeClr w14:val="tx1"/>
                  </w14:solidFill>
                </w14:textFill>
              </w:rPr>
              <w:t>（租赁臻宝科技公司布置，清洗依托臻宝半导体公司）</w:t>
            </w:r>
          </w:p>
        </w:tc>
      </w:tr>
      <w:tr w14:paraId="62D2FB60">
        <w:tblPrEx>
          <w:tblCellMar>
            <w:top w:w="0" w:type="dxa"/>
            <w:left w:w="108" w:type="dxa"/>
            <w:bottom w:w="0" w:type="dxa"/>
            <w:right w:w="108" w:type="dxa"/>
          </w:tblCellMar>
        </w:tblPrEx>
        <w:trPr>
          <w:trHeight w:val="20" w:hRule="atLeast"/>
          <w:jc w:val="center"/>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14:paraId="6B810B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542" w:type="dxa"/>
            <w:vMerge w:val="restart"/>
            <w:tcBorders>
              <w:top w:val="single" w:color="000000" w:sz="4" w:space="0"/>
              <w:left w:val="single" w:color="000000" w:sz="4" w:space="0"/>
              <w:bottom w:val="single" w:color="000000" w:sz="4" w:space="0"/>
              <w:right w:val="single" w:color="000000" w:sz="4" w:space="0"/>
            </w:tcBorders>
            <w:vAlign w:val="center"/>
          </w:tcPr>
          <w:p w14:paraId="50A890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清洗区</w:t>
            </w:r>
          </w:p>
        </w:tc>
        <w:tc>
          <w:tcPr>
            <w:tcW w:w="653" w:type="dxa"/>
            <w:tcBorders>
              <w:top w:val="single" w:color="000000" w:sz="4" w:space="0"/>
              <w:left w:val="single" w:color="000000" w:sz="4" w:space="0"/>
              <w:bottom w:val="single" w:color="000000" w:sz="4" w:space="0"/>
              <w:right w:val="single" w:color="000000" w:sz="4" w:space="0"/>
            </w:tcBorders>
            <w:vAlign w:val="center"/>
          </w:tcPr>
          <w:p w14:paraId="6DB4F8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浸洗槽</w:t>
            </w:r>
          </w:p>
        </w:tc>
        <w:tc>
          <w:tcPr>
            <w:tcW w:w="669" w:type="dxa"/>
            <w:vMerge w:val="restart"/>
            <w:tcBorders>
              <w:left w:val="single" w:color="000000" w:sz="4" w:space="0"/>
              <w:right w:val="single" w:color="000000" w:sz="4" w:space="0"/>
            </w:tcBorders>
            <w:vAlign w:val="center"/>
          </w:tcPr>
          <w:p w14:paraId="52B78D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综合废水</w:t>
            </w:r>
          </w:p>
        </w:tc>
        <w:tc>
          <w:tcPr>
            <w:tcW w:w="1701" w:type="dxa"/>
            <w:tcBorders>
              <w:top w:val="single" w:color="000000" w:sz="4" w:space="0"/>
              <w:left w:val="single" w:color="000000" w:sz="4" w:space="0"/>
              <w:bottom w:val="single" w:color="000000" w:sz="4" w:space="0"/>
              <w:right w:val="single" w:color="000000" w:sz="4" w:space="0"/>
            </w:tcBorders>
            <w:vAlign w:val="center"/>
          </w:tcPr>
          <w:p w14:paraId="66B2D6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650*650*650mm（长宽高）</w:t>
            </w:r>
          </w:p>
        </w:tc>
        <w:tc>
          <w:tcPr>
            <w:tcW w:w="992" w:type="dxa"/>
            <w:tcBorders>
              <w:top w:val="single" w:color="000000" w:sz="4" w:space="0"/>
              <w:left w:val="single" w:color="000000" w:sz="4" w:space="0"/>
              <w:bottom w:val="single" w:color="000000" w:sz="4" w:space="0"/>
              <w:right w:val="single" w:color="000000" w:sz="4" w:space="0"/>
            </w:tcBorders>
            <w:vAlign w:val="center"/>
          </w:tcPr>
          <w:p w14:paraId="75E538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0.27</w:t>
            </w:r>
          </w:p>
        </w:tc>
        <w:tc>
          <w:tcPr>
            <w:tcW w:w="993" w:type="dxa"/>
            <w:tcBorders>
              <w:top w:val="single" w:color="000000" w:sz="4" w:space="0"/>
              <w:left w:val="single" w:color="000000" w:sz="4" w:space="0"/>
              <w:bottom w:val="single" w:color="000000" w:sz="4" w:space="0"/>
              <w:right w:val="single" w:color="000000" w:sz="4" w:space="0"/>
            </w:tcBorders>
            <w:vAlign w:val="center"/>
          </w:tcPr>
          <w:p w14:paraId="75C69A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0.22</w:t>
            </w:r>
          </w:p>
        </w:tc>
        <w:tc>
          <w:tcPr>
            <w:tcW w:w="708" w:type="dxa"/>
            <w:tcBorders>
              <w:top w:val="single" w:color="000000" w:sz="4" w:space="0"/>
              <w:left w:val="single" w:color="000000" w:sz="4" w:space="0"/>
              <w:bottom w:val="single" w:color="000000" w:sz="4" w:space="0"/>
              <w:right w:val="single" w:color="000000" w:sz="4" w:space="0"/>
            </w:tcBorders>
            <w:vAlign w:val="center"/>
          </w:tcPr>
          <w:p w14:paraId="5F2C3E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3F78B4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每2天</w:t>
            </w:r>
          </w:p>
        </w:tc>
        <w:tc>
          <w:tcPr>
            <w:tcW w:w="1134" w:type="dxa"/>
            <w:tcBorders>
              <w:top w:val="single" w:color="000000" w:sz="4" w:space="0"/>
              <w:left w:val="single" w:color="000000" w:sz="4" w:space="0"/>
              <w:bottom w:val="single" w:color="000000" w:sz="4" w:space="0"/>
              <w:right w:val="single" w:color="000000" w:sz="4" w:space="0"/>
            </w:tcBorders>
            <w:vAlign w:val="center"/>
          </w:tcPr>
          <w:p w14:paraId="14AB5E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每1.5天</w:t>
            </w:r>
          </w:p>
        </w:tc>
        <w:tc>
          <w:tcPr>
            <w:tcW w:w="850" w:type="dxa"/>
            <w:tcBorders>
              <w:top w:val="single" w:color="000000" w:sz="4" w:space="0"/>
              <w:left w:val="single" w:color="000000" w:sz="4" w:space="0"/>
              <w:bottom w:val="single" w:color="000000" w:sz="4" w:space="0"/>
              <w:right w:val="single" w:color="000000" w:sz="4" w:space="0"/>
            </w:tcBorders>
            <w:vAlign w:val="center"/>
          </w:tcPr>
          <w:p w14:paraId="0D4D6A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w:t>
            </w:r>
            <w:r>
              <w:rPr>
                <w:rFonts w:hint="eastAsia"/>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vAlign w:val="center"/>
          </w:tcPr>
          <w:p w14:paraId="6E00F8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0.08</w:t>
            </w:r>
          </w:p>
        </w:tc>
        <w:tc>
          <w:tcPr>
            <w:tcW w:w="1134" w:type="dxa"/>
            <w:tcBorders>
              <w:top w:val="single" w:color="000000" w:sz="4" w:space="0"/>
              <w:left w:val="single" w:color="000000" w:sz="4" w:space="0"/>
              <w:bottom w:val="single" w:color="000000" w:sz="4" w:space="0"/>
              <w:right w:val="single" w:color="000000" w:sz="4" w:space="0"/>
            </w:tcBorders>
            <w:vAlign w:val="center"/>
          </w:tcPr>
          <w:p w14:paraId="36383E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0.04</w:t>
            </w:r>
          </w:p>
        </w:tc>
        <w:tc>
          <w:tcPr>
            <w:tcW w:w="1276" w:type="dxa"/>
            <w:tcBorders>
              <w:top w:val="single" w:color="000000" w:sz="4" w:space="0"/>
              <w:left w:val="single" w:color="000000" w:sz="4" w:space="0"/>
              <w:bottom w:val="single" w:color="000000" w:sz="4" w:space="0"/>
              <w:right w:val="single" w:color="000000" w:sz="4" w:space="0"/>
            </w:tcBorders>
            <w:vAlign w:val="center"/>
          </w:tcPr>
          <w:p w14:paraId="26C918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w:t>
            </w:r>
            <w:r>
              <w:rPr>
                <w:rFonts w:hint="eastAsia"/>
                <w:snapToGrid/>
                <w:color w:val="000000" w:themeColor="text1"/>
                <w:sz w:val="21"/>
                <w:szCs w:val="21"/>
                <w14:textFill>
                  <w14:solidFill>
                    <w14:schemeClr w14:val="tx1"/>
                  </w14:solidFill>
                </w14:textFill>
              </w:rPr>
              <w:t>12</w:t>
            </w:r>
          </w:p>
        </w:tc>
        <w:tc>
          <w:tcPr>
            <w:tcW w:w="770" w:type="dxa"/>
            <w:tcBorders>
              <w:top w:val="single" w:color="000000" w:sz="4" w:space="0"/>
              <w:left w:val="single" w:color="000000" w:sz="4" w:space="0"/>
              <w:bottom w:val="single" w:color="000000" w:sz="4" w:space="0"/>
              <w:right w:val="single" w:color="000000" w:sz="4" w:space="0"/>
            </w:tcBorders>
            <w:vAlign w:val="center"/>
          </w:tcPr>
          <w:p w14:paraId="0BB967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纯水</w:t>
            </w:r>
          </w:p>
        </w:tc>
      </w:tr>
      <w:tr w14:paraId="2FA9EAE3">
        <w:tblPrEx>
          <w:tblCellMar>
            <w:top w:w="0" w:type="dxa"/>
            <w:left w:w="108" w:type="dxa"/>
            <w:bottom w:w="0" w:type="dxa"/>
            <w:right w:w="108" w:type="dxa"/>
          </w:tblCellMar>
        </w:tblPrEx>
        <w:trPr>
          <w:trHeight w:val="20" w:hRule="atLeast"/>
          <w:jc w:val="center"/>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14:paraId="53028D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542" w:type="dxa"/>
            <w:vMerge w:val="continue"/>
            <w:tcBorders>
              <w:top w:val="single" w:color="000000" w:sz="4" w:space="0"/>
              <w:left w:val="single" w:color="000000" w:sz="4" w:space="0"/>
              <w:bottom w:val="single" w:color="000000" w:sz="4" w:space="0"/>
              <w:right w:val="single" w:color="000000" w:sz="4" w:space="0"/>
            </w:tcBorders>
            <w:vAlign w:val="center"/>
          </w:tcPr>
          <w:p w14:paraId="23FB82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53" w:type="dxa"/>
            <w:tcBorders>
              <w:top w:val="single" w:color="000000" w:sz="4" w:space="0"/>
              <w:left w:val="single" w:color="000000" w:sz="4" w:space="0"/>
              <w:bottom w:val="single" w:color="000000" w:sz="4" w:space="0"/>
              <w:right w:val="single" w:color="000000" w:sz="4" w:space="0"/>
            </w:tcBorders>
            <w:vAlign w:val="center"/>
          </w:tcPr>
          <w:p w14:paraId="02D6C7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超声槽</w:t>
            </w:r>
          </w:p>
        </w:tc>
        <w:tc>
          <w:tcPr>
            <w:tcW w:w="669" w:type="dxa"/>
            <w:vMerge w:val="continue"/>
            <w:tcBorders>
              <w:left w:val="single" w:color="000000" w:sz="4" w:space="0"/>
              <w:right w:val="single" w:color="000000" w:sz="4" w:space="0"/>
            </w:tcBorders>
            <w:vAlign w:val="center"/>
          </w:tcPr>
          <w:p w14:paraId="04A699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6604B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650*650*650mm（长宽高）</w:t>
            </w:r>
          </w:p>
        </w:tc>
        <w:tc>
          <w:tcPr>
            <w:tcW w:w="992" w:type="dxa"/>
            <w:tcBorders>
              <w:top w:val="single" w:color="000000" w:sz="4" w:space="0"/>
              <w:left w:val="single" w:color="000000" w:sz="4" w:space="0"/>
              <w:bottom w:val="single" w:color="000000" w:sz="4" w:space="0"/>
              <w:right w:val="single" w:color="000000" w:sz="4" w:space="0"/>
            </w:tcBorders>
            <w:vAlign w:val="center"/>
          </w:tcPr>
          <w:p w14:paraId="373E07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0.27</w:t>
            </w:r>
          </w:p>
        </w:tc>
        <w:tc>
          <w:tcPr>
            <w:tcW w:w="993" w:type="dxa"/>
            <w:tcBorders>
              <w:top w:val="single" w:color="000000" w:sz="4" w:space="0"/>
              <w:left w:val="single" w:color="000000" w:sz="4" w:space="0"/>
              <w:bottom w:val="single" w:color="000000" w:sz="4" w:space="0"/>
              <w:right w:val="single" w:color="000000" w:sz="4" w:space="0"/>
            </w:tcBorders>
            <w:vAlign w:val="center"/>
          </w:tcPr>
          <w:p w14:paraId="61A7DF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0.22</w:t>
            </w:r>
          </w:p>
        </w:tc>
        <w:tc>
          <w:tcPr>
            <w:tcW w:w="708" w:type="dxa"/>
            <w:tcBorders>
              <w:top w:val="single" w:color="000000" w:sz="4" w:space="0"/>
              <w:left w:val="single" w:color="000000" w:sz="4" w:space="0"/>
              <w:bottom w:val="single" w:color="000000" w:sz="4" w:space="0"/>
              <w:right w:val="single" w:color="000000" w:sz="4" w:space="0"/>
            </w:tcBorders>
            <w:vAlign w:val="center"/>
          </w:tcPr>
          <w:p w14:paraId="00264F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58D5C1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每2天</w:t>
            </w:r>
          </w:p>
        </w:tc>
        <w:tc>
          <w:tcPr>
            <w:tcW w:w="1134" w:type="dxa"/>
            <w:tcBorders>
              <w:top w:val="single" w:color="000000" w:sz="4" w:space="0"/>
              <w:left w:val="single" w:color="000000" w:sz="4" w:space="0"/>
              <w:bottom w:val="single" w:color="000000" w:sz="4" w:space="0"/>
              <w:right w:val="single" w:color="000000" w:sz="4" w:space="0"/>
            </w:tcBorders>
            <w:vAlign w:val="center"/>
          </w:tcPr>
          <w:p w14:paraId="1B6EC8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每1.5天</w:t>
            </w:r>
          </w:p>
        </w:tc>
        <w:tc>
          <w:tcPr>
            <w:tcW w:w="850" w:type="dxa"/>
            <w:tcBorders>
              <w:top w:val="single" w:color="000000" w:sz="4" w:space="0"/>
              <w:left w:val="single" w:color="000000" w:sz="4" w:space="0"/>
              <w:bottom w:val="single" w:color="000000" w:sz="4" w:space="0"/>
              <w:right w:val="single" w:color="000000" w:sz="4" w:space="0"/>
            </w:tcBorders>
            <w:vAlign w:val="center"/>
          </w:tcPr>
          <w:p w14:paraId="03FD07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w:t>
            </w:r>
            <w:r>
              <w:rPr>
                <w:rFonts w:hint="eastAsia"/>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vAlign w:val="center"/>
          </w:tcPr>
          <w:p w14:paraId="1D2865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0.08</w:t>
            </w:r>
          </w:p>
        </w:tc>
        <w:tc>
          <w:tcPr>
            <w:tcW w:w="1134" w:type="dxa"/>
            <w:tcBorders>
              <w:top w:val="single" w:color="000000" w:sz="4" w:space="0"/>
              <w:left w:val="single" w:color="000000" w:sz="4" w:space="0"/>
              <w:bottom w:val="single" w:color="000000" w:sz="4" w:space="0"/>
              <w:right w:val="single" w:color="000000" w:sz="4" w:space="0"/>
            </w:tcBorders>
            <w:vAlign w:val="center"/>
          </w:tcPr>
          <w:p w14:paraId="31C606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0.04</w:t>
            </w:r>
          </w:p>
        </w:tc>
        <w:tc>
          <w:tcPr>
            <w:tcW w:w="1276" w:type="dxa"/>
            <w:tcBorders>
              <w:top w:val="single" w:color="000000" w:sz="4" w:space="0"/>
              <w:left w:val="single" w:color="000000" w:sz="4" w:space="0"/>
              <w:bottom w:val="single" w:color="000000" w:sz="4" w:space="0"/>
              <w:right w:val="single" w:color="000000" w:sz="4" w:space="0"/>
            </w:tcBorders>
            <w:vAlign w:val="center"/>
          </w:tcPr>
          <w:p w14:paraId="14EF0C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w:t>
            </w:r>
            <w:r>
              <w:rPr>
                <w:rFonts w:hint="eastAsia"/>
                <w:snapToGrid/>
                <w:color w:val="000000" w:themeColor="text1"/>
                <w:sz w:val="21"/>
                <w:szCs w:val="21"/>
                <w14:textFill>
                  <w14:solidFill>
                    <w14:schemeClr w14:val="tx1"/>
                  </w14:solidFill>
                </w14:textFill>
              </w:rPr>
              <w:t>12</w:t>
            </w:r>
          </w:p>
        </w:tc>
        <w:tc>
          <w:tcPr>
            <w:tcW w:w="770" w:type="dxa"/>
            <w:tcBorders>
              <w:top w:val="single" w:color="000000" w:sz="4" w:space="0"/>
              <w:left w:val="single" w:color="000000" w:sz="4" w:space="0"/>
              <w:bottom w:val="single" w:color="000000" w:sz="4" w:space="0"/>
              <w:right w:val="single" w:color="000000" w:sz="4" w:space="0"/>
            </w:tcBorders>
            <w:vAlign w:val="center"/>
          </w:tcPr>
          <w:p w14:paraId="31C362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纯水</w:t>
            </w:r>
          </w:p>
        </w:tc>
      </w:tr>
      <w:tr w14:paraId="4A5F341E">
        <w:tblPrEx>
          <w:tblCellMar>
            <w:top w:w="0" w:type="dxa"/>
            <w:left w:w="108" w:type="dxa"/>
            <w:bottom w:w="0" w:type="dxa"/>
            <w:right w:w="108" w:type="dxa"/>
          </w:tblCellMar>
        </w:tblPrEx>
        <w:trPr>
          <w:trHeight w:val="20" w:hRule="atLeast"/>
          <w:jc w:val="center"/>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14:paraId="24A4CA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542" w:type="dxa"/>
            <w:vMerge w:val="continue"/>
            <w:tcBorders>
              <w:top w:val="single" w:color="000000" w:sz="4" w:space="0"/>
              <w:left w:val="single" w:color="000000" w:sz="4" w:space="0"/>
              <w:bottom w:val="single" w:color="000000" w:sz="4" w:space="0"/>
              <w:right w:val="single" w:color="000000" w:sz="4" w:space="0"/>
            </w:tcBorders>
            <w:vAlign w:val="center"/>
          </w:tcPr>
          <w:p w14:paraId="60F967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53" w:type="dxa"/>
            <w:tcBorders>
              <w:top w:val="single" w:color="000000" w:sz="4" w:space="0"/>
              <w:left w:val="single" w:color="000000" w:sz="4" w:space="0"/>
              <w:bottom w:val="single" w:color="000000" w:sz="4" w:space="0"/>
              <w:right w:val="single" w:color="000000" w:sz="4" w:space="0"/>
            </w:tcBorders>
            <w:vAlign w:val="center"/>
          </w:tcPr>
          <w:p w14:paraId="5B09E1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冲淋槽</w:t>
            </w:r>
          </w:p>
        </w:tc>
        <w:tc>
          <w:tcPr>
            <w:tcW w:w="669" w:type="dxa"/>
            <w:vMerge w:val="continue"/>
            <w:tcBorders>
              <w:left w:val="single" w:color="000000" w:sz="4" w:space="0"/>
              <w:right w:val="single" w:color="000000" w:sz="4" w:space="0"/>
            </w:tcBorders>
            <w:vAlign w:val="center"/>
          </w:tcPr>
          <w:p w14:paraId="252D62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91A00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557ED7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7E1BE2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0EDD15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52826E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0D19C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346591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0.50</w:t>
            </w:r>
          </w:p>
        </w:tc>
        <w:tc>
          <w:tcPr>
            <w:tcW w:w="1134" w:type="dxa"/>
            <w:tcBorders>
              <w:top w:val="single" w:color="000000" w:sz="4" w:space="0"/>
              <w:left w:val="single" w:color="000000" w:sz="4" w:space="0"/>
              <w:bottom w:val="single" w:color="000000" w:sz="4" w:space="0"/>
              <w:right w:val="single" w:color="000000" w:sz="4" w:space="0"/>
            </w:tcBorders>
            <w:vAlign w:val="center"/>
          </w:tcPr>
          <w:p w14:paraId="379C49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27</w:t>
            </w:r>
          </w:p>
        </w:tc>
        <w:tc>
          <w:tcPr>
            <w:tcW w:w="1134" w:type="dxa"/>
            <w:tcBorders>
              <w:top w:val="single" w:color="000000" w:sz="4" w:space="0"/>
              <w:left w:val="single" w:color="000000" w:sz="4" w:space="0"/>
              <w:bottom w:val="single" w:color="000000" w:sz="4" w:space="0"/>
              <w:right w:val="single" w:color="000000" w:sz="4" w:space="0"/>
            </w:tcBorders>
            <w:vAlign w:val="center"/>
          </w:tcPr>
          <w:p w14:paraId="01BF7E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color w:val="000000" w:themeColor="text1"/>
                <w:sz w:val="22"/>
                <w:szCs w:val="22"/>
                <w14:textFill>
                  <w14:solidFill>
                    <w14:schemeClr w14:val="tx1"/>
                  </w14:solidFill>
                </w14:textFill>
              </w:rPr>
              <w:t xml:space="preserve">0.18 </w:t>
            </w:r>
          </w:p>
        </w:tc>
        <w:tc>
          <w:tcPr>
            <w:tcW w:w="1276" w:type="dxa"/>
            <w:tcBorders>
              <w:top w:val="single" w:color="000000" w:sz="4" w:space="0"/>
              <w:left w:val="single" w:color="000000" w:sz="4" w:space="0"/>
              <w:bottom w:val="single" w:color="000000" w:sz="4" w:space="0"/>
              <w:right w:val="single" w:color="000000" w:sz="4" w:space="0"/>
            </w:tcBorders>
            <w:vAlign w:val="center"/>
          </w:tcPr>
          <w:p w14:paraId="2A6E1FE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0.4</w:t>
            </w:r>
            <w:r>
              <w:rPr>
                <w:rFonts w:hint="eastAsia"/>
                <w:snapToGrid/>
                <w:color w:val="000000" w:themeColor="text1"/>
                <w:sz w:val="21"/>
                <w:szCs w:val="21"/>
                <w14:textFill>
                  <w14:solidFill>
                    <w14:schemeClr w14:val="tx1"/>
                  </w14:solidFill>
                </w14:textFill>
              </w:rPr>
              <w:t>5</w:t>
            </w:r>
          </w:p>
        </w:tc>
        <w:tc>
          <w:tcPr>
            <w:tcW w:w="770" w:type="dxa"/>
            <w:tcBorders>
              <w:top w:val="single" w:color="000000" w:sz="4" w:space="0"/>
              <w:left w:val="single" w:color="000000" w:sz="4" w:space="0"/>
              <w:bottom w:val="single" w:color="000000" w:sz="4" w:space="0"/>
              <w:right w:val="single" w:color="000000" w:sz="4" w:space="0"/>
            </w:tcBorders>
            <w:vAlign w:val="center"/>
          </w:tcPr>
          <w:p w14:paraId="5DCADB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纯水</w:t>
            </w:r>
          </w:p>
        </w:tc>
      </w:tr>
      <w:tr w14:paraId="27DB5B4A">
        <w:tblPrEx>
          <w:tblCellMar>
            <w:top w:w="0" w:type="dxa"/>
            <w:left w:w="108" w:type="dxa"/>
            <w:bottom w:w="0" w:type="dxa"/>
            <w:right w:w="108" w:type="dxa"/>
          </w:tblCellMar>
        </w:tblPrEx>
        <w:trPr>
          <w:trHeight w:val="20" w:hRule="atLeast"/>
          <w:jc w:val="center"/>
        </w:trPr>
        <w:tc>
          <w:tcPr>
            <w:tcW w:w="541" w:type="dxa"/>
            <w:tcBorders>
              <w:top w:val="single" w:color="000000" w:sz="4" w:space="0"/>
              <w:left w:val="single" w:color="000000" w:sz="4" w:space="0"/>
              <w:bottom w:val="single" w:color="000000" w:sz="4" w:space="0"/>
              <w:right w:val="single" w:color="000000" w:sz="4" w:space="0"/>
            </w:tcBorders>
            <w:vAlign w:val="center"/>
          </w:tcPr>
          <w:p w14:paraId="415F4B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c>
          <w:tcPr>
            <w:tcW w:w="1195" w:type="dxa"/>
            <w:gridSpan w:val="2"/>
            <w:tcBorders>
              <w:top w:val="single" w:color="000000" w:sz="4" w:space="0"/>
              <w:left w:val="single" w:color="000000" w:sz="4" w:space="0"/>
              <w:bottom w:val="single" w:color="000000" w:sz="4" w:space="0"/>
              <w:right w:val="single" w:color="000000" w:sz="4" w:space="0"/>
            </w:tcBorders>
            <w:vAlign w:val="center"/>
          </w:tcPr>
          <w:p w14:paraId="7FD797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配切削液用水</w:t>
            </w:r>
          </w:p>
        </w:tc>
        <w:tc>
          <w:tcPr>
            <w:tcW w:w="669" w:type="dxa"/>
            <w:vMerge w:val="continue"/>
            <w:tcBorders>
              <w:left w:val="single" w:color="000000" w:sz="4" w:space="0"/>
              <w:right w:val="single" w:color="000000" w:sz="4" w:space="0"/>
            </w:tcBorders>
            <w:vAlign w:val="center"/>
          </w:tcPr>
          <w:p w14:paraId="0CD205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7018DA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048B05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645D19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62B634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030D32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2C4977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197598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0.05</w:t>
            </w:r>
          </w:p>
        </w:tc>
        <w:tc>
          <w:tcPr>
            <w:tcW w:w="1134" w:type="dxa"/>
            <w:tcBorders>
              <w:top w:val="single" w:color="000000" w:sz="4" w:space="0"/>
              <w:left w:val="single" w:color="000000" w:sz="4" w:space="0"/>
              <w:bottom w:val="single" w:color="000000" w:sz="4" w:space="0"/>
              <w:right w:val="single" w:color="000000" w:sz="4" w:space="0"/>
            </w:tcBorders>
            <w:vAlign w:val="center"/>
          </w:tcPr>
          <w:p w14:paraId="4F5858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w:t>
            </w:r>
          </w:p>
        </w:tc>
        <w:tc>
          <w:tcPr>
            <w:tcW w:w="1134" w:type="dxa"/>
            <w:tcBorders>
              <w:top w:val="single" w:color="000000" w:sz="4" w:space="0"/>
              <w:left w:val="single" w:color="000000" w:sz="4" w:space="0"/>
              <w:bottom w:val="single" w:color="000000" w:sz="4" w:space="0"/>
              <w:right w:val="single" w:color="000000" w:sz="4" w:space="0"/>
            </w:tcBorders>
            <w:vAlign w:val="center"/>
          </w:tcPr>
          <w:p w14:paraId="0B3FCF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2A0CDE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70" w:type="dxa"/>
            <w:tcBorders>
              <w:top w:val="single" w:color="000000" w:sz="4" w:space="0"/>
              <w:left w:val="single" w:color="000000" w:sz="4" w:space="0"/>
              <w:bottom w:val="single" w:color="000000" w:sz="4" w:space="0"/>
              <w:right w:val="single" w:color="000000" w:sz="4" w:space="0"/>
            </w:tcBorders>
            <w:vAlign w:val="center"/>
          </w:tcPr>
          <w:p w14:paraId="4AB549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自来水</w:t>
            </w:r>
          </w:p>
        </w:tc>
      </w:tr>
      <w:tr w14:paraId="6FE1738F">
        <w:tblPrEx>
          <w:tblCellMar>
            <w:top w:w="0" w:type="dxa"/>
            <w:left w:w="108" w:type="dxa"/>
            <w:bottom w:w="0" w:type="dxa"/>
            <w:right w:w="108" w:type="dxa"/>
          </w:tblCellMar>
        </w:tblPrEx>
        <w:trPr>
          <w:trHeight w:val="20" w:hRule="atLeast"/>
          <w:jc w:val="center"/>
        </w:trPr>
        <w:tc>
          <w:tcPr>
            <w:tcW w:w="1736" w:type="dxa"/>
            <w:gridSpan w:val="3"/>
            <w:tcBorders>
              <w:top w:val="single" w:color="000000" w:sz="4" w:space="0"/>
              <w:left w:val="single" w:color="000000" w:sz="4" w:space="0"/>
              <w:bottom w:val="single" w:color="000000" w:sz="4" w:space="0"/>
              <w:right w:val="single" w:color="000000" w:sz="4" w:space="0"/>
            </w:tcBorders>
            <w:vAlign w:val="center"/>
          </w:tcPr>
          <w:p w14:paraId="2549E8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小计</w:t>
            </w:r>
          </w:p>
        </w:tc>
        <w:tc>
          <w:tcPr>
            <w:tcW w:w="669" w:type="dxa"/>
            <w:vMerge w:val="continue"/>
            <w:tcBorders>
              <w:left w:val="single" w:color="000000" w:sz="4" w:space="0"/>
              <w:bottom w:val="single" w:color="000000" w:sz="4" w:space="0"/>
              <w:right w:val="single" w:color="000000" w:sz="4" w:space="0"/>
            </w:tcBorders>
            <w:vAlign w:val="center"/>
          </w:tcPr>
          <w:p w14:paraId="1F5AB6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761C9E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42FC12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5B5882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6D961B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32AE4A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636EC8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2BFEA4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0.85</w:t>
            </w:r>
          </w:p>
        </w:tc>
        <w:tc>
          <w:tcPr>
            <w:tcW w:w="1134" w:type="dxa"/>
            <w:tcBorders>
              <w:top w:val="single" w:color="000000" w:sz="4" w:space="0"/>
              <w:left w:val="single" w:color="000000" w:sz="4" w:space="0"/>
              <w:bottom w:val="single" w:color="000000" w:sz="4" w:space="0"/>
              <w:right w:val="single" w:color="000000" w:sz="4" w:space="0"/>
            </w:tcBorders>
            <w:vAlign w:val="center"/>
          </w:tcPr>
          <w:p w14:paraId="63011D0D">
            <w:pPr>
              <w:widowControl/>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0.43</w:t>
            </w:r>
          </w:p>
        </w:tc>
        <w:tc>
          <w:tcPr>
            <w:tcW w:w="1134" w:type="dxa"/>
            <w:tcBorders>
              <w:top w:val="single" w:color="000000" w:sz="4" w:space="0"/>
              <w:left w:val="single" w:color="000000" w:sz="4" w:space="0"/>
              <w:bottom w:val="single" w:color="000000" w:sz="4" w:space="0"/>
              <w:right w:val="single" w:color="000000" w:sz="4" w:space="0"/>
            </w:tcBorders>
            <w:vAlign w:val="center"/>
          </w:tcPr>
          <w:p w14:paraId="3CC45423">
            <w:pPr>
              <w:widowControl/>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0.26</w:t>
            </w:r>
          </w:p>
        </w:tc>
        <w:tc>
          <w:tcPr>
            <w:tcW w:w="1276" w:type="dxa"/>
            <w:tcBorders>
              <w:top w:val="single" w:color="000000" w:sz="4" w:space="0"/>
              <w:left w:val="single" w:color="000000" w:sz="4" w:space="0"/>
              <w:bottom w:val="single" w:color="000000" w:sz="4" w:space="0"/>
              <w:right w:val="single" w:color="000000" w:sz="4" w:space="0"/>
            </w:tcBorders>
            <w:vAlign w:val="center"/>
          </w:tcPr>
          <w:p w14:paraId="52DCA971">
            <w:pPr>
              <w:widowControl/>
              <w:adjustRightInd/>
              <w:snapToGri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0.69</w:t>
            </w:r>
          </w:p>
        </w:tc>
        <w:tc>
          <w:tcPr>
            <w:tcW w:w="770" w:type="dxa"/>
            <w:tcBorders>
              <w:top w:val="single" w:color="000000" w:sz="4" w:space="0"/>
              <w:left w:val="single" w:color="000000" w:sz="4" w:space="0"/>
              <w:bottom w:val="single" w:color="000000" w:sz="4" w:space="0"/>
              <w:right w:val="single" w:color="000000" w:sz="4" w:space="0"/>
            </w:tcBorders>
            <w:vAlign w:val="center"/>
          </w:tcPr>
          <w:p w14:paraId="765D2F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2640D40B">
        <w:tblPrEx>
          <w:tblCellMar>
            <w:top w:w="0" w:type="dxa"/>
            <w:left w:w="108" w:type="dxa"/>
            <w:bottom w:w="0" w:type="dxa"/>
            <w:right w:w="108" w:type="dxa"/>
          </w:tblCellMar>
        </w:tblPrEx>
        <w:trPr>
          <w:trHeight w:val="20" w:hRule="atLeast"/>
          <w:jc w:val="center"/>
        </w:trPr>
        <w:tc>
          <w:tcPr>
            <w:tcW w:w="13948" w:type="dxa"/>
            <w:gridSpan w:val="15"/>
            <w:tcBorders>
              <w:top w:val="single" w:color="000000" w:sz="4" w:space="0"/>
              <w:left w:val="single" w:color="000000" w:sz="4" w:space="0"/>
              <w:bottom w:val="single" w:color="000000" w:sz="4" w:space="0"/>
              <w:right w:val="single" w:color="000000" w:sz="4" w:space="0"/>
            </w:tcBorders>
            <w:vAlign w:val="center"/>
          </w:tcPr>
          <w:p w14:paraId="371B1D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三</w:t>
            </w:r>
            <w:r>
              <w:rPr>
                <w:snapToGrid/>
                <w:color w:val="000000" w:themeColor="text1"/>
                <w:sz w:val="21"/>
                <w:szCs w:val="21"/>
                <w14:textFill>
                  <w14:solidFill>
                    <w14:schemeClr w14:val="tx1"/>
                  </w14:solidFill>
                </w14:textFill>
              </w:rPr>
              <w:t>、石墨生产线</w:t>
            </w:r>
            <w:r>
              <w:rPr>
                <w:rFonts w:hint="eastAsia"/>
                <w:snapToGrid/>
                <w:color w:val="000000" w:themeColor="text1"/>
                <w:sz w:val="21"/>
                <w:szCs w:val="21"/>
                <w14:textFill>
                  <w14:solidFill>
                    <w14:schemeClr w14:val="tx1"/>
                  </w14:solidFill>
                </w14:textFill>
              </w:rPr>
              <w:t>（机加租赁臻宝科技公司，纯化及纯化后清洗依托臻宝半导体公司厂房及清洗线）</w:t>
            </w:r>
          </w:p>
        </w:tc>
      </w:tr>
      <w:tr w14:paraId="66B974EC">
        <w:tblPrEx>
          <w:tblCellMar>
            <w:top w:w="0" w:type="dxa"/>
            <w:left w:w="108" w:type="dxa"/>
            <w:bottom w:w="0" w:type="dxa"/>
            <w:right w:w="108" w:type="dxa"/>
          </w:tblCellMar>
        </w:tblPrEx>
        <w:trPr>
          <w:trHeight w:val="20" w:hRule="atLeast"/>
          <w:jc w:val="center"/>
        </w:trPr>
        <w:tc>
          <w:tcPr>
            <w:tcW w:w="541" w:type="dxa"/>
            <w:tcBorders>
              <w:top w:val="single" w:color="000000" w:sz="4" w:space="0"/>
              <w:left w:val="single" w:color="000000" w:sz="4" w:space="0"/>
              <w:bottom w:val="single" w:color="000000" w:sz="4" w:space="0"/>
              <w:right w:val="single" w:color="000000" w:sz="4" w:space="0"/>
            </w:tcBorders>
            <w:vAlign w:val="center"/>
          </w:tcPr>
          <w:p w14:paraId="20136A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195" w:type="dxa"/>
            <w:gridSpan w:val="2"/>
            <w:tcBorders>
              <w:top w:val="single" w:color="000000" w:sz="4" w:space="0"/>
              <w:left w:val="single" w:color="000000" w:sz="4" w:space="0"/>
              <w:bottom w:val="single" w:color="000000" w:sz="4" w:space="0"/>
              <w:right w:val="single" w:color="000000" w:sz="4" w:space="0"/>
            </w:tcBorders>
            <w:vAlign w:val="center"/>
          </w:tcPr>
          <w:p w14:paraId="23DB86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超声清洗</w:t>
            </w:r>
          </w:p>
        </w:tc>
        <w:tc>
          <w:tcPr>
            <w:tcW w:w="669" w:type="dxa"/>
            <w:tcBorders>
              <w:top w:val="single" w:color="000000" w:sz="4" w:space="0"/>
              <w:left w:val="single" w:color="000000" w:sz="4" w:space="0"/>
              <w:bottom w:val="single" w:color="auto" w:sz="4" w:space="0"/>
              <w:right w:val="single" w:color="000000" w:sz="4" w:space="0"/>
            </w:tcBorders>
            <w:vAlign w:val="center"/>
          </w:tcPr>
          <w:p w14:paraId="37CE2D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综合废水</w:t>
            </w:r>
          </w:p>
        </w:tc>
        <w:tc>
          <w:tcPr>
            <w:tcW w:w="1701" w:type="dxa"/>
            <w:tcBorders>
              <w:top w:val="single" w:color="000000" w:sz="4" w:space="0"/>
              <w:left w:val="single" w:color="000000" w:sz="4" w:space="0"/>
              <w:bottom w:val="single" w:color="000000" w:sz="4" w:space="0"/>
              <w:right w:val="single" w:color="000000" w:sz="4" w:space="0"/>
            </w:tcBorders>
            <w:vAlign w:val="center"/>
          </w:tcPr>
          <w:p w14:paraId="7BB089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1500*1200*1200mm（长宽高）</w:t>
            </w:r>
          </w:p>
        </w:tc>
        <w:tc>
          <w:tcPr>
            <w:tcW w:w="992" w:type="dxa"/>
            <w:tcBorders>
              <w:top w:val="single" w:color="000000" w:sz="4" w:space="0"/>
              <w:left w:val="single" w:color="000000" w:sz="4" w:space="0"/>
              <w:bottom w:val="single" w:color="000000" w:sz="4" w:space="0"/>
              <w:right w:val="single" w:color="000000" w:sz="4" w:space="0"/>
            </w:tcBorders>
            <w:vAlign w:val="center"/>
          </w:tcPr>
          <w:p w14:paraId="3E8D7A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2.16</w:t>
            </w:r>
          </w:p>
        </w:tc>
        <w:tc>
          <w:tcPr>
            <w:tcW w:w="993" w:type="dxa"/>
            <w:tcBorders>
              <w:top w:val="single" w:color="000000" w:sz="4" w:space="0"/>
              <w:left w:val="single" w:color="000000" w:sz="4" w:space="0"/>
              <w:bottom w:val="single" w:color="000000" w:sz="4" w:space="0"/>
              <w:right w:val="single" w:color="000000" w:sz="4" w:space="0"/>
            </w:tcBorders>
            <w:vAlign w:val="center"/>
          </w:tcPr>
          <w:p w14:paraId="54AE85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1.73</w:t>
            </w:r>
          </w:p>
        </w:tc>
        <w:tc>
          <w:tcPr>
            <w:tcW w:w="708" w:type="dxa"/>
            <w:tcBorders>
              <w:top w:val="single" w:color="000000" w:sz="4" w:space="0"/>
              <w:left w:val="single" w:color="000000" w:sz="4" w:space="0"/>
              <w:bottom w:val="single" w:color="000000" w:sz="4" w:space="0"/>
              <w:right w:val="single" w:color="000000" w:sz="4" w:space="0"/>
            </w:tcBorders>
            <w:vAlign w:val="center"/>
          </w:tcPr>
          <w:p w14:paraId="463953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203857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每天</w:t>
            </w:r>
          </w:p>
        </w:tc>
        <w:tc>
          <w:tcPr>
            <w:tcW w:w="1134" w:type="dxa"/>
            <w:tcBorders>
              <w:top w:val="single" w:color="000000" w:sz="4" w:space="0"/>
              <w:left w:val="single" w:color="000000" w:sz="4" w:space="0"/>
              <w:bottom w:val="single" w:color="000000" w:sz="4" w:space="0"/>
              <w:right w:val="single" w:color="000000" w:sz="4" w:space="0"/>
            </w:tcBorders>
            <w:vAlign w:val="center"/>
          </w:tcPr>
          <w:p w14:paraId="2C7B59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131FCD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6.91</w:t>
            </w:r>
          </w:p>
        </w:tc>
        <w:tc>
          <w:tcPr>
            <w:tcW w:w="1134" w:type="dxa"/>
            <w:tcBorders>
              <w:top w:val="single" w:color="000000" w:sz="4" w:space="0"/>
              <w:left w:val="single" w:color="000000" w:sz="4" w:space="0"/>
              <w:bottom w:val="single" w:color="000000" w:sz="4" w:space="0"/>
              <w:right w:val="single" w:color="000000" w:sz="4" w:space="0"/>
            </w:tcBorders>
            <w:vAlign w:val="center"/>
          </w:tcPr>
          <w:p w14:paraId="460C3E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EC6AF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6.22</w:t>
            </w:r>
          </w:p>
        </w:tc>
        <w:tc>
          <w:tcPr>
            <w:tcW w:w="1276" w:type="dxa"/>
            <w:tcBorders>
              <w:top w:val="single" w:color="000000" w:sz="4" w:space="0"/>
              <w:left w:val="single" w:color="000000" w:sz="4" w:space="0"/>
              <w:bottom w:val="single" w:color="000000" w:sz="4" w:space="0"/>
              <w:right w:val="single" w:color="000000" w:sz="4" w:space="0"/>
            </w:tcBorders>
            <w:vAlign w:val="center"/>
          </w:tcPr>
          <w:p w14:paraId="0745F8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70" w:type="dxa"/>
            <w:tcBorders>
              <w:top w:val="single" w:color="000000" w:sz="4" w:space="0"/>
              <w:left w:val="single" w:color="000000" w:sz="4" w:space="0"/>
              <w:bottom w:val="single" w:color="000000" w:sz="4" w:space="0"/>
              <w:right w:val="single" w:color="000000" w:sz="4" w:space="0"/>
            </w:tcBorders>
            <w:vAlign w:val="center"/>
          </w:tcPr>
          <w:p w14:paraId="224C5D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纯水</w:t>
            </w:r>
          </w:p>
        </w:tc>
      </w:tr>
      <w:tr w14:paraId="42672432">
        <w:tblPrEx>
          <w:tblCellMar>
            <w:top w:w="0" w:type="dxa"/>
            <w:left w:w="108" w:type="dxa"/>
            <w:bottom w:w="0" w:type="dxa"/>
            <w:right w:w="108" w:type="dxa"/>
          </w:tblCellMar>
        </w:tblPrEx>
        <w:trPr>
          <w:trHeight w:val="20" w:hRule="atLeast"/>
          <w:jc w:val="center"/>
        </w:trPr>
        <w:tc>
          <w:tcPr>
            <w:tcW w:w="13948" w:type="dxa"/>
            <w:gridSpan w:val="15"/>
            <w:tcBorders>
              <w:top w:val="single" w:color="000000" w:sz="4" w:space="0"/>
              <w:left w:val="single" w:color="000000" w:sz="4" w:space="0"/>
              <w:bottom w:val="single" w:color="000000" w:sz="4" w:space="0"/>
              <w:right w:val="single" w:color="000000" w:sz="4" w:space="0"/>
            </w:tcBorders>
            <w:vAlign w:val="center"/>
          </w:tcPr>
          <w:p w14:paraId="73C75D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四</w:t>
            </w:r>
            <w:r>
              <w:rPr>
                <w:snapToGrid/>
                <w:color w:val="000000" w:themeColor="text1"/>
                <w:sz w:val="21"/>
                <w:szCs w:val="21"/>
                <w14:textFill>
                  <w14:solidFill>
                    <w14:schemeClr w14:val="tx1"/>
                  </w14:solidFill>
                </w14:textFill>
              </w:rPr>
              <w:t>、</w:t>
            </w:r>
            <w:r>
              <w:rPr>
                <w:rFonts w:hint="eastAsia"/>
                <w:snapToGrid/>
                <w:color w:val="000000" w:themeColor="text1"/>
                <w:sz w:val="21"/>
                <w:szCs w:val="21"/>
                <w14:textFill>
                  <w14:solidFill>
                    <w14:schemeClr w14:val="tx1"/>
                  </w14:solidFill>
                </w14:textFill>
              </w:rPr>
              <w:t>碳化硅涂层</w:t>
            </w:r>
            <w:r>
              <w:rPr>
                <w:snapToGrid/>
                <w:color w:val="000000" w:themeColor="text1"/>
                <w:sz w:val="21"/>
                <w:szCs w:val="21"/>
                <w14:textFill>
                  <w14:solidFill>
                    <w14:schemeClr w14:val="tx1"/>
                  </w14:solidFill>
                </w14:textFill>
              </w:rPr>
              <w:t>生产线</w:t>
            </w:r>
            <w:r>
              <w:rPr>
                <w:rFonts w:hint="eastAsia"/>
                <w:snapToGrid/>
                <w:color w:val="000000" w:themeColor="text1"/>
                <w:sz w:val="21"/>
                <w:szCs w:val="21"/>
                <w14:textFill>
                  <w14:solidFill>
                    <w14:schemeClr w14:val="tx1"/>
                  </w14:solidFill>
                </w14:textFill>
              </w:rPr>
              <w:t>（依托臻宝半导体公司厂房）</w:t>
            </w:r>
          </w:p>
        </w:tc>
      </w:tr>
      <w:tr w14:paraId="512F9D1D">
        <w:tblPrEx>
          <w:tblCellMar>
            <w:top w:w="0" w:type="dxa"/>
            <w:left w:w="108" w:type="dxa"/>
            <w:bottom w:w="0" w:type="dxa"/>
            <w:right w:w="108" w:type="dxa"/>
          </w:tblCellMar>
        </w:tblPrEx>
        <w:trPr>
          <w:trHeight w:val="20" w:hRule="atLeast"/>
          <w:jc w:val="center"/>
        </w:trPr>
        <w:tc>
          <w:tcPr>
            <w:tcW w:w="541" w:type="dxa"/>
            <w:tcBorders>
              <w:top w:val="single" w:color="000000" w:sz="4" w:space="0"/>
              <w:left w:val="single" w:color="000000" w:sz="4" w:space="0"/>
              <w:bottom w:val="single" w:color="000000" w:sz="4" w:space="0"/>
              <w:right w:val="single" w:color="000000" w:sz="4" w:space="0"/>
            </w:tcBorders>
            <w:vAlign w:val="center"/>
          </w:tcPr>
          <w:p w14:paraId="09E463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w:t>
            </w:r>
          </w:p>
        </w:tc>
        <w:tc>
          <w:tcPr>
            <w:tcW w:w="1195" w:type="dxa"/>
            <w:gridSpan w:val="2"/>
            <w:tcBorders>
              <w:top w:val="single" w:color="000000" w:sz="4" w:space="0"/>
              <w:left w:val="single" w:color="000000" w:sz="4" w:space="0"/>
              <w:bottom w:val="single" w:color="000000" w:sz="4" w:space="0"/>
              <w:right w:val="single" w:color="000000" w:sz="4" w:space="0"/>
            </w:tcBorders>
            <w:vAlign w:val="center"/>
          </w:tcPr>
          <w:p w14:paraId="19B743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碳化硅涂层生产冷却水</w:t>
            </w:r>
          </w:p>
        </w:tc>
        <w:tc>
          <w:tcPr>
            <w:tcW w:w="669" w:type="dxa"/>
            <w:vMerge w:val="restart"/>
            <w:tcBorders>
              <w:top w:val="single" w:color="auto" w:sz="4" w:space="0"/>
              <w:left w:val="single" w:color="000000" w:sz="4" w:space="0"/>
              <w:right w:val="single" w:color="000000" w:sz="4" w:space="0"/>
            </w:tcBorders>
            <w:vAlign w:val="center"/>
          </w:tcPr>
          <w:p w14:paraId="26A773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综合废水</w:t>
            </w:r>
          </w:p>
        </w:tc>
        <w:tc>
          <w:tcPr>
            <w:tcW w:w="1701" w:type="dxa"/>
            <w:tcBorders>
              <w:top w:val="single" w:color="000000" w:sz="4" w:space="0"/>
              <w:left w:val="single" w:color="000000" w:sz="4" w:space="0"/>
              <w:bottom w:val="single" w:color="000000" w:sz="4" w:space="0"/>
              <w:right w:val="single" w:color="000000" w:sz="4" w:space="0"/>
            </w:tcBorders>
            <w:vAlign w:val="center"/>
          </w:tcPr>
          <w:p w14:paraId="011187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187FEE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7EE351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71AD5D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22E185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0DD9F6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113965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0.5</w:t>
            </w:r>
          </w:p>
        </w:tc>
        <w:tc>
          <w:tcPr>
            <w:tcW w:w="1134" w:type="dxa"/>
            <w:tcBorders>
              <w:top w:val="single" w:color="000000" w:sz="4" w:space="0"/>
              <w:left w:val="single" w:color="000000" w:sz="4" w:space="0"/>
              <w:bottom w:val="single" w:color="000000" w:sz="4" w:space="0"/>
              <w:right w:val="single" w:color="000000" w:sz="4" w:space="0"/>
            </w:tcBorders>
            <w:vAlign w:val="center"/>
          </w:tcPr>
          <w:p w14:paraId="6208D6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82705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0.45</w:t>
            </w:r>
          </w:p>
        </w:tc>
        <w:tc>
          <w:tcPr>
            <w:tcW w:w="1276" w:type="dxa"/>
            <w:tcBorders>
              <w:top w:val="single" w:color="000000" w:sz="4" w:space="0"/>
              <w:left w:val="single" w:color="000000" w:sz="4" w:space="0"/>
              <w:bottom w:val="single" w:color="000000" w:sz="4" w:space="0"/>
              <w:right w:val="single" w:color="000000" w:sz="4" w:space="0"/>
            </w:tcBorders>
            <w:vAlign w:val="center"/>
          </w:tcPr>
          <w:p w14:paraId="5C170B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70" w:type="dxa"/>
            <w:tcBorders>
              <w:top w:val="single" w:color="000000" w:sz="4" w:space="0"/>
              <w:left w:val="single" w:color="000000" w:sz="4" w:space="0"/>
              <w:bottom w:val="single" w:color="000000" w:sz="4" w:space="0"/>
              <w:right w:val="single" w:color="000000" w:sz="4" w:space="0"/>
            </w:tcBorders>
            <w:vAlign w:val="center"/>
          </w:tcPr>
          <w:p w14:paraId="7B24E3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自来水</w:t>
            </w:r>
          </w:p>
        </w:tc>
      </w:tr>
      <w:tr w14:paraId="77E1565C">
        <w:tblPrEx>
          <w:tblCellMar>
            <w:top w:w="0" w:type="dxa"/>
            <w:left w:w="108" w:type="dxa"/>
            <w:bottom w:w="0" w:type="dxa"/>
            <w:right w:w="108" w:type="dxa"/>
          </w:tblCellMar>
        </w:tblPrEx>
        <w:trPr>
          <w:trHeight w:val="20" w:hRule="atLeast"/>
          <w:jc w:val="center"/>
        </w:trPr>
        <w:tc>
          <w:tcPr>
            <w:tcW w:w="541" w:type="dxa"/>
            <w:tcBorders>
              <w:top w:val="single" w:color="000000" w:sz="4" w:space="0"/>
              <w:left w:val="single" w:color="000000" w:sz="4" w:space="0"/>
              <w:bottom w:val="single" w:color="000000" w:sz="4" w:space="0"/>
              <w:right w:val="single" w:color="000000" w:sz="4" w:space="0"/>
            </w:tcBorders>
            <w:vAlign w:val="center"/>
          </w:tcPr>
          <w:p w14:paraId="2AAB53A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w:t>
            </w:r>
          </w:p>
        </w:tc>
        <w:tc>
          <w:tcPr>
            <w:tcW w:w="1195" w:type="dxa"/>
            <w:gridSpan w:val="2"/>
            <w:tcBorders>
              <w:top w:val="single" w:color="000000" w:sz="4" w:space="0"/>
              <w:left w:val="single" w:color="000000" w:sz="4" w:space="0"/>
              <w:bottom w:val="single" w:color="000000" w:sz="4" w:space="0"/>
              <w:right w:val="single" w:color="000000" w:sz="4" w:space="0"/>
            </w:tcBorders>
            <w:vAlign w:val="center"/>
          </w:tcPr>
          <w:p w14:paraId="09B4F9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酸雾塔用水</w:t>
            </w:r>
          </w:p>
        </w:tc>
        <w:tc>
          <w:tcPr>
            <w:tcW w:w="669" w:type="dxa"/>
            <w:vMerge w:val="continue"/>
            <w:tcBorders>
              <w:left w:val="single" w:color="000000" w:sz="4" w:space="0"/>
              <w:bottom w:val="single" w:color="000000" w:sz="4" w:space="0"/>
              <w:right w:val="single" w:color="000000" w:sz="4" w:space="0"/>
            </w:tcBorders>
            <w:vAlign w:val="center"/>
          </w:tcPr>
          <w:p w14:paraId="7EDA0F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E9DE6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5A93FB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7A291A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15ED06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412587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7C9D2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749086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1.8</w:t>
            </w:r>
          </w:p>
        </w:tc>
        <w:tc>
          <w:tcPr>
            <w:tcW w:w="1134" w:type="dxa"/>
            <w:tcBorders>
              <w:top w:val="single" w:color="000000" w:sz="4" w:space="0"/>
              <w:left w:val="single" w:color="000000" w:sz="4" w:space="0"/>
              <w:bottom w:val="single" w:color="000000" w:sz="4" w:space="0"/>
              <w:right w:val="single" w:color="000000" w:sz="4" w:space="0"/>
            </w:tcBorders>
            <w:vAlign w:val="center"/>
          </w:tcPr>
          <w:p w14:paraId="6783BB6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3B94A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1.44</w:t>
            </w:r>
          </w:p>
        </w:tc>
        <w:tc>
          <w:tcPr>
            <w:tcW w:w="1276" w:type="dxa"/>
            <w:tcBorders>
              <w:top w:val="single" w:color="000000" w:sz="4" w:space="0"/>
              <w:left w:val="single" w:color="000000" w:sz="4" w:space="0"/>
              <w:bottom w:val="single" w:color="000000" w:sz="4" w:space="0"/>
              <w:right w:val="single" w:color="000000" w:sz="4" w:space="0"/>
            </w:tcBorders>
            <w:vAlign w:val="center"/>
          </w:tcPr>
          <w:p w14:paraId="366D6E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70" w:type="dxa"/>
            <w:tcBorders>
              <w:top w:val="single" w:color="000000" w:sz="4" w:space="0"/>
              <w:left w:val="single" w:color="000000" w:sz="4" w:space="0"/>
              <w:bottom w:val="single" w:color="000000" w:sz="4" w:space="0"/>
              <w:right w:val="single" w:color="000000" w:sz="4" w:space="0"/>
            </w:tcBorders>
            <w:vAlign w:val="center"/>
          </w:tcPr>
          <w:p w14:paraId="1F2560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自来水</w:t>
            </w:r>
          </w:p>
        </w:tc>
      </w:tr>
      <w:tr w14:paraId="01C97386">
        <w:tblPrEx>
          <w:tblCellMar>
            <w:top w:w="0" w:type="dxa"/>
            <w:left w:w="108" w:type="dxa"/>
            <w:bottom w:w="0" w:type="dxa"/>
            <w:right w:w="108" w:type="dxa"/>
          </w:tblCellMar>
        </w:tblPrEx>
        <w:trPr>
          <w:trHeight w:val="20" w:hRule="atLeast"/>
          <w:jc w:val="center"/>
        </w:trPr>
        <w:tc>
          <w:tcPr>
            <w:tcW w:w="1736" w:type="dxa"/>
            <w:gridSpan w:val="3"/>
            <w:tcBorders>
              <w:top w:val="single" w:color="000000" w:sz="4" w:space="0"/>
              <w:left w:val="single" w:color="000000" w:sz="4" w:space="0"/>
              <w:bottom w:val="single" w:color="000000" w:sz="4" w:space="0"/>
              <w:right w:val="single" w:color="000000" w:sz="4" w:space="0"/>
            </w:tcBorders>
            <w:vAlign w:val="center"/>
          </w:tcPr>
          <w:p w14:paraId="1ABB10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小计</w:t>
            </w:r>
          </w:p>
        </w:tc>
        <w:tc>
          <w:tcPr>
            <w:tcW w:w="669" w:type="dxa"/>
            <w:tcBorders>
              <w:top w:val="single" w:color="000000" w:sz="4" w:space="0"/>
              <w:left w:val="single" w:color="000000" w:sz="4" w:space="0"/>
              <w:bottom w:val="single" w:color="000000" w:sz="4" w:space="0"/>
              <w:right w:val="single" w:color="000000" w:sz="4" w:space="0"/>
            </w:tcBorders>
            <w:vAlign w:val="center"/>
          </w:tcPr>
          <w:p w14:paraId="157947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68B32C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3CB563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15C82C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3B6BB8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2E891C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D0FFC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4954F4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9.21</w:t>
            </w:r>
          </w:p>
        </w:tc>
        <w:tc>
          <w:tcPr>
            <w:tcW w:w="1134" w:type="dxa"/>
            <w:tcBorders>
              <w:top w:val="single" w:color="000000" w:sz="4" w:space="0"/>
              <w:left w:val="single" w:color="000000" w:sz="4" w:space="0"/>
              <w:bottom w:val="single" w:color="000000" w:sz="4" w:space="0"/>
              <w:right w:val="single" w:color="000000" w:sz="4" w:space="0"/>
            </w:tcBorders>
            <w:vAlign w:val="center"/>
          </w:tcPr>
          <w:p w14:paraId="5B3CCC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683D0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8.11</w:t>
            </w:r>
          </w:p>
        </w:tc>
        <w:tc>
          <w:tcPr>
            <w:tcW w:w="1276" w:type="dxa"/>
            <w:tcBorders>
              <w:top w:val="single" w:color="000000" w:sz="4" w:space="0"/>
              <w:left w:val="single" w:color="000000" w:sz="4" w:space="0"/>
              <w:bottom w:val="single" w:color="000000" w:sz="4" w:space="0"/>
              <w:right w:val="single" w:color="000000" w:sz="4" w:space="0"/>
            </w:tcBorders>
            <w:vAlign w:val="center"/>
          </w:tcPr>
          <w:p w14:paraId="49E944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70" w:type="dxa"/>
            <w:tcBorders>
              <w:top w:val="single" w:color="000000" w:sz="4" w:space="0"/>
              <w:left w:val="single" w:color="000000" w:sz="4" w:space="0"/>
              <w:bottom w:val="single" w:color="000000" w:sz="4" w:space="0"/>
              <w:right w:val="single" w:color="000000" w:sz="4" w:space="0"/>
            </w:tcBorders>
            <w:vAlign w:val="center"/>
          </w:tcPr>
          <w:p w14:paraId="14F7CE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r>
      <w:tr w14:paraId="743FE30E">
        <w:tblPrEx>
          <w:tblCellMar>
            <w:top w:w="0" w:type="dxa"/>
            <w:left w:w="108" w:type="dxa"/>
            <w:bottom w:w="0" w:type="dxa"/>
            <w:right w:w="108" w:type="dxa"/>
          </w:tblCellMar>
        </w:tblPrEx>
        <w:trPr>
          <w:trHeight w:val="20" w:hRule="atLeast"/>
          <w:jc w:val="center"/>
        </w:trPr>
        <w:tc>
          <w:tcPr>
            <w:tcW w:w="1736" w:type="dxa"/>
            <w:gridSpan w:val="3"/>
            <w:tcBorders>
              <w:top w:val="single" w:color="000000" w:sz="4" w:space="0"/>
              <w:left w:val="single" w:color="000000" w:sz="4" w:space="0"/>
              <w:bottom w:val="single" w:color="000000" w:sz="4" w:space="0"/>
              <w:right w:val="single" w:color="000000" w:sz="4" w:space="0"/>
            </w:tcBorders>
            <w:vAlign w:val="center"/>
          </w:tcPr>
          <w:p w14:paraId="28619B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生产用新鲜水总计</w:t>
            </w:r>
          </w:p>
        </w:tc>
        <w:tc>
          <w:tcPr>
            <w:tcW w:w="669" w:type="dxa"/>
            <w:tcBorders>
              <w:top w:val="single" w:color="000000" w:sz="4" w:space="0"/>
              <w:left w:val="single" w:color="000000" w:sz="4" w:space="0"/>
              <w:bottom w:val="single" w:color="000000" w:sz="4" w:space="0"/>
              <w:right w:val="single" w:color="000000" w:sz="4" w:space="0"/>
            </w:tcBorders>
            <w:vAlign w:val="center"/>
          </w:tcPr>
          <w:p w14:paraId="43A94D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50FF4D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6D5052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3D741E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2AD1BC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4B3403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257F6B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2453CB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10.06</w:t>
            </w:r>
          </w:p>
        </w:tc>
        <w:tc>
          <w:tcPr>
            <w:tcW w:w="1134" w:type="dxa"/>
            <w:tcBorders>
              <w:top w:val="single" w:color="000000" w:sz="4" w:space="0"/>
              <w:left w:val="single" w:color="000000" w:sz="4" w:space="0"/>
              <w:bottom w:val="single" w:color="000000" w:sz="4" w:space="0"/>
              <w:right w:val="single" w:color="000000" w:sz="4" w:space="0"/>
            </w:tcBorders>
            <w:vAlign w:val="center"/>
          </w:tcPr>
          <w:p w14:paraId="3DB7C7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E6445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77BD03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70" w:type="dxa"/>
            <w:tcBorders>
              <w:top w:val="single" w:color="000000" w:sz="4" w:space="0"/>
              <w:left w:val="single" w:color="000000" w:sz="4" w:space="0"/>
              <w:bottom w:val="single" w:color="000000" w:sz="4" w:space="0"/>
              <w:right w:val="single" w:color="000000" w:sz="4" w:space="0"/>
            </w:tcBorders>
            <w:vAlign w:val="center"/>
          </w:tcPr>
          <w:p w14:paraId="293BBF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r>
      <w:tr w14:paraId="51E0DD4A">
        <w:tblPrEx>
          <w:tblCellMar>
            <w:top w:w="0" w:type="dxa"/>
            <w:left w:w="108" w:type="dxa"/>
            <w:bottom w:w="0" w:type="dxa"/>
            <w:right w:w="108" w:type="dxa"/>
          </w:tblCellMar>
        </w:tblPrEx>
        <w:trPr>
          <w:trHeight w:val="20" w:hRule="atLeast"/>
          <w:jc w:val="center"/>
        </w:trPr>
        <w:tc>
          <w:tcPr>
            <w:tcW w:w="1736" w:type="dxa"/>
            <w:gridSpan w:val="3"/>
            <w:tcBorders>
              <w:top w:val="single" w:color="000000" w:sz="4" w:space="0"/>
              <w:left w:val="single" w:color="000000" w:sz="4" w:space="0"/>
              <w:bottom w:val="single" w:color="000000" w:sz="4" w:space="0"/>
              <w:right w:val="single" w:color="000000" w:sz="4" w:space="0"/>
            </w:tcBorders>
            <w:vAlign w:val="center"/>
          </w:tcPr>
          <w:p w14:paraId="51F694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纯水制备</w:t>
            </w:r>
          </w:p>
        </w:tc>
        <w:tc>
          <w:tcPr>
            <w:tcW w:w="669" w:type="dxa"/>
            <w:tcBorders>
              <w:top w:val="single" w:color="000000" w:sz="4" w:space="0"/>
              <w:left w:val="single" w:color="000000" w:sz="4" w:space="0"/>
              <w:bottom w:val="single" w:color="000000" w:sz="4" w:space="0"/>
              <w:right w:val="single" w:color="000000" w:sz="4" w:space="0"/>
            </w:tcBorders>
            <w:vAlign w:val="center"/>
          </w:tcPr>
          <w:p w14:paraId="7B9CD21B">
            <w:pPr>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清下水</w:t>
            </w:r>
          </w:p>
        </w:tc>
        <w:tc>
          <w:tcPr>
            <w:tcW w:w="1701" w:type="dxa"/>
            <w:tcBorders>
              <w:top w:val="single" w:color="000000" w:sz="4" w:space="0"/>
              <w:left w:val="single" w:color="000000" w:sz="4" w:space="0"/>
              <w:bottom w:val="single" w:color="000000" w:sz="4" w:space="0"/>
              <w:right w:val="single" w:color="000000" w:sz="4" w:space="0"/>
            </w:tcBorders>
            <w:vAlign w:val="center"/>
          </w:tcPr>
          <w:p w14:paraId="4A355124">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7A76AB51">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35972914">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030FB86A">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0D226D50">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CC84F62">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2B9A51B6">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9.61</w:t>
            </w:r>
          </w:p>
        </w:tc>
        <w:tc>
          <w:tcPr>
            <w:tcW w:w="1134" w:type="dxa"/>
            <w:tcBorders>
              <w:top w:val="single" w:color="000000" w:sz="4" w:space="0"/>
              <w:left w:val="single" w:color="000000" w:sz="4" w:space="0"/>
              <w:bottom w:val="single" w:color="000000" w:sz="4" w:space="0"/>
              <w:right w:val="single" w:color="000000" w:sz="4" w:space="0"/>
            </w:tcBorders>
            <w:vAlign w:val="center"/>
          </w:tcPr>
          <w:p w14:paraId="5A3D8C0E">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632E63B">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2.40 </w:t>
            </w:r>
          </w:p>
        </w:tc>
        <w:tc>
          <w:tcPr>
            <w:tcW w:w="1276" w:type="dxa"/>
            <w:tcBorders>
              <w:top w:val="single" w:color="000000" w:sz="4" w:space="0"/>
              <w:left w:val="single" w:color="000000" w:sz="4" w:space="0"/>
              <w:bottom w:val="single" w:color="000000" w:sz="4" w:space="0"/>
              <w:right w:val="single" w:color="000000" w:sz="4" w:space="0"/>
            </w:tcBorders>
            <w:vAlign w:val="center"/>
          </w:tcPr>
          <w:p w14:paraId="69B7238C">
            <w:pPr>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70" w:type="dxa"/>
            <w:tcBorders>
              <w:top w:val="single" w:color="000000" w:sz="4" w:space="0"/>
              <w:left w:val="single" w:color="000000" w:sz="4" w:space="0"/>
              <w:bottom w:val="single" w:color="000000" w:sz="4" w:space="0"/>
              <w:right w:val="single" w:color="000000" w:sz="4" w:space="0"/>
            </w:tcBorders>
            <w:vAlign w:val="center"/>
          </w:tcPr>
          <w:p w14:paraId="31DBA1F4">
            <w:pPr>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自来水</w:t>
            </w:r>
          </w:p>
        </w:tc>
      </w:tr>
      <w:tr w14:paraId="1991C96D">
        <w:tblPrEx>
          <w:tblCellMar>
            <w:top w:w="0" w:type="dxa"/>
            <w:left w:w="108" w:type="dxa"/>
            <w:bottom w:w="0" w:type="dxa"/>
            <w:right w:w="108" w:type="dxa"/>
          </w:tblCellMar>
        </w:tblPrEx>
        <w:trPr>
          <w:trHeight w:val="20" w:hRule="atLeast"/>
          <w:jc w:val="center"/>
        </w:trPr>
        <w:tc>
          <w:tcPr>
            <w:tcW w:w="1736" w:type="dxa"/>
            <w:gridSpan w:val="3"/>
            <w:tcBorders>
              <w:top w:val="single" w:color="000000" w:sz="4" w:space="0"/>
              <w:left w:val="single" w:color="000000" w:sz="4" w:space="0"/>
              <w:bottom w:val="single" w:color="000000" w:sz="4" w:space="0"/>
              <w:right w:val="single" w:color="000000" w:sz="4" w:space="0"/>
            </w:tcBorders>
            <w:vAlign w:val="center"/>
          </w:tcPr>
          <w:p w14:paraId="3A963C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生活用水</w:t>
            </w:r>
          </w:p>
        </w:tc>
        <w:tc>
          <w:tcPr>
            <w:tcW w:w="669" w:type="dxa"/>
            <w:tcBorders>
              <w:top w:val="single" w:color="000000" w:sz="4" w:space="0"/>
              <w:left w:val="single" w:color="000000" w:sz="4" w:space="0"/>
              <w:bottom w:val="single" w:color="000000" w:sz="4" w:space="0"/>
              <w:right w:val="single" w:color="000000" w:sz="4" w:space="0"/>
            </w:tcBorders>
            <w:vAlign w:val="center"/>
          </w:tcPr>
          <w:p w14:paraId="30ACDA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生活污水</w:t>
            </w:r>
          </w:p>
        </w:tc>
        <w:tc>
          <w:tcPr>
            <w:tcW w:w="1701" w:type="dxa"/>
            <w:tcBorders>
              <w:top w:val="single" w:color="000000" w:sz="4" w:space="0"/>
              <w:left w:val="single" w:color="000000" w:sz="4" w:space="0"/>
              <w:bottom w:val="single" w:color="000000" w:sz="4" w:space="0"/>
              <w:right w:val="single" w:color="000000" w:sz="4" w:space="0"/>
            </w:tcBorders>
            <w:vAlign w:val="center"/>
          </w:tcPr>
          <w:p w14:paraId="72403D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25815C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6ED70A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4AC15E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7744AB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20871C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7A526E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1.25</w:t>
            </w:r>
          </w:p>
        </w:tc>
        <w:tc>
          <w:tcPr>
            <w:tcW w:w="1134" w:type="dxa"/>
            <w:tcBorders>
              <w:top w:val="single" w:color="000000" w:sz="4" w:space="0"/>
              <w:left w:val="single" w:color="000000" w:sz="4" w:space="0"/>
              <w:bottom w:val="single" w:color="000000" w:sz="4" w:space="0"/>
              <w:right w:val="single" w:color="000000" w:sz="4" w:space="0"/>
            </w:tcBorders>
            <w:vAlign w:val="center"/>
          </w:tcPr>
          <w:p w14:paraId="476157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7C66C8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276" w:type="dxa"/>
            <w:tcBorders>
              <w:top w:val="single" w:color="000000" w:sz="4" w:space="0"/>
              <w:left w:val="single" w:color="000000" w:sz="4" w:space="0"/>
              <w:bottom w:val="single" w:color="000000" w:sz="4" w:space="0"/>
              <w:right w:val="single" w:color="000000" w:sz="4" w:space="0"/>
            </w:tcBorders>
            <w:vAlign w:val="center"/>
          </w:tcPr>
          <w:p w14:paraId="0E3251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70" w:type="dxa"/>
            <w:tcBorders>
              <w:top w:val="single" w:color="000000" w:sz="4" w:space="0"/>
              <w:left w:val="single" w:color="000000" w:sz="4" w:space="0"/>
              <w:bottom w:val="single" w:color="000000" w:sz="4" w:space="0"/>
              <w:right w:val="single" w:color="000000" w:sz="4" w:space="0"/>
            </w:tcBorders>
            <w:vAlign w:val="center"/>
          </w:tcPr>
          <w:p w14:paraId="3B71D8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自来水</w:t>
            </w:r>
          </w:p>
        </w:tc>
      </w:tr>
      <w:tr w14:paraId="24367D7A">
        <w:tblPrEx>
          <w:tblCellMar>
            <w:top w:w="0" w:type="dxa"/>
            <w:left w:w="108" w:type="dxa"/>
            <w:bottom w:w="0" w:type="dxa"/>
            <w:right w:w="108" w:type="dxa"/>
          </w:tblCellMar>
        </w:tblPrEx>
        <w:trPr>
          <w:trHeight w:val="20" w:hRule="atLeast"/>
          <w:jc w:val="center"/>
        </w:trPr>
        <w:tc>
          <w:tcPr>
            <w:tcW w:w="1736" w:type="dxa"/>
            <w:gridSpan w:val="3"/>
            <w:tcBorders>
              <w:top w:val="single" w:color="000000" w:sz="4" w:space="0"/>
              <w:left w:val="single" w:color="000000" w:sz="4" w:space="0"/>
              <w:bottom w:val="single" w:color="000000" w:sz="4" w:space="0"/>
              <w:right w:val="single" w:color="000000" w:sz="4" w:space="0"/>
            </w:tcBorders>
            <w:vAlign w:val="center"/>
          </w:tcPr>
          <w:p w14:paraId="08E922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全厂总计</w:t>
            </w:r>
          </w:p>
        </w:tc>
        <w:tc>
          <w:tcPr>
            <w:tcW w:w="669" w:type="dxa"/>
            <w:tcBorders>
              <w:top w:val="single" w:color="000000" w:sz="4" w:space="0"/>
              <w:left w:val="single" w:color="000000" w:sz="4" w:space="0"/>
              <w:bottom w:val="single" w:color="000000" w:sz="4" w:space="0"/>
              <w:right w:val="single" w:color="000000" w:sz="4" w:space="0"/>
            </w:tcBorders>
            <w:vAlign w:val="center"/>
          </w:tcPr>
          <w:p w14:paraId="72CA5E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588BA7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00ADAF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93" w:type="dxa"/>
            <w:tcBorders>
              <w:top w:val="single" w:color="000000" w:sz="4" w:space="0"/>
              <w:left w:val="single" w:color="000000" w:sz="4" w:space="0"/>
              <w:bottom w:val="single" w:color="000000" w:sz="4" w:space="0"/>
              <w:right w:val="single" w:color="000000" w:sz="4" w:space="0"/>
            </w:tcBorders>
            <w:vAlign w:val="center"/>
          </w:tcPr>
          <w:p w14:paraId="224519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4FE5DF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40BFDC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B89F2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163BBDC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13.21</w:t>
            </w:r>
          </w:p>
        </w:tc>
        <w:tc>
          <w:tcPr>
            <w:tcW w:w="1134" w:type="dxa"/>
            <w:tcBorders>
              <w:top w:val="single" w:color="000000" w:sz="4" w:space="0"/>
              <w:left w:val="single" w:color="000000" w:sz="4" w:space="0"/>
              <w:bottom w:val="single" w:color="000000" w:sz="4" w:space="0"/>
              <w:right w:val="single" w:color="000000" w:sz="4" w:space="0"/>
            </w:tcBorders>
            <w:vAlign w:val="center"/>
          </w:tcPr>
          <w:p w14:paraId="0CEC94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6B133D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9.37</w:t>
            </w:r>
          </w:p>
        </w:tc>
        <w:tc>
          <w:tcPr>
            <w:tcW w:w="1276" w:type="dxa"/>
            <w:tcBorders>
              <w:top w:val="single" w:color="000000" w:sz="4" w:space="0"/>
              <w:left w:val="single" w:color="000000" w:sz="4" w:space="0"/>
              <w:bottom w:val="single" w:color="000000" w:sz="4" w:space="0"/>
              <w:right w:val="single" w:color="000000" w:sz="4" w:space="0"/>
            </w:tcBorders>
            <w:vAlign w:val="center"/>
          </w:tcPr>
          <w:p w14:paraId="5C20AB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770" w:type="dxa"/>
            <w:tcBorders>
              <w:top w:val="single" w:color="000000" w:sz="4" w:space="0"/>
              <w:left w:val="single" w:color="000000" w:sz="4" w:space="0"/>
              <w:bottom w:val="single" w:color="000000" w:sz="4" w:space="0"/>
              <w:right w:val="single" w:color="000000" w:sz="4" w:space="0"/>
            </w:tcBorders>
            <w:vAlign w:val="center"/>
          </w:tcPr>
          <w:p w14:paraId="6C6971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r>
    </w:tbl>
    <w:p w14:paraId="597874FB">
      <w:pPr>
        <w:spacing w:before="33"/>
        <w:ind w:firstLine="520"/>
        <w:rPr>
          <w:bCs/>
          <w:color w:val="000000" w:themeColor="text1"/>
          <w14:textFill>
            <w14:solidFill>
              <w14:schemeClr w14:val="tx1"/>
            </w14:solidFill>
          </w14:textFill>
        </w:rPr>
        <w:sectPr>
          <w:pgSz w:w="16838" w:h="11906" w:orient="landscape"/>
          <w:pgMar w:top="1803" w:right="1440" w:bottom="1803" w:left="1440" w:header="851" w:footer="992" w:gutter="0"/>
          <w:cols w:space="0" w:num="1"/>
          <w:docGrid w:type="lines" w:linePitch="332" w:charSpace="0"/>
        </w:sectPr>
      </w:pPr>
    </w:p>
    <w:p w14:paraId="7D2C9BD8">
      <w:pPr>
        <w:spacing w:line="240" w:lineRule="auto"/>
        <w:ind w:firstLine="0" w:firstLineChars="0"/>
        <w:jc w:val="center"/>
        <w:rPr>
          <w:b/>
          <w:bCs/>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8409940" cy="4042410"/>
            <wp:effectExtent l="0" t="0" r="0" b="0"/>
            <wp:docPr id="78215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5341" name="图片 1"/>
                    <pic:cNvPicPr>
                      <a:picLocks noChangeAspect="1"/>
                    </pic:cNvPicPr>
                  </pic:nvPicPr>
                  <pic:blipFill>
                    <a:blip r:embed="rId51"/>
                    <a:stretch>
                      <a:fillRect/>
                    </a:stretch>
                  </pic:blipFill>
                  <pic:spPr>
                    <a:xfrm>
                      <a:off x="0" y="0"/>
                      <a:ext cx="8409940" cy="4042410"/>
                    </a:xfrm>
                    <a:prstGeom prst="rect">
                      <a:avLst/>
                    </a:prstGeom>
                  </pic:spPr>
                </pic:pic>
              </a:graphicData>
            </a:graphic>
          </wp:inline>
        </w:drawing>
      </w:r>
    </w:p>
    <w:p w14:paraId="3363A56E">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扩建项目水平衡图</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14:paraId="10CE3F76">
      <w:pPr>
        <w:ind w:firstLine="0" w:firstLineChars="0"/>
        <w:jc w:val="center"/>
        <w:rPr>
          <w:color w:val="000000" w:themeColor="text1"/>
          <w14:textFill>
            <w14:solidFill>
              <w14:schemeClr w14:val="tx1"/>
            </w14:solidFill>
          </w14:textFill>
        </w:rPr>
      </w:pPr>
    </w:p>
    <w:p w14:paraId="536544D1">
      <w:pPr>
        <w:ind w:firstLine="0" w:firstLineChars="0"/>
        <w:jc w:val="center"/>
        <w:rPr>
          <w:color w:val="000000" w:themeColor="text1"/>
          <w14:textFill>
            <w14:solidFill>
              <w14:schemeClr w14:val="tx1"/>
            </w14:solidFill>
          </w14:textFill>
        </w:rPr>
      </w:pPr>
    </w:p>
    <w:p w14:paraId="6F0DF38B">
      <w:pPr>
        <w:ind w:firstLine="0" w:firstLineChars="0"/>
        <w:jc w:val="center"/>
        <w:rPr>
          <w:color w:val="000000" w:themeColor="text1"/>
          <w14:textFill>
            <w14:solidFill>
              <w14:schemeClr w14:val="tx1"/>
            </w14:solidFill>
          </w14:textFill>
        </w:rPr>
      </w:pPr>
    </w:p>
    <w:p w14:paraId="054511BD">
      <w:pPr>
        <w:ind w:firstLine="0" w:firstLineChars="0"/>
        <w:jc w:val="center"/>
        <w:rPr>
          <w:color w:val="000000" w:themeColor="text1"/>
          <w14:textFill>
            <w14:solidFill>
              <w14:schemeClr w14:val="tx1"/>
            </w14:solidFill>
          </w14:textFill>
        </w:rPr>
      </w:pPr>
    </w:p>
    <w:p w14:paraId="45C6250D">
      <w:pPr>
        <w:ind w:firstLine="0" w:firstLineChars="0"/>
        <w:jc w:val="center"/>
        <w:rPr>
          <w:color w:val="000000" w:themeColor="text1"/>
          <w14:textFill>
            <w14:solidFill>
              <w14:schemeClr w14:val="tx1"/>
            </w14:solidFill>
          </w14:textFill>
        </w:rPr>
      </w:pPr>
    </w:p>
    <w:p w14:paraId="5D882FB3">
      <w:pPr>
        <w:spacing w:line="240" w:lineRule="auto"/>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8409940" cy="8841740"/>
            <wp:effectExtent l="0" t="0" r="0" b="0"/>
            <wp:docPr id="913180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80391" name="图片 1"/>
                    <pic:cNvPicPr>
                      <a:picLocks noChangeAspect="1"/>
                    </pic:cNvPicPr>
                  </pic:nvPicPr>
                  <pic:blipFill>
                    <a:blip r:embed="rId52"/>
                    <a:stretch>
                      <a:fillRect/>
                    </a:stretch>
                  </pic:blipFill>
                  <pic:spPr>
                    <a:xfrm>
                      <a:off x="0" y="0"/>
                      <a:ext cx="8409940" cy="8841740"/>
                    </a:xfrm>
                    <a:prstGeom prst="rect">
                      <a:avLst/>
                    </a:prstGeom>
                  </pic:spPr>
                </pic:pic>
              </a:graphicData>
            </a:graphic>
          </wp:inline>
        </w:drawing>
      </w:r>
    </w:p>
    <w:p w14:paraId="4C9AC6E9">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扩建</w:t>
      </w:r>
      <w:r>
        <w:rPr>
          <w:rFonts w:hint="eastAsia"/>
          <w:color w:val="000000" w:themeColor="text1"/>
          <w14:textFill>
            <w14:solidFill>
              <w14:schemeClr w14:val="tx1"/>
            </w14:solidFill>
          </w14:textFill>
        </w:rPr>
        <w:t>后全厂</w:t>
      </w:r>
      <w:r>
        <w:rPr>
          <w:color w:val="000000" w:themeColor="text1"/>
          <w14:textFill>
            <w14:solidFill>
              <w14:schemeClr w14:val="tx1"/>
            </w14:solidFill>
          </w14:textFill>
        </w:rPr>
        <w:t>水平衡图</w:t>
      </w:r>
      <w:r>
        <w:rPr>
          <w:rFonts w:hint="eastAsia"/>
          <w:color w:val="000000" w:themeColor="text1"/>
          <w14:textFill>
            <w14:solidFill>
              <w14:schemeClr w14:val="tx1"/>
            </w14:solidFill>
          </w14:textFill>
        </w:rPr>
        <w:t xml:space="preserve">   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14:paraId="68CDAD29">
      <w:pPr>
        <w:ind w:firstLine="0" w:firstLineChars="0"/>
        <w:jc w:val="center"/>
        <w:rPr>
          <w:color w:val="000000" w:themeColor="text1"/>
          <w14:textFill>
            <w14:solidFill>
              <w14:schemeClr w14:val="tx1"/>
            </w14:solidFill>
          </w14:textFill>
        </w:rPr>
      </w:pPr>
    </w:p>
    <w:p w14:paraId="3578F9E7">
      <w:pPr>
        <w:ind w:firstLine="0" w:firstLineChars="0"/>
        <w:jc w:val="center"/>
        <w:rPr>
          <w:color w:val="000000" w:themeColor="text1"/>
          <w14:textFill>
            <w14:solidFill>
              <w14:schemeClr w14:val="tx1"/>
            </w14:solidFill>
          </w14:textFill>
        </w:rPr>
        <w:sectPr>
          <w:pgSz w:w="16838" w:h="23811"/>
          <w:pgMar w:top="1440" w:right="1797" w:bottom="1440" w:left="1797" w:header="851" w:footer="992" w:gutter="0"/>
          <w:cols w:space="0" w:num="1"/>
          <w:docGrid w:type="lines" w:linePitch="326" w:charSpace="0"/>
        </w:sectPr>
      </w:pPr>
    </w:p>
    <w:p w14:paraId="7D17DDFE">
      <w:pPr>
        <w:pStyle w:val="4"/>
        <w:rPr>
          <w:color w:val="000000" w:themeColor="text1"/>
          <w14:textFill>
            <w14:solidFill>
              <w14:schemeClr w14:val="tx1"/>
            </w14:solidFill>
          </w14:textFill>
        </w:rPr>
      </w:pPr>
      <w:bookmarkStart w:id="175" w:name="_Toc28051"/>
      <w:r>
        <w:rPr>
          <w:color w:val="000000" w:themeColor="text1"/>
          <w14:textFill>
            <w14:solidFill>
              <w14:schemeClr w14:val="tx1"/>
            </w14:solidFill>
          </w14:textFill>
        </w:rPr>
        <w:t>主要污染源、污染物产生情况</w:t>
      </w:r>
      <w:bookmarkEnd w:id="175"/>
    </w:p>
    <w:p w14:paraId="17AC59A1">
      <w:pPr>
        <w:pStyle w:val="5"/>
        <w:rPr>
          <w:color w:val="000000" w:themeColor="text1"/>
          <w14:textFill>
            <w14:solidFill>
              <w14:schemeClr w14:val="tx1"/>
            </w14:solidFill>
          </w14:textFill>
        </w:rPr>
      </w:pPr>
      <w:r>
        <w:rPr>
          <w:color w:val="000000" w:themeColor="text1"/>
          <w14:textFill>
            <w14:solidFill>
              <w14:schemeClr w14:val="tx1"/>
            </w14:solidFill>
          </w14:textFill>
        </w:rPr>
        <w:t>产污环节汇总情况</w:t>
      </w:r>
    </w:p>
    <w:p w14:paraId="49F72ECF">
      <w:pPr>
        <w:ind w:firstLine="520"/>
        <w:rPr>
          <w:color w:val="000000" w:themeColor="text1"/>
          <w14:textFill>
            <w14:solidFill>
              <w14:schemeClr w14:val="tx1"/>
            </w14:solidFill>
          </w14:textFill>
        </w:rPr>
      </w:pPr>
      <w:r>
        <w:rPr>
          <w:color w:val="000000" w:themeColor="text1"/>
          <w14:textFill>
            <w14:solidFill>
              <w14:schemeClr w14:val="tx1"/>
            </w14:solidFill>
          </w14:textFill>
        </w:rPr>
        <w:t>建设项目产物环节汇总表见下表：</w:t>
      </w:r>
    </w:p>
    <w:p w14:paraId="2ACB9351">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建设项目产污环节汇总表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414"/>
        <w:gridCol w:w="1135"/>
        <w:gridCol w:w="2807"/>
        <w:gridCol w:w="2443"/>
      </w:tblGrid>
      <w:tr w14:paraId="52E4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0" w:type="auto"/>
            <w:vAlign w:val="center"/>
          </w:tcPr>
          <w:p w14:paraId="5EDF5547">
            <w:pPr>
              <w:pStyle w:val="1535"/>
            </w:pPr>
            <w:bookmarkStart w:id="176" w:name="_Hlk79628267"/>
            <w:r>
              <w:t>污染类别</w:t>
            </w:r>
          </w:p>
        </w:tc>
        <w:tc>
          <w:tcPr>
            <w:tcW w:w="1414" w:type="dxa"/>
            <w:vAlign w:val="center"/>
          </w:tcPr>
          <w:p w14:paraId="38D7703E">
            <w:pPr>
              <w:pStyle w:val="1535"/>
            </w:pPr>
            <w:r>
              <w:t>产污厂房</w:t>
            </w:r>
          </w:p>
        </w:tc>
        <w:tc>
          <w:tcPr>
            <w:tcW w:w="3942" w:type="dxa"/>
            <w:gridSpan w:val="2"/>
            <w:vAlign w:val="center"/>
          </w:tcPr>
          <w:p w14:paraId="3BF9C022">
            <w:pPr>
              <w:pStyle w:val="1535"/>
            </w:pPr>
            <w:r>
              <w:t>产污环节</w:t>
            </w:r>
          </w:p>
        </w:tc>
        <w:tc>
          <w:tcPr>
            <w:tcW w:w="0" w:type="auto"/>
            <w:vAlign w:val="center"/>
          </w:tcPr>
          <w:p w14:paraId="774CA85F">
            <w:pPr>
              <w:pStyle w:val="1535"/>
            </w:pPr>
            <w:r>
              <w:t>主要污染物</w:t>
            </w:r>
          </w:p>
        </w:tc>
      </w:tr>
      <w:tr w14:paraId="1F18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vAlign w:val="center"/>
          </w:tcPr>
          <w:p w14:paraId="1A2172BF">
            <w:pPr>
              <w:pStyle w:val="1535"/>
            </w:pPr>
            <w:r>
              <w:t>水污染物</w:t>
            </w:r>
          </w:p>
        </w:tc>
        <w:tc>
          <w:tcPr>
            <w:tcW w:w="1414" w:type="dxa"/>
            <w:vMerge w:val="restart"/>
            <w:vAlign w:val="center"/>
          </w:tcPr>
          <w:p w14:paraId="103BD3DE">
            <w:pPr>
              <w:pStyle w:val="1535"/>
            </w:pPr>
            <w:r>
              <w:rPr>
                <w:rFonts w:hint="eastAsia"/>
              </w:rPr>
              <w:t>GASKET产品</w:t>
            </w:r>
            <w:r>
              <w:t>生产线</w:t>
            </w:r>
          </w:p>
        </w:tc>
        <w:tc>
          <w:tcPr>
            <w:tcW w:w="1135" w:type="dxa"/>
            <w:vAlign w:val="center"/>
          </w:tcPr>
          <w:p w14:paraId="623BB441">
            <w:pPr>
              <w:pStyle w:val="1535"/>
            </w:pPr>
            <w:r>
              <w:t>W</w:t>
            </w:r>
            <w:r>
              <w:rPr>
                <w:vertAlign w:val="subscript"/>
              </w:rPr>
              <w:t>1</w:t>
            </w:r>
          </w:p>
        </w:tc>
        <w:tc>
          <w:tcPr>
            <w:tcW w:w="2807" w:type="dxa"/>
            <w:vAlign w:val="center"/>
          </w:tcPr>
          <w:p w14:paraId="277EFBD4">
            <w:pPr>
              <w:pStyle w:val="1535"/>
            </w:pPr>
            <w:r>
              <w:rPr>
                <w:rFonts w:hint="eastAsia"/>
              </w:rPr>
              <w:t>抛光</w:t>
            </w:r>
          </w:p>
        </w:tc>
        <w:tc>
          <w:tcPr>
            <w:tcW w:w="0" w:type="auto"/>
            <w:vAlign w:val="center"/>
          </w:tcPr>
          <w:p w14:paraId="4D8FC22A">
            <w:pPr>
              <w:pStyle w:val="1535"/>
            </w:pPr>
            <w:r>
              <w:t>SS</w:t>
            </w:r>
          </w:p>
        </w:tc>
      </w:tr>
      <w:tr w14:paraId="5A3B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113455E2">
            <w:pPr>
              <w:pStyle w:val="1535"/>
            </w:pPr>
          </w:p>
        </w:tc>
        <w:tc>
          <w:tcPr>
            <w:tcW w:w="1414" w:type="dxa"/>
            <w:vMerge w:val="continue"/>
            <w:vAlign w:val="center"/>
          </w:tcPr>
          <w:p w14:paraId="1FCF7940">
            <w:pPr>
              <w:pStyle w:val="1535"/>
            </w:pPr>
          </w:p>
        </w:tc>
        <w:tc>
          <w:tcPr>
            <w:tcW w:w="1135" w:type="dxa"/>
            <w:vAlign w:val="center"/>
          </w:tcPr>
          <w:p w14:paraId="756B3DED">
            <w:pPr>
              <w:pStyle w:val="1535"/>
            </w:pPr>
            <w:r>
              <w:t>W</w:t>
            </w:r>
            <w:r>
              <w:rPr>
                <w:vertAlign w:val="subscript"/>
              </w:rPr>
              <w:t>2</w:t>
            </w:r>
          </w:p>
        </w:tc>
        <w:tc>
          <w:tcPr>
            <w:tcW w:w="2807" w:type="dxa"/>
            <w:vAlign w:val="center"/>
          </w:tcPr>
          <w:p w14:paraId="2E339759">
            <w:pPr>
              <w:pStyle w:val="1535"/>
            </w:pPr>
            <w:r>
              <w:t>清洗</w:t>
            </w:r>
          </w:p>
        </w:tc>
        <w:tc>
          <w:tcPr>
            <w:tcW w:w="0" w:type="auto"/>
            <w:vAlign w:val="center"/>
          </w:tcPr>
          <w:p w14:paraId="0C41FAB1">
            <w:pPr>
              <w:pStyle w:val="1535"/>
            </w:pPr>
            <w:r>
              <w:rPr>
                <w:rFonts w:hint="eastAsia"/>
              </w:rPr>
              <w:t>pH、COD、氟化物、石油类、SS</w:t>
            </w:r>
          </w:p>
        </w:tc>
      </w:tr>
      <w:tr w14:paraId="5D55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253FCE7A">
            <w:pPr>
              <w:pStyle w:val="1535"/>
            </w:pPr>
          </w:p>
        </w:tc>
        <w:tc>
          <w:tcPr>
            <w:tcW w:w="1414" w:type="dxa"/>
            <w:vAlign w:val="center"/>
          </w:tcPr>
          <w:p w14:paraId="1BE0E6DA">
            <w:pPr>
              <w:pStyle w:val="1535"/>
            </w:pPr>
            <w:r>
              <w:rPr>
                <w:rFonts w:hint="eastAsia"/>
              </w:rPr>
              <w:t>石墨生产线</w:t>
            </w:r>
          </w:p>
        </w:tc>
        <w:tc>
          <w:tcPr>
            <w:tcW w:w="1135" w:type="dxa"/>
            <w:vAlign w:val="center"/>
          </w:tcPr>
          <w:p w14:paraId="1E050C71">
            <w:pPr>
              <w:pStyle w:val="1535"/>
            </w:pPr>
            <w:r>
              <w:t>W</w:t>
            </w:r>
            <w:r>
              <w:rPr>
                <w:rFonts w:hint="eastAsia"/>
                <w:vertAlign w:val="subscript"/>
              </w:rPr>
              <w:t>3</w:t>
            </w:r>
          </w:p>
        </w:tc>
        <w:tc>
          <w:tcPr>
            <w:tcW w:w="2807" w:type="dxa"/>
            <w:vAlign w:val="center"/>
          </w:tcPr>
          <w:p w14:paraId="42BB1D52">
            <w:pPr>
              <w:pStyle w:val="1535"/>
            </w:pPr>
            <w:r>
              <w:rPr>
                <w:rFonts w:hint="eastAsia"/>
              </w:rPr>
              <w:t>清洗</w:t>
            </w:r>
          </w:p>
        </w:tc>
        <w:tc>
          <w:tcPr>
            <w:tcW w:w="0" w:type="auto"/>
            <w:vAlign w:val="center"/>
          </w:tcPr>
          <w:p w14:paraId="1F60BD90">
            <w:pPr>
              <w:pStyle w:val="1535"/>
            </w:pPr>
            <w:r>
              <w:t>SS</w:t>
            </w:r>
          </w:p>
        </w:tc>
      </w:tr>
      <w:tr w14:paraId="1F7A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23776F93">
            <w:pPr>
              <w:pStyle w:val="1535"/>
            </w:pPr>
          </w:p>
        </w:tc>
        <w:tc>
          <w:tcPr>
            <w:tcW w:w="1414" w:type="dxa"/>
            <w:vAlign w:val="center"/>
          </w:tcPr>
          <w:p w14:paraId="38003092">
            <w:pPr>
              <w:pStyle w:val="1535"/>
            </w:pPr>
            <w:r>
              <w:rPr>
                <w:rFonts w:hint="eastAsia"/>
              </w:rPr>
              <w:t>碳化硅涂层</w:t>
            </w:r>
            <w:r>
              <w:t>生产线</w:t>
            </w:r>
          </w:p>
        </w:tc>
        <w:tc>
          <w:tcPr>
            <w:tcW w:w="1135" w:type="dxa"/>
            <w:vAlign w:val="center"/>
          </w:tcPr>
          <w:p w14:paraId="7A542687">
            <w:pPr>
              <w:pStyle w:val="1535"/>
            </w:pPr>
            <w:r>
              <w:t>W</w:t>
            </w:r>
            <w:r>
              <w:rPr>
                <w:rFonts w:hint="eastAsia"/>
                <w:vertAlign w:val="subscript"/>
              </w:rPr>
              <w:t>4</w:t>
            </w:r>
          </w:p>
        </w:tc>
        <w:tc>
          <w:tcPr>
            <w:tcW w:w="2807" w:type="dxa"/>
            <w:vAlign w:val="center"/>
          </w:tcPr>
          <w:p w14:paraId="095712EA">
            <w:pPr>
              <w:pStyle w:val="1535"/>
            </w:pPr>
            <w:r>
              <w:rPr>
                <w:rFonts w:hint="eastAsia"/>
              </w:rPr>
              <w:t>冷却用水</w:t>
            </w:r>
          </w:p>
        </w:tc>
        <w:tc>
          <w:tcPr>
            <w:tcW w:w="0" w:type="auto"/>
            <w:vAlign w:val="center"/>
          </w:tcPr>
          <w:p w14:paraId="6C7D56E0">
            <w:pPr>
              <w:pStyle w:val="1535"/>
            </w:pPr>
            <w:r>
              <w:t>SS</w:t>
            </w:r>
          </w:p>
        </w:tc>
      </w:tr>
      <w:tr w14:paraId="6D18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407B0C23">
            <w:pPr>
              <w:pStyle w:val="1535"/>
            </w:pPr>
          </w:p>
        </w:tc>
        <w:tc>
          <w:tcPr>
            <w:tcW w:w="1414" w:type="dxa"/>
            <w:vMerge w:val="restart"/>
            <w:vAlign w:val="center"/>
          </w:tcPr>
          <w:p w14:paraId="4B8D7A79">
            <w:pPr>
              <w:pStyle w:val="1535"/>
            </w:pPr>
            <w:r>
              <w:t>公辅、环保工程</w:t>
            </w:r>
          </w:p>
        </w:tc>
        <w:tc>
          <w:tcPr>
            <w:tcW w:w="1135" w:type="dxa"/>
            <w:vAlign w:val="center"/>
          </w:tcPr>
          <w:p w14:paraId="0DA0530B">
            <w:pPr>
              <w:pStyle w:val="1535"/>
            </w:pPr>
            <w:r>
              <w:t>W</w:t>
            </w:r>
            <w:r>
              <w:rPr>
                <w:rFonts w:hint="eastAsia"/>
                <w:vertAlign w:val="subscript"/>
              </w:rPr>
              <w:t>5</w:t>
            </w:r>
          </w:p>
        </w:tc>
        <w:tc>
          <w:tcPr>
            <w:tcW w:w="2807" w:type="dxa"/>
            <w:vAlign w:val="center"/>
          </w:tcPr>
          <w:p w14:paraId="5A9E93BA">
            <w:pPr>
              <w:pStyle w:val="1535"/>
            </w:pPr>
            <w:r>
              <w:t>制备纯水产生的浓水</w:t>
            </w:r>
          </w:p>
        </w:tc>
        <w:tc>
          <w:tcPr>
            <w:tcW w:w="0" w:type="auto"/>
            <w:vAlign w:val="center"/>
          </w:tcPr>
          <w:p w14:paraId="10963265">
            <w:pPr>
              <w:pStyle w:val="1535"/>
            </w:pPr>
            <w:r>
              <w:t>SS</w:t>
            </w:r>
          </w:p>
        </w:tc>
      </w:tr>
      <w:tr w14:paraId="75143214">
        <w:tblPrEx>
          <w:tblCellMar>
            <w:top w:w="0" w:type="dxa"/>
            <w:left w:w="108" w:type="dxa"/>
            <w:bottom w:w="0" w:type="dxa"/>
            <w:right w:w="108" w:type="dxa"/>
          </w:tblCellMar>
        </w:tblPrEx>
        <w:trPr>
          <w:trHeight w:val="23" w:hRule="atLeast"/>
        </w:trPr>
        <w:tc>
          <w:tcPr>
            <w:tcW w:w="0" w:type="auto"/>
            <w:vMerge w:val="continue"/>
            <w:vAlign w:val="center"/>
          </w:tcPr>
          <w:p w14:paraId="4EFBCA13">
            <w:pPr>
              <w:pStyle w:val="1535"/>
            </w:pPr>
          </w:p>
        </w:tc>
        <w:tc>
          <w:tcPr>
            <w:tcW w:w="1414" w:type="dxa"/>
            <w:vMerge w:val="continue"/>
            <w:vAlign w:val="center"/>
          </w:tcPr>
          <w:p w14:paraId="2C841664">
            <w:pPr>
              <w:pStyle w:val="1535"/>
            </w:pPr>
          </w:p>
        </w:tc>
        <w:tc>
          <w:tcPr>
            <w:tcW w:w="1135" w:type="dxa"/>
            <w:vAlign w:val="center"/>
          </w:tcPr>
          <w:p w14:paraId="625BCBD9">
            <w:pPr>
              <w:pStyle w:val="1535"/>
            </w:pPr>
            <w:r>
              <w:t>W</w:t>
            </w:r>
            <w:r>
              <w:rPr>
                <w:rFonts w:hint="eastAsia"/>
                <w:vertAlign w:val="subscript"/>
              </w:rPr>
              <w:t>6</w:t>
            </w:r>
          </w:p>
        </w:tc>
        <w:tc>
          <w:tcPr>
            <w:tcW w:w="2807" w:type="dxa"/>
            <w:vAlign w:val="center"/>
          </w:tcPr>
          <w:p w14:paraId="76A835A5">
            <w:pPr>
              <w:pStyle w:val="1535"/>
            </w:pPr>
            <w:r>
              <w:t>碳化硅</w:t>
            </w:r>
            <w:r>
              <w:rPr>
                <w:rFonts w:hint="eastAsia"/>
              </w:rPr>
              <w:t>涂层</w:t>
            </w:r>
            <w:r>
              <w:t>废气酸雾塔</w:t>
            </w:r>
            <w:r>
              <w:rPr>
                <w:rFonts w:hint="eastAsia"/>
              </w:rPr>
              <w:t>（依托现有）</w:t>
            </w:r>
          </w:p>
        </w:tc>
        <w:tc>
          <w:tcPr>
            <w:tcW w:w="0" w:type="auto"/>
            <w:vAlign w:val="center"/>
          </w:tcPr>
          <w:p w14:paraId="2E1EF7C6">
            <w:pPr>
              <w:pStyle w:val="1535"/>
            </w:pPr>
            <w:r>
              <w:t>pH、SS</w:t>
            </w:r>
          </w:p>
        </w:tc>
      </w:tr>
      <w:tr w14:paraId="5FB1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22D23097">
            <w:pPr>
              <w:pStyle w:val="1535"/>
            </w:pPr>
          </w:p>
        </w:tc>
        <w:tc>
          <w:tcPr>
            <w:tcW w:w="1414" w:type="dxa"/>
            <w:vMerge w:val="continue"/>
            <w:vAlign w:val="center"/>
          </w:tcPr>
          <w:p w14:paraId="749EC620">
            <w:pPr>
              <w:pStyle w:val="1535"/>
            </w:pPr>
          </w:p>
        </w:tc>
        <w:tc>
          <w:tcPr>
            <w:tcW w:w="1135" w:type="dxa"/>
            <w:vAlign w:val="center"/>
          </w:tcPr>
          <w:p w14:paraId="0A23BF73">
            <w:pPr>
              <w:pStyle w:val="1535"/>
            </w:pPr>
            <w:r>
              <w:t>W</w:t>
            </w:r>
            <w:r>
              <w:rPr>
                <w:rFonts w:hint="eastAsia"/>
                <w:vertAlign w:val="subscript"/>
              </w:rPr>
              <w:t>7</w:t>
            </w:r>
          </w:p>
        </w:tc>
        <w:tc>
          <w:tcPr>
            <w:tcW w:w="2807" w:type="dxa"/>
            <w:vAlign w:val="center"/>
          </w:tcPr>
          <w:p w14:paraId="18746224">
            <w:pPr>
              <w:pStyle w:val="1535"/>
            </w:pPr>
            <w:r>
              <w:rPr>
                <w:rFonts w:hint="eastAsia"/>
              </w:rPr>
              <w:t>厂区</w:t>
            </w:r>
            <w:r>
              <w:t>生活</w:t>
            </w:r>
          </w:p>
        </w:tc>
        <w:tc>
          <w:tcPr>
            <w:tcW w:w="0" w:type="auto"/>
            <w:vAlign w:val="center"/>
          </w:tcPr>
          <w:p w14:paraId="43E5BDDE">
            <w:pPr>
              <w:pStyle w:val="1535"/>
            </w:pPr>
            <w:r>
              <w:t>COD、BOD</w:t>
            </w:r>
            <w:r>
              <w:rPr>
                <w:vertAlign w:val="subscript"/>
              </w:rPr>
              <w:t>5</w:t>
            </w:r>
            <w:r>
              <w:t>、NH</w:t>
            </w:r>
            <w:r>
              <w:rPr>
                <w:vertAlign w:val="subscript"/>
              </w:rPr>
              <w:t>3</w:t>
            </w:r>
            <w:r>
              <w:t>-N、动植物油</w:t>
            </w:r>
          </w:p>
        </w:tc>
      </w:tr>
      <w:tr w14:paraId="1920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vAlign w:val="center"/>
          </w:tcPr>
          <w:p w14:paraId="437B09DB">
            <w:pPr>
              <w:pStyle w:val="1535"/>
            </w:pPr>
            <w:r>
              <w:t>大气污染物</w:t>
            </w:r>
          </w:p>
        </w:tc>
        <w:tc>
          <w:tcPr>
            <w:tcW w:w="1414" w:type="dxa"/>
            <w:vMerge w:val="restart"/>
            <w:vAlign w:val="center"/>
          </w:tcPr>
          <w:p w14:paraId="6235F6FD">
            <w:pPr>
              <w:pStyle w:val="1535"/>
            </w:pPr>
            <w:r>
              <w:rPr>
                <w:rFonts w:hint="eastAsia"/>
              </w:rPr>
              <w:t>GASKET产品</w:t>
            </w:r>
            <w:r>
              <w:t>生产线</w:t>
            </w:r>
          </w:p>
        </w:tc>
        <w:tc>
          <w:tcPr>
            <w:tcW w:w="1135" w:type="dxa"/>
            <w:vAlign w:val="center"/>
          </w:tcPr>
          <w:p w14:paraId="4B513F58">
            <w:pPr>
              <w:pStyle w:val="1535"/>
            </w:pPr>
            <w:r>
              <w:t>G</w:t>
            </w:r>
            <w:r>
              <w:rPr>
                <w:vertAlign w:val="subscript"/>
              </w:rPr>
              <w:t>1</w:t>
            </w:r>
          </w:p>
        </w:tc>
        <w:tc>
          <w:tcPr>
            <w:tcW w:w="2807" w:type="dxa"/>
            <w:vAlign w:val="center"/>
          </w:tcPr>
          <w:p w14:paraId="06F80158">
            <w:pPr>
              <w:pStyle w:val="1535"/>
            </w:pPr>
            <w:r>
              <w:rPr>
                <w:rFonts w:hint="eastAsia"/>
              </w:rPr>
              <w:t>千级清洗（依托）</w:t>
            </w:r>
          </w:p>
        </w:tc>
        <w:tc>
          <w:tcPr>
            <w:tcW w:w="0" w:type="auto"/>
            <w:vAlign w:val="center"/>
          </w:tcPr>
          <w:p w14:paraId="73582F6F">
            <w:pPr>
              <w:pStyle w:val="1535"/>
            </w:pPr>
            <w:r>
              <w:t>氟化物、氯化氢</w:t>
            </w:r>
          </w:p>
        </w:tc>
      </w:tr>
      <w:tr w14:paraId="4090921F">
        <w:tblPrEx>
          <w:tblCellMar>
            <w:top w:w="0" w:type="dxa"/>
            <w:left w:w="108" w:type="dxa"/>
            <w:bottom w:w="0" w:type="dxa"/>
            <w:right w:w="108" w:type="dxa"/>
          </w:tblCellMar>
        </w:tblPrEx>
        <w:trPr>
          <w:trHeight w:val="23" w:hRule="atLeast"/>
        </w:trPr>
        <w:tc>
          <w:tcPr>
            <w:tcW w:w="0" w:type="auto"/>
            <w:vMerge w:val="continue"/>
            <w:vAlign w:val="center"/>
          </w:tcPr>
          <w:p w14:paraId="14516B47">
            <w:pPr>
              <w:pStyle w:val="1535"/>
            </w:pPr>
          </w:p>
        </w:tc>
        <w:tc>
          <w:tcPr>
            <w:tcW w:w="1414" w:type="dxa"/>
            <w:vMerge w:val="continue"/>
            <w:vAlign w:val="center"/>
          </w:tcPr>
          <w:p w14:paraId="128D4FAC">
            <w:pPr>
              <w:pStyle w:val="1535"/>
            </w:pPr>
          </w:p>
        </w:tc>
        <w:tc>
          <w:tcPr>
            <w:tcW w:w="1135" w:type="dxa"/>
            <w:vAlign w:val="center"/>
          </w:tcPr>
          <w:p w14:paraId="52363AE5">
            <w:pPr>
              <w:pStyle w:val="1535"/>
            </w:pPr>
            <w:r>
              <w:rPr>
                <w:rFonts w:hint="eastAsia"/>
              </w:rPr>
              <w:t>G</w:t>
            </w:r>
            <w:r>
              <w:rPr>
                <w:rFonts w:hint="eastAsia"/>
                <w:vertAlign w:val="subscript"/>
              </w:rPr>
              <w:t>2</w:t>
            </w:r>
          </w:p>
        </w:tc>
        <w:tc>
          <w:tcPr>
            <w:tcW w:w="2807" w:type="dxa"/>
            <w:vAlign w:val="center"/>
          </w:tcPr>
          <w:p w14:paraId="057E52FD">
            <w:pPr>
              <w:pStyle w:val="1535"/>
            </w:pPr>
            <w:r>
              <w:rPr>
                <w:rFonts w:hint="eastAsia"/>
              </w:rPr>
              <w:t>表面清理</w:t>
            </w:r>
          </w:p>
        </w:tc>
        <w:tc>
          <w:tcPr>
            <w:tcW w:w="0" w:type="auto"/>
            <w:vAlign w:val="center"/>
          </w:tcPr>
          <w:p w14:paraId="5A4267AF">
            <w:pPr>
              <w:pStyle w:val="1535"/>
            </w:pPr>
            <w:r>
              <w:rPr>
                <w:rFonts w:hint="eastAsia"/>
              </w:rPr>
              <w:t>非甲烷总烃</w:t>
            </w:r>
          </w:p>
        </w:tc>
      </w:tr>
      <w:tr w14:paraId="7808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0542782C">
            <w:pPr>
              <w:pStyle w:val="1535"/>
            </w:pPr>
          </w:p>
        </w:tc>
        <w:tc>
          <w:tcPr>
            <w:tcW w:w="1414" w:type="dxa"/>
            <w:vMerge w:val="restart"/>
            <w:vAlign w:val="center"/>
          </w:tcPr>
          <w:p w14:paraId="6208D958">
            <w:pPr>
              <w:pStyle w:val="1535"/>
            </w:pPr>
            <w:r>
              <w:rPr>
                <w:rFonts w:hint="eastAsia"/>
              </w:rPr>
              <w:t>石墨产品</w:t>
            </w:r>
            <w:r>
              <w:t>生产线</w:t>
            </w:r>
          </w:p>
        </w:tc>
        <w:tc>
          <w:tcPr>
            <w:tcW w:w="1135" w:type="dxa"/>
            <w:vAlign w:val="center"/>
          </w:tcPr>
          <w:p w14:paraId="0886E900">
            <w:pPr>
              <w:pStyle w:val="1535"/>
            </w:pPr>
            <w:r>
              <w:t>G</w:t>
            </w:r>
            <w:r>
              <w:rPr>
                <w:rFonts w:hint="eastAsia"/>
                <w:vertAlign w:val="subscript"/>
              </w:rPr>
              <w:t>3</w:t>
            </w:r>
          </w:p>
        </w:tc>
        <w:tc>
          <w:tcPr>
            <w:tcW w:w="2807" w:type="dxa"/>
            <w:vAlign w:val="center"/>
          </w:tcPr>
          <w:p w14:paraId="3AA56B49">
            <w:pPr>
              <w:pStyle w:val="1535"/>
            </w:pPr>
            <w:r>
              <w:rPr>
                <w:rFonts w:hint="eastAsia"/>
              </w:rPr>
              <w:t>下料、机加工</w:t>
            </w:r>
          </w:p>
        </w:tc>
        <w:tc>
          <w:tcPr>
            <w:tcW w:w="0" w:type="auto"/>
            <w:vAlign w:val="center"/>
          </w:tcPr>
          <w:p w14:paraId="77119187">
            <w:pPr>
              <w:pStyle w:val="1535"/>
            </w:pPr>
            <w:r>
              <w:rPr>
                <w:rFonts w:hint="eastAsia"/>
              </w:rPr>
              <w:t>碳黑尘</w:t>
            </w:r>
          </w:p>
        </w:tc>
      </w:tr>
      <w:tr w14:paraId="44CE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08E7E8E2">
            <w:pPr>
              <w:pStyle w:val="1535"/>
            </w:pPr>
          </w:p>
        </w:tc>
        <w:tc>
          <w:tcPr>
            <w:tcW w:w="1414" w:type="dxa"/>
            <w:vMerge w:val="continue"/>
            <w:vAlign w:val="center"/>
          </w:tcPr>
          <w:p w14:paraId="43DDC9FE">
            <w:pPr>
              <w:pStyle w:val="1535"/>
            </w:pPr>
          </w:p>
        </w:tc>
        <w:tc>
          <w:tcPr>
            <w:tcW w:w="1135" w:type="dxa"/>
            <w:vAlign w:val="center"/>
          </w:tcPr>
          <w:p w14:paraId="2E9AEF57">
            <w:pPr>
              <w:pStyle w:val="1535"/>
            </w:pPr>
            <w:r>
              <w:t>G</w:t>
            </w:r>
            <w:r>
              <w:rPr>
                <w:vertAlign w:val="subscript"/>
              </w:rPr>
              <w:t>4</w:t>
            </w:r>
          </w:p>
        </w:tc>
        <w:tc>
          <w:tcPr>
            <w:tcW w:w="2807" w:type="dxa"/>
            <w:vAlign w:val="center"/>
          </w:tcPr>
          <w:p w14:paraId="08DC9CD3">
            <w:pPr>
              <w:pStyle w:val="1535"/>
            </w:pPr>
            <w:r>
              <w:rPr>
                <w:rFonts w:hint="eastAsia"/>
              </w:rPr>
              <w:t>纯化</w:t>
            </w:r>
          </w:p>
        </w:tc>
        <w:tc>
          <w:tcPr>
            <w:tcW w:w="0" w:type="auto"/>
            <w:vAlign w:val="center"/>
          </w:tcPr>
          <w:p w14:paraId="1278F152">
            <w:pPr>
              <w:pStyle w:val="1535"/>
            </w:pPr>
            <w:r>
              <w:rPr>
                <w:rFonts w:hint="eastAsia"/>
              </w:rPr>
              <w:t>碳黑尘、氯化氢</w:t>
            </w:r>
          </w:p>
        </w:tc>
      </w:tr>
      <w:tr w14:paraId="6A50B343">
        <w:tblPrEx>
          <w:tblCellMar>
            <w:top w:w="0" w:type="dxa"/>
            <w:left w:w="108" w:type="dxa"/>
            <w:bottom w:w="0" w:type="dxa"/>
            <w:right w:w="108" w:type="dxa"/>
          </w:tblCellMar>
        </w:tblPrEx>
        <w:trPr>
          <w:trHeight w:val="23" w:hRule="atLeast"/>
        </w:trPr>
        <w:tc>
          <w:tcPr>
            <w:tcW w:w="0" w:type="auto"/>
            <w:vMerge w:val="continue"/>
            <w:vAlign w:val="center"/>
          </w:tcPr>
          <w:p w14:paraId="4108B67B">
            <w:pPr>
              <w:pStyle w:val="1535"/>
            </w:pPr>
          </w:p>
        </w:tc>
        <w:tc>
          <w:tcPr>
            <w:tcW w:w="1414" w:type="dxa"/>
            <w:vAlign w:val="center"/>
          </w:tcPr>
          <w:p w14:paraId="064D6793">
            <w:pPr>
              <w:pStyle w:val="1535"/>
            </w:pPr>
            <w:r>
              <w:t>碳化硅</w:t>
            </w:r>
            <w:r>
              <w:rPr>
                <w:rFonts w:hint="eastAsia"/>
              </w:rPr>
              <w:t>涂层</w:t>
            </w:r>
            <w:r>
              <w:t>生产线</w:t>
            </w:r>
          </w:p>
        </w:tc>
        <w:tc>
          <w:tcPr>
            <w:tcW w:w="1135" w:type="dxa"/>
            <w:vAlign w:val="center"/>
          </w:tcPr>
          <w:p w14:paraId="628B328A">
            <w:pPr>
              <w:pStyle w:val="1535"/>
            </w:pPr>
            <w:r>
              <w:t>G</w:t>
            </w:r>
            <w:r>
              <w:rPr>
                <w:rFonts w:hint="eastAsia"/>
                <w:vertAlign w:val="subscript"/>
              </w:rPr>
              <w:t>5</w:t>
            </w:r>
          </w:p>
        </w:tc>
        <w:tc>
          <w:tcPr>
            <w:tcW w:w="2807" w:type="dxa"/>
            <w:vAlign w:val="center"/>
          </w:tcPr>
          <w:p w14:paraId="111EC48F">
            <w:pPr>
              <w:pStyle w:val="1535"/>
            </w:pPr>
            <w:r>
              <w:t>高温、堆积厚度</w:t>
            </w:r>
          </w:p>
        </w:tc>
        <w:tc>
          <w:tcPr>
            <w:tcW w:w="0" w:type="auto"/>
            <w:vAlign w:val="center"/>
          </w:tcPr>
          <w:p w14:paraId="64674F0E">
            <w:pPr>
              <w:pStyle w:val="1535"/>
            </w:pPr>
            <w:r>
              <w:t>HCl</w:t>
            </w:r>
            <w:r>
              <w:rPr>
                <w:rFonts w:hint="eastAsia"/>
              </w:rPr>
              <w:t xml:space="preserve"> 、非甲烷总烃（未反应MTS，以非甲烷总烃计）</w:t>
            </w:r>
          </w:p>
        </w:tc>
      </w:tr>
      <w:tr w14:paraId="159F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vAlign w:val="center"/>
          </w:tcPr>
          <w:p w14:paraId="34F9EFC0">
            <w:pPr>
              <w:pStyle w:val="1535"/>
            </w:pPr>
            <w:r>
              <w:t>固体废物</w:t>
            </w:r>
          </w:p>
        </w:tc>
        <w:tc>
          <w:tcPr>
            <w:tcW w:w="1414" w:type="dxa"/>
            <w:vMerge w:val="restart"/>
            <w:vAlign w:val="center"/>
          </w:tcPr>
          <w:p w14:paraId="736F6D7E">
            <w:pPr>
              <w:pStyle w:val="1535"/>
            </w:pPr>
            <w:r>
              <w:rPr>
                <w:rFonts w:hint="eastAsia"/>
              </w:rPr>
              <w:t>GASKET产品</w:t>
            </w:r>
            <w:r>
              <w:t>生产线</w:t>
            </w:r>
          </w:p>
        </w:tc>
        <w:tc>
          <w:tcPr>
            <w:tcW w:w="1135" w:type="dxa"/>
            <w:vAlign w:val="center"/>
          </w:tcPr>
          <w:p w14:paraId="14C86553">
            <w:pPr>
              <w:pStyle w:val="1535"/>
            </w:pPr>
            <w:r>
              <w:t>S</w:t>
            </w:r>
            <w:r>
              <w:rPr>
                <w:vertAlign w:val="subscript"/>
              </w:rPr>
              <w:t>1</w:t>
            </w:r>
          </w:p>
        </w:tc>
        <w:tc>
          <w:tcPr>
            <w:tcW w:w="2807" w:type="dxa"/>
            <w:vAlign w:val="center"/>
          </w:tcPr>
          <w:p w14:paraId="66E3E004">
            <w:pPr>
              <w:pStyle w:val="1535"/>
            </w:pPr>
            <w:r>
              <w:rPr>
                <w:rFonts w:hint="eastAsia"/>
              </w:rPr>
              <w:t>下料、加工</w:t>
            </w:r>
          </w:p>
        </w:tc>
        <w:tc>
          <w:tcPr>
            <w:tcW w:w="0" w:type="auto"/>
            <w:vAlign w:val="center"/>
          </w:tcPr>
          <w:p w14:paraId="4F15E281">
            <w:pPr>
              <w:pStyle w:val="1535"/>
            </w:pPr>
            <w:r>
              <w:rPr>
                <w:rFonts w:hint="eastAsia"/>
                <w:snapToGrid/>
              </w:rPr>
              <w:t>废塑料、废金属</w:t>
            </w:r>
          </w:p>
        </w:tc>
      </w:tr>
      <w:tr w14:paraId="40DC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18C0C991">
            <w:pPr>
              <w:pStyle w:val="1535"/>
            </w:pPr>
          </w:p>
        </w:tc>
        <w:tc>
          <w:tcPr>
            <w:tcW w:w="1414" w:type="dxa"/>
            <w:vMerge w:val="continue"/>
            <w:vAlign w:val="center"/>
          </w:tcPr>
          <w:p w14:paraId="37018D3A">
            <w:pPr>
              <w:pStyle w:val="1535"/>
            </w:pPr>
          </w:p>
        </w:tc>
        <w:tc>
          <w:tcPr>
            <w:tcW w:w="1135" w:type="dxa"/>
            <w:vAlign w:val="center"/>
          </w:tcPr>
          <w:p w14:paraId="5193C3D5">
            <w:pPr>
              <w:pStyle w:val="1535"/>
            </w:pPr>
            <w:r>
              <w:t>S</w:t>
            </w:r>
            <w:r>
              <w:rPr>
                <w:vertAlign w:val="subscript"/>
              </w:rPr>
              <w:t>2</w:t>
            </w:r>
          </w:p>
        </w:tc>
        <w:tc>
          <w:tcPr>
            <w:tcW w:w="2807" w:type="dxa"/>
            <w:vAlign w:val="center"/>
          </w:tcPr>
          <w:p w14:paraId="2CCCB372">
            <w:pPr>
              <w:pStyle w:val="1535"/>
            </w:pPr>
            <w:r>
              <w:rPr>
                <w:rFonts w:hint="eastAsia"/>
              </w:rPr>
              <w:t>下料、加工</w:t>
            </w:r>
          </w:p>
        </w:tc>
        <w:tc>
          <w:tcPr>
            <w:tcW w:w="0" w:type="auto"/>
            <w:vAlign w:val="center"/>
          </w:tcPr>
          <w:p w14:paraId="440CF9ED">
            <w:pPr>
              <w:pStyle w:val="1535"/>
            </w:pPr>
            <w:r>
              <w:rPr>
                <w:rFonts w:hint="eastAsia"/>
              </w:rPr>
              <w:t>废切削液</w:t>
            </w:r>
          </w:p>
        </w:tc>
      </w:tr>
      <w:tr w14:paraId="4811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70C9278C">
            <w:pPr>
              <w:pStyle w:val="1535"/>
            </w:pPr>
          </w:p>
        </w:tc>
        <w:tc>
          <w:tcPr>
            <w:tcW w:w="1414" w:type="dxa"/>
            <w:vMerge w:val="continue"/>
            <w:vAlign w:val="center"/>
          </w:tcPr>
          <w:p w14:paraId="6FFF2CCD">
            <w:pPr>
              <w:pStyle w:val="1535"/>
            </w:pPr>
          </w:p>
        </w:tc>
        <w:tc>
          <w:tcPr>
            <w:tcW w:w="1135" w:type="dxa"/>
            <w:vAlign w:val="center"/>
          </w:tcPr>
          <w:p w14:paraId="2B66B9EC">
            <w:pPr>
              <w:pStyle w:val="1535"/>
            </w:pPr>
            <w:r>
              <w:t>S</w:t>
            </w:r>
            <w:r>
              <w:rPr>
                <w:rFonts w:hint="eastAsia"/>
                <w:vertAlign w:val="subscript"/>
              </w:rPr>
              <w:t>3</w:t>
            </w:r>
          </w:p>
        </w:tc>
        <w:tc>
          <w:tcPr>
            <w:tcW w:w="2807" w:type="dxa"/>
            <w:vAlign w:val="center"/>
          </w:tcPr>
          <w:p w14:paraId="1EF7598B">
            <w:pPr>
              <w:pStyle w:val="1535"/>
            </w:pPr>
            <w:r>
              <w:rPr>
                <w:rFonts w:hint="eastAsia"/>
              </w:rPr>
              <w:t>模切</w:t>
            </w:r>
          </w:p>
        </w:tc>
        <w:tc>
          <w:tcPr>
            <w:tcW w:w="0" w:type="auto"/>
            <w:vAlign w:val="center"/>
          </w:tcPr>
          <w:p w14:paraId="1232F5ED">
            <w:pPr>
              <w:pStyle w:val="1535"/>
            </w:pPr>
            <w:r>
              <w:rPr>
                <w:rFonts w:hint="eastAsia"/>
              </w:rPr>
              <w:t>边角料</w:t>
            </w:r>
          </w:p>
        </w:tc>
      </w:tr>
      <w:tr w14:paraId="0B31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59469EF8">
            <w:pPr>
              <w:pStyle w:val="1535"/>
            </w:pPr>
          </w:p>
        </w:tc>
        <w:tc>
          <w:tcPr>
            <w:tcW w:w="1414" w:type="dxa"/>
            <w:vMerge w:val="continue"/>
            <w:vAlign w:val="center"/>
          </w:tcPr>
          <w:p w14:paraId="054D67FD">
            <w:pPr>
              <w:pStyle w:val="1535"/>
            </w:pPr>
          </w:p>
        </w:tc>
        <w:tc>
          <w:tcPr>
            <w:tcW w:w="1135" w:type="dxa"/>
            <w:vAlign w:val="center"/>
          </w:tcPr>
          <w:p w14:paraId="059B0ADD">
            <w:pPr>
              <w:pStyle w:val="1535"/>
            </w:pPr>
            <w:r>
              <w:rPr>
                <w:rFonts w:hint="eastAsia"/>
              </w:rPr>
              <w:t>S</w:t>
            </w:r>
            <w:r>
              <w:rPr>
                <w:rFonts w:hint="eastAsia"/>
                <w:vertAlign w:val="subscript"/>
              </w:rPr>
              <w:t>4</w:t>
            </w:r>
          </w:p>
        </w:tc>
        <w:tc>
          <w:tcPr>
            <w:tcW w:w="2807" w:type="dxa"/>
            <w:vAlign w:val="center"/>
          </w:tcPr>
          <w:p w14:paraId="27FC6B5F">
            <w:pPr>
              <w:pStyle w:val="1535"/>
            </w:pPr>
            <w:r>
              <w:rPr>
                <w:rFonts w:hint="eastAsia"/>
              </w:rPr>
              <w:t>清洁</w:t>
            </w:r>
          </w:p>
        </w:tc>
        <w:tc>
          <w:tcPr>
            <w:tcW w:w="0" w:type="auto"/>
            <w:vAlign w:val="center"/>
          </w:tcPr>
          <w:p w14:paraId="19AFE000">
            <w:pPr>
              <w:pStyle w:val="1535"/>
            </w:pPr>
            <w:r>
              <w:rPr>
                <w:rFonts w:hint="eastAsia"/>
              </w:rPr>
              <w:t>沾染乙醇抹布手套</w:t>
            </w:r>
          </w:p>
        </w:tc>
      </w:tr>
      <w:tr w14:paraId="4BEE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74E1BFB2">
            <w:pPr>
              <w:pStyle w:val="1535"/>
            </w:pPr>
          </w:p>
        </w:tc>
        <w:tc>
          <w:tcPr>
            <w:tcW w:w="1414" w:type="dxa"/>
            <w:vMerge w:val="restart"/>
            <w:vAlign w:val="center"/>
          </w:tcPr>
          <w:p w14:paraId="13840C93">
            <w:pPr>
              <w:pStyle w:val="1535"/>
            </w:pPr>
            <w:r>
              <w:rPr>
                <w:rFonts w:hint="eastAsia"/>
              </w:rPr>
              <w:t>石墨生产线</w:t>
            </w:r>
          </w:p>
        </w:tc>
        <w:tc>
          <w:tcPr>
            <w:tcW w:w="1135" w:type="dxa"/>
            <w:vAlign w:val="center"/>
          </w:tcPr>
          <w:p w14:paraId="4BE30F16">
            <w:pPr>
              <w:pStyle w:val="1535"/>
            </w:pPr>
            <w:r>
              <w:t>S</w:t>
            </w:r>
            <w:r>
              <w:rPr>
                <w:rFonts w:hint="eastAsia"/>
                <w:vertAlign w:val="subscript"/>
              </w:rPr>
              <w:t>5</w:t>
            </w:r>
          </w:p>
        </w:tc>
        <w:tc>
          <w:tcPr>
            <w:tcW w:w="2807" w:type="dxa"/>
            <w:vAlign w:val="center"/>
          </w:tcPr>
          <w:p w14:paraId="60C694DC">
            <w:pPr>
              <w:pStyle w:val="1535"/>
            </w:pPr>
            <w:r>
              <w:rPr>
                <w:rFonts w:hint="eastAsia"/>
              </w:rPr>
              <w:t>下料</w:t>
            </w:r>
          </w:p>
        </w:tc>
        <w:tc>
          <w:tcPr>
            <w:tcW w:w="0" w:type="auto"/>
            <w:vAlign w:val="center"/>
          </w:tcPr>
          <w:p w14:paraId="3D499BE8">
            <w:pPr>
              <w:pStyle w:val="1535"/>
            </w:pPr>
            <w:r>
              <w:rPr>
                <w:rFonts w:hint="eastAsia"/>
              </w:rPr>
              <w:t>石墨边角料</w:t>
            </w:r>
          </w:p>
        </w:tc>
      </w:tr>
      <w:tr w14:paraId="3DB6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26370504">
            <w:pPr>
              <w:pStyle w:val="1535"/>
            </w:pPr>
          </w:p>
        </w:tc>
        <w:tc>
          <w:tcPr>
            <w:tcW w:w="1414" w:type="dxa"/>
            <w:vMerge w:val="continue"/>
            <w:vAlign w:val="center"/>
          </w:tcPr>
          <w:p w14:paraId="27C8310A">
            <w:pPr>
              <w:pStyle w:val="1535"/>
            </w:pPr>
          </w:p>
        </w:tc>
        <w:tc>
          <w:tcPr>
            <w:tcW w:w="1135" w:type="dxa"/>
            <w:vAlign w:val="center"/>
          </w:tcPr>
          <w:p w14:paraId="460E0428">
            <w:pPr>
              <w:pStyle w:val="1535"/>
            </w:pPr>
            <w:r>
              <w:t>S</w:t>
            </w:r>
            <w:r>
              <w:rPr>
                <w:rFonts w:hint="eastAsia"/>
                <w:vertAlign w:val="subscript"/>
              </w:rPr>
              <w:t>6</w:t>
            </w:r>
          </w:p>
        </w:tc>
        <w:tc>
          <w:tcPr>
            <w:tcW w:w="2807" w:type="dxa"/>
            <w:vAlign w:val="center"/>
          </w:tcPr>
          <w:p w14:paraId="22C23CDD">
            <w:pPr>
              <w:pStyle w:val="1535"/>
            </w:pPr>
            <w:r>
              <w:rPr>
                <w:rFonts w:hint="eastAsia"/>
              </w:rPr>
              <w:t>加工</w:t>
            </w:r>
          </w:p>
        </w:tc>
        <w:tc>
          <w:tcPr>
            <w:tcW w:w="0" w:type="auto"/>
            <w:vAlign w:val="center"/>
          </w:tcPr>
          <w:p w14:paraId="10A5A4F5">
            <w:pPr>
              <w:pStyle w:val="1535"/>
            </w:pPr>
            <w:r>
              <w:rPr>
                <w:rFonts w:hint="eastAsia"/>
              </w:rPr>
              <w:t>沾染切削液废石墨屑</w:t>
            </w:r>
          </w:p>
        </w:tc>
      </w:tr>
      <w:tr w14:paraId="03DC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0B3B177D">
            <w:pPr>
              <w:pStyle w:val="1535"/>
            </w:pPr>
          </w:p>
        </w:tc>
        <w:tc>
          <w:tcPr>
            <w:tcW w:w="1414" w:type="dxa"/>
            <w:vAlign w:val="center"/>
          </w:tcPr>
          <w:p w14:paraId="7500BBDF">
            <w:pPr>
              <w:pStyle w:val="1535"/>
            </w:pPr>
            <w:r>
              <w:rPr>
                <w:rFonts w:hint="eastAsia"/>
              </w:rPr>
              <w:t>包装工序</w:t>
            </w:r>
          </w:p>
        </w:tc>
        <w:tc>
          <w:tcPr>
            <w:tcW w:w="1135" w:type="dxa"/>
            <w:vAlign w:val="center"/>
          </w:tcPr>
          <w:p w14:paraId="38345352">
            <w:pPr>
              <w:pStyle w:val="1535"/>
            </w:pPr>
            <w:r>
              <w:t>S</w:t>
            </w:r>
            <w:r>
              <w:rPr>
                <w:rFonts w:hint="eastAsia"/>
                <w:vertAlign w:val="subscript"/>
              </w:rPr>
              <w:t>7</w:t>
            </w:r>
          </w:p>
        </w:tc>
        <w:tc>
          <w:tcPr>
            <w:tcW w:w="2807" w:type="dxa"/>
            <w:vAlign w:val="center"/>
          </w:tcPr>
          <w:p w14:paraId="4A6D4DA0">
            <w:pPr>
              <w:pStyle w:val="1535"/>
            </w:pPr>
            <w:r>
              <w:rPr>
                <w:rFonts w:hint="eastAsia"/>
              </w:rPr>
              <w:t>包装</w:t>
            </w:r>
          </w:p>
        </w:tc>
        <w:tc>
          <w:tcPr>
            <w:tcW w:w="0" w:type="auto"/>
            <w:vAlign w:val="center"/>
          </w:tcPr>
          <w:p w14:paraId="5E47CEFC">
            <w:pPr>
              <w:pStyle w:val="1535"/>
            </w:pPr>
            <w:r>
              <w:rPr>
                <w:rFonts w:hint="eastAsia"/>
              </w:rPr>
              <w:t>包装废料</w:t>
            </w:r>
          </w:p>
        </w:tc>
      </w:tr>
      <w:tr w14:paraId="333E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3F3D00DB">
            <w:pPr>
              <w:pStyle w:val="1535"/>
            </w:pPr>
          </w:p>
        </w:tc>
        <w:tc>
          <w:tcPr>
            <w:tcW w:w="1414" w:type="dxa"/>
            <w:vMerge w:val="restart"/>
            <w:vAlign w:val="center"/>
          </w:tcPr>
          <w:p w14:paraId="2256A9E7">
            <w:pPr>
              <w:pStyle w:val="1535"/>
            </w:pPr>
            <w:r>
              <w:t>公辅、环保工程</w:t>
            </w:r>
          </w:p>
        </w:tc>
        <w:tc>
          <w:tcPr>
            <w:tcW w:w="1135" w:type="dxa"/>
            <w:vAlign w:val="center"/>
          </w:tcPr>
          <w:p w14:paraId="71C0BC4F">
            <w:pPr>
              <w:pStyle w:val="1535"/>
            </w:pPr>
            <w:r>
              <w:t>S</w:t>
            </w:r>
            <w:r>
              <w:rPr>
                <w:rFonts w:hint="eastAsia"/>
                <w:vertAlign w:val="subscript"/>
              </w:rPr>
              <w:t>8</w:t>
            </w:r>
          </w:p>
        </w:tc>
        <w:tc>
          <w:tcPr>
            <w:tcW w:w="2807" w:type="dxa"/>
            <w:vAlign w:val="center"/>
          </w:tcPr>
          <w:p w14:paraId="0A052826">
            <w:pPr>
              <w:pStyle w:val="1535"/>
            </w:pPr>
            <w:r>
              <w:t>纯水制备</w:t>
            </w:r>
          </w:p>
        </w:tc>
        <w:tc>
          <w:tcPr>
            <w:tcW w:w="0" w:type="auto"/>
            <w:vAlign w:val="center"/>
          </w:tcPr>
          <w:p w14:paraId="02E2009E">
            <w:pPr>
              <w:pStyle w:val="1535"/>
            </w:pPr>
            <w:r>
              <w:t>废RO膜</w:t>
            </w:r>
          </w:p>
        </w:tc>
      </w:tr>
      <w:tr w14:paraId="16AC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7914BA32">
            <w:pPr>
              <w:pStyle w:val="1535"/>
            </w:pPr>
          </w:p>
        </w:tc>
        <w:tc>
          <w:tcPr>
            <w:tcW w:w="1414" w:type="dxa"/>
            <w:vMerge w:val="continue"/>
            <w:vAlign w:val="center"/>
          </w:tcPr>
          <w:p w14:paraId="2B380953">
            <w:pPr>
              <w:pStyle w:val="1535"/>
            </w:pPr>
          </w:p>
        </w:tc>
        <w:tc>
          <w:tcPr>
            <w:tcW w:w="1135" w:type="dxa"/>
            <w:vAlign w:val="center"/>
          </w:tcPr>
          <w:p w14:paraId="1FCA840E">
            <w:pPr>
              <w:pStyle w:val="1535"/>
            </w:pPr>
            <w:r>
              <w:t>S</w:t>
            </w:r>
            <w:r>
              <w:rPr>
                <w:rFonts w:hint="eastAsia"/>
                <w:vertAlign w:val="subscript"/>
              </w:rPr>
              <w:t>9</w:t>
            </w:r>
          </w:p>
        </w:tc>
        <w:tc>
          <w:tcPr>
            <w:tcW w:w="2807" w:type="dxa"/>
            <w:vAlign w:val="center"/>
          </w:tcPr>
          <w:p w14:paraId="3738CAD4">
            <w:pPr>
              <w:pStyle w:val="1535"/>
            </w:pPr>
            <w:r>
              <w:t>空压机</w:t>
            </w:r>
          </w:p>
        </w:tc>
        <w:tc>
          <w:tcPr>
            <w:tcW w:w="0" w:type="auto"/>
            <w:vAlign w:val="center"/>
          </w:tcPr>
          <w:p w14:paraId="18C9F445">
            <w:pPr>
              <w:pStyle w:val="1535"/>
            </w:pPr>
            <w:r>
              <w:rPr>
                <w:rFonts w:hint="eastAsia"/>
              </w:rPr>
              <w:t>含油废液</w:t>
            </w:r>
          </w:p>
        </w:tc>
      </w:tr>
      <w:tr w14:paraId="6542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7B406A30">
            <w:pPr>
              <w:pStyle w:val="1535"/>
            </w:pPr>
          </w:p>
        </w:tc>
        <w:tc>
          <w:tcPr>
            <w:tcW w:w="1414" w:type="dxa"/>
            <w:vMerge w:val="continue"/>
            <w:vAlign w:val="center"/>
          </w:tcPr>
          <w:p w14:paraId="7136B5CF">
            <w:pPr>
              <w:pStyle w:val="1535"/>
            </w:pPr>
          </w:p>
        </w:tc>
        <w:tc>
          <w:tcPr>
            <w:tcW w:w="1135" w:type="dxa"/>
            <w:vAlign w:val="center"/>
          </w:tcPr>
          <w:p w14:paraId="5AE9C880">
            <w:pPr>
              <w:pStyle w:val="1535"/>
            </w:pPr>
            <w:r>
              <w:t>S</w:t>
            </w:r>
            <w:r>
              <w:rPr>
                <w:rFonts w:hint="eastAsia"/>
                <w:vertAlign w:val="subscript"/>
              </w:rPr>
              <w:t>10</w:t>
            </w:r>
          </w:p>
        </w:tc>
        <w:tc>
          <w:tcPr>
            <w:tcW w:w="2807" w:type="dxa"/>
            <w:vAlign w:val="center"/>
          </w:tcPr>
          <w:p w14:paraId="55BDAB8B">
            <w:pPr>
              <w:pStyle w:val="1535"/>
            </w:pPr>
            <w:r>
              <w:t>除尘</w:t>
            </w:r>
          </w:p>
        </w:tc>
        <w:tc>
          <w:tcPr>
            <w:tcW w:w="0" w:type="auto"/>
            <w:vAlign w:val="center"/>
          </w:tcPr>
          <w:p w14:paraId="686AD38D">
            <w:pPr>
              <w:pStyle w:val="1535"/>
            </w:pPr>
            <w:r>
              <w:t>除尘灰</w:t>
            </w:r>
          </w:p>
        </w:tc>
      </w:tr>
      <w:tr w14:paraId="2725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4D469852">
            <w:pPr>
              <w:pStyle w:val="1535"/>
            </w:pPr>
          </w:p>
        </w:tc>
        <w:tc>
          <w:tcPr>
            <w:tcW w:w="1414" w:type="dxa"/>
            <w:vMerge w:val="continue"/>
            <w:vAlign w:val="center"/>
          </w:tcPr>
          <w:p w14:paraId="284E6F1C">
            <w:pPr>
              <w:pStyle w:val="1535"/>
            </w:pPr>
          </w:p>
        </w:tc>
        <w:tc>
          <w:tcPr>
            <w:tcW w:w="1135" w:type="dxa"/>
            <w:vAlign w:val="center"/>
          </w:tcPr>
          <w:p w14:paraId="64095F89">
            <w:pPr>
              <w:pStyle w:val="1535"/>
            </w:pPr>
            <w:r>
              <w:t>S</w:t>
            </w:r>
            <w:r>
              <w:rPr>
                <w:rFonts w:hint="eastAsia"/>
                <w:vertAlign w:val="subscript"/>
              </w:rPr>
              <w:t>11</w:t>
            </w:r>
          </w:p>
        </w:tc>
        <w:tc>
          <w:tcPr>
            <w:tcW w:w="2807" w:type="dxa"/>
            <w:vAlign w:val="center"/>
          </w:tcPr>
          <w:p w14:paraId="56A2E6DB">
            <w:pPr>
              <w:pStyle w:val="1535"/>
            </w:pPr>
            <w:r>
              <w:t>综合废水处理站</w:t>
            </w:r>
          </w:p>
        </w:tc>
        <w:tc>
          <w:tcPr>
            <w:tcW w:w="0" w:type="auto"/>
            <w:vAlign w:val="center"/>
          </w:tcPr>
          <w:p w14:paraId="427F4277">
            <w:pPr>
              <w:pStyle w:val="1535"/>
            </w:pPr>
            <w:r>
              <w:t>废水处理站污泥</w:t>
            </w:r>
          </w:p>
        </w:tc>
      </w:tr>
      <w:tr w14:paraId="147F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697AF8BA">
            <w:pPr>
              <w:pStyle w:val="1535"/>
            </w:pPr>
          </w:p>
        </w:tc>
        <w:tc>
          <w:tcPr>
            <w:tcW w:w="1414" w:type="dxa"/>
            <w:vMerge w:val="continue"/>
            <w:vAlign w:val="center"/>
          </w:tcPr>
          <w:p w14:paraId="2DA4F321">
            <w:pPr>
              <w:pStyle w:val="1535"/>
            </w:pPr>
          </w:p>
        </w:tc>
        <w:tc>
          <w:tcPr>
            <w:tcW w:w="1135" w:type="dxa"/>
            <w:vAlign w:val="center"/>
          </w:tcPr>
          <w:p w14:paraId="2C10009F">
            <w:pPr>
              <w:pStyle w:val="1535"/>
            </w:pPr>
            <w:r>
              <w:t>S</w:t>
            </w:r>
            <w:r>
              <w:rPr>
                <w:rFonts w:hint="eastAsia"/>
                <w:vertAlign w:val="subscript"/>
              </w:rPr>
              <w:t>12</w:t>
            </w:r>
          </w:p>
        </w:tc>
        <w:tc>
          <w:tcPr>
            <w:tcW w:w="2807" w:type="dxa"/>
            <w:vAlign w:val="center"/>
          </w:tcPr>
          <w:p w14:paraId="7CF4A01C">
            <w:pPr>
              <w:pStyle w:val="1535"/>
            </w:pPr>
            <w:r>
              <w:t>生化池</w:t>
            </w:r>
          </w:p>
        </w:tc>
        <w:tc>
          <w:tcPr>
            <w:tcW w:w="0" w:type="auto"/>
            <w:vAlign w:val="center"/>
          </w:tcPr>
          <w:p w14:paraId="4FAF55E5">
            <w:pPr>
              <w:pStyle w:val="1535"/>
            </w:pPr>
            <w:r>
              <w:t>生化池污泥</w:t>
            </w:r>
          </w:p>
        </w:tc>
      </w:tr>
      <w:tr w14:paraId="4F141F2E">
        <w:tblPrEx>
          <w:tblCellMar>
            <w:top w:w="0" w:type="dxa"/>
            <w:left w:w="108" w:type="dxa"/>
            <w:bottom w:w="0" w:type="dxa"/>
            <w:right w:w="108" w:type="dxa"/>
          </w:tblCellMar>
        </w:tblPrEx>
        <w:trPr>
          <w:trHeight w:val="23" w:hRule="atLeast"/>
        </w:trPr>
        <w:tc>
          <w:tcPr>
            <w:tcW w:w="0" w:type="auto"/>
            <w:vMerge w:val="continue"/>
            <w:vAlign w:val="center"/>
          </w:tcPr>
          <w:p w14:paraId="6AE04AD9">
            <w:pPr>
              <w:pStyle w:val="1535"/>
            </w:pPr>
          </w:p>
        </w:tc>
        <w:tc>
          <w:tcPr>
            <w:tcW w:w="1414" w:type="dxa"/>
            <w:vMerge w:val="continue"/>
            <w:vAlign w:val="center"/>
          </w:tcPr>
          <w:p w14:paraId="39A464CA">
            <w:pPr>
              <w:pStyle w:val="1535"/>
            </w:pPr>
          </w:p>
        </w:tc>
        <w:tc>
          <w:tcPr>
            <w:tcW w:w="1135" w:type="dxa"/>
            <w:vAlign w:val="center"/>
          </w:tcPr>
          <w:p w14:paraId="72BB59E5">
            <w:pPr>
              <w:pStyle w:val="1535"/>
            </w:pPr>
            <w:r>
              <w:t>S</w:t>
            </w:r>
            <w:r>
              <w:rPr>
                <w:rFonts w:hint="eastAsia"/>
                <w:vertAlign w:val="subscript"/>
              </w:rPr>
              <w:t>13</w:t>
            </w:r>
          </w:p>
        </w:tc>
        <w:tc>
          <w:tcPr>
            <w:tcW w:w="2807" w:type="dxa"/>
            <w:vAlign w:val="center"/>
          </w:tcPr>
          <w:p w14:paraId="18748F18">
            <w:pPr>
              <w:pStyle w:val="1535"/>
            </w:pPr>
            <w:r>
              <w:t>切削液回收</w:t>
            </w:r>
          </w:p>
        </w:tc>
        <w:tc>
          <w:tcPr>
            <w:tcW w:w="0" w:type="auto"/>
            <w:vAlign w:val="center"/>
          </w:tcPr>
          <w:p w14:paraId="4AA24A95">
            <w:pPr>
              <w:pStyle w:val="1535"/>
            </w:pPr>
            <w:r>
              <w:t>含油污泥</w:t>
            </w:r>
          </w:p>
        </w:tc>
      </w:tr>
      <w:tr w14:paraId="2557C095">
        <w:tblPrEx>
          <w:tblCellMar>
            <w:top w:w="0" w:type="dxa"/>
            <w:left w:w="108" w:type="dxa"/>
            <w:bottom w:w="0" w:type="dxa"/>
            <w:right w:w="108" w:type="dxa"/>
          </w:tblCellMar>
        </w:tblPrEx>
        <w:trPr>
          <w:trHeight w:val="23" w:hRule="atLeast"/>
        </w:trPr>
        <w:tc>
          <w:tcPr>
            <w:tcW w:w="0" w:type="auto"/>
            <w:vMerge w:val="continue"/>
            <w:vAlign w:val="center"/>
          </w:tcPr>
          <w:p w14:paraId="51FCF483">
            <w:pPr>
              <w:pStyle w:val="1535"/>
            </w:pPr>
          </w:p>
        </w:tc>
        <w:tc>
          <w:tcPr>
            <w:tcW w:w="1414" w:type="dxa"/>
            <w:vMerge w:val="continue"/>
            <w:vAlign w:val="center"/>
          </w:tcPr>
          <w:p w14:paraId="703D2665">
            <w:pPr>
              <w:pStyle w:val="1535"/>
            </w:pPr>
          </w:p>
        </w:tc>
        <w:tc>
          <w:tcPr>
            <w:tcW w:w="1135" w:type="dxa"/>
            <w:vAlign w:val="center"/>
          </w:tcPr>
          <w:p w14:paraId="74F6E49A">
            <w:pPr>
              <w:pStyle w:val="1535"/>
            </w:pPr>
            <w:r>
              <w:t>S</w:t>
            </w:r>
            <w:r>
              <w:rPr>
                <w:rFonts w:hint="eastAsia"/>
                <w:vertAlign w:val="subscript"/>
              </w:rPr>
              <w:t>14</w:t>
            </w:r>
          </w:p>
        </w:tc>
        <w:tc>
          <w:tcPr>
            <w:tcW w:w="2807" w:type="dxa"/>
            <w:vAlign w:val="center"/>
          </w:tcPr>
          <w:p w14:paraId="3EACE826">
            <w:pPr>
              <w:pStyle w:val="1535"/>
            </w:pPr>
            <w:r>
              <w:t>危化品使用</w:t>
            </w:r>
          </w:p>
        </w:tc>
        <w:tc>
          <w:tcPr>
            <w:tcW w:w="0" w:type="auto"/>
            <w:vAlign w:val="center"/>
          </w:tcPr>
          <w:p w14:paraId="0A52CB8E">
            <w:pPr>
              <w:pStyle w:val="1535"/>
            </w:pPr>
            <w:r>
              <w:t>危化品桶</w:t>
            </w:r>
          </w:p>
        </w:tc>
      </w:tr>
      <w:tr w14:paraId="56EE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14:paraId="3283DE3C">
            <w:pPr>
              <w:pStyle w:val="1535"/>
            </w:pPr>
          </w:p>
        </w:tc>
        <w:tc>
          <w:tcPr>
            <w:tcW w:w="1414" w:type="dxa"/>
            <w:vAlign w:val="center"/>
          </w:tcPr>
          <w:p w14:paraId="07F16FEE">
            <w:pPr>
              <w:pStyle w:val="1535"/>
            </w:pPr>
            <w:r>
              <w:t>生活垃圾</w:t>
            </w:r>
          </w:p>
        </w:tc>
        <w:tc>
          <w:tcPr>
            <w:tcW w:w="1135" w:type="dxa"/>
            <w:vAlign w:val="center"/>
          </w:tcPr>
          <w:p w14:paraId="545F9F8D">
            <w:pPr>
              <w:pStyle w:val="1535"/>
            </w:pPr>
            <w:r>
              <w:t>S</w:t>
            </w:r>
            <w:r>
              <w:rPr>
                <w:rFonts w:hint="eastAsia"/>
                <w:vertAlign w:val="subscript"/>
              </w:rPr>
              <w:t>15</w:t>
            </w:r>
          </w:p>
        </w:tc>
        <w:tc>
          <w:tcPr>
            <w:tcW w:w="2807" w:type="dxa"/>
            <w:vAlign w:val="center"/>
          </w:tcPr>
          <w:p w14:paraId="7378D6DC">
            <w:pPr>
              <w:pStyle w:val="1535"/>
            </w:pPr>
            <w:r>
              <w:t>员工生活</w:t>
            </w:r>
          </w:p>
        </w:tc>
        <w:tc>
          <w:tcPr>
            <w:tcW w:w="0" w:type="auto"/>
            <w:vAlign w:val="center"/>
          </w:tcPr>
          <w:p w14:paraId="7DD7B2AD">
            <w:pPr>
              <w:pStyle w:val="1535"/>
            </w:pPr>
            <w:r>
              <w:t>生活垃圾</w:t>
            </w:r>
          </w:p>
        </w:tc>
      </w:tr>
      <w:tr w14:paraId="09CA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09" w:type="dxa"/>
            <w:gridSpan w:val="2"/>
            <w:vAlign w:val="center"/>
          </w:tcPr>
          <w:p w14:paraId="16E404FA">
            <w:pPr>
              <w:pStyle w:val="1535"/>
            </w:pPr>
            <w:r>
              <w:t>噪声</w:t>
            </w:r>
          </w:p>
        </w:tc>
        <w:tc>
          <w:tcPr>
            <w:tcW w:w="1135" w:type="dxa"/>
            <w:vAlign w:val="center"/>
          </w:tcPr>
          <w:p w14:paraId="449FAAA9">
            <w:pPr>
              <w:pStyle w:val="1535"/>
            </w:pPr>
            <w:r>
              <w:t>N</w:t>
            </w:r>
          </w:p>
        </w:tc>
        <w:tc>
          <w:tcPr>
            <w:tcW w:w="2807" w:type="dxa"/>
            <w:vAlign w:val="center"/>
          </w:tcPr>
          <w:p w14:paraId="3C62E5F1">
            <w:pPr>
              <w:pStyle w:val="1535"/>
            </w:pPr>
            <w:r>
              <w:t>生产设备、风机、空压机</w:t>
            </w:r>
          </w:p>
        </w:tc>
        <w:tc>
          <w:tcPr>
            <w:tcW w:w="0" w:type="auto"/>
            <w:vAlign w:val="center"/>
          </w:tcPr>
          <w:p w14:paraId="391C3282">
            <w:pPr>
              <w:pStyle w:val="1535"/>
            </w:pPr>
            <w:r>
              <w:t>噪声</w:t>
            </w:r>
          </w:p>
        </w:tc>
      </w:tr>
      <w:bookmarkEnd w:id="176"/>
    </w:tbl>
    <w:p w14:paraId="347FEEA1">
      <w:pPr>
        <w:pStyle w:val="5"/>
        <w:rPr>
          <w:color w:val="000000" w:themeColor="text1"/>
          <w14:textFill>
            <w14:solidFill>
              <w14:schemeClr w14:val="tx1"/>
            </w14:solidFill>
          </w14:textFill>
        </w:rPr>
      </w:pPr>
      <w:r>
        <w:rPr>
          <w:color w:val="000000" w:themeColor="text1"/>
          <w14:textFill>
            <w14:solidFill>
              <w14:schemeClr w14:val="tx1"/>
            </w14:solidFill>
          </w14:textFill>
        </w:rPr>
        <w:t>污废水</w:t>
      </w:r>
    </w:p>
    <w:p w14:paraId="2AF270E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生产废水</w:t>
      </w:r>
    </w:p>
    <w:p w14:paraId="31E31727">
      <w:pPr>
        <w:ind w:firstLine="520"/>
        <w:rPr>
          <w:bCs/>
          <w:color w:val="000000" w:themeColor="text1"/>
          <w14:textFill>
            <w14:solidFill>
              <w14:schemeClr w14:val="tx1"/>
            </w14:solidFill>
          </w14:textFill>
        </w:rPr>
      </w:pPr>
      <w:r>
        <w:rPr>
          <w:color w:val="000000" w:themeColor="text1"/>
          <w14:textFill>
            <w14:solidFill>
              <w14:schemeClr w14:val="tx1"/>
            </w14:solidFill>
          </w14:textFill>
        </w:rPr>
        <w:t>生产废水主要来源于冷却水、</w:t>
      </w:r>
      <w:r>
        <w:rPr>
          <w:rFonts w:hint="eastAsia"/>
          <w:color w:val="000000" w:themeColor="text1"/>
          <w14:textFill>
            <w14:solidFill>
              <w14:schemeClr w14:val="tx1"/>
            </w14:solidFill>
          </w14:textFill>
        </w:rPr>
        <w:t>抛光</w:t>
      </w:r>
      <w:r>
        <w:rPr>
          <w:color w:val="000000" w:themeColor="text1"/>
          <w14:textFill>
            <w14:solidFill>
              <w14:schemeClr w14:val="tx1"/>
            </w14:solidFill>
          </w14:textFill>
        </w:rPr>
        <w:t>及清洗等工序产生的废水，产生量共</w:t>
      </w:r>
      <w:r>
        <w:rPr>
          <w:rFonts w:hint="eastAsia"/>
          <w:color w:val="000000" w:themeColor="text1"/>
          <w14:textFill>
            <w14:solidFill>
              <w14:schemeClr w14:val="tx1"/>
            </w14:solidFill>
          </w14:textFill>
        </w:rPr>
        <w:t>8.37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/d。另有纯水设备产生的浓水</w:t>
      </w:r>
      <w:r>
        <w:rPr>
          <w:rFonts w:hint="eastAsia"/>
          <w:color w:val="000000" w:themeColor="text1"/>
          <w14:textFill>
            <w14:solidFill>
              <w14:schemeClr w14:val="tx1"/>
            </w14:solidFill>
          </w14:textFill>
        </w:rPr>
        <w:t>2.40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/d排入雨水管网。</w:t>
      </w:r>
    </w:p>
    <w:p w14:paraId="6FFC11F3">
      <w:pPr>
        <w:pStyle w:val="2005"/>
        <w:numPr>
          <w:ilvl w:val="0"/>
          <w:numId w:val="26"/>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GASKET产品生产线</w:t>
      </w:r>
      <w:r>
        <w:rPr>
          <w:color w:val="000000" w:themeColor="text1"/>
          <w14:textFill>
            <w14:solidFill>
              <w14:schemeClr w14:val="tx1"/>
            </w14:solidFill>
          </w14:textFill>
        </w:rPr>
        <w:t>废水</w:t>
      </w:r>
    </w:p>
    <w:p w14:paraId="34498EDD">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GASKET产品租赁臻宝科技公司厂房闲置区域建设，抛光工序产生废水依托臻宝科技公司现有综合废水处理站处理，故计入臻宝科技公司，废水产生量为0.45m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主要污染物为SS</w:t>
      </w:r>
      <w:r>
        <w:rPr>
          <w:rFonts w:hint="eastAsia"/>
          <w:color w:val="000000" w:themeColor="text1"/>
          <w14:textFill>
            <w14:solidFill>
              <w14:schemeClr w14:val="tx1"/>
            </w14:solidFill>
          </w14:textFill>
        </w:rPr>
        <w:t>：300</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p w14:paraId="04FA8A3B">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清洗依托现有工程，</w:t>
      </w:r>
      <w:r>
        <w:rPr>
          <w:color w:val="000000" w:themeColor="text1"/>
          <w14:textFill>
            <w14:solidFill>
              <w14:schemeClr w14:val="tx1"/>
            </w14:solidFill>
          </w14:textFill>
        </w:rPr>
        <w:t>废水产生量为</w:t>
      </w:r>
      <w:r>
        <w:rPr>
          <w:rFonts w:hint="eastAsia"/>
          <w:color w:val="000000" w:themeColor="text1"/>
          <w14:textFill>
            <w14:solidFill>
              <w14:schemeClr w14:val="tx1"/>
            </w14:solidFill>
          </w14:textFill>
        </w:rPr>
        <w:t>0.26</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类比臻宝科技公司“集成电路、光电显示零部件生产基地项目”（与臻宝半导体公司现有清洗线一致）</w:t>
      </w:r>
      <w:r>
        <w:rPr>
          <w:color w:val="000000" w:themeColor="text1"/>
          <w14:textFill>
            <w14:solidFill>
              <w14:schemeClr w14:val="tx1"/>
            </w14:solidFill>
          </w14:textFill>
        </w:rPr>
        <w:t>主要污染物为pH、COD</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00mg/L、SS</w:t>
      </w:r>
      <w:r>
        <w:rPr>
          <w:rFonts w:hint="eastAsia"/>
          <w:color w:val="000000" w:themeColor="text1"/>
          <w14:textFill>
            <w14:solidFill>
              <w14:schemeClr w14:val="tx1"/>
            </w14:solidFill>
          </w14:textFill>
        </w:rPr>
        <w:t>：500</w:t>
      </w:r>
      <w:r>
        <w:rPr>
          <w:color w:val="000000" w:themeColor="text1"/>
          <w14:textFill>
            <w14:solidFill>
              <w14:schemeClr w14:val="tx1"/>
            </w14:solidFill>
          </w14:textFill>
        </w:rPr>
        <w:t>mg/L、石油类</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0mg/L、氟化物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15mg/L。</w:t>
      </w:r>
    </w:p>
    <w:p w14:paraId="1A95BA06">
      <w:pPr>
        <w:pStyle w:val="2005"/>
        <w:numPr>
          <w:ilvl w:val="0"/>
          <w:numId w:val="26"/>
        </w:numPr>
        <w:ind w:firstLineChars="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石墨及碳化硅涂层产品清洗废水</w:t>
      </w:r>
    </w:p>
    <w:p w14:paraId="7D0E41AE">
      <w:pPr>
        <w:ind w:firstLine="5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石墨及碳化硅涂层产品清洗</w:t>
      </w:r>
      <w:r>
        <w:rPr>
          <w:color w:val="000000" w:themeColor="text1"/>
          <w14:textFill>
            <w14:solidFill>
              <w14:schemeClr w14:val="tx1"/>
            </w14:solidFill>
          </w14:textFill>
        </w:rPr>
        <w:t>废水产生量为</w:t>
      </w:r>
      <w:r>
        <w:rPr>
          <w:rFonts w:hint="eastAsia"/>
          <w:color w:val="000000" w:themeColor="text1"/>
          <w14:textFill>
            <w14:solidFill>
              <w14:schemeClr w14:val="tx1"/>
            </w14:solidFill>
          </w14:textFill>
        </w:rPr>
        <w:t>6.67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类比臻宝半导体公司“半导体及泛半导体精密零部件研发生产项目”（扩建项目与该项目清洗线一致）</w:t>
      </w:r>
      <w:r>
        <w:rPr>
          <w:color w:val="000000" w:themeColor="text1"/>
          <w14:textFill>
            <w14:solidFill>
              <w14:schemeClr w14:val="tx1"/>
            </w14:solidFill>
          </w14:textFill>
        </w:rPr>
        <w:t>主要污染物为pH、COD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300mg/L、SS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150mg/L、石油类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30mg/L、氟化物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15mg/L</w:t>
      </w:r>
      <w:r>
        <w:rPr>
          <w:rFonts w:hint="eastAsia"/>
          <w:color w:val="000000" w:themeColor="text1"/>
          <w14:textFill>
            <w14:solidFill>
              <w14:schemeClr w14:val="tx1"/>
            </w14:solidFill>
          </w14:textFill>
        </w:rPr>
        <w:t>，依托厂区已建成</w:t>
      </w:r>
      <w:r>
        <w:rPr>
          <w:color w:val="000000" w:themeColor="text1"/>
          <w14:textFill>
            <w14:solidFill>
              <w14:schemeClr w14:val="tx1"/>
            </w14:solidFill>
          </w14:textFill>
        </w:rPr>
        <w:t>综合污水处理站处理。</w:t>
      </w:r>
    </w:p>
    <w:p w14:paraId="26FAB7AF">
      <w:pPr>
        <w:pStyle w:val="2005"/>
        <w:numPr>
          <w:ilvl w:val="0"/>
          <w:numId w:val="26"/>
        </w:numPr>
        <w:ind w:firstLineChars="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酸雾塔排水</w:t>
      </w:r>
    </w:p>
    <w:p w14:paraId="7B6577A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本次扩建酸雾塔新增</w:t>
      </w:r>
      <w:r>
        <w:rPr>
          <w:color w:val="000000" w:themeColor="text1"/>
          <w14:textFill>
            <w14:solidFill>
              <w14:schemeClr w14:val="tx1"/>
            </w14:solidFill>
          </w14:textFill>
        </w:rPr>
        <w:t>废水产生量为</w:t>
      </w:r>
      <w:r>
        <w:rPr>
          <w:rFonts w:hint="eastAsia"/>
          <w:color w:val="000000" w:themeColor="text1"/>
          <w14:textFill>
            <w14:solidFill>
              <w14:schemeClr w14:val="tx1"/>
            </w14:solidFill>
          </w14:textFill>
        </w:rPr>
        <w:t>1.44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类比臻宝半导体公司“半导体及泛半导体精密零部件研发生产项目”（扩建项目酸雾塔该项目一致）</w:t>
      </w:r>
      <w:r>
        <w:rPr>
          <w:color w:val="000000" w:themeColor="text1"/>
          <w14:textFill>
            <w14:solidFill>
              <w14:schemeClr w14:val="tx1"/>
            </w14:solidFill>
          </w14:textFill>
        </w:rPr>
        <w:t>主要污染物为pH、COD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300mg/L、SS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150mg/L、石油类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30mg/L、氟化物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15mg/L</w:t>
      </w:r>
      <w:r>
        <w:rPr>
          <w:rFonts w:hint="eastAsia"/>
          <w:color w:val="000000" w:themeColor="text1"/>
          <w14:textFill>
            <w14:solidFill>
              <w14:schemeClr w14:val="tx1"/>
            </w14:solidFill>
          </w14:textFill>
        </w:rPr>
        <w:t>，依托厂区已建成</w:t>
      </w:r>
      <w:r>
        <w:rPr>
          <w:color w:val="000000" w:themeColor="text1"/>
          <w14:textFill>
            <w14:solidFill>
              <w14:schemeClr w14:val="tx1"/>
            </w14:solidFill>
          </w14:textFill>
        </w:rPr>
        <w:t>综合污水处理站处理。</w:t>
      </w:r>
    </w:p>
    <w:p w14:paraId="7EAB717E">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生活污水</w:t>
      </w:r>
    </w:p>
    <w:p w14:paraId="122DE17E">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扩建项目新增劳动定员15人，不设食堂及宿舍，设洗澡间，生活用水按照50L/人·d，产污系数按</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洗澡间按照5人/d，单人单次用水量0.1m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，产污系数取0.9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生活总用水量为1.25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，废水量为1.00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主要污染物为COD</w:t>
      </w:r>
      <w:r>
        <w:rPr>
          <w:rFonts w:hint="eastAsia"/>
          <w:color w:val="000000" w:themeColor="text1"/>
          <w14:textFill>
            <w14:solidFill>
              <w14:schemeClr w14:val="tx1"/>
            </w14:solidFill>
          </w14:textFill>
        </w:rPr>
        <w:t>：500</w:t>
      </w:r>
      <w:r>
        <w:rPr>
          <w:color w:val="000000" w:themeColor="text1"/>
          <w14:textFill>
            <w14:solidFill>
              <w14:schemeClr w14:val="tx1"/>
            </w14:solidFill>
          </w14:textFill>
        </w:rPr>
        <w:t>mg/L、动植物油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30mg/L、SS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300mg/L、氨氮</w:t>
      </w:r>
      <w:r>
        <w:rPr>
          <w:rFonts w:hint="eastAsia"/>
          <w:color w:val="000000" w:themeColor="text1"/>
          <w14:textFill>
            <w14:solidFill>
              <w14:schemeClr w14:val="tx1"/>
            </w14:solidFill>
          </w14:textFill>
        </w:rPr>
        <w:t>：45</w:t>
      </w:r>
      <w:r>
        <w:rPr>
          <w:color w:val="000000" w:themeColor="text1"/>
          <w14:textFill>
            <w14:solidFill>
              <w14:schemeClr w14:val="tx1"/>
            </w14:solidFill>
          </w14:textFill>
        </w:rPr>
        <w:t>mg/L。</w:t>
      </w:r>
    </w:p>
    <w:p w14:paraId="053055DA">
      <w:pPr>
        <w:ind w:firstLine="520"/>
        <w:rPr>
          <w:bCs/>
          <w:color w:val="000000" w:themeColor="text1"/>
          <w14:textFill>
            <w14:solidFill>
              <w14:schemeClr w14:val="tx1"/>
            </w14:solidFill>
          </w14:textFill>
        </w:rPr>
      </w:pPr>
      <w:r>
        <w:rPr>
          <w:color w:val="000000" w:themeColor="text1"/>
          <w14:textFill>
            <w14:solidFill>
              <w14:schemeClr w14:val="tx1"/>
            </w14:solidFill>
          </w14:textFill>
        </w:rPr>
        <w:t>废水污染物排放及污染物统计见下表。</w:t>
      </w:r>
    </w:p>
    <w:p w14:paraId="2A5A2CB7">
      <w:pPr>
        <w:spacing w:before="32"/>
        <w:ind w:firstLine="520"/>
        <w:rPr>
          <w:color w:val="000000" w:themeColor="text1"/>
          <w14:textFill>
            <w14:solidFill>
              <w14:schemeClr w14:val="tx1"/>
            </w14:solidFill>
          </w14:textFill>
        </w:rPr>
      </w:pPr>
    </w:p>
    <w:p w14:paraId="60723BE0">
      <w:pPr>
        <w:spacing w:before="32"/>
        <w:ind w:firstLine="520"/>
        <w:rPr>
          <w:color w:val="000000" w:themeColor="text1"/>
          <w14:textFill>
            <w14:solidFill>
              <w14:schemeClr w14:val="tx1"/>
            </w14:solidFill>
          </w14:textFill>
        </w:rPr>
        <w:sectPr>
          <w:pgSz w:w="11906" w:h="16838"/>
          <w:pgMar w:top="1440" w:right="1797" w:bottom="1440" w:left="1797" w:header="851" w:footer="992" w:gutter="0"/>
          <w:cols w:space="720" w:num="1"/>
          <w:docGrid w:type="lines" w:linePitch="326" w:charSpace="0"/>
        </w:sectPr>
      </w:pPr>
    </w:p>
    <w:p w14:paraId="196FE096">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污(废)水污染物排放统计一览表</w:t>
      </w:r>
    </w:p>
    <w:tbl>
      <w:tblPr>
        <w:tblStyle w:val="8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4"/>
        <w:gridCol w:w="1418"/>
        <w:gridCol w:w="638"/>
        <w:gridCol w:w="713"/>
        <w:gridCol w:w="1108"/>
        <w:gridCol w:w="993"/>
        <w:gridCol w:w="980"/>
        <w:gridCol w:w="4038"/>
        <w:gridCol w:w="720"/>
        <w:gridCol w:w="1127"/>
        <w:gridCol w:w="864"/>
        <w:gridCol w:w="901"/>
      </w:tblGrid>
      <w:tr w14:paraId="2A0DE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restart"/>
            <w:vAlign w:val="center"/>
          </w:tcPr>
          <w:p w14:paraId="740796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编号</w:t>
            </w:r>
          </w:p>
        </w:tc>
        <w:tc>
          <w:tcPr>
            <w:tcW w:w="1395" w:type="dxa"/>
            <w:vMerge w:val="restart"/>
            <w:vAlign w:val="center"/>
          </w:tcPr>
          <w:p w14:paraId="622BA5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污染源</w:t>
            </w:r>
          </w:p>
        </w:tc>
        <w:tc>
          <w:tcPr>
            <w:tcW w:w="1330" w:type="dxa"/>
            <w:gridSpan w:val="2"/>
            <w:vAlign w:val="center"/>
          </w:tcPr>
          <w:p w14:paraId="3F8318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废水产生量</w:t>
            </w:r>
          </w:p>
        </w:tc>
        <w:tc>
          <w:tcPr>
            <w:tcW w:w="1090" w:type="dxa"/>
            <w:vMerge w:val="restart"/>
            <w:vAlign w:val="center"/>
          </w:tcPr>
          <w:p w14:paraId="233ED8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污染物</w:t>
            </w:r>
          </w:p>
        </w:tc>
        <w:tc>
          <w:tcPr>
            <w:tcW w:w="1941" w:type="dxa"/>
            <w:gridSpan w:val="2"/>
            <w:vAlign w:val="center"/>
          </w:tcPr>
          <w:p w14:paraId="3D0C68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治理前</w:t>
            </w:r>
          </w:p>
        </w:tc>
        <w:tc>
          <w:tcPr>
            <w:tcW w:w="3974" w:type="dxa"/>
            <w:vMerge w:val="restart"/>
            <w:vAlign w:val="center"/>
          </w:tcPr>
          <w:p w14:paraId="201B75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拟采用治理措施</w:t>
            </w:r>
          </w:p>
        </w:tc>
        <w:tc>
          <w:tcPr>
            <w:tcW w:w="1818" w:type="dxa"/>
            <w:gridSpan w:val="2"/>
            <w:vAlign w:val="center"/>
          </w:tcPr>
          <w:p w14:paraId="586A26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废水排放量</w:t>
            </w:r>
          </w:p>
        </w:tc>
        <w:tc>
          <w:tcPr>
            <w:tcW w:w="1737" w:type="dxa"/>
            <w:gridSpan w:val="2"/>
            <w:vAlign w:val="center"/>
          </w:tcPr>
          <w:p w14:paraId="7B453B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治理后</w:t>
            </w:r>
          </w:p>
        </w:tc>
      </w:tr>
      <w:tr w14:paraId="1129D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7379E7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26BFED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Align w:val="center"/>
          </w:tcPr>
          <w:p w14:paraId="2C101B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/d</w:t>
            </w:r>
          </w:p>
        </w:tc>
        <w:tc>
          <w:tcPr>
            <w:tcW w:w="702" w:type="dxa"/>
            <w:vAlign w:val="center"/>
          </w:tcPr>
          <w:p w14:paraId="0108D9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/a</w:t>
            </w:r>
          </w:p>
        </w:tc>
        <w:tc>
          <w:tcPr>
            <w:tcW w:w="1090" w:type="dxa"/>
            <w:vMerge w:val="continue"/>
            <w:vAlign w:val="center"/>
          </w:tcPr>
          <w:p w14:paraId="4B7CA3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977" w:type="dxa"/>
            <w:vAlign w:val="center"/>
          </w:tcPr>
          <w:p w14:paraId="078C66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浓度(mg/L)</w:t>
            </w:r>
          </w:p>
        </w:tc>
        <w:tc>
          <w:tcPr>
            <w:tcW w:w="964" w:type="dxa"/>
            <w:vAlign w:val="center"/>
          </w:tcPr>
          <w:p w14:paraId="303FD6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产生量(t/a)</w:t>
            </w:r>
          </w:p>
        </w:tc>
        <w:tc>
          <w:tcPr>
            <w:tcW w:w="3974" w:type="dxa"/>
            <w:vMerge w:val="continue"/>
            <w:vAlign w:val="center"/>
          </w:tcPr>
          <w:p w14:paraId="1C14C8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Align w:val="center"/>
          </w:tcPr>
          <w:p w14:paraId="6465C5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/d</w:t>
            </w:r>
          </w:p>
        </w:tc>
        <w:tc>
          <w:tcPr>
            <w:tcW w:w="1109" w:type="dxa"/>
            <w:vAlign w:val="center"/>
          </w:tcPr>
          <w:p w14:paraId="2F48BE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m</w:t>
            </w:r>
            <w:r>
              <w:rPr>
                <w:snapToGrid/>
                <w:color w:val="000000" w:themeColor="text1"/>
                <w:sz w:val="21"/>
                <w:szCs w:val="21"/>
                <w:vertAlign w:val="superscript"/>
                <w14:textFill>
                  <w14:solidFill>
                    <w14:schemeClr w14:val="tx1"/>
                  </w14:solidFill>
                </w14:textFill>
              </w:rPr>
              <w:t>3</w:t>
            </w:r>
            <w:r>
              <w:rPr>
                <w:snapToGrid/>
                <w:color w:val="000000" w:themeColor="text1"/>
                <w:sz w:val="21"/>
                <w:szCs w:val="21"/>
                <w14:textFill>
                  <w14:solidFill>
                    <w14:schemeClr w14:val="tx1"/>
                  </w14:solidFill>
                </w14:textFill>
              </w:rPr>
              <w:t>/a</w:t>
            </w:r>
          </w:p>
        </w:tc>
        <w:tc>
          <w:tcPr>
            <w:tcW w:w="850" w:type="dxa"/>
            <w:vAlign w:val="center"/>
          </w:tcPr>
          <w:p w14:paraId="14C819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浓度(mg/L)</w:t>
            </w:r>
          </w:p>
        </w:tc>
        <w:tc>
          <w:tcPr>
            <w:tcW w:w="887" w:type="dxa"/>
            <w:vAlign w:val="center"/>
          </w:tcPr>
          <w:p w14:paraId="5B9228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排放量(t/a)</w:t>
            </w:r>
          </w:p>
        </w:tc>
      </w:tr>
      <w:tr w14:paraId="1A433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Align w:val="center"/>
          </w:tcPr>
          <w:p w14:paraId="0CCC1B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395" w:type="dxa"/>
            <w:vAlign w:val="center"/>
          </w:tcPr>
          <w:p w14:paraId="0D4EE9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GASKET产品抛光废水</w:t>
            </w:r>
          </w:p>
        </w:tc>
        <w:tc>
          <w:tcPr>
            <w:tcW w:w="628" w:type="dxa"/>
            <w:vAlign w:val="center"/>
          </w:tcPr>
          <w:p w14:paraId="2750A2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0.45</w:t>
            </w:r>
          </w:p>
        </w:tc>
        <w:tc>
          <w:tcPr>
            <w:tcW w:w="702" w:type="dxa"/>
            <w:vAlign w:val="center"/>
          </w:tcPr>
          <w:p w14:paraId="5B7D64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135</w:t>
            </w:r>
          </w:p>
        </w:tc>
        <w:tc>
          <w:tcPr>
            <w:tcW w:w="1090" w:type="dxa"/>
            <w:vAlign w:val="center"/>
          </w:tcPr>
          <w:p w14:paraId="748059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SS</w:t>
            </w:r>
          </w:p>
        </w:tc>
        <w:tc>
          <w:tcPr>
            <w:tcW w:w="977" w:type="dxa"/>
            <w:vAlign w:val="center"/>
          </w:tcPr>
          <w:p w14:paraId="7AFEAD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w:t>
            </w:r>
          </w:p>
        </w:tc>
        <w:tc>
          <w:tcPr>
            <w:tcW w:w="964" w:type="dxa"/>
            <w:vAlign w:val="center"/>
          </w:tcPr>
          <w:p w14:paraId="1742AB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0.041</w:t>
            </w:r>
          </w:p>
        </w:tc>
        <w:tc>
          <w:tcPr>
            <w:tcW w:w="3974" w:type="dxa"/>
            <w:vAlign w:val="center"/>
          </w:tcPr>
          <w:p w14:paraId="73C612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抛光废水依托臻宝科技公司厂区综合污水处理站处理满足《电子工业水污染物排放标准》（GB39731-2020）间接排放标准后经总排口接市政管网经市政管网排入西彭工业园区污水处理厂。</w:t>
            </w:r>
          </w:p>
        </w:tc>
        <w:tc>
          <w:tcPr>
            <w:tcW w:w="709" w:type="dxa"/>
            <w:vAlign w:val="center"/>
          </w:tcPr>
          <w:p w14:paraId="10BD74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0.45</w:t>
            </w:r>
          </w:p>
        </w:tc>
        <w:tc>
          <w:tcPr>
            <w:tcW w:w="1109" w:type="dxa"/>
            <w:vAlign w:val="center"/>
          </w:tcPr>
          <w:p w14:paraId="4F1CE7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135</w:t>
            </w:r>
          </w:p>
        </w:tc>
        <w:tc>
          <w:tcPr>
            <w:tcW w:w="850" w:type="dxa"/>
            <w:vAlign w:val="center"/>
          </w:tcPr>
          <w:p w14:paraId="22DBF8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887" w:type="dxa"/>
            <w:vAlign w:val="center"/>
          </w:tcPr>
          <w:p w14:paraId="6BE063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0.014</w:t>
            </w:r>
          </w:p>
        </w:tc>
      </w:tr>
      <w:tr w14:paraId="0761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restart"/>
            <w:vAlign w:val="center"/>
          </w:tcPr>
          <w:p w14:paraId="1F10CF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1395" w:type="dxa"/>
            <w:vMerge w:val="restart"/>
            <w:vAlign w:val="center"/>
          </w:tcPr>
          <w:p w14:paraId="63075B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GASKET产品清洗废水</w:t>
            </w:r>
          </w:p>
        </w:tc>
        <w:tc>
          <w:tcPr>
            <w:tcW w:w="628" w:type="dxa"/>
            <w:vMerge w:val="restart"/>
            <w:vAlign w:val="center"/>
          </w:tcPr>
          <w:p w14:paraId="2C3FA2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0.26</w:t>
            </w:r>
          </w:p>
        </w:tc>
        <w:tc>
          <w:tcPr>
            <w:tcW w:w="702" w:type="dxa"/>
            <w:vMerge w:val="restart"/>
            <w:vAlign w:val="center"/>
          </w:tcPr>
          <w:p w14:paraId="2037EA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78</w:t>
            </w:r>
          </w:p>
        </w:tc>
        <w:tc>
          <w:tcPr>
            <w:tcW w:w="1090" w:type="dxa"/>
            <w:vAlign w:val="center"/>
          </w:tcPr>
          <w:p w14:paraId="1C3458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COD</w:t>
            </w:r>
          </w:p>
        </w:tc>
        <w:tc>
          <w:tcPr>
            <w:tcW w:w="977" w:type="dxa"/>
            <w:vAlign w:val="center"/>
          </w:tcPr>
          <w:p w14:paraId="1F28A8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800</w:t>
            </w:r>
          </w:p>
        </w:tc>
        <w:tc>
          <w:tcPr>
            <w:tcW w:w="964" w:type="dxa"/>
            <w:vAlign w:val="center"/>
          </w:tcPr>
          <w:p w14:paraId="75C390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0.062 </w:t>
            </w:r>
          </w:p>
        </w:tc>
        <w:tc>
          <w:tcPr>
            <w:tcW w:w="3974" w:type="dxa"/>
            <w:vMerge w:val="restart"/>
            <w:vAlign w:val="center"/>
          </w:tcPr>
          <w:p w14:paraId="6A7B2030">
            <w:pPr>
              <w:spacing w:line="240" w:lineRule="auto"/>
              <w:ind w:firstLine="0" w:firstLineChars="0"/>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清洗、冷却废水一并依托厂区现有综合污水处理站处理满足《电子工业水污染物排放标准》（GB39731-2020）间接排放标准后经总排口接市政管网经市政管网排入西彭工业园区污水处理厂。</w:t>
            </w:r>
          </w:p>
        </w:tc>
        <w:tc>
          <w:tcPr>
            <w:tcW w:w="709" w:type="dxa"/>
            <w:vMerge w:val="restart"/>
            <w:vAlign w:val="center"/>
          </w:tcPr>
          <w:p w14:paraId="108EB1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0.26</w:t>
            </w:r>
          </w:p>
        </w:tc>
        <w:tc>
          <w:tcPr>
            <w:tcW w:w="1109" w:type="dxa"/>
            <w:vMerge w:val="restart"/>
            <w:vAlign w:val="center"/>
          </w:tcPr>
          <w:p w14:paraId="4D4A89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78</w:t>
            </w:r>
          </w:p>
        </w:tc>
        <w:tc>
          <w:tcPr>
            <w:tcW w:w="850" w:type="dxa"/>
            <w:vAlign w:val="center"/>
          </w:tcPr>
          <w:p w14:paraId="3F79D9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350</w:t>
            </w:r>
          </w:p>
        </w:tc>
        <w:tc>
          <w:tcPr>
            <w:tcW w:w="887" w:type="dxa"/>
            <w:vAlign w:val="center"/>
          </w:tcPr>
          <w:p w14:paraId="40869D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0.027 </w:t>
            </w:r>
          </w:p>
        </w:tc>
      </w:tr>
      <w:tr w14:paraId="111FC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663" w:type="dxa"/>
            <w:vMerge w:val="continue"/>
            <w:vAlign w:val="center"/>
          </w:tcPr>
          <w:p w14:paraId="4BA1A9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13F07FC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0C6294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3CE662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6D5568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SS</w:t>
            </w:r>
          </w:p>
        </w:tc>
        <w:tc>
          <w:tcPr>
            <w:tcW w:w="977" w:type="dxa"/>
            <w:vAlign w:val="center"/>
          </w:tcPr>
          <w:p w14:paraId="008A88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500</w:t>
            </w:r>
          </w:p>
        </w:tc>
        <w:tc>
          <w:tcPr>
            <w:tcW w:w="964" w:type="dxa"/>
            <w:vAlign w:val="center"/>
          </w:tcPr>
          <w:p w14:paraId="5DA35D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0.039 </w:t>
            </w:r>
          </w:p>
        </w:tc>
        <w:tc>
          <w:tcPr>
            <w:tcW w:w="3974" w:type="dxa"/>
            <w:vMerge w:val="continue"/>
            <w:vAlign w:val="center"/>
          </w:tcPr>
          <w:p w14:paraId="5F4AEB9C">
            <w:pPr>
              <w:spacing w:line="240" w:lineRule="auto"/>
              <w:ind w:firstLine="420"/>
              <w:jc w:val="center"/>
              <w:rPr>
                <w:snapToGrid/>
                <w:color w:val="000000" w:themeColor="text1"/>
                <w:sz w:val="21"/>
                <w:szCs w:val="21"/>
                <w14:textFill>
                  <w14:solidFill>
                    <w14:schemeClr w14:val="tx1"/>
                  </w14:solidFill>
                </w14:textFill>
              </w:rPr>
            </w:pPr>
          </w:p>
        </w:tc>
        <w:tc>
          <w:tcPr>
            <w:tcW w:w="709" w:type="dxa"/>
            <w:vMerge w:val="continue"/>
            <w:vAlign w:val="center"/>
          </w:tcPr>
          <w:p w14:paraId="583D9E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4F08DE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2258FD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887" w:type="dxa"/>
            <w:vAlign w:val="center"/>
          </w:tcPr>
          <w:p w14:paraId="4B0B71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0.008 </w:t>
            </w:r>
          </w:p>
        </w:tc>
      </w:tr>
      <w:tr w14:paraId="30ED2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0A525B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148B41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3D5581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14575F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76E660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石油类</w:t>
            </w:r>
          </w:p>
        </w:tc>
        <w:tc>
          <w:tcPr>
            <w:tcW w:w="977" w:type="dxa"/>
            <w:vAlign w:val="center"/>
          </w:tcPr>
          <w:p w14:paraId="7F0AFC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964" w:type="dxa"/>
            <w:vAlign w:val="center"/>
          </w:tcPr>
          <w:p w14:paraId="6372FC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0.004 </w:t>
            </w:r>
          </w:p>
        </w:tc>
        <w:tc>
          <w:tcPr>
            <w:tcW w:w="3974" w:type="dxa"/>
            <w:vMerge w:val="continue"/>
            <w:vAlign w:val="center"/>
          </w:tcPr>
          <w:p w14:paraId="4D5136A6">
            <w:pPr>
              <w:spacing w:line="240" w:lineRule="auto"/>
              <w:ind w:firstLine="420"/>
              <w:jc w:val="center"/>
              <w:rPr>
                <w:snapToGrid/>
                <w:color w:val="000000" w:themeColor="text1"/>
                <w:sz w:val="21"/>
                <w:szCs w:val="21"/>
                <w14:textFill>
                  <w14:solidFill>
                    <w14:schemeClr w14:val="tx1"/>
                  </w14:solidFill>
                </w14:textFill>
              </w:rPr>
            </w:pPr>
          </w:p>
        </w:tc>
        <w:tc>
          <w:tcPr>
            <w:tcW w:w="709" w:type="dxa"/>
            <w:vMerge w:val="continue"/>
            <w:vAlign w:val="center"/>
          </w:tcPr>
          <w:p w14:paraId="3FAA59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053AF2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417BEE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887" w:type="dxa"/>
            <w:vAlign w:val="center"/>
          </w:tcPr>
          <w:p w14:paraId="4A86D0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0.002 </w:t>
            </w:r>
          </w:p>
        </w:tc>
      </w:tr>
      <w:tr w14:paraId="59E7A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1487B2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34D6F6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35C6A8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214D79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344883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氟化物</w:t>
            </w:r>
          </w:p>
        </w:tc>
        <w:tc>
          <w:tcPr>
            <w:tcW w:w="977" w:type="dxa"/>
            <w:vAlign w:val="center"/>
          </w:tcPr>
          <w:p w14:paraId="5CF42C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964" w:type="dxa"/>
            <w:vAlign w:val="center"/>
          </w:tcPr>
          <w:p w14:paraId="1E4DC8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0.008 </w:t>
            </w:r>
          </w:p>
        </w:tc>
        <w:tc>
          <w:tcPr>
            <w:tcW w:w="3974" w:type="dxa"/>
            <w:vMerge w:val="continue"/>
            <w:vAlign w:val="center"/>
          </w:tcPr>
          <w:p w14:paraId="291A6023">
            <w:pPr>
              <w:spacing w:line="240" w:lineRule="auto"/>
              <w:ind w:firstLine="420"/>
              <w:jc w:val="center"/>
              <w:rPr>
                <w:snapToGrid/>
                <w:color w:val="000000" w:themeColor="text1"/>
                <w:sz w:val="21"/>
                <w:szCs w:val="21"/>
                <w14:textFill>
                  <w14:solidFill>
                    <w14:schemeClr w14:val="tx1"/>
                  </w14:solidFill>
                </w14:textFill>
              </w:rPr>
            </w:pPr>
          </w:p>
        </w:tc>
        <w:tc>
          <w:tcPr>
            <w:tcW w:w="709" w:type="dxa"/>
            <w:vMerge w:val="continue"/>
            <w:vAlign w:val="center"/>
          </w:tcPr>
          <w:p w14:paraId="73E6ED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7D1F85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3D44D7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887" w:type="dxa"/>
            <w:vAlign w:val="center"/>
          </w:tcPr>
          <w:p w14:paraId="1500C7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0.002 </w:t>
            </w:r>
          </w:p>
        </w:tc>
      </w:tr>
      <w:tr w14:paraId="2DA01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27FE82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69EB66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06C934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6FE6EB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08EFC0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NH</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-N</w:t>
            </w:r>
          </w:p>
        </w:tc>
        <w:tc>
          <w:tcPr>
            <w:tcW w:w="977" w:type="dxa"/>
            <w:vAlign w:val="center"/>
          </w:tcPr>
          <w:p w14:paraId="70CA29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964" w:type="dxa"/>
            <w:vAlign w:val="center"/>
          </w:tcPr>
          <w:p w14:paraId="1698C4B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0.001 </w:t>
            </w:r>
          </w:p>
        </w:tc>
        <w:tc>
          <w:tcPr>
            <w:tcW w:w="3974" w:type="dxa"/>
            <w:vMerge w:val="continue"/>
            <w:vAlign w:val="center"/>
          </w:tcPr>
          <w:p w14:paraId="7DBE446A">
            <w:pPr>
              <w:spacing w:line="240" w:lineRule="auto"/>
              <w:ind w:firstLine="420"/>
              <w:jc w:val="center"/>
              <w:rPr>
                <w:snapToGrid/>
                <w:color w:val="000000" w:themeColor="text1"/>
                <w:sz w:val="21"/>
                <w:szCs w:val="21"/>
                <w14:textFill>
                  <w14:solidFill>
                    <w14:schemeClr w14:val="tx1"/>
                  </w14:solidFill>
                </w14:textFill>
              </w:rPr>
            </w:pPr>
          </w:p>
        </w:tc>
        <w:tc>
          <w:tcPr>
            <w:tcW w:w="709" w:type="dxa"/>
            <w:vMerge w:val="continue"/>
            <w:vAlign w:val="center"/>
          </w:tcPr>
          <w:p w14:paraId="0753845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2A0955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4326A8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887" w:type="dxa"/>
            <w:vAlign w:val="center"/>
          </w:tcPr>
          <w:p w14:paraId="3D136F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0.001 </w:t>
            </w:r>
          </w:p>
        </w:tc>
      </w:tr>
      <w:tr w14:paraId="461BA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restart"/>
            <w:vAlign w:val="center"/>
          </w:tcPr>
          <w:p w14:paraId="7183CA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1395" w:type="dxa"/>
            <w:vMerge w:val="restart"/>
            <w:vAlign w:val="center"/>
          </w:tcPr>
          <w:p w14:paraId="67EF3F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石墨及碳化硅涂层产品清洗废水</w:t>
            </w:r>
          </w:p>
        </w:tc>
        <w:tc>
          <w:tcPr>
            <w:tcW w:w="628" w:type="dxa"/>
            <w:vMerge w:val="restart"/>
            <w:vAlign w:val="center"/>
          </w:tcPr>
          <w:p w14:paraId="6076B6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6.67</w:t>
            </w:r>
          </w:p>
        </w:tc>
        <w:tc>
          <w:tcPr>
            <w:tcW w:w="702" w:type="dxa"/>
            <w:vMerge w:val="restart"/>
            <w:vAlign w:val="center"/>
          </w:tcPr>
          <w:p w14:paraId="45494A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2001</w:t>
            </w:r>
          </w:p>
        </w:tc>
        <w:tc>
          <w:tcPr>
            <w:tcW w:w="1090" w:type="dxa"/>
            <w:vAlign w:val="center"/>
          </w:tcPr>
          <w:p w14:paraId="27A8EA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COD</w:t>
            </w:r>
          </w:p>
        </w:tc>
        <w:tc>
          <w:tcPr>
            <w:tcW w:w="977" w:type="dxa"/>
            <w:vAlign w:val="center"/>
          </w:tcPr>
          <w:p w14:paraId="1636E8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w:t>
            </w:r>
          </w:p>
        </w:tc>
        <w:tc>
          <w:tcPr>
            <w:tcW w:w="964" w:type="dxa"/>
            <w:vAlign w:val="center"/>
          </w:tcPr>
          <w:p w14:paraId="537C0B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0.600 </w:t>
            </w:r>
          </w:p>
        </w:tc>
        <w:tc>
          <w:tcPr>
            <w:tcW w:w="3974" w:type="dxa"/>
            <w:vMerge w:val="continue"/>
            <w:vAlign w:val="center"/>
          </w:tcPr>
          <w:p w14:paraId="58D8BC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restart"/>
            <w:vAlign w:val="center"/>
          </w:tcPr>
          <w:p w14:paraId="0DD471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6.67</w:t>
            </w:r>
          </w:p>
        </w:tc>
        <w:tc>
          <w:tcPr>
            <w:tcW w:w="1109" w:type="dxa"/>
            <w:vMerge w:val="restart"/>
            <w:vAlign w:val="center"/>
          </w:tcPr>
          <w:p w14:paraId="2A1C4E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2001</w:t>
            </w:r>
          </w:p>
        </w:tc>
        <w:tc>
          <w:tcPr>
            <w:tcW w:w="850" w:type="dxa"/>
            <w:vAlign w:val="center"/>
          </w:tcPr>
          <w:p w14:paraId="1B09F0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300</w:t>
            </w:r>
          </w:p>
        </w:tc>
        <w:tc>
          <w:tcPr>
            <w:tcW w:w="887" w:type="dxa"/>
            <w:vAlign w:val="center"/>
          </w:tcPr>
          <w:p w14:paraId="675515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0.600 </w:t>
            </w:r>
          </w:p>
        </w:tc>
      </w:tr>
      <w:tr w14:paraId="13215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2D91845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428FAC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1CE691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5472E7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573AC2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SS</w:t>
            </w:r>
          </w:p>
        </w:tc>
        <w:tc>
          <w:tcPr>
            <w:tcW w:w="977" w:type="dxa"/>
            <w:vAlign w:val="center"/>
          </w:tcPr>
          <w:p w14:paraId="043D0B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150</w:t>
            </w:r>
          </w:p>
        </w:tc>
        <w:tc>
          <w:tcPr>
            <w:tcW w:w="964" w:type="dxa"/>
            <w:vAlign w:val="center"/>
          </w:tcPr>
          <w:p w14:paraId="34F577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0.300 </w:t>
            </w:r>
          </w:p>
        </w:tc>
        <w:tc>
          <w:tcPr>
            <w:tcW w:w="3974" w:type="dxa"/>
            <w:vMerge w:val="continue"/>
            <w:vAlign w:val="center"/>
          </w:tcPr>
          <w:p w14:paraId="47E66A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6D87CC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0DC6F3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247201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100</w:t>
            </w:r>
          </w:p>
        </w:tc>
        <w:tc>
          <w:tcPr>
            <w:tcW w:w="887" w:type="dxa"/>
            <w:vAlign w:val="center"/>
          </w:tcPr>
          <w:p w14:paraId="44ABEFF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0.200 </w:t>
            </w:r>
          </w:p>
        </w:tc>
      </w:tr>
      <w:tr w14:paraId="71F1C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022B70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578FCD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42CDBF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6A448F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634B25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石油类</w:t>
            </w:r>
          </w:p>
        </w:tc>
        <w:tc>
          <w:tcPr>
            <w:tcW w:w="977" w:type="dxa"/>
            <w:vAlign w:val="center"/>
          </w:tcPr>
          <w:p w14:paraId="54DEB9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964" w:type="dxa"/>
            <w:vAlign w:val="center"/>
          </w:tcPr>
          <w:p w14:paraId="7F7938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0.060 </w:t>
            </w:r>
          </w:p>
        </w:tc>
        <w:tc>
          <w:tcPr>
            <w:tcW w:w="3974" w:type="dxa"/>
            <w:vMerge w:val="continue"/>
            <w:vAlign w:val="center"/>
          </w:tcPr>
          <w:p w14:paraId="6868A8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121576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5C65FB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4F6A27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w:t>
            </w:r>
          </w:p>
        </w:tc>
        <w:tc>
          <w:tcPr>
            <w:tcW w:w="887" w:type="dxa"/>
            <w:vAlign w:val="center"/>
          </w:tcPr>
          <w:p w14:paraId="367999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0.040 </w:t>
            </w:r>
          </w:p>
        </w:tc>
      </w:tr>
      <w:tr w14:paraId="4D64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64416A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3C9822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3381C4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146413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5E5EDE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氟化物</w:t>
            </w:r>
          </w:p>
        </w:tc>
        <w:tc>
          <w:tcPr>
            <w:tcW w:w="977" w:type="dxa"/>
            <w:vAlign w:val="center"/>
          </w:tcPr>
          <w:p w14:paraId="787C1A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964" w:type="dxa"/>
            <w:vAlign w:val="center"/>
          </w:tcPr>
          <w:p w14:paraId="4C15BA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0.200 </w:t>
            </w:r>
          </w:p>
        </w:tc>
        <w:tc>
          <w:tcPr>
            <w:tcW w:w="3974" w:type="dxa"/>
            <w:vMerge w:val="continue"/>
            <w:vAlign w:val="center"/>
          </w:tcPr>
          <w:p w14:paraId="7895F7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2C4E28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4D731B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53E72F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w:t>
            </w:r>
          </w:p>
        </w:tc>
        <w:tc>
          <w:tcPr>
            <w:tcW w:w="887" w:type="dxa"/>
            <w:vAlign w:val="center"/>
          </w:tcPr>
          <w:p w14:paraId="670F34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0.040 </w:t>
            </w:r>
          </w:p>
        </w:tc>
      </w:tr>
      <w:tr w14:paraId="7B41E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30138D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7919EF7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7304CF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1A9AF8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463E89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NH</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-N</w:t>
            </w:r>
          </w:p>
        </w:tc>
        <w:tc>
          <w:tcPr>
            <w:tcW w:w="977" w:type="dxa"/>
            <w:vAlign w:val="center"/>
          </w:tcPr>
          <w:p w14:paraId="683D115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964" w:type="dxa"/>
            <w:vAlign w:val="center"/>
          </w:tcPr>
          <w:p w14:paraId="09D05B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0.030 </w:t>
            </w:r>
          </w:p>
        </w:tc>
        <w:tc>
          <w:tcPr>
            <w:tcW w:w="3974" w:type="dxa"/>
            <w:vMerge w:val="continue"/>
            <w:vAlign w:val="center"/>
          </w:tcPr>
          <w:p w14:paraId="1940FC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6D2395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093DDC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253E59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15</w:t>
            </w:r>
          </w:p>
        </w:tc>
        <w:tc>
          <w:tcPr>
            <w:tcW w:w="887" w:type="dxa"/>
            <w:vAlign w:val="center"/>
          </w:tcPr>
          <w:p w14:paraId="6406FD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0.030 </w:t>
            </w:r>
          </w:p>
        </w:tc>
      </w:tr>
      <w:tr w14:paraId="43C48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restart"/>
            <w:vAlign w:val="center"/>
          </w:tcPr>
          <w:p w14:paraId="2B27ED7E">
            <w:pPr>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w:t>
            </w:r>
          </w:p>
        </w:tc>
        <w:tc>
          <w:tcPr>
            <w:tcW w:w="1395" w:type="dxa"/>
            <w:vMerge w:val="restart"/>
            <w:vAlign w:val="center"/>
          </w:tcPr>
          <w:p w14:paraId="35CEB824">
            <w:pPr>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酸雾塔排水</w:t>
            </w:r>
          </w:p>
        </w:tc>
        <w:tc>
          <w:tcPr>
            <w:tcW w:w="628" w:type="dxa"/>
            <w:vMerge w:val="restart"/>
            <w:vAlign w:val="center"/>
          </w:tcPr>
          <w:p w14:paraId="567B0D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1.44</w:t>
            </w:r>
          </w:p>
        </w:tc>
        <w:tc>
          <w:tcPr>
            <w:tcW w:w="702" w:type="dxa"/>
            <w:vMerge w:val="restart"/>
            <w:vAlign w:val="center"/>
          </w:tcPr>
          <w:p w14:paraId="49CF36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432</w:t>
            </w:r>
          </w:p>
        </w:tc>
        <w:tc>
          <w:tcPr>
            <w:tcW w:w="1090" w:type="dxa"/>
            <w:vAlign w:val="center"/>
          </w:tcPr>
          <w:p w14:paraId="2D71FD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COD</w:t>
            </w:r>
          </w:p>
        </w:tc>
        <w:tc>
          <w:tcPr>
            <w:tcW w:w="977" w:type="dxa"/>
            <w:vAlign w:val="center"/>
          </w:tcPr>
          <w:p w14:paraId="091B5D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w:t>
            </w:r>
          </w:p>
        </w:tc>
        <w:tc>
          <w:tcPr>
            <w:tcW w:w="964" w:type="dxa"/>
            <w:vAlign w:val="center"/>
          </w:tcPr>
          <w:p w14:paraId="79E4C5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0.130 </w:t>
            </w:r>
          </w:p>
        </w:tc>
        <w:tc>
          <w:tcPr>
            <w:tcW w:w="3974" w:type="dxa"/>
            <w:vMerge w:val="continue"/>
            <w:vAlign w:val="center"/>
          </w:tcPr>
          <w:p w14:paraId="588920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restart"/>
            <w:vAlign w:val="center"/>
          </w:tcPr>
          <w:p w14:paraId="1FBF62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1.44</w:t>
            </w:r>
          </w:p>
        </w:tc>
        <w:tc>
          <w:tcPr>
            <w:tcW w:w="1109" w:type="dxa"/>
            <w:vMerge w:val="restart"/>
            <w:vAlign w:val="center"/>
          </w:tcPr>
          <w:p w14:paraId="0C35B7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432</w:t>
            </w:r>
          </w:p>
        </w:tc>
        <w:tc>
          <w:tcPr>
            <w:tcW w:w="850" w:type="dxa"/>
            <w:vAlign w:val="center"/>
          </w:tcPr>
          <w:p w14:paraId="03DB42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300</w:t>
            </w:r>
          </w:p>
        </w:tc>
        <w:tc>
          <w:tcPr>
            <w:tcW w:w="887" w:type="dxa"/>
            <w:vAlign w:val="center"/>
          </w:tcPr>
          <w:p w14:paraId="0D95B8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0.130 </w:t>
            </w:r>
          </w:p>
        </w:tc>
      </w:tr>
      <w:tr w14:paraId="4803C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659C77D5">
            <w:pPr>
              <w:spacing w:line="240" w:lineRule="auto"/>
              <w:ind w:firstLine="420"/>
              <w:jc w:val="center"/>
              <w:rPr>
                <w:snapToGrid/>
                <w:color w:val="000000" w:themeColor="text1"/>
                <w:sz w:val="21"/>
                <w:szCs w:val="21"/>
                <w14:textFill>
                  <w14:solidFill>
                    <w14:schemeClr w14:val="tx1"/>
                  </w14:solidFill>
                </w14:textFill>
              </w:rPr>
            </w:pPr>
          </w:p>
        </w:tc>
        <w:tc>
          <w:tcPr>
            <w:tcW w:w="1395" w:type="dxa"/>
            <w:vMerge w:val="continue"/>
            <w:vAlign w:val="center"/>
          </w:tcPr>
          <w:p w14:paraId="3EAE04B7">
            <w:pPr>
              <w:spacing w:line="240" w:lineRule="auto"/>
              <w:ind w:firstLine="420"/>
              <w:jc w:val="center"/>
              <w:rPr>
                <w:snapToGrid/>
                <w:color w:val="000000" w:themeColor="text1"/>
                <w:sz w:val="21"/>
                <w:szCs w:val="21"/>
                <w14:textFill>
                  <w14:solidFill>
                    <w14:schemeClr w14:val="tx1"/>
                  </w14:solidFill>
                </w14:textFill>
              </w:rPr>
            </w:pPr>
          </w:p>
        </w:tc>
        <w:tc>
          <w:tcPr>
            <w:tcW w:w="628" w:type="dxa"/>
            <w:vMerge w:val="continue"/>
            <w:vAlign w:val="center"/>
          </w:tcPr>
          <w:p w14:paraId="34F7AE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1CE4E2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13C9C8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SS</w:t>
            </w:r>
          </w:p>
        </w:tc>
        <w:tc>
          <w:tcPr>
            <w:tcW w:w="977" w:type="dxa"/>
            <w:vAlign w:val="center"/>
          </w:tcPr>
          <w:p w14:paraId="3F2B7E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150</w:t>
            </w:r>
          </w:p>
        </w:tc>
        <w:tc>
          <w:tcPr>
            <w:tcW w:w="964" w:type="dxa"/>
            <w:vAlign w:val="center"/>
          </w:tcPr>
          <w:p w14:paraId="02A2F73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0.065 </w:t>
            </w:r>
          </w:p>
        </w:tc>
        <w:tc>
          <w:tcPr>
            <w:tcW w:w="3974" w:type="dxa"/>
            <w:vMerge w:val="continue"/>
            <w:vAlign w:val="center"/>
          </w:tcPr>
          <w:p w14:paraId="40F396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5BF4016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3AE61A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289414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100</w:t>
            </w:r>
          </w:p>
        </w:tc>
        <w:tc>
          <w:tcPr>
            <w:tcW w:w="887" w:type="dxa"/>
            <w:vAlign w:val="center"/>
          </w:tcPr>
          <w:p w14:paraId="53F062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0.043 </w:t>
            </w:r>
          </w:p>
        </w:tc>
      </w:tr>
      <w:tr w14:paraId="0FAAC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53059967">
            <w:pPr>
              <w:spacing w:line="240" w:lineRule="auto"/>
              <w:ind w:firstLine="420"/>
              <w:jc w:val="center"/>
              <w:rPr>
                <w:snapToGrid/>
                <w:color w:val="000000" w:themeColor="text1"/>
                <w:sz w:val="21"/>
                <w:szCs w:val="21"/>
                <w14:textFill>
                  <w14:solidFill>
                    <w14:schemeClr w14:val="tx1"/>
                  </w14:solidFill>
                </w14:textFill>
              </w:rPr>
            </w:pPr>
          </w:p>
        </w:tc>
        <w:tc>
          <w:tcPr>
            <w:tcW w:w="1395" w:type="dxa"/>
            <w:vMerge w:val="continue"/>
            <w:vAlign w:val="center"/>
          </w:tcPr>
          <w:p w14:paraId="18DAEB99">
            <w:pPr>
              <w:spacing w:line="240" w:lineRule="auto"/>
              <w:ind w:firstLine="420"/>
              <w:jc w:val="center"/>
              <w:rPr>
                <w:snapToGrid/>
                <w:color w:val="000000" w:themeColor="text1"/>
                <w:sz w:val="21"/>
                <w:szCs w:val="21"/>
                <w14:textFill>
                  <w14:solidFill>
                    <w14:schemeClr w14:val="tx1"/>
                  </w14:solidFill>
                </w14:textFill>
              </w:rPr>
            </w:pPr>
          </w:p>
        </w:tc>
        <w:tc>
          <w:tcPr>
            <w:tcW w:w="628" w:type="dxa"/>
            <w:vMerge w:val="continue"/>
            <w:vAlign w:val="center"/>
          </w:tcPr>
          <w:p w14:paraId="218D04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39F769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638CE6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石油类</w:t>
            </w:r>
          </w:p>
        </w:tc>
        <w:tc>
          <w:tcPr>
            <w:tcW w:w="977" w:type="dxa"/>
            <w:vAlign w:val="center"/>
          </w:tcPr>
          <w:p w14:paraId="2F8610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964" w:type="dxa"/>
            <w:vAlign w:val="center"/>
          </w:tcPr>
          <w:p w14:paraId="452AB5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0.013 </w:t>
            </w:r>
          </w:p>
        </w:tc>
        <w:tc>
          <w:tcPr>
            <w:tcW w:w="3974" w:type="dxa"/>
            <w:vMerge w:val="continue"/>
            <w:vAlign w:val="center"/>
          </w:tcPr>
          <w:p w14:paraId="127FF83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526103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6EC203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241E37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w:t>
            </w:r>
          </w:p>
        </w:tc>
        <w:tc>
          <w:tcPr>
            <w:tcW w:w="887" w:type="dxa"/>
            <w:vAlign w:val="center"/>
          </w:tcPr>
          <w:p w14:paraId="3644FD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0.009 </w:t>
            </w:r>
          </w:p>
        </w:tc>
      </w:tr>
      <w:tr w14:paraId="2B578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2515A2E0">
            <w:pPr>
              <w:spacing w:line="240" w:lineRule="auto"/>
              <w:ind w:firstLine="420"/>
              <w:jc w:val="center"/>
              <w:rPr>
                <w:snapToGrid/>
                <w:color w:val="000000" w:themeColor="text1"/>
                <w:sz w:val="21"/>
                <w:szCs w:val="21"/>
                <w14:textFill>
                  <w14:solidFill>
                    <w14:schemeClr w14:val="tx1"/>
                  </w14:solidFill>
                </w14:textFill>
              </w:rPr>
            </w:pPr>
          </w:p>
        </w:tc>
        <w:tc>
          <w:tcPr>
            <w:tcW w:w="1395" w:type="dxa"/>
            <w:vMerge w:val="continue"/>
            <w:vAlign w:val="center"/>
          </w:tcPr>
          <w:p w14:paraId="4A1627EB">
            <w:pPr>
              <w:spacing w:line="240" w:lineRule="auto"/>
              <w:ind w:firstLine="420"/>
              <w:jc w:val="center"/>
              <w:rPr>
                <w:snapToGrid/>
                <w:color w:val="000000" w:themeColor="text1"/>
                <w:sz w:val="21"/>
                <w:szCs w:val="21"/>
                <w14:textFill>
                  <w14:solidFill>
                    <w14:schemeClr w14:val="tx1"/>
                  </w14:solidFill>
                </w14:textFill>
              </w:rPr>
            </w:pPr>
          </w:p>
        </w:tc>
        <w:tc>
          <w:tcPr>
            <w:tcW w:w="628" w:type="dxa"/>
            <w:vMerge w:val="continue"/>
            <w:vAlign w:val="center"/>
          </w:tcPr>
          <w:p w14:paraId="4F0633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3BE7C4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45760E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氟化物</w:t>
            </w:r>
          </w:p>
        </w:tc>
        <w:tc>
          <w:tcPr>
            <w:tcW w:w="977" w:type="dxa"/>
            <w:vAlign w:val="center"/>
          </w:tcPr>
          <w:p w14:paraId="5D13005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964" w:type="dxa"/>
            <w:vAlign w:val="center"/>
          </w:tcPr>
          <w:p w14:paraId="3D003C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0.043 </w:t>
            </w:r>
          </w:p>
        </w:tc>
        <w:tc>
          <w:tcPr>
            <w:tcW w:w="3974" w:type="dxa"/>
            <w:vMerge w:val="continue"/>
            <w:vAlign w:val="center"/>
          </w:tcPr>
          <w:p w14:paraId="4D1DFE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12AEB6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53AEB9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70FE7A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20</w:t>
            </w:r>
          </w:p>
        </w:tc>
        <w:tc>
          <w:tcPr>
            <w:tcW w:w="887" w:type="dxa"/>
            <w:vAlign w:val="center"/>
          </w:tcPr>
          <w:p w14:paraId="6DB3F1F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0.009 </w:t>
            </w:r>
          </w:p>
        </w:tc>
      </w:tr>
      <w:tr w14:paraId="61AC2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57CBCA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4033BD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1BEE8A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294127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43A2AF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NH</w:t>
            </w:r>
            <w:r>
              <w:rPr>
                <w:snapToGrid/>
                <w:color w:val="000000" w:themeColor="text1"/>
                <w:sz w:val="21"/>
                <w:szCs w:val="21"/>
                <w:vertAlign w:val="subscript"/>
                <w14:textFill>
                  <w14:solidFill>
                    <w14:schemeClr w14:val="tx1"/>
                  </w14:solidFill>
                </w14:textFill>
              </w:rPr>
              <w:t>3</w:t>
            </w:r>
            <w:r>
              <w:rPr>
                <w:snapToGrid/>
                <w:color w:val="000000" w:themeColor="text1"/>
                <w:sz w:val="21"/>
                <w:szCs w:val="21"/>
                <w14:textFill>
                  <w14:solidFill>
                    <w14:schemeClr w14:val="tx1"/>
                  </w14:solidFill>
                </w14:textFill>
              </w:rPr>
              <w:t>-N</w:t>
            </w:r>
          </w:p>
        </w:tc>
        <w:tc>
          <w:tcPr>
            <w:tcW w:w="977" w:type="dxa"/>
            <w:vAlign w:val="center"/>
          </w:tcPr>
          <w:p w14:paraId="53259C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964" w:type="dxa"/>
            <w:vAlign w:val="center"/>
          </w:tcPr>
          <w:p w14:paraId="64F172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0.006 </w:t>
            </w:r>
          </w:p>
        </w:tc>
        <w:tc>
          <w:tcPr>
            <w:tcW w:w="3974" w:type="dxa"/>
            <w:vMerge w:val="continue"/>
            <w:vAlign w:val="center"/>
          </w:tcPr>
          <w:p w14:paraId="1DB8F1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5B0F8C9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7E9266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517187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15</w:t>
            </w:r>
          </w:p>
        </w:tc>
        <w:tc>
          <w:tcPr>
            <w:tcW w:w="887" w:type="dxa"/>
            <w:vAlign w:val="center"/>
          </w:tcPr>
          <w:p w14:paraId="0B5F4A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0.006 </w:t>
            </w:r>
          </w:p>
        </w:tc>
      </w:tr>
      <w:tr w14:paraId="0EE94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restart"/>
            <w:vAlign w:val="center"/>
          </w:tcPr>
          <w:p w14:paraId="252F75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5</w:t>
            </w:r>
          </w:p>
        </w:tc>
        <w:tc>
          <w:tcPr>
            <w:tcW w:w="1395" w:type="dxa"/>
            <w:vMerge w:val="restart"/>
            <w:vAlign w:val="center"/>
          </w:tcPr>
          <w:p w14:paraId="28B22D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生活污水</w:t>
            </w:r>
          </w:p>
        </w:tc>
        <w:tc>
          <w:tcPr>
            <w:tcW w:w="628" w:type="dxa"/>
            <w:vMerge w:val="restart"/>
            <w:vAlign w:val="center"/>
          </w:tcPr>
          <w:p w14:paraId="568E67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2" w:type="dxa"/>
            <w:vMerge w:val="restart"/>
            <w:vAlign w:val="center"/>
          </w:tcPr>
          <w:p w14:paraId="301A73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w:t>
            </w:r>
          </w:p>
        </w:tc>
        <w:tc>
          <w:tcPr>
            <w:tcW w:w="1090" w:type="dxa"/>
            <w:vAlign w:val="center"/>
          </w:tcPr>
          <w:p w14:paraId="01BAFF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COD</w:t>
            </w:r>
          </w:p>
        </w:tc>
        <w:tc>
          <w:tcPr>
            <w:tcW w:w="977" w:type="dxa"/>
            <w:vAlign w:val="center"/>
          </w:tcPr>
          <w:p w14:paraId="7DDF06D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500</w:t>
            </w:r>
          </w:p>
        </w:tc>
        <w:tc>
          <w:tcPr>
            <w:tcW w:w="964" w:type="dxa"/>
            <w:vAlign w:val="center"/>
          </w:tcPr>
          <w:p w14:paraId="7015BE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0.150 </w:t>
            </w:r>
          </w:p>
        </w:tc>
        <w:tc>
          <w:tcPr>
            <w:tcW w:w="3974" w:type="dxa"/>
            <w:vMerge w:val="restart"/>
            <w:vAlign w:val="center"/>
          </w:tcPr>
          <w:p w14:paraId="0D4A2E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经生化池处理达《电子工业水污染物排放标准》（GB39731-2020）间接排放标准（动植物油执行《污水综合排放标准》（GB8978-1996）三级标准）后，与达标生产废水一起经总排口接市政管网排入西彭工业园区污水处理厂。</w:t>
            </w:r>
          </w:p>
        </w:tc>
        <w:tc>
          <w:tcPr>
            <w:tcW w:w="709" w:type="dxa"/>
            <w:vMerge w:val="restart"/>
            <w:vAlign w:val="center"/>
          </w:tcPr>
          <w:p w14:paraId="71DE9C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1109" w:type="dxa"/>
            <w:vMerge w:val="restart"/>
            <w:vAlign w:val="center"/>
          </w:tcPr>
          <w:p w14:paraId="0427EA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w:t>
            </w:r>
          </w:p>
        </w:tc>
        <w:tc>
          <w:tcPr>
            <w:tcW w:w="850" w:type="dxa"/>
            <w:vAlign w:val="center"/>
          </w:tcPr>
          <w:p w14:paraId="0A5AC8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350</w:t>
            </w:r>
          </w:p>
        </w:tc>
        <w:tc>
          <w:tcPr>
            <w:tcW w:w="887" w:type="dxa"/>
            <w:vAlign w:val="center"/>
          </w:tcPr>
          <w:p w14:paraId="57BD296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0.105</w:t>
            </w:r>
          </w:p>
        </w:tc>
      </w:tr>
      <w:tr w14:paraId="3D0A7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25EF3F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66603A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149F99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49DE229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69E14E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SS</w:t>
            </w:r>
          </w:p>
        </w:tc>
        <w:tc>
          <w:tcPr>
            <w:tcW w:w="977" w:type="dxa"/>
            <w:vAlign w:val="center"/>
          </w:tcPr>
          <w:p w14:paraId="0381CA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300</w:t>
            </w:r>
          </w:p>
        </w:tc>
        <w:tc>
          <w:tcPr>
            <w:tcW w:w="964" w:type="dxa"/>
            <w:vAlign w:val="center"/>
          </w:tcPr>
          <w:p w14:paraId="25417C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0.090 </w:t>
            </w:r>
          </w:p>
        </w:tc>
        <w:tc>
          <w:tcPr>
            <w:tcW w:w="3974" w:type="dxa"/>
            <w:vMerge w:val="continue"/>
            <w:vAlign w:val="center"/>
          </w:tcPr>
          <w:p w14:paraId="5C6117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13C076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599574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55AC18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200</w:t>
            </w:r>
          </w:p>
        </w:tc>
        <w:tc>
          <w:tcPr>
            <w:tcW w:w="887" w:type="dxa"/>
            <w:vAlign w:val="center"/>
          </w:tcPr>
          <w:p w14:paraId="463011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0.060 </w:t>
            </w:r>
          </w:p>
        </w:tc>
      </w:tr>
      <w:tr w14:paraId="18BB5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54A826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51CF67D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1CCEBA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41D8B1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310D58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氨氮</w:t>
            </w:r>
          </w:p>
        </w:tc>
        <w:tc>
          <w:tcPr>
            <w:tcW w:w="977" w:type="dxa"/>
            <w:vAlign w:val="center"/>
          </w:tcPr>
          <w:p w14:paraId="68090E5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45</w:t>
            </w:r>
          </w:p>
        </w:tc>
        <w:tc>
          <w:tcPr>
            <w:tcW w:w="964" w:type="dxa"/>
            <w:vAlign w:val="center"/>
          </w:tcPr>
          <w:p w14:paraId="3E7863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0.014 </w:t>
            </w:r>
          </w:p>
        </w:tc>
        <w:tc>
          <w:tcPr>
            <w:tcW w:w="3974" w:type="dxa"/>
            <w:vMerge w:val="continue"/>
            <w:vAlign w:val="center"/>
          </w:tcPr>
          <w:p w14:paraId="2B7E65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2B11CB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64ADE8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7EC609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887" w:type="dxa"/>
            <w:vAlign w:val="center"/>
          </w:tcPr>
          <w:p w14:paraId="0E561D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0.009</w:t>
            </w:r>
          </w:p>
        </w:tc>
      </w:tr>
      <w:tr w14:paraId="7D119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3" w:type="dxa"/>
            <w:vMerge w:val="continue"/>
            <w:vAlign w:val="center"/>
          </w:tcPr>
          <w:p w14:paraId="67183F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395" w:type="dxa"/>
            <w:vMerge w:val="continue"/>
            <w:vAlign w:val="center"/>
          </w:tcPr>
          <w:p w14:paraId="284284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628" w:type="dxa"/>
            <w:vMerge w:val="continue"/>
            <w:vAlign w:val="center"/>
          </w:tcPr>
          <w:p w14:paraId="1AD107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2" w:type="dxa"/>
            <w:vMerge w:val="continue"/>
            <w:vAlign w:val="center"/>
          </w:tcPr>
          <w:p w14:paraId="60200B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485C98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动植物油</w:t>
            </w:r>
          </w:p>
        </w:tc>
        <w:tc>
          <w:tcPr>
            <w:tcW w:w="977" w:type="dxa"/>
            <w:vAlign w:val="center"/>
          </w:tcPr>
          <w:p w14:paraId="2346CE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964" w:type="dxa"/>
            <w:vAlign w:val="center"/>
          </w:tcPr>
          <w:p w14:paraId="6E79D5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0.009 </w:t>
            </w:r>
          </w:p>
        </w:tc>
        <w:tc>
          <w:tcPr>
            <w:tcW w:w="3974" w:type="dxa"/>
            <w:vMerge w:val="continue"/>
            <w:vAlign w:val="center"/>
          </w:tcPr>
          <w:p w14:paraId="52FE008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756728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119B51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0E83A7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887" w:type="dxa"/>
            <w:vAlign w:val="center"/>
          </w:tcPr>
          <w:p w14:paraId="6BB0EA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0.009</w:t>
            </w:r>
          </w:p>
        </w:tc>
      </w:tr>
      <w:tr w14:paraId="5C88A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88" w:type="dxa"/>
            <w:gridSpan w:val="4"/>
            <w:vMerge w:val="restart"/>
            <w:vAlign w:val="center"/>
          </w:tcPr>
          <w:p w14:paraId="2662ED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进入市政污水管网</w:t>
            </w:r>
          </w:p>
        </w:tc>
        <w:tc>
          <w:tcPr>
            <w:tcW w:w="1090" w:type="dxa"/>
            <w:vAlign w:val="center"/>
          </w:tcPr>
          <w:p w14:paraId="3C436A6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COD</w:t>
            </w:r>
          </w:p>
        </w:tc>
        <w:tc>
          <w:tcPr>
            <w:tcW w:w="977" w:type="dxa"/>
            <w:vAlign w:val="center"/>
          </w:tcPr>
          <w:p w14:paraId="015578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64" w:type="dxa"/>
            <w:vAlign w:val="center"/>
          </w:tcPr>
          <w:p w14:paraId="470C62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0.862 </w:t>
            </w:r>
          </w:p>
        </w:tc>
        <w:tc>
          <w:tcPr>
            <w:tcW w:w="3974" w:type="dxa"/>
            <w:vMerge w:val="restart"/>
            <w:vAlign w:val="center"/>
          </w:tcPr>
          <w:p w14:paraId="413647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经西彭工业园区污水处理厂处理满足《污水综合排放标准》（GB8978-1996）一级标准后排放至桥头河。</w:t>
            </w:r>
          </w:p>
        </w:tc>
        <w:tc>
          <w:tcPr>
            <w:tcW w:w="709" w:type="dxa"/>
            <w:vMerge w:val="restart"/>
            <w:vAlign w:val="center"/>
          </w:tcPr>
          <w:p w14:paraId="5A6F80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9.37</w:t>
            </w:r>
          </w:p>
        </w:tc>
        <w:tc>
          <w:tcPr>
            <w:tcW w:w="1109" w:type="dxa"/>
            <w:vMerge w:val="restart"/>
            <w:vAlign w:val="center"/>
          </w:tcPr>
          <w:p w14:paraId="02A207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2811</w:t>
            </w:r>
          </w:p>
        </w:tc>
        <w:tc>
          <w:tcPr>
            <w:tcW w:w="850" w:type="dxa"/>
            <w:vAlign w:val="center"/>
          </w:tcPr>
          <w:p w14:paraId="1CFDA8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100</w:t>
            </w:r>
          </w:p>
        </w:tc>
        <w:tc>
          <w:tcPr>
            <w:tcW w:w="887" w:type="dxa"/>
            <w:vAlign w:val="center"/>
          </w:tcPr>
          <w:p w14:paraId="4A2A86F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0.281 </w:t>
            </w:r>
          </w:p>
        </w:tc>
      </w:tr>
      <w:tr w14:paraId="64F40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88" w:type="dxa"/>
            <w:gridSpan w:val="4"/>
            <w:vMerge w:val="continue"/>
            <w:vAlign w:val="center"/>
          </w:tcPr>
          <w:p w14:paraId="02333A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0248C9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SS</w:t>
            </w:r>
          </w:p>
        </w:tc>
        <w:tc>
          <w:tcPr>
            <w:tcW w:w="977" w:type="dxa"/>
            <w:vAlign w:val="center"/>
          </w:tcPr>
          <w:p w14:paraId="3D66BC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64" w:type="dxa"/>
            <w:vAlign w:val="center"/>
          </w:tcPr>
          <w:p w14:paraId="295FD6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0.311 </w:t>
            </w:r>
          </w:p>
        </w:tc>
        <w:tc>
          <w:tcPr>
            <w:tcW w:w="3974" w:type="dxa"/>
            <w:vMerge w:val="continue"/>
            <w:vAlign w:val="center"/>
          </w:tcPr>
          <w:p w14:paraId="5CB70F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75D017C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4B2C58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7F53A2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70</w:t>
            </w:r>
          </w:p>
        </w:tc>
        <w:tc>
          <w:tcPr>
            <w:tcW w:w="887" w:type="dxa"/>
            <w:vAlign w:val="center"/>
          </w:tcPr>
          <w:p w14:paraId="46812E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0.197 </w:t>
            </w:r>
          </w:p>
        </w:tc>
      </w:tr>
      <w:tr w14:paraId="6F031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88" w:type="dxa"/>
            <w:gridSpan w:val="4"/>
            <w:vMerge w:val="continue"/>
            <w:vAlign w:val="center"/>
          </w:tcPr>
          <w:p w14:paraId="7FE15C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03A1C4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石油类</w:t>
            </w:r>
          </w:p>
        </w:tc>
        <w:tc>
          <w:tcPr>
            <w:tcW w:w="977" w:type="dxa"/>
            <w:vAlign w:val="center"/>
          </w:tcPr>
          <w:p w14:paraId="6FF9D6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64" w:type="dxa"/>
            <w:vAlign w:val="center"/>
          </w:tcPr>
          <w:p w14:paraId="5EA20A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0.050 </w:t>
            </w:r>
          </w:p>
        </w:tc>
        <w:tc>
          <w:tcPr>
            <w:tcW w:w="3974" w:type="dxa"/>
            <w:vMerge w:val="continue"/>
            <w:vAlign w:val="center"/>
          </w:tcPr>
          <w:p w14:paraId="098BD4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545443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3FBB15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07282E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887" w:type="dxa"/>
            <w:vAlign w:val="center"/>
          </w:tcPr>
          <w:p w14:paraId="2B802B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0.014 </w:t>
            </w:r>
          </w:p>
        </w:tc>
      </w:tr>
      <w:tr w14:paraId="1A9FE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88" w:type="dxa"/>
            <w:gridSpan w:val="4"/>
            <w:vMerge w:val="continue"/>
            <w:vAlign w:val="center"/>
          </w:tcPr>
          <w:p w14:paraId="6461CBB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16D1A3B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氟化物</w:t>
            </w:r>
          </w:p>
        </w:tc>
        <w:tc>
          <w:tcPr>
            <w:tcW w:w="977" w:type="dxa"/>
            <w:vAlign w:val="center"/>
          </w:tcPr>
          <w:p w14:paraId="03829B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64" w:type="dxa"/>
            <w:vAlign w:val="center"/>
          </w:tcPr>
          <w:p w14:paraId="4483B1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0.050 </w:t>
            </w:r>
          </w:p>
        </w:tc>
        <w:tc>
          <w:tcPr>
            <w:tcW w:w="3974" w:type="dxa"/>
            <w:vMerge w:val="continue"/>
            <w:vAlign w:val="center"/>
          </w:tcPr>
          <w:p w14:paraId="0B2EB2D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19901E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48F69A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3783F3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887" w:type="dxa"/>
            <w:vAlign w:val="center"/>
          </w:tcPr>
          <w:p w14:paraId="5C2BE29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0.028 </w:t>
            </w:r>
          </w:p>
        </w:tc>
      </w:tr>
      <w:tr w14:paraId="0C722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88" w:type="dxa"/>
            <w:gridSpan w:val="4"/>
            <w:vMerge w:val="continue"/>
            <w:vAlign w:val="center"/>
          </w:tcPr>
          <w:p w14:paraId="046B22B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1D204E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氨氮</w:t>
            </w:r>
          </w:p>
        </w:tc>
        <w:tc>
          <w:tcPr>
            <w:tcW w:w="977" w:type="dxa"/>
            <w:vAlign w:val="center"/>
          </w:tcPr>
          <w:p w14:paraId="7B6E8E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64" w:type="dxa"/>
            <w:vAlign w:val="center"/>
          </w:tcPr>
          <w:p w14:paraId="5B6D41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0.047 </w:t>
            </w:r>
          </w:p>
        </w:tc>
        <w:tc>
          <w:tcPr>
            <w:tcW w:w="3974" w:type="dxa"/>
            <w:vMerge w:val="continue"/>
            <w:vAlign w:val="center"/>
          </w:tcPr>
          <w:p w14:paraId="096984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300D35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05B9656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347307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887" w:type="dxa"/>
            <w:vAlign w:val="center"/>
          </w:tcPr>
          <w:p w14:paraId="3BF04A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0.042 </w:t>
            </w:r>
          </w:p>
        </w:tc>
      </w:tr>
      <w:tr w14:paraId="3BBD4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388" w:type="dxa"/>
            <w:gridSpan w:val="4"/>
            <w:vMerge w:val="continue"/>
            <w:vAlign w:val="center"/>
          </w:tcPr>
          <w:p w14:paraId="13374D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090" w:type="dxa"/>
            <w:vAlign w:val="center"/>
          </w:tcPr>
          <w:p w14:paraId="4BAD91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动植物油</w:t>
            </w:r>
          </w:p>
        </w:tc>
        <w:tc>
          <w:tcPr>
            <w:tcW w:w="977" w:type="dxa"/>
            <w:vAlign w:val="center"/>
          </w:tcPr>
          <w:p w14:paraId="5CBA105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w:t>
            </w:r>
          </w:p>
        </w:tc>
        <w:tc>
          <w:tcPr>
            <w:tcW w:w="964" w:type="dxa"/>
            <w:vAlign w:val="center"/>
          </w:tcPr>
          <w:p w14:paraId="6911641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0.009 </w:t>
            </w:r>
          </w:p>
        </w:tc>
        <w:tc>
          <w:tcPr>
            <w:tcW w:w="3974" w:type="dxa"/>
            <w:vMerge w:val="continue"/>
            <w:vAlign w:val="center"/>
          </w:tcPr>
          <w:p w14:paraId="5B39D7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709" w:type="dxa"/>
            <w:vMerge w:val="continue"/>
            <w:vAlign w:val="center"/>
          </w:tcPr>
          <w:p w14:paraId="54FB91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1109" w:type="dxa"/>
            <w:vMerge w:val="continue"/>
            <w:vAlign w:val="center"/>
          </w:tcPr>
          <w:p w14:paraId="51FD06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p>
        </w:tc>
        <w:tc>
          <w:tcPr>
            <w:tcW w:w="850" w:type="dxa"/>
            <w:vAlign w:val="center"/>
          </w:tcPr>
          <w:p w14:paraId="72DFC1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887" w:type="dxa"/>
            <w:vAlign w:val="center"/>
          </w:tcPr>
          <w:p w14:paraId="0CFC07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 xml:space="preserve">0.009 </w:t>
            </w:r>
          </w:p>
        </w:tc>
      </w:tr>
    </w:tbl>
    <w:p w14:paraId="67EE9E0F">
      <w:pPr>
        <w:spacing w:before="32"/>
        <w:ind w:firstLine="522"/>
        <w:rPr>
          <w:b/>
          <w:bCs/>
          <w:color w:val="000000" w:themeColor="text1"/>
          <w14:textFill>
            <w14:solidFill>
              <w14:schemeClr w14:val="tx1"/>
            </w14:solidFill>
          </w14:textFill>
        </w:rPr>
        <w:sectPr>
          <w:pgSz w:w="16838" w:h="11906" w:orient="landscape"/>
          <w:pgMar w:top="1797" w:right="1440" w:bottom="1797" w:left="1440" w:header="851" w:footer="992" w:gutter="0"/>
          <w:cols w:space="720" w:num="1"/>
          <w:docGrid w:type="lines" w:linePitch="326" w:charSpace="0"/>
        </w:sectPr>
      </w:pPr>
    </w:p>
    <w:p w14:paraId="48329D1C">
      <w:pPr>
        <w:pStyle w:val="5"/>
        <w:rPr>
          <w:color w:val="000000" w:themeColor="text1"/>
          <w14:textFill>
            <w14:solidFill>
              <w14:schemeClr w14:val="tx1"/>
            </w14:solidFill>
          </w14:textFill>
        </w:rPr>
      </w:pPr>
      <w:r>
        <w:rPr>
          <w:color w:val="000000" w:themeColor="text1"/>
          <w14:textFill>
            <w14:solidFill>
              <w14:schemeClr w14:val="tx1"/>
            </w14:solidFill>
          </w14:textFill>
        </w:rPr>
        <w:t>废气</w:t>
      </w:r>
    </w:p>
    <w:p w14:paraId="58C2181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（1）GASKET产品生产线清洗废气G1</w:t>
      </w:r>
    </w:p>
    <w:p w14:paraId="2922C076">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清洗废气：GASKET产品清洗过程中会用到</w:t>
      </w:r>
      <w:r>
        <w:rPr>
          <w:color w:val="000000" w:themeColor="text1"/>
          <w14:textFill>
            <w14:solidFill>
              <w14:schemeClr w14:val="tx1"/>
            </w14:solidFill>
          </w14:textFill>
        </w:rPr>
        <w:t>氢氟酸（氟化氢≤10%）</w:t>
      </w:r>
      <w:r>
        <w:rPr>
          <w:rFonts w:hint="eastAsia"/>
          <w:color w:val="000000" w:themeColor="text1"/>
          <w14:textFill>
            <w14:solidFill>
              <w14:schemeClr w14:val="tx1"/>
            </w14:solidFill>
          </w14:textFill>
        </w:rPr>
        <w:t>，会产生氟化物，</w:t>
      </w:r>
      <w:r>
        <w:rPr>
          <w:color w:val="000000" w:themeColor="text1"/>
          <w14:textFill>
            <w14:solidFill>
              <w14:schemeClr w14:val="tx1"/>
            </w14:solidFill>
          </w14:textFill>
        </w:rPr>
        <w:t>产生量的大小与生产规模、酸用量、酸浓度、作业条件（温度、湿度、通风状况等）、作业面面积大小都有密切的关系</w:t>
      </w:r>
      <w:r>
        <w:rPr>
          <w:rFonts w:hint="eastAsia"/>
          <w:color w:val="000000" w:themeColor="text1"/>
          <w14:textFill>
            <w14:solidFill>
              <w14:schemeClr w14:val="tx1"/>
            </w14:solidFill>
          </w14:textFill>
        </w:rPr>
        <w:t>。</w:t>
      </w:r>
    </w:p>
    <w:p w14:paraId="353E38BF">
      <w:pPr>
        <w:pStyle w:val="2005"/>
        <w:numPr>
          <w:ilvl w:val="0"/>
          <w:numId w:val="27"/>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氟化物：</w:t>
      </w:r>
    </w:p>
    <w:p w14:paraId="2F13D4F9">
      <w:pPr>
        <w:ind w:firstLine="520"/>
        <w:rPr>
          <w:color w:val="000000" w:themeColor="text1"/>
          <w14:textFill>
            <w14:solidFill>
              <w14:schemeClr w14:val="tx1"/>
            </w14:solidFill>
          </w14:textFill>
        </w:rPr>
      </w:pPr>
      <w:r>
        <w:rPr>
          <w:color w:val="000000" w:themeColor="text1"/>
          <w14:textFill>
            <w14:solidFill>
              <w14:schemeClr w14:val="tx1"/>
            </w14:solidFill>
          </w14:textFill>
        </w:rPr>
        <w:t>氟化物酸雾排放速率按经验公式计算。</w:t>
      </w:r>
    </w:p>
    <w:p w14:paraId="26DE2947">
      <w:pPr>
        <w:ind w:firstLine="520"/>
        <w:rPr>
          <w:color w:val="000000" w:themeColor="text1"/>
          <w14:textFill>
            <w14:solidFill>
              <w14:schemeClr w14:val="tx1"/>
            </w14:solidFill>
          </w14:textFill>
        </w:rPr>
      </w:pPr>
      <w:r>
        <w:rPr>
          <w:color w:val="000000" w:themeColor="text1"/>
          <w14:textFill>
            <w14:solidFill>
              <w14:schemeClr w14:val="tx1"/>
            </w14:solidFill>
          </w14:textFill>
        </w:rPr>
        <w:t>经验计算公式：</w:t>
      </w:r>
    </w:p>
    <w:p w14:paraId="33E253F2">
      <w:pPr>
        <w:spacing w:line="240" w:lineRule="auto"/>
        <w:ind w:firstLine="0" w:firstLineChars="0"/>
        <w:jc w:val="center"/>
        <w:rPr>
          <w:bCs/>
          <w:color w:val="000000" w:themeColor="text1"/>
          <w14:textFill>
            <w14:solidFill>
              <w14:schemeClr w14:val="tx1"/>
            </w14:solidFill>
          </w14:textFill>
        </w:rPr>
      </w:pPr>
      <w:r>
        <w:rPr>
          <w:color w:val="000000" w:themeColor="text1"/>
          <w14:textFill>
            <w14:solidFill>
              <w14:schemeClr w14:val="tx1"/>
            </w14:solidFill>
          </w14:textFill>
        </w:rPr>
        <w:t>G=M×(0.000352+0.000786×U)×P×F</w:t>
      </w:r>
    </w:p>
    <w:p w14:paraId="0CBB4BE0">
      <w:pPr>
        <w:ind w:firstLine="520"/>
        <w:rPr>
          <w:color w:val="000000" w:themeColor="text1"/>
          <w14:textFill>
            <w14:solidFill>
              <w14:schemeClr w14:val="tx1"/>
            </w14:solidFill>
          </w14:textFill>
        </w:rPr>
      </w:pPr>
      <w:r>
        <w:rPr>
          <w:color w:val="000000" w:themeColor="text1"/>
          <w14:textFill>
            <w14:solidFill>
              <w14:schemeClr w14:val="tx1"/>
            </w14:solidFill>
          </w14:textFill>
        </w:rPr>
        <w:t>式中：G—酸雾蒸发量（排放速率）kg/h；</w:t>
      </w:r>
    </w:p>
    <w:p w14:paraId="085A8581">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U—蒸发液体表面上的空气流速(m/s)，取0.3m/s；</w:t>
      </w:r>
    </w:p>
    <w:p w14:paraId="13C05106">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P—相应于液体温度下的饱和蒸汽分压力（mmHg），当液体浓度（重量）低于10%时，可用水溶液的饱和蒸气压代替，</w:t>
      </w:r>
      <w:r>
        <w:rPr>
          <w:rFonts w:hint="eastAsia"/>
          <w:color w:val="000000" w:themeColor="text1"/>
          <w14:textFill>
            <w14:solidFill>
              <w14:schemeClr w14:val="tx1"/>
            </w14:solidFill>
          </w14:textFill>
        </w:rPr>
        <w:t>见下表；</w:t>
      </w:r>
      <w:r>
        <w:rPr>
          <w:color w:val="000000" w:themeColor="text1"/>
          <w14:textFill>
            <w14:solidFill>
              <w14:schemeClr w14:val="tx1"/>
            </w14:solidFill>
          </w14:textFill>
        </w:rPr>
        <w:t xml:space="preserve"> </w:t>
      </w:r>
    </w:p>
    <w:p w14:paraId="53F11EA2">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F—蒸发面的表面积，m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见下表</w:t>
      </w:r>
      <w:r>
        <w:rPr>
          <w:color w:val="000000" w:themeColor="text1"/>
          <w14:textFill>
            <w14:solidFill>
              <w14:schemeClr w14:val="tx1"/>
            </w14:solidFill>
          </w14:textFill>
        </w:rPr>
        <w:t>；</w:t>
      </w:r>
    </w:p>
    <w:p w14:paraId="64310351">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M—有害气体的液体摩尔重量，氟化氢取20。</w:t>
      </w:r>
    </w:p>
    <w:p w14:paraId="47592BCB">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GASKET产品清洗线</w:t>
      </w:r>
      <w:r>
        <w:rPr>
          <w:color w:val="000000" w:themeColor="text1"/>
          <w14:textFill>
            <w14:solidFill>
              <w14:schemeClr w14:val="tx1"/>
            </w14:solidFill>
          </w14:textFill>
        </w:rPr>
        <w:t>氟化物计算参数表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020"/>
        <w:gridCol w:w="726"/>
        <w:gridCol w:w="1022"/>
        <w:gridCol w:w="1288"/>
        <w:gridCol w:w="1333"/>
        <w:gridCol w:w="1163"/>
        <w:gridCol w:w="1399"/>
      </w:tblGrid>
      <w:tr w14:paraId="1A2A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vAlign w:val="center"/>
          </w:tcPr>
          <w:p w14:paraId="42F1DDC4">
            <w:pPr>
              <w:pStyle w:val="1535"/>
            </w:pPr>
            <w:r>
              <w:t>序号</w:t>
            </w:r>
          </w:p>
        </w:tc>
        <w:tc>
          <w:tcPr>
            <w:tcW w:w="598" w:type="pct"/>
            <w:vAlign w:val="center"/>
          </w:tcPr>
          <w:p w14:paraId="53D58BEF">
            <w:pPr>
              <w:pStyle w:val="1535"/>
            </w:pPr>
            <w:r>
              <w:t>清洗线</w:t>
            </w:r>
          </w:p>
        </w:tc>
        <w:tc>
          <w:tcPr>
            <w:tcW w:w="426" w:type="pct"/>
            <w:vAlign w:val="center"/>
          </w:tcPr>
          <w:p w14:paraId="42662099">
            <w:pPr>
              <w:pStyle w:val="1535"/>
            </w:pPr>
            <w:r>
              <w:t>槽体</w:t>
            </w:r>
          </w:p>
        </w:tc>
        <w:tc>
          <w:tcPr>
            <w:tcW w:w="599" w:type="pct"/>
            <w:vAlign w:val="center"/>
          </w:tcPr>
          <w:p w14:paraId="62FD6014">
            <w:pPr>
              <w:pStyle w:val="1535"/>
            </w:pPr>
            <w:r>
              <w:t>数量（个）</w:t>
            </w:r>
          </w:p>
        </w:tc>
        <w:tc>
          <w:tcPr>
            <w:tcW w:w="755" w:type="pct"/>
            <w:vAlign w:val="center"/>
          </w:tcPr>
          <w:p w14:paraId="2D5BB895">
            <w:pPr>
              <w:pStyle w:val="1535"/>
            </w:pPr>
            <w:r>
              <w:t>成分</w:t>
            </w:r>
          </w:p>
        </w:tc>
        <w:tc>
          <w:tcPr>
            <w:tcW w:w="782" w:type="pct"/>
            <w:vAlign w:val="center"/>
          </w:tcPr>
          <w:p w14:paraId="32C4F363">
            <w:pPr>
              <w:pStyle w:val="1535"/>
            </w:pPr>
            <w:r>
              <w:t>平面尺寸（mm）</w:t>
            </w:r>
          </w:p>
        </w:tc>
        <w:tc>
          <w:tcPr>
            <w:tcW w:w="682" w:type="pct"/>
            <w:vAlign w:val="center"/>
          </w:tcPr>
          <w:p w14:paraId="48B9ECD7">
            <w:pPr>
              <w:pStyle w:val="1535"/>
            </w:pPr>
            <w:r>
              <w:t>蒸发面积（F，</w:t>
            </w:r>
            <w:r>
              <w:rPr>
                <w:rFonts w:hint="eastAsia"/>
              </w:rPr>
              <w:t>m</w:t>
            </w:r>
            <w:r>
              <w:rPr>
                <w:rFonts w:hint="eastAsia"/>
                <w:vertAlign w:val="superscript"/>
              </w:rPr>
              <w:t>2</w:t>
            </w:r>
            <w:r>
              <w:t>）</w:t>
            </w:r>
          </w:p>
        </w:tc>
        <w:tc>
          <w:tcPr>
            <w:tcW w:w="820" w:type="pct"/>
            <w:vAlign w:val="center"/>
          </w:tcPr>
          <w:p w14:paraId="1FBFBFB6">
            <w:pPr>
              <w:pStyle w:val="1535"/>
            </w:pPr>
            <w:r>
              <w:t>饱和蒸汽分压力（P，mmHg）</w:t>
            </w:r>
          </w:p>
        </w:tc>
      </w:tr>
      <w:tr w14:paraId="68C5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vAlign w:val="center"/>
          </w:tcPr>
          <w:p w14:paraId="67C452A7">
            <w:pPr>
              <w:pStyle w:val="1535"/>
            </w:pPr>
            <w:r>
              <w:t>1</w:t>
            </w:r>
          </w:p>
        </w:tc>
        <w:tc>
          <w:tcPr>
            <w:tcW w:w="598" w:type="pct"/>
            <w:vAlign w:val="center"/>
          </w:tcPr>
          <w:p w14:paraId="71A3CACC">
            <w:pPr>
              <w:pStyle w:val="1535"/>
            </w:pPr>
            <w:r>
              <w:rPr>
                <w:rFonts w:hint="eastAsia"/>
              </w:rPr>
              <w:t>千级区清洗</w:t>
            </w:r>
          </w:p>
        </w:tc>
        <w:tc>
          <w:tcPr>
            <w:tcW w:w="426" w:type="pct"/>
            <w:vAlign w:val="center"/>
          </w:tcPr>
          <w:p w14:paraId="33A7F729">
            <w:pPr>
              <w:pStyle w:val="1535"/>
            </w:pPr>
            <w:r>
              <w:rPr>
                <w:rFonts w:hint="eastAsia"/>
              </w:rPr>
              <w:t>浸洗</w:t>
            </w:r>
            <w:r>
              <w:t>槽</w:t>
            </w:r>
          </w:p>
        </w:tc>
        <w:tc>
          <w:tcPr>
            <w:tcW w:w="599" w:type="pct"/>
            <w:vAlign w:val="center"/>
          </w:tcPr>
          <w:p w14:paraId="4DC1ADE5">
            <w:pPr>
              <w:pStyle w:val="1535"/>
            </w:pPr>
            <w:r>
              <w:rPr>
                <w:rFonts w:hint="eastAsia"/>
              </w:rPr>
              <w:t>1</w:t>
            </w:r>
          </w:p>
        </w:tc>
        <w:tc>
          <w:tcPr>
            <w:tcW w:w="755" w:type="pct"/>
            <w:vAlign w:val="center"/>
          </w:tcPr>
          <w:p w14:paraId="1A390768">
            <w:pPr>
              <w:pStyle w:val="1535"/>
            </w:pPr>
            <w:r>
              <w:t>氟化氢≤10%</w:t>
            </w:r>
          </w:p>
        </w:tc>
        <w:tc>
          <w:tcPr>
            <w:tcW w:w="782" w:type="pct"/>
            <w:vAlign w:val="center"/>
          </w:tcPr>
          <w:p w14:paraId="18DDD2C3">
            <w:pPr>
              <w:pStyle w:val="1535"/>
            </w:pPr>
            <w:r>
              <w:t>650*650</w:t>
            </w:r>
          </w:p>
        </w:tc>
        <w:tc>
          <w:tcPr>
            <w:tcW w:w="682" w:type="pct"/>
            <w:vAlign w:val="center"/>
          </w:tcPr>
          <w:p w14:paraId="10EB3C3D">
            <w:pPr>
              <w:pStyle w:val="1535"/>
            </w:pPr>
            <w:r>
              <w:t>0.423</w:t>
            </w:r>
          </w:p>
        </w:tc>
        <w:tc>
          <w:tcPr>
            <w:tcW w:w="820" w:type="pct"/>
            <w:vAlign w:val="center"/>
          </w:tcPr>
          <w:p w14:paraId="2B72A8E2">
            <w:pPr>
              <w:pStyle w:val="1535"/>
            </w:pPr>
            <w:r>
              <w:rPr>
                <w:rFonts w:hint="eastAsia"/>
              </w:rPr>
              <w:t>0.67</w:t>
            </w:r>
          </w:p>
        </w:tc>
      </w:tr>
      <w:tr w14:paraId="2978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vAlign w:val="center"/>
          </w:tcPr>
          <w:p w14:paraId="02845334">
            <w:pPr>
              <w:pStyle w:val="1535"/>
            </w:pPr>
            <w:r>
              <w:t>备注：工作时间</w:t>
            </w:r>
            <w:r>
              <w:rPr>
                <w:rFonts w:hint="eastAsia"/>
              </w:rPr>
              <w:t>72</w:t>
            </w:r>
            <w:r>
              <w:t>00h/a</w:t>
            </w:r>
          </w:p>
        </w:tc>
      </w:tr>
    </w:tbl>
    <w:p w14:paraId="169D5F9B">
      <w:pPr>
        <w:ind w:firstLine="520"/>
        <w:rPr>
          <w:b/>
          <w:bCs/>
          <w:color w:val="000000" w:themeColor="text1"/>
          <w14:textFill>
            <w14:solidFill>
              <w14:schemeClr w14:val="tx1"/>
            </w14:solidFill>
          </w14:textFill>
        </w:rPr>
      </w:pPr>
      <w:r>
        <w:rPr>
          <w:color w:val="000000" w:themeColor="text1"/>
          <w14:textFill>
            <w14:solidFill>
              <w14:schemeClr w14:val="tx1"/>
            </w14:solidFill>
          </w14:textFill>
        </w:rPr>
        <w:t>清洗线</w:t>
      </w:r>
      <w:r>
        <w:rPr>
          <w:rFonts w:hint="eastAsia"/>
          <w:color w:val="000000" w:themeColor="text1"/>
          <w14:textFill>
            <w14:solidFill>
              <w14:schemeClr w14:val="tx1"/>
            </w14:solidFill>
          </w14:textFill>
        </w:rPr>
        <w:t>整体置于</w:t>
      </w:r>
      <w:r>
        <w:rPr>
          <w:color w:val="000000" w:themeColor="text1"/>
          <w14:textFill>
            <w14:solidFill>
              <w14:schemeClr w14:val="tx1"/>
            </w14:solidFill>
          </w14:textFill>
        </w:rPr>
        <w:t>密闭通道</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通道两侧设置挡帘</w:t>
      </w:r>
      <w:r>
        <w:rPr>
          <w:rFonts w:hint="eastAsia"/>
          <w:color w:val="000000" w:themeColor="text1"/>
          <w14:textFill>
            <w14:solidFill>
              <w14:schemeClr w14:val="tx1"/>
            </w14:solidFill>
          </w14:textFill>
        </w:rPr>
        <w:t>，通道可通过</w:t>
      </w:r>
      <w:r>
        <w:rPr>
          <w:color w:val="000000" w:themeColor="text1"/>
          <w14:textFill>
            <w14:solidFill>
              <w14:schemeClr w14:val="tx1"/>
            </w14:solidFill>
          </w14:textFill>
        </w:rPr>
        <w:t>产品及挂钩</w:t>
      </w:r>
      <w:r>
        <w:rPr>
          <w:rFonts w:hint="eastAsia"/>
          <w:color w:val="000000" w:themeColor="text1"/>
          <w14:textFill>
            <w14:solidFill>
              <w14:schemeClr w14:val="tx1"/>
            </w14:solidFill>
          </w14:textFill>
        </w:rPr>
        <w:t>，尽量</w:t>
      </w:r>
      <w:r>
        <w:rPr>
          <w:color w:val="000000" w:themeColor="text1"/>
          <w14:textFill>
            <w14:solidFill>
              <w14:schemeClr w14:val="tx1"/>
            </w14:solidFill>
          </w14:textFill>
        </w:rPr>
        <w:t>减少无组织废气的排放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清洗槽槽边设负压抽风系统</w:t>
      </w:r>
      <w:r>
        <w:rPr>
          <w:rFonts w:hint="eastAsia"/>
          <w:color w:val="000000" w:themeColor="text1"/>
          <w14:textFill>
            <w14:solidFill>
              <w14:schemeClr w14:val="tx1"/>
            </w14:solidFill>
          </w14:textFill>
        </w:rPr>
        <w:t>，生产过程中产生的废气约80</w:t>
      </w:r>
      <w:r>
        <w:rPr>
          <w:color w:val="000000" w:themeColor="text1"/>
          <w14:textFill>
            <w14:solidFill>
              <w14:schemeClr w14:val="tx1"/>
            </w14:solidFill>
          </w14:textFill>
        </w:rPr>
        <w:t>%经槽边抽风收集处理</w:t>
      </w:r>
      <w:r>
        <w:rPr>
          <w:rFonts w:hint="eastAsia"/>
          <w:color w:val="000000" w:themeColor="text1"/>
          <w14:textFill>
            <w14:solidFill>
              <w14:schemeClr w14:val="tx1"/>
            </w14:solidFill>
          </w14:textFill>
        </w:rPr>
        <w:t>，剩余20%无组织排放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GASKET产品清洗线</w:t>
      </w:r>
      <w:r>
        <w:rPr>
          <w:color w:val="000000" w:themeColor="text1"/>
          <w14:textFill>
            <w14:solidFill>
              <w14:schemeClr w14:val="tx1"/>
            </w14:solidFill>
          </w14:textFill>
        </w:rPr>
        <w:t>氟化物排放情况如</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2E69895D">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氟化物产生量</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6"/>
        <w:gridCol w:w="1750"/>
        <w:gridCol w:w="2620"/>
        <w:gridCol w:w="2272"/>
      </w:tblGrid>
      <w:tr w14:paraId="3870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pct"/>
            <w:vAlign w:val="center"/>
          </w:tcPr>
          <w:p w14:paraId="21C77646">
            <w:pPr>
              <w:pStyle w:val="1535"/>
            </w:pPr>
            <w:r>
              <w:t>名称</w:t>
            </w:r>
          </w:p>
        </w:tc>
        <w:tc>
          <w:tcPr>
            <w:tcW w:w="1026" w:type="pct"/>
            <w:vAlign w:val="center"/>
          </w:tcPr>
          <w:p w14:paraId="7C112BD3">
            <w:pPr>
              <w:pStyle w:val="1535"/>
            </w:pPr>
            <w:r>
              <w:t>产生量kg/h</w:t>
            </w:r>
          </w:p>
        </w:tc>
        <w:tc>
          <w:tcPr>
            <w:tcW w:w="1536" w:type="pct"/>
            <w:vAlign w:val="center"/>
          </w:tcPr>
          <w:p w14:paraId="39CB3A09">
            <w:pPr>
              <w:pStyle w:val="1535"/>
            </w:pPr>
            <w:r>
              <w:t>无组织排放量kg/h</w:t>
            </w:r>
          </w:p>
        </w:tc>
        <w:tc>
          <w:tcPr>
            <w:tcW w:w="1332" w:type="pct"/>
            <w:vAlign w:val="center"/>
          </w:tcPr>
          <w:p w14:paraId="447E32D3">
            <w:pPr>
              <w:pStyle w:val="1535"/>
            </w:pPr>
            <w:r>
              <w:t>进处理装置量kg/h</w:t>
            </w:r>
          </w:p>
        </w:tc>
      </w:tr>
      <w:tr w14:paraId="5C16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pct"/>
            <w:vAlign w:val="center"/>
          </w:tcPr>
          <w:p w14:paraId="56C58E89">
            <w:pPr>
              <w:pStyle w:val="1535"/>
            </w:pPr>
            <w:r>
              <w:rPr>
                <w:rFonts w:hint="eastAsia"/>
              </w:rPr>
              <w:t>清洗区</w:t>
            </w:r>
            <w:r>
              <w:t>氟化物</w:t>
            </w:r>
          </w:p>
        </w:tc>
        <w:tc>
          <w:tcPr>
            <w:tcW w:w="1026" w:type="pct"/>
            <w:vAlign w:val="center"/>
          </w:tcPr>
          <w:p w14:paraId="73FA03AB">
            <w:pPr>
              <w:pStyle w:val="1535"/>
            </w:pPr>
            <w:r>
              <w:t>0.0</w:t>
            </w:r>
            <w:r>
              <w:rPr>
                <w:rFonts w:hint="eastAsia"/>
              </w:rPr>
              <w:t>03</w:t>
            </w:r>
          </w:p>
        </w:tc>
        <w:tc>
          <w:tcPr>
            <w:tcW w:w="1536" w:type="pct"/>
            <w:vAlign w:val="center"/>
          </w:tcPr>
          <w:p w14:paraId="596BB885">
            <w:pPr>
              <w:pStyle w:val="1535"/>
            </w:pPr>
            <w:r>
              <w:t>0.00</w:t>
            </w:r>
            <w:r>
              <w:rPr>
                <w:rFonts w:hint="eastAsia"/>
              </w:rPr>
              <w:t>06</w:t>
            </w:r>
          </w:p>
        </w:tc>
        <w:tc>
          <w:tcPr>
            <w:tcW w:w="1332" w:type="pct"/>
            <w:vAlign w:val="center"/>
          </w:tcPr>
          <w:p w14:paraId="1492BAD5">
            <w:pPr>
              <w:pStyle w:val="1535"/>
            </w:pPr>
            <w:r>
              <w:t>0.0</w:t>
            </w:r>
            <w:r>
              <w:rPr>
                <w:rFonts w:hint="eastAsia"/>
              </w:rPr>
              <w:t>024</w:t>
            </w:r>
          </w:p>
        </w:tc>
      </w:tr>
      <w:tr w14:paraId="4141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5CF5155B">
            <w:pPr>
              <w:pStyle w:val="1535"/>
            </w:pPr>
            <w:r>
              <w:t>备注：工作时间</w:t>
            </w:r>
            <w:r>
              <w:rPr>
                <w:rFonts w:hint="eastAsia"/>
              </w:rPr>
              <w:t>72</w:t>
            </w:r>
            <w:r>
              <w:t>00h/a</w:t>
            </w:r>
          </w:p>
        </w:tc>
      </w:tr>
    </w:tbl>
    <w:p w14:paraId="7B24A6B7">
      <w:pPr>
        <w:ind w:firstLine="520" w:firstLineChars="0"/>
        <w:rPr>
          <w:b/>
          <w:bC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color w:val="000000" w:themeColor="text1"/>
          <w14:textFill>
            <w14:solidFill>
              <w14:schemeClr w14:val="tx1"/>
            </w14:solidFill>
          </w14:textFill>
        </w:rPr>
        <w:t>氮氧化物</w:t>
      </w:r>
    </w:p>
    <w:p w14:paraId="481CA4BB">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扩建项目浸洗溶液硝酸浓度低于3%，参照产污系数，氮氧化物可忽略</w:t>
      </w:r>
      <w:r>
        <w:rPr>
          <w:rFonts w:hint="eastAsia"/>
          <w:color w:val="000000" w:themeColor="text1"/>
          <w14:textFill>
            <w14:solidFill>
              <w14:schemeClr w14:val="tx1"/>
            </w14:solidFill>
          </w14:textFill>
        </w:rPr>
        <w:t>，不进行定量核算</w:t>
      </w:r>
      <w:r>
        <w:rPr>
          <w:color w:val="000000" w:themeColor="text1"/>
          <w14:textFill>
            <w14:solidFill>
              <w14:schemeClr w14:val="tx1"/>
            </w14:solidFill>
          </w14:textFill>
        </w:rPr>
        <w:t>。</w:t>
      </w:r>
    </w:p>
    <w:p w14:paraId="0DE8634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GASKET千级清洗依托现有清洗线，酸雾</w:t>
      </w:r>
      <w:r>
        <w:rPr>
          <w:color w:val="000000" w:themeColor="text1"/>
          <w14:textFill>
            <w14:solidFill>
              <w14:schemeClr w14:val="tx1"/>
            </w14:solidFill>
          </w14:textFill>
        </w:rPr>
        <w:t>产生量较小，经酸雾塔吸收处理后通过</w:t>
      </w:r>
      <w:r>
        <w:rPr>
          <w:rFonts w:hint="eastAsia"/>
          <w:color w:val="000000" w:themeColor="text1"/>
          <w14:textFill>
            <w14:solidFill>
              <w14:schemeClr w14:val="tx1"/>
            </w14:solidFill>
          </w14:textFill>
        </w:rPr>
        <w:t>15m高DA005</w:t>
      </w:r>
      <w:r>
        <w:rPr>
          <w:color w:val="000000" w:themeColor="text1"/>
          <w14:textFill>
            <w14:solidFill>
              <w14:schemeClr w14:val="tx1"/>
            </w14:solidFill>
          </w14:textFill>
        </w:rPr>
        <w:t>排气筒排放。</w:t>
      </w:r>
    </w:p>
    <w:p w14:paraId="2735E10E">
      <w:pPr>
        <w:ind w:firstLine="52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④</w:t>
      </w:r>
      <w:r>
        <w:rPr>
          <w:rFonts w:hint="eastAsia"/>
          <w:color w:val="000000" w:themeColor="text1"/>
          <w14:textFill>
            <w14:solidFill>
              <w14:schemeClr w14:val="tx1"/>
            </w14:solidFill>
          </w14:textFill>
        </w:rPr>
        <w:t>GASKET垫片清理废气G2</w:t>
      </w:r>
    </w:p>
    <w:p w14:paraId="5907A16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GASKET垫片生产过程中需要抹布蘸上乙醇对其表面需要清洁的地方进行清洁，根据建设单位提供资料，根据来料情况需要进行表面清洁的垫片原料很少，年使用乙醇量不超过10kg，大部分随着抹布作为危险废物进入危废贮存库，少量擦拭过程中残留在垫片上的酒精会挥发产生废气，经工作区空调系统抽风过滤后部分回流到厂房内，部分排到外环境，由于排放量很少，本次仅进行定性分析，不作定量分析评价。</w:t>
      </w:r>
    </w:p>
    <w:p w14:paraId="14C741DD">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（2）石墨产品生产线废气</w:t>
      </w:r>
    </w:p>
    <w:p w14:paraId="3B36682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主要包括下料、加工产生的碳黑尘G3，纯化过程废气G4及石墨化过程废气G5。</w:t>
      </w:r>
    </w:p>
    <w:p w14:paraId="31470BE5">
      <w:pPr>
        <w:ind w:firstLine="520"/>
        <w:rPr>
          <w:color w:val="000000" w:themeColor="text1"/>
          <w14:textFill>
            <w14:solidFill>
              <w14:schemeClr w14:val="tx1"/>
            </w14:solidFill>
          </w14:textFill>
        </w:rPr>
      </w:pPr>
      <w:r>
        <w:rPr>
          <w:rFonts w:hint="eastAsia" w:ascii="宋体" w:hAnsi="宋体" w:cs="Cambria Math"/>
          <w:color w:val="000000" w:themeColor="text1"/>
          <w14:textFill>
            <w14:solidFill>
              <w14:schemeClr w14:val="tx1"/>
            </w14:solidFill>
          </w14:textFill>
        </w:rPr>
        <w:t>①</w:t>
      </w:r>
      <w:r>
        <w:rPr>
          <w:color w:val="000000" w:themeColor="text1"/>
          <w14:textFill>
            <w14:solidFill>
              <w14:schemeClr w14:val="tx1"/>
            </w14:solidFill>
          </w14:textFill>
        </w:rPr>
        <w:t>下料、加工产生的碳黑尘</w:t>
      </w:r>
      <w:r>
        <w:rPr>
          <w:rFonts w:hint="eastAsia"/>
          <w:color w:val="000000" w:themeColor="text1"/>
          <w14:textFill>
            <w14:solidFill>
              <w14:schemeClr w14:val="tx1"/>
            </w14:solidFill>
          </w14:textFill>
        </w:rPr>
        <w:t>G3</w:t>
      </w:r>
      <w:r>
        <w:rPr>
          <w:color w:val="000000" w:themeColor="text1"/>
          <w14:textFill>
            <w14:solidFill>
              <w14:schemeClr w14:val="tx1"/>
            </w14:solidFill>
          </w14:textFill>
        </w:rPr>
        <w:t>：产生量源强参照《排放源统计调查产排污核算方法和系数手册》（公告 2021年 第24号）电子电气行业</w:t>
      </w:r>
      <w:r>
        <w:rPr>
          <w:rFonts w:hint="eastAsia"/>
          <w:color w:val="000000" w:themeColor="text1"/>
          <w14:textFill>
            <w14:solidFill>
              <w14:schemeClr w14:val="tx1"/>
            </w14:solidFill>
          </w14:textFill>
        </w:rPr>
        <w:t>-机械加工-半导体材料</w:t>
      </w:r>
      <w:r>
        <w:rPr>
          <w:color w:val="000000" w:themeColor="text1"/>
          <w14:textFill>
            <w14:solidFill>
              <w14:schemeClr w14:val="tx1"/>
            </w14:solidFill>
          </w14:textFill>
        </w:rPr>
        <w:t>系数手册数据，约0.3596g/kg-原料，扩建项目石墨用量53t，则碳黑尘产生量为0.019t/a（0.00</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kg/h）</w:t>
      </w:r>
    </w:p>
    <w:p w14:paraId="0DA0149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项目在下料、机加侧方0.5m处设置</w:t>
      </w:r>
      <w:r>
        <w:rPr>
          <w:color w:val="000000" w:themeColor="text1"/>
          <w14:textFill>
            <w14:solidFill>
              <w14:schemeClr w14:val="tx1"/>
            </w14:solidFill>
          </w14:textFill>
        </w:rPr>
        <w:t>集气罩，尺寸为1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00mm×1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00mm，废气经收集后</w:t>
      </w:r>
      <w:r>
        <w:rPr>
          <w:rFonts w:hint="eastAsia"/>
          <w:color w:val="000000" w:themeColor="text1"/>
          <w14:textFill>
            <w14:solidFill>
              <w14:schemeClr w14:val="tx1"/>
            </w14:solidFill>
          </w14:textFill>
        </w:rPr>
        <w:t>送</w:t>
      </w:r>
      <w:r>
        <w:rPr>
          <w:color w:val="000000" w:themeColor="text1"/>
          <w14:textFill>
            <w14:solidFill>
              <w14:schemeClr w14:val="tx1"/>
            </w14:solidFill>
          </w14:textFill>
        </w:rPr>
        <w:t>入“布袋除尘器”处理后由</w:t>
      </w:r>
      <w:r>
        <w:rPr>
          <w:rFonts w:hint="eastAsia"/>
          <w:color w:val="000000" w:themeColor="text1"/>
          <w14:textFill>
            <w14:solidFill>
              <w14:schemeClr w14:val="tx1"/>
            </w14:solidFill>
          </w14:textFill>
        </w:rPr>
        <w:t>1根</w:t>
      </w:r>
      <w:r>
        <w:rPr>
          <w:color w:val="000000" w:themeColor="text1"/>
          <w14:textFill>
            <w14:solidFill>
              <w14:schemeClr w14:val="tx1"/>
            </w14:solidFill>
          </w14:textFill>
        </w:rPr>
        <w:t>15m</w:t>
      </w:r>
      <w:r>
        <w:rPr>
          <w:rFonts w:hint="eastAsia"/>
          <w:color w:val="000000" w:themeColor="text1"/>
          <w14:textFill>
            <w14:solidFill>
              <w14:schemeClr w14:val="tx1"/>
            </w14:solidFill>
          </w14:textFill>
        </w:rPr>
        <w:t>高</w:t>
      </w:r>
      <w:r>
        <w:rPr>
          <w:color w:val="000000" w:themeColor="text1"/>
          <w14:textFill>
            <w14:solidFill>
              <w14:schemeClr w14:val="tx1"/>
            </w14:solidFill>
          </w14:textFill>
        </w:rPr>
        <w:t>排气筒（DA0</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）排放。废气收集效率按8</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%计，布袋除尘器处理效率按</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%计。</w:t>
      </w:r>
    </w:p>
    <w:p w14:paraId="51432B91">
      <w:pPr>
        <w:ind w:firstLine="520"/>
        <w:rPr>
          <w:color w:val="000000" w:themeColor="text1"/>
          <w14:textFill>
            <w14:solidFill>
              <w14:schemeClr w14:val="tx1"/>
            </w14:solidFill>
          </w14:textFill>
        </w:rPr>
      </w:pPr>
      <w:r>
        <w:rPr>
          <w:color w:val="000000" w:themeColor="text1"/>
          <w14:textFill>
            <w14:solidFill>
              <w14:schemeClr w14:val="tx1"/>
            </w14:solidFill>
          </w14:textFill>
        </w:rPr>
        <w:t>集气罩抽风量</w:t>
      </w:r>
      <w:r>
        <w:rPr>
          <w:rFonts w:hint="eastAsia"/>
          <w:color w:val="000000" w:themeColor="text1"/>
          <w14:textFill>
            <w14:solidFill>
              <w14:schemeClr w14:val="tx1"/>
            </w14:solidFill>
          </w14:textFill>
        </w:rPr>
        <w:t>参考《大气污染控制工程》</w:t>
      </w:r>
      <w:r>
        <w:rPr>
          <w:color w:val="000000" w:themeColor="text1"/>
          <w14:textFill>
            <w14:solidFill>
              <w14:schemeClr w14:val="tx1"/>
            </w14:solidFill>
          </w14:textFill>
        </w:rPr>
        <w:t xml:space="preserve">计算: </w:t>
      </w:r>
    </w:p>
    <w:p w14:paraId="18EB286E">
      <w:pPr>
        <w:spacing w:line="240" w:lineRule="auto"/>
        <w:ind w:firstLine="520"/>
        <w:jc w:val="center"/>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L=V×F×β×3600</w:t>
      </w:r>
    </w:p>
    <w:p w14:paraId="107AB3C5">
      <w:pPr>
        <w:ind w:firstLine="520"/>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式中：L—集气罩风量（m</w:t>
      </w:r>
      <w:r>
        <w:rPr>
          <w:rFonts w:hint="eastAsia"/>
          <w:bCs/>
          <w:color w:val="000000" w:themeColor="text1"/>
          <w:szCs w:val="26"/>
          <w:vertAlign w:val="superscript"/>
          <w14:textFill>
            <w14:solidFill>
              <w14:schemeClr w14:val="tx1"/>
            </w14:solidFill>
          </w14:textFill>
        </w:rPr>
        <w:t>3</w:t>
      </w:r>
      <w:r>
        <w:rPr>
          <w:rFonts w:hint="eastAsia"/>
          <w:bCs/>
          <w:color w:val="000000" w:themeColor="text1"/>
          <w:szCs w:val="26"/>
          <w14:textFill>
            <w14:solidFill>
              <w14:schemeClr w14:val="tx1"/>
            </w14:solidFill>
          </w14:textFill>
        </w:rPr>
        <w:t>/s）；</w:t>
      </w:r>
    </w:p>
    <w:p w14:paraId="4E4F3BB2">
      <w:pPr>
        <w:ind w:firstLine="1300" w:firstLineChars="500"/>
        <w:rPr>
          <w:bCs/>
          <w:color w:val="000000" w:themeColor="text1"/>
          <w:szCs w:val="26"/>
          <w14:textFill>
            <w14:solidFill>
              <w14:schemeClr w14:val="tx1"/>
            </w14:solidFill>
          </w14:textFill>
        </w:rPr>
      </w:pPr>
      <w:r>
        <w:rPr>
          <w:bCs/>
          <w:color w:val="000000" w:themeColor="text1"/>
          <w:szCs w:val="26"/>
          <w14:textFill>
            <w14:solidFill>
              <w14:schemeClr w14:val="tx1"/>
            </w14:solidFill>
          </w14:textFill>
        </w:rPr>
        <w:t>F</w:t>
      </w:r>
      <w:r>
        <w:rPr>
          <w:rFonts w:hint="eastAsia"/>
          <w:bCs/>
          <w:color w:val="000000" w:themeColor="text1"/>
          <w:szCs w:val="26"/>
          <w14:textFill>
            <w14:solidFill>
              <w14:schemeClr w14:val="tx1"/>
            </w14:solidFill>
          </w14:textFill>
        </w:rPr>
        <w:t>—集气罩面积，m</w:t>
      </w:r>
      <w:r>
        <w:rPr>
          <w:bCs/>
          <w:color w:val="000000" w:themeColor="text1"/>
          <w:szCs w:val="26"/>
          <w:vertAlign w:val="superscript"/>
          <w14:textFill>
            <w14:solidFill>
              <w14:schemeClr w14:val="tx1"/>
            </w14:solidFill>
          </w14:textFill>
        </w:rPr>
        <w:t>2</w:t>
      </w:r>
      <w:r>
        <w:rPr>
          <w:rFonts w:hint="eastAsia"/>
          <w:bCs/>
          <w:color w:val="000000" w:themeColor="text1"/>
          <w:szCs w:val="26"/>
          <w14:textFill>
            <w14:solidFill>
              <w14:schemeClr w14:val="tx1"/>
            </w14:solidFill>
          </w14:textFill>
        </w:rPr>
        <w:t>，</w:t>
      </w:r>
      <w:r>
        <w:rPr>
          <w:rFonts w:hint="eastAsia"/>
          <w:color w:val="000000" w:themeColor="text1"/>
          <w:szCs w:val="26"/>
          <w14:textFill>
            <w14:solidFill>
              <w14:schemeClr w14:val="tx1"/>
            </w14:solidFill>
          </w14:textFill>
        </w:rPr>
        <w:t xml:space="preserve"> 1.</w:t>
      </w:r>
      <w:r>
        <w:rPr>
          <w:rFonts w:hint="eastAsia"/>
          <w:bCs/>
          <w:color w:val="000000" w:themeColor="text1"/>
          <w:szCs w:val="26"/>
          <w14:textFill>
            <w14:solidFill>
              <w14:schemeClr w14:val="tx1"/>
            </w14:solidFill>
          </w14:textFill>
        </w:rPr>
        <w:t>21m</w:t>
      </w:r>
      <w:r>
        <w:rPr>
          <w:bCs/>
          <w:color w:val="000000" w:themeColor="text1"/>
          <w:szCs w:val="26"/>
          <w:vertAlign w:val="superscript"/>
          <w14:textFill>
            <w14:solidFill>
              <w14:schemeClr w14:val="tx1"/>
            </w14:solidFill>
          </w14:textFill>
        </w:rPr>
        <w:t>2</w:t>
      </w:r>
      <w:r>
        <w:rPr>
          <w:rFonts w:hint="eastAsia"/>
          <w:bCs/>
          <w:color w:val="000000" w:themeColor="text1"/>
          <w:szCs w:val="26"/>
          <w14:textFill>
            <w14:solidFill>
              <w14:schemeClr w14:val="tx1"/>
            </w14:solidFill>
          </w14:textFill>
        </w:rPr>
        <w:t>；</w:t>
      </w:r>
    </w:p>
    <w:p w14:paraId="50B1FF2B">
      <w:pPr>
        <w:ind w:firstLine="1300" w:firstLineChars="500"/>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V—控制点的吸入风速（m/s），取0.5m/s；</w:t>
      </w:r>
    </w:p>
    <w:p w14:paraId="5796F6DA">
      <w:pPr>
        <w:ind w:firstLine="1300" w:firstLineChars="500"/>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β—安全系数，取1.2；</w:t>
      </w:r>
    </w:p>
    <w:p w14:paraId="5588E80E">
      <w:pPr>
        <w:ind w:firstLine="520"/>
        <w:rPr>
          <w:color w:val="000000" w:themeColor="text1"/>
          <w:szCs w:val="26"/>
          <w14:textFill>
            <w14:solidFill>
              <w14:schemeClr w14:val="tx1"/>
            </w14:solidFill>
          </w14:textFill>
        </w:rPr>
      </w:pPr>
      <w:r>
        <w:rPr>
          <w:color w:val="000000" w:themeColor="text1"/>
          <w:szCs w:val="26"/>
          <w14:textFill>
            <w14:solidFill>
              <w14:schemeClr w14:val="tx1"/>
            </w14:solidFill>
          </w14:textFill>
        </w:rPr>
        <w:t>通过计算，</w:t>
      </w:r>
      <w:r>
        <w:rPr>
          <w:rFonts w:hint="eastAsia"/>
          <w:color w:val="000000" w:themeColor="text1"/>
          <w:szCs w:val="26"/>
          <w14:textFill>
            <w14:solidFill>
              <w14:schemeClr w14:val="tx1"/>
            </w14:solidFill>
          </w14:textFill>
        </w:rPr>
        <w:t>下料加工</w:t>
      </w:r>
      <w:r>
        <w:rPr>
          <w:color w:val="000000" w:themeColor="text1"/>
          <w:szCs w:val="26"/>
          <w14:textFill>
            <w14:solidFill>
              <w14:schemeClr w14:val="tx1"/>
            </w14:solidFill>
          </w14:textFill>
        </w:rPr>
        <w:t>收集风量为</w:t>
      </w:r>
      <w:r>
        <w:rPr>
          <w:rFonts w:hint="eastAsia"/>
          <w:color w:val="000000" w:themeColor="text1"/>
          <w:szCs w:val="26"/>
          <w14:textFill>
            <w14:solidFill>
              <w14:schemeClr w14:val="tx1"/>
            </w14:solidFill>
          </w14:textFill>
        </w:rPr>
        <w:t>2614</w:t>
      </w:r>
      <w:r>
        <w:rPr>
          <w:color w:val="000000" w:themeColor="text1"/>
          <w:szCs w:val="26"/>
          <w14:textFill>
            <w14:solidFill>
              <w14:schemeClr w14:val="tx1"/>
            </w14:solidFill>
          </w14:textFill>
        </w:rPr>
        <w:t>m</w:t>
      </w:r>
      <w:r>
        <w:rPr>
          <w:color w:val="000000" w:themeColor="text1"/>
          <w:szCs w:val="26"/>
          <w:vertAlign w:val="superscript"/>
          <w14:textFill>
            <w14:solidFill>
              <w14:schemeClr w14:val="tx1"/>
            </w14:solidFill>
          </w14:textFill>
        </w:rPr>
        <w:t>3</w:t>
      </w:r>
      <w:r>
        <w:rPr>
          <w:color w:val="000000" w:themeColor="text1"/>
          <w:szCs w:val="26"/>
          <w14:textFill>
            <w14:solidFill>
              <w14:schemeClr w14:val="tx1"/>
            </w14:solidFill>
          </w14:textFill>
        </w:rPr>
        <w:t>/h，收集风量取整为</w:t>
      </w:r>
      <w:r>
        <w:rPr>
          <w:rFonts w:hint="eastAsia"/>
          <w:color w:val="000000" w:themeColor="text1"/>
          <w:szCs w:val="26"/>
          <w14:textFill>
            <w14:solidFill>
              <w14:schemeClr w14:val="tx1"/>
            </w14:solidFill>
          </w14:textFill>
        </w:rPr>
        <w:t>3000</w:t>
      </w:r>
      <w:r>
        <w:rPr>
          <w:color w:val="000000" w:themeColor="text1"/>
          <w:szCs w:val="26"/>
          <w14:textFill>
            <w14:solidFill>
              <w14:schemeClr w14:val="tx1"/>
            </w14:solidFill>
          </w14:textFill>
        </w:rPr>
        <w:t>m</w:t>
      </w:r>
      <w:r>
        <w:rPr>
          <w:color w:val="000000" w:themeColor="text1"/>
          <w:szCs w:val="26"/>
          <w:vertAlign w:val="superscript"/>
          <w14:textFill>
            <w14:solidFill>
              <w14:schemeClr w14:val="tx1"/>
            </w14:solidFill>
          </w14:textFill>
        </w:rPr>
        <w:t>3</w:t>
      </w:r>
      <w:r>
        <w:rPr>
          <w:color w:val="000000" w:themeColor="text1"/>
          <w:szCs w:val="26"/>
          <w14:textFill>
            <w14:solidFill>
              <w14:schemeClr w14:val="tx1"/>
            </w14:solidFill>
          </w14:textFill>
        </w:rPr>
        <w:t>/h。</w:t>
      </w:r>
    </w:p>
    <w:p w14:paraId="003B3948">
      <w:pPr>
        <w:ind w:firstLine="520"/>
        <w:rPr>
          <w:b/>
          <w:bCs/>
          <w:color w:val="000000" w:themeColor="text1"/>
          <w:kern w:val="24"/>
          <w:szCs w:val="26"/>
          <w14:textFill>
            <w14:solidFill>
              <w14:schemeClr w14:val="tx1"/>
            </w14:solidFill>
          </w14:textFill>
        </w:rPr>
      </w:pPr>
      <w:r>
        <w:rPr>
          <w:rFonts w:hint="eastAsia"/>
          <w:color w:val="000000" w:themeColor="text1"/>
          <w:szCs w:val="26"/>
          <w14:textFill>
            <w14:solidFill>
              <w14:schemeClr w14:val="tx1"/>
            </w14:solidFill>
          </w14:textFill>
        </w:rPr>
        <w:t>碳黑尘</w:t>
      </w:r>
      <w:r>
        <w:rPr>
          <w:color w:val="000000" w:themeColor="text1"/>
          <w:szCs w:val="26"/>
          <w14:textFill>
            <w14:solidFill>
              <w14:schemeClr w14:val="tx1"/>
            </w14:solidFill>
          </w14:textFill>
        </w:rPr>
        <w:t>有组织排放量为0.0</w:t>
      </w:r>
      <w:r>
        <w:rPr>
          <w:rFonts w:hint="eastAsia"/>
          <w:color w:val="000000" w:themeColor="text1"/>
          <w:szCs w:val="26"/>
          <w14:textFill>
            <w14:solidFill>
              <w14:schemeClr w14:val="tx1"/>
            </w14:solidFill>
          </w14:textFill>
        </w:rPr>
        <w:t>15</w:t>
      </w:r>
      <w:r>
        <w:rPr>
          <w:color w:val="000000" w:themeColor="text1"/>
          <w:szCs w:val="26"/>
          <w14:textFill>
            <w14:solidFill>
              <w14:schemeClr w14:val="tx1"/>
            </w14:solidFill>
          </w14:textFill>
        </w:rPr>
        <w:t>t/a，无组织排放量为0.</w:t>
      </w:r>
      <w:r>
        <w:rPr>
          <w:rFonts w:hint="eastAsia"/>
          <w:color w:val="000000" w:themeColor="text1"/>
          <w:szCs w:val="26"/>
          <w14:textFill>
            <w14:solidFill>
              <w14:schemeClr w14:val="tx1"/>
            </w14:solidFill>
          </w14:textFill>
        </w:rPr>
        <w:t>004</w:t>
      </w:r>
      <w:r>
        <w:rPr>
          <w:color w:val="000000" w:themeColor="text1"/>
          <w:szCs w:val="26"/>
          <w14:textFill>
            <w14:solidFill>
              <w14:schemeClr w14:val="tx1"/>
            </w14:solidFill>
          </w14:textFill>
        </w:rPr>
        <w:t>t/a</w:t>
      </w:r>
      <w:r>
        <w:rPr>
          <w:color w:val="000000" w:themeColor="text1"/>
          <w:kern w:val="24"/>
          <w:szCs w:val="26"/>
          <w14:textFill>
            <w14:solidFill>
              <w14:schemeClr w14:val="tx1"/>
            </w14:solidFill>
          </w14:textFill>
        </w:rPr>
        <w:t>。</w:t>
      </w:r>
    </w:p>
    <w:p w14:paraId="7B112A9D">
      <w:pPr>
        <w:ind w:firstLine="520"/>
        <w:rPr>
          <w:color w:val="000000" w:themeColor="text1"/>
          <w14:textFill>
            <w14:solidFill>
              <w14:schemeClr w14:val="tx1"/>
            </w14:solidFill>
          </w14:textFill>
        </w:rPr>
      </w:pPr>
      <w:r>
        <w:rPr>
          <w:rFonts w:hint="eastAsia" w:ascii="宋体" w:hAnsi="宋体" w:cs="Cambria Math"/>
          <w:color w:val="000000" w:themeColor="text1"/>
          <w14:textFill>
            <w14:solidFill>
              <w14:schemeClr w14:val="tx1"/>
            </w14:solidFill>
          </w14:textFill>
        </w:rPr>
        <w:t>②</w:t>
      </w:r>
      <w:r>
        <w:rPr>
          <w:color w:val="000000" w:themeColor="text1"/>
          <w14:textFill>
            <w14:solidFill>
              <w14:schemeClr w14:val="tx1"/>
            </w14:solidFill>
          </w14:textFill>
        </w:rPr>
        <w:t>纯化炉废气</w:t>
      </w:r>
      <w:r>
        <w:rPr>
          <w:rFonts w:hint="eastAsia"/>
          <w:color w:val="000000" w:themeColor="text1"/>
          <w14:textFill>
            <w14:solidFill>
              <w14:schemeClr w14:val="tx1"/>
            </w14:solidFill>
          </w14:textFill>
        </w:rPr>
        <w:t>G4</w:t>
      </w:r>
      <w:r>
        <w:rPr>
          <w:color w:val="000000" w:themeColor="text1"/>
          <w14:textFill>
            <w14:solidFill>
              <w14:schemeClr w14:val="tx1"/>
            </w14:solidFill>
          </w14:textFill>
        </w:rPr>
        <w:t>：根据原料检测数据，项目原料纯度已经非常高，达到 99.9995%以上，经过高温纯化后的产品纯度大于 99.99999%，原料杂质中含量相对较高的元素主要有硫、钙、硅、铁等，其含量均为PPm级，本次评价考虑忽略杂质气体，仅考虑 HCl使用过程中产生的氯化氢和纯化过程中产生的碳黑尘。</w:t>
      </w:r>
    </w:p>
    <w:p w14:paraId="5C9CB05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由于原料纯度较高，杂质含量较少，极少部分HCl参与杂质的化合汽化反应，此部分损失的HCl忽略不计，项目HCl使用量为0.48t/a，则纯化过程中HCl产生量为</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48</w:t>
      </w:r>
      <w:r>
        <w:rPr>
          <w:color w:val="000000" w:themeColor="text1"/>
          <w14:textFill>
            <w14:solidFill>
              <w14:schemeClr w14:val="tx1"/>
            </w14:solidFill>
          </w14:textFill>
        </w:rPr>
        <w:t>t/a（0.0</w:t>
      </w:r>
      <w:r>
        <w:rPr>
          <w:rFonts w:hint="eastAsia"/>
          <w:color w:val="000000" w:themeColor="text1"/>
          <w14:textFill>
            <w14:solidFill>
              <w14:schemeClr w14:val="tx1"/>
            </w14:solidFill>
          </w14:textFill>
        </w:rPr>
        <w:t>67</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w:t>
      </w:r>
    </w:p>
    <w:p w14:paraId="0226B43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纯化过程中产生的碳黑尘产生量源强参照《排放源统计调查产排污核算方法和系数手册》（公告 2021年 第24号）电子电气行业-烧结系数手册数据，约0.5785g/kg-原料，扩建项目石墨用量53t，则碳黑尘产生量为</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031</w:t>
      </w:r>
      <w:r>
        <w:rPr>
          <w:color w:val="000000" w:themeColor="text1"/>
          <w14:textFill>
            <w14:solidFill>
              <w14:schemeClr w14:val="tx1"/>
            </w14:solidFill>
          </w14:textFill>
        </w:rPr>
        <w:t>t/a（0.0</w:t>
      </w:r>
      <w:r>
        <w:rPr>
          <w:rFonts w:hint="eastAsia"/>
          <w:color w:val="000000" w:themeColor="text1"/>
          <w14:textFill>
            <w14:solidFill>
              <w14:schemeClr w14:val="tx1"/>
            </w14:solidFill>
          </w14:textFill>
        </w:rPr>
        <w:t>04</w:t>
      </w:r>
      <w:r>
        <w:rPr>
          <w:color w:val="000000" w:themeColor="text1"/>
          <w14:textFill>
            <w14:solidFill>
              <w14:schemeClr w14:val="tx1"/>
            </w14:solidFill>
          </w14:textFill>
        </w:rPr>
        <w:t>kg/h）</w:t>
      </w:r>
    </w:p>
    <w:p w14:paraId="21DD0A1C">
      <w:pPr>
        <w:ind w:firstLine="520"/>
        <w:rPr>
          <w:color w:val="000000" w:themeColor="text1"/>
          <w14:textFill>
            <w14:solidFill>
              <w14:schemeClr w14:val="tx1"/>
            </w14:solidFill>
          </w14:textFill>
        </w:rPr>
      </w:pPr>
      <w:r>
        <w:rPr>
          <w:rFonts w:hint="eastAsia" w:ascii="宋体" w:hAnsi="宋体" w:cs="Cambria Math"/>
          <w:color w:val="000000" w:themeColor="text1"/>
          <w14:textFill>
            <w14:solidFill>
              <w14:schemeClr w14:val="tx1"/>
            </w14:solidFill>
          </w14:textFill>
        </w:rPr>
        <w:t>③石墨化炉</w:t>
      </w:r>
      <w:r>
        <w:rPr>
          <w:color w:val="000000" w:themeColor="text1"/>
          <w14:textFill>
            <w14:solidFill>
              <w14:schemeClr w14:val="tx1"/>
            </w14:solidFill>
          </w14:textFill>
        </w:rPr>
        <w:t>废气</w:t>
      </w:r>
      <w:r>
        <w:rPr>
          <w:rFonts w:hint="eastAsia"/>
          <w:color w:val="000000" w:themeColor="text1"/>
          <w14:textFill>
            <w14:solidFill>
              <w14:schemeClr w14:val="tx1"/>
            </w14:solidFill>
          </w14:textFill>
        </w:rPr>
        <w:t>G5</w:t>
      </w:r>
      <w:r>
        <w:rPr>
          <w:color w:val="000000" w:themeColor="text1"/>
          <w14:textFill>
            <w14:solidFill>
              <w14:schemeClr w14:val="tx1"/>
            </w14:solidFill>
          </w14:textFill>
        </w:rPr>
        <w:t>：</w:t>
      </w:r>
    </w:p>
    <w:p w14:paraId="37D9A36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纯化过程中产生的碳黑尘产生量源强参照《排放源统计调查产排污核算方法和系数手册》（公告 2021年 第24号）电子电气行业-烧结系数手册数据，约0.5785g/kg-原料，扩建项目石墨用量53t，则碳黑尘产生量为</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031</w:t>
      </w:r>
      <w:r>
        <w:rPr>
          <w:color w:val="000000" w:themeColor="text1"/>
          <w14:textFill>
            <w14:solidFill>
              <w14:schemeClr w14:val="tx1"/>
            </w14:solidFill>
          </w14:textFill>
        </w:rPr>
        <w:t>t/a（0.0</w:t>
      </w:r>
      <w:r>
        <w:rPr>
          <w:rFonts w:hint="eastAsia"/>
          <w:color w:val="000000" w:themeColor="text1"/>
          <w14:textFill>
            <w14:solidFill>
              <w14:schemeClr w14:val="tx1"/>
            </w14:solidFill>
          </w14:textFill>
        </w:rPr>
        <w:t>04</w:t>
      </w:r>
      <w:r>
        <w:rPr>
          <w:color w:val="000000" w:themeColor="text1"/>
          <w14:textFill>
            <w14:solidFill>
              <w14:schemeClr w14:val="tx1"/>
            </w14:solidFill>
          </w14:textFill>
        </w:rPr>
        <w:t>kg/h）</w:t>
      </w:r>
    </w:p>
    <w:p w14:paraId="335D642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纯化炉和石墨化炉废气均</w:t>
      </w:r>
      <w:r>
        <w:rPr>
          <w:color w:val="000000" w:themeColor="text1"/>
          <w14:textFill>
            <w14:solidFill>
              <w14:schemeClr w14:val="tx1"/>
            </w14:solidFill>
          </w14:textFill>
        </w:rPr>
        <w:t>炉内排气口接入</w:t>
      </w:r>
      <w:r>
        <w:rPr>
          <w:rFonts w:hint="eastAsia"/>
          <w:color w:val="000000" w:themeColor="text1"/>
          <w14:textFill>
            <w14:solidFill>
              <w14:schemeClr w14:val="tx1"/>
            </w14:solidFill>
          </w14:textFill>
        </w:rPr>
        <w:t>现有1#</w:t>
      </w:r>
      <w:r>
        <w:rPr>
          <w:color w:val="000000" w:themeColor="text1"/>
          <w14:textFill>
            <w14:solidFill>
              <w14:schemeClr w14:val="tx1"/>
            </w14:solidFill>
          </w14:textFill>
        </w:rPr>
        <w:t>酸雾喷淋塔处理后经25m排气筒</w:t>
      </w:r>
      <w:r>
        <w:rPr>
          <w:rFonts w:hint="eastAsia"/>
          <w:color w:val="000000" w:themeColor="text1"/>
          <w14:textFill>
            <w14:solidFill>
              <w14:schemeClr w14:val="tx1"/>
            </w14:solidFill>
          </w14:textFill>
        </w:rPr>
        <w:t>DA004</w:t>
      </w:r>
      <w:r>
        <w:rPr>
          <w:color w:val="000000" w:themeColor="text1"/>
          <w14:textFill>
            <w14:solidFill>
              <w14:schemeClr w14:val="tx1"/>
            </w14:solidFill>
          </w14:textFill>
        </w:rPr>
        <w:t>排放。</w:t>
      </w:r>
    </w:p>
    <w:p w14:paraId="20D7200E">
      <w:pPr>
        <w:ind w:firstLine="52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碳化硅涂层</w:t>
      </w:r>
      <w:r>
        <w:rPr>
          <w:color w:val="000000" w:themeColor="text1"/>
          <w14:textFill>
            <w14:solidFill>
              <w14:schemeClr w14:val="tx1"/>
            </w14:solidFill>
          </w14:textFill>
        </w:rPr>
        <w:t>生产线废气</w:t>
      </w:r>
    </w:p>
    <w:p w14:paraId="77F5794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碳化硅涂层</w:t>
      </w:r>
      <w:r>
        <w:rPr>
          <w:color w:val="000000" w:themeColor="text1"/>
          <w14:textFill>
            <w14:solidFill>
              <w14:schemeClr w14:val="tx1"/>
            </w14:solidFill>
          </w14:textFill>
        </w:rPr>
        <w:t>采用氢气及</w:t>
      </w:r>
      <w:bookmarkStart w:id="177" w:name="OLE_LINK11"/>
      <w:r>
        <w:rPr>
          <w:color w:val="000000" w:themeColor="text1"/>
          <w14:textFill>
            <w14:solidFill>
              <w14:schemeClr w14:val="tx1"/>
            </w14:solidFill>
          </w14:textFill>
        </w:rPr>
        <w:t>三氯甲基硅烷</w:t>
      </w:r>
      <w:bookmarkEnd w:id="177"/>
      <w:r>
        <w:rPr>
          <w:color w:val="000000" w:themeColor="text1"/>
          <w14:textFill>
            <w14:solidFill>
              <w14:schemeClr w14:val="tx1"/>
            </w14:solidFill>
          </w14:textFill>
        </w:rPr>
        <w:t>（MTS）在一定的温度和压力条件下，通过化学气相沉积工艺生成，化学反应方程式为：</w:t>
      </w:r>
    </w:p>
    <w:p w14:paraId="1F3B4C00">
      <w:pPr>
        <w:spacing w:before="163" w:beforeLines="50"/>
        <w:ind w:firstLine="0" w:firstLineChars="0"/>
        <w:jc w:val="center"/>
        <w:rPr>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45720" distB="45720" distL="114300" distR="114300" simplePos="0" relativeHeight="251662336" behindDoc="0" locked="0" layoutInCell="1" allowOverlap="1">
                <wp:simplePos x="0" y="0"/>
                <wp:positionH relativeFrom="column">
                  <wp:posOffset>2645410</wp:posOffset>
                </wp:positionH>
                <wp:positionV relativeFrom="paragraph">
                  <wp:posOffset>228600</wp:posOffset>
                </wp:positionV>
                <wp:extent cx="319405" cy="189865"/>
                <wp:effectExtent l="0" t="0" r="4445" b="635"/>
                <wp:wrapNone/>
                <wp:docPr id="217"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319405" cy="189865"/>
                        </a:xfrm>
                        <a:prstGeom prst="rect">
                          <a:avLst/>
                        </a:prstGeom>
                        <a:noFill/>
                        <a:ln w="9525">
                          <a:noFill/>
                          <a:miter lim="800000"/>
                        </a:ln>
                      </wps:spPr>
                      <wps:txbx>
                        <w:txbxContent>
                          <w:p w14:paraId="35EB956B">
                            <w:pPr>
                              <w:spacing w:before="32"/>
                              <w:ind w:firstLine="520"/>
                              <w:rPr>
                                <w:color w:val="000000"/>
                              </w:rPr>
                            </w:pPr>
                            <w:r>
                              <w:rPr>
                                <w:rFonts w:hint="eastAsia"/>
                                <w:color w:val="000000"/>
                              </w:rPr>
                              <w:t>H</w:t>
                            </w:r>
                            <w:r>
                              <w:rPr>
                                <w:color w:val="000000"/>
                                <w:vertAlign w:val="subscript"/>
                              </w:rPr>
                              <w:t>2</w:t>
                            </w:r>
                          </w:p>
                        </w:txbxContent>
                      </wps:txbx>
                      <wps:bodyPr rot="0" vert="horz" wrap="square" lIns="0" tIns="0" rIns="0" bIns="0" anchor="t" anchorCtr="0">
                        <a:noAutofit/>
                      </wps:bodyPr>
                    </wps:wsp>
                  </a:graphicData>
                </a:graphic>
              </wp:anchor>
            </w:drawing>
          </mc:Choice>
          <mc:Fallback>
            <w:pict>
              <v:shape id="文本框 36" o:spid="_x0000_s1026" o:spt="202" type="#_x0000_t202" style="position:absolute;left:0pt;margin-left:208.3pt;margin-top:18pt;height:14.95pt;width:25.15pt;z-index:251662336;mso-width-relative:page;mso-height-relative:page;" filled="f" stroked="f" coordsize="21600,21600" o:gfxdata="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sPD4dgAAAAJ&#10;AQAADwAAAAAAAAABACAAAAAiAAAAZHJzL2Rvd25yZXYueG1sUEsBAhQAFAAAAAgAh07iQEbY4Ogc&#10;AgAAGwQAAA4AAAAAAAAAAQAgAAAAJwEAAGRycy9lMm9Eb2MueG1sUEsFBgAAAAAGAAYAWQEAALUF&#10;AAAAAA==&#10;">
                <v:fill on="f" focussize="0,0"/>
                <v:stroke on="f" miterlimit="8" joinstyle="miter"/>
                <v:imagedata o:title=""/>
                <o:lock v:ext="edit" aspectratio="f"/>
                <v:textbox inset="0mm,0mm,0mm,0mm">
                  <w:txbxContent>
                    <w:p w14:paraId="35EB956B">
                      <w:pPr>
                        <w:spacing w:before="32"/>
                        <w:ind w:firstLine="520"/>
                        <w:rPr>
                          <w:color w:val="000000"/>
                        </w:rPr>
                      </w:pPr>
                      <w:r>
                        <w:rPr>
                          <w:rFonts w:hint="eastAsia"/>
                          <w:color w:val="000000"/>
                        </w:rPr>
                        <w:t>H</w:t>
                      </w:r>
                      <w:r>
                        <w:rPr>
                          <w:color w:val="000000"/>
                          <w:vertAlign w:val="subscript"/>
                        </w:rPr>
                        <w:t>2</w:t>
                      </w:r>
                    </w:p>
                  </w:txbxContent>
                </v:textbox>
              </v:shape>
            </w:pict>
          </mc:Fallback>
        </mc:AlternateContent>
      </w: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SiCl</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SiC+3HCl</w:t>
      </w:r>
    </w:p>
    <w:p w14:paraId="40DF6B59">
      <w:pPr>
        <w:ind w:firstLine="520"/>
        <w:rPr>
          <w:bCs/>
          <w:color w:val="000000" w:themeColor="text1"/>
          <w14:textFill>
            <w14:solidFill>
              <w14:schemeClr w14:val="tx1"/>
            </w14:solidFill>
          </w14:textFill>
        </w:rPr>
      </w:pPr>
      <w:r>
        <w:rPr>
          <w:color w:val="000000" w:themeColor="text1"/>
          <w14:textFill>
            <w14:solidFill>
              <w14:schemeClr w14:val="tx1"/>
            </w14:solidFill>
          </w14:textFill>
        </w:rPr>
        <w:t>MTS物料转化率约为50%，反应过程中会产生氯化氢及逸散的MTS</w:t>
      </w:r>
      <w:r>
        <w:rPr>
          <w:rFonts w:hint="eastAsia"/>
          <w:color w:val="000000" w:themeColor="text1"/>
          <w14:textFill>
            <w14:solidFill>
              <w14:schemeClr w14:val="tx1"/>
            </w14:solidFill>
          </w14:textFill>
        </w:rPr>
        <w:t>（以非甲烷总烃计）</w:t>
      </w:r>
      <w:r>
        <w:rPr>
          <w:color w:val="000000" w:themeColor="text1"/>
          <w14:textFill>
            <w14:solidFill>
              <w14:schemeClr w14:val="tx1"/>
            </w14:solidFill>
          </w14:textFill>
        </w:rPr>
        <w:t>（约50%MTS未参与反应直接随废气进入酸雾塔），氯化氢具有热稳定性，在1500℃以上才会分解，因此本工序产生的氯化氢不会进一步分解为其他物质。MTS用量为废气经酸雾塔吸收后，氯化氢被NaOH吸收生成氯化钠和水，MTS被NaOH吸收生成甲基硅酸悬浮物和氯化钠。化学方程式如下：</w:t>
      </w:r>
    </w:p>
    <w:p w14:paraId="56261CE2">
      <w:pPr>
        <w:ind w:firstLine="520"/>
        <w:jc w:val="center"/>
        <w:rPr>
          <w:bCs/>
          <w:color w:val="000000" w:themeColor="text1"/>
          <w14:textFill>
            <w14:solidFill>
              <w14:schemeClr w14:val="tx1"/>
            </w14:solidFill>
          </w14:textFill>
        </w:rPr>
      </w:pPr>
      <w:r>
        <w:rPr>
          <w:color w:val="000000" w:themeColor="text1"/>
          <w14:textFill>
            <w14:solidFill>
              <w14:schemeClr w14:val="tx1"/>
            </w14:solidFill>
          </w14:textFill>
        </w:rPr>
        <w:t>NaOH+HCl=H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O+NaCl</w:t>
      </w:r>
    </w:p>
    <w:p w14:paraId="0F2EE4FE">
      <w:pPr>
        <w:ind w:firstLine="520"/>
        <w:jc w:val="center"/>
        <w:rPr>
          <w:bCs/>
          <w:color w:val="000000" w:themeColor="text1"/>
          <w14:textFill>
            <w14:solidFill>
              <w14:schemeClr w14:val="tx1"/>
            </w14:solidFill>
          </w14:textFill>
        </w:rPr>
      </w:pP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SiCl</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+3NaOH→CH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Si(OH)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↓+3NaCl</w:t>
      </w:r>
    </w:p>
    <w:p w14:paraId="1513A46A">
      <w:pPr>
        <w:ind w:firstLine="520"/>
        <w:rPr>
          <w:color w:val="000000" w:themeColor="text1"/>
          <w14:textFill>
            <w14:solidFill>
              <w14:schemeClr w14:val="tx1"/>
            </w14:solidFill>
          </w14:textFill>
        </w:rPr>
      </w:pPr>
      <w:r>
        <w:rPr>
          <w:color w:val="000000" w:themeColor="text1"/>
          <w14:textFill>
            <w14:solidFill>
              <w14:schemeClr w14:val="tx1"/>
            </w14:solidFill>
          </w14:textFill>
        </w:rPr>
        <w:t>氢气、氩气和氮气不溶于水，可随排气筒排出，根据计算，</w:t>
      </w:r>
      <w:r>
        <w:rPr>
          <w:rFonts w:hint="eastAsia"/>
          <w:color w:val="000000" w:themeColor="text1"/>
          <w14:textFill>
            <w14:solidFill>
              <w14:schemeClr w14:val="tx1"/>
            </w14:solidFill>
          </w14:textFill>
        </w:rPr>
        <w:t>碳化硅涂层生产过程中</w:t>
      </w:r>
      <w:r>
        <w:rPr>
          <w:color w:val="000000" w:themeColor="text1"/>
          <w14:textFill>
            <w14:solidFill>
              <w14:schemeClr w14:val="tx1"/>
            </w14:solidFill>
          </w14:textFill>
        </w:rPr>
        <w:t>氯化氢产生速率为</w:t>
      </w:r>
      <w:r>
        <w:rPr>
          <w:rFonts w:hint="eastAsia"/>
          <w:color w:val="000000" w:themeColor="text1"/>
          <w14:textFill>
            <w14:solidFill>
              <w14:schemeClr w14:val="tx1"/>
            </w14:solidFill>
          </w14:textFill>
        </w:rPr>
        <w:t>0.24</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1.76</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未反应的MTS</w:t>
      </w:r>
      <w:r>
        <w:rPr>
          <w:rFonts w:hint="eastAsia"/>
          <w:color w:val="000000" w:themeColor="text1"/>
          <w14:textFill>
            <w14:solidFill>
              <w14:schemeClr w14:val="tx1"/>
            </w14:solidFill>
          </w14:textFill>
        </w:rPr>
        <w:t>以非甲烷总烃计）</w:t>
      </w:r>
      <w:r>
        <w:rPr>
          <w:color w:val="000000" w:themeColor="text1"/>
          <w14:textFill>
            <w14:solidFill>
              <w14:schemeClr w14:val="tx1"/>
            </w14:solidFill>
          </w14:textFill>
        </w:rPr>
        <w:t>产生速率为</w:t>
      </w:r>
      <w:r>
        <w:rPr>
          <w:rFonts w:hint="eastAsia"/>
          <w:color w:val="000000" w:themeColor="text1"/>
          <w14:textFill>
            <w14:solidFill>
              <w14:schemeClr w14:val="tx1"/>
            </w14:solidFill>
          </w14:textFill>
        </w:rPr>
        <w:t>0.33</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废气</w:t>
      </w:r>
      <w:r>
        <w:rPr>
          <w:rFonts w:hint="eastAsia"/>
          <w:color w:val="000000" w:themeColor="text1"/>
          <w14:textFill>
            <w14:solidFill>
              <w14:schemeClr w14:val="tx1"/>
            </w14:solidFill>
          </w14:textFill>
        </w:rPr>
        <w:t>依托现有已建成1#</w:t>
      </w:r>
      <w:r>
        <w:rPr>
          <w:color w:val="000000" w:themeColor="text1"/>
          <w14:textFill>
            <w14:solidFill>
              <w14:schemeClr w14:val="tx1"/>
            </w14:solidFill>
          </w14:textFill>
        </w:rPr>
        <w:t>四级酸雾塔喷淋吸收，酸雾喷淋塔设计风量为20000m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/h，酸雾喷淋塔内溶液为配置的氢氧化钠碱性溶液，吸收HCl后生成氯化钠，吸收MTS后生成甲基硅酸沉淀和氯化钠，废气通过</w:t>
      </w:r>
      <w:r>
        <w:rPr>
          <w:rFonts w:hint="eastAsia"/>
          <w:color w:val="000000" w:themeColor="text1"/>
          <w14:textFill>
            <w14:solidFill>
              <w14:schemeClr w14:val="tx1"/>
            </w14:solidFill>
          </w14:textFill>
        </w:rPr>
        <w:t>DA004</w:t>
      </w:r>
      <w:r>
        <w:rPr>
          <w:color w:val="000000" w:themeColor="text1"/>
          <w14:textFill>
            <w14:solidFill>
              <w14:schemeClr w14:val="tx1"/>
            </w14:solidFill>
          </w14:textFill>
        </w:rPr>
        <w:t>排气筒排放，酸雾喷淋塔水自动加碱，维持pH值在12以上循环用于喷淋</w:t>
      </w:r>
      <w:r>
        <w:rPr>
          <w:rFonts w:hint="eastAsia"/>
          <w:color w:val="000000" w:themeColor="text1"/>
          <w14:textFill>
            <w14:solidFill>
              <w14:schemeClr w14:val="tx1"/>
            </w14:solidFill>
          </w14:textFill>
        </w:rPr>
        <w:t>。</w:t>
      </w:r>
    </w:p>
    <w:p w14:paraId="2D973C9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废气排放情况汇总详见下表4.6-11；由于项目石墨纯化及石墨化废气依托现有DA004排气筒，本次对该排气筒环境影响分析时同时叠加现有废气污染物排放量后整体进行分析，叠加现有废气污染物排放情况详见下表4.6-12；项目GASKET产品依托现有清洗线，清洗线单向运营，即清洗GASKET产品时不会清洗其他产品，反之亦然，故其废气排放强度不会因清洗产品种类发生改变，故本次以扩建项目废气排放情况分析其环境影响，不需叠加现状废气排放量。</w:t>
      </w:r>
    </w:p>
    <w:p w14:paraId="1DFB5A26">
      <w:pPr>
        <w:spacing w:before="32"/>
        <w:ind w:firstLine="520"/>
        <w:rPr>
          <w:color w:val="000000" w:themeColor="text1"/>
          <w14:textFill>
            <w14:solidFill>
              <w14:schemeClr w14:val="tx1"/>
            </w14:solidFill>
          </w14:textFill>
        </w:rPr>
        <w:sectPr>
          <w:pgSz w:w="11906" w:h="16838"/>
          <w:pgMar w:top="1440" w:right="1797" w:bottom="1440" w:left="1797" w:header="851" w:footer="992" w:gutter="0"/>
          <w:cols w:space="720" w:num="1"/>
          <w:docGrid w:type="lines" w:linePitch="326" w:charSpace="0"/>
        </w:sectPr>
      </w:pPr>
    </w:p>
    <w:p w14:paraId="4EBE249E">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扩建项目建成后废气污染物统计表</w:t>
      </w:r>
    </w:p>
    <w:tbl>
      <w:tblPr>
        <w:tblStyle w:val="88"/>
        <w:tblW w:w="5000" w:type="pct"/>
        <w:jc w:val="center"/>
        <w:tblLayout w:type="fixed"/>
        <w:tblCellMar>
          <w:top w:w="0" w:type="dxa"/>
          <w:left w:w="108" w:type="dxa"/>
          <w:bottom w:w="0" w:type="dxa"/>
          <w:right w:w="108" w:type="dxa"/>
        </w:tblCellMar>
      </w:tblPr>
      <w:tblGrid>
        <w:gridCol w:w="952"/>
        <w:gridCol w:w="912"/>
        <w:gridCol w:w="721"/>
        <w:gridCol w:w="864"/>
        <w:gridCol w:w="1011"/>
        <w:gridCol w:w="809"/>
        <w:gridCol w:w="919"/>
        <w:gridCol w:w="864"/>
        <w:gridCol w:w="3027"/>
        <w:gridCol w:w="864"/>
        <w:gridCol w:w="721"/>
        <w:gridCol w:w="865"/>
        <w:gridCol w:w="864"/>
        <w:gridCol w:w="778"/>
      </w:tblGrid>
      <w:tr w14:paraId="6B4C7F89">
        <w:tblPrEx>
          <w:tblCellMar>
            <w:top w:w="0" w:type="dxa"/>
            <w:left w:w="108" w:type="dxa"/>
            <w:bottom w:w="0" w:type="dxa"/>
            <w:right w:w="108" w:type="dxa"/>
          </w:tblCellMar>
        </w:tblPrEx>
        <w:trPr>
          <w:trHeight w:val="20" w:hRule="atLeast"/>
          <w:jc w:val="center"/>
        </w:trPr>
        <w:tc>
          <w:tcPr>
            <w:tcW w:w="936" w:type="dxa"/>
            <w:vMerge w:val="restart"/>
            <w:tcBorders>
              <w:top w:val="single" w:color="000000" w:sz="8" w:space="0"/>
              <w:left w:val="single" w:color="000000" w:sz="8" w:space="0"/>
              <w:bottom w:val="single" w:color="000000" w:sz="8" w:space="0"/>
              <w:right w:val="single" w:color="000000" w:sz="8" w:space="0"/>
            </w:tcBorders>
            <w:vAlign w:val="center"/>
          </w:tcPr>
          <w:p w14:paraId="6F8F9FCE">
            <w:pPr>
              <w:pStyle w:val="1535"/>
              <w:rPr>
                <w:snapToGrid/>
              </w:rPr>
            </w:pPr>
            <w:r>
              <w:rPr>
                <w:snapToGrid/>
              </w:rPr>
              <w:t>序号</w:t>
            </w:r>
          </w:p>
        </w:tc>
        <w:tc>
          <w:tcPr>
            <w:tcW w:w="897" w:type="dxa"/>
            <w:vMerge w:val="restart"/>
            <w:tcBorders>
              <w:top w:val="single" w:color="000000" w:sz="8" w:space="0"/>
              <w:left w:val="nil"/>
              <w:bottom w:val="single" w:color="000000" w:sz="8" w:space="0"/>
              <w:right w:val="single" w:color="000000" w:sz="8" w:space="0"/>
            </w:tcBorders>
            <w:vAlign w:val="center"/>
          </w:tcPr>
          <w:p w14:paraId="73F29CF1">
            <w:pPr>
              <w:pStyle w:val="1535"/>
              <w:rPr>
                <w:snapToGrid/>
              </w:rPr>
            </w:pPr>
            <w:r>
              <w:rPr>
                <w:snapToGrid/>
              </w:rPr>
              <w:t>类别及污染工序</w:t>
            </w:r>
          </w:p>
        </w:tc>
        <w:tc>
          <w:tcPr>
            <w:tcW w:w="1559" w:type="dxa"/>
            <w:gridSpan w:val="2"/>
            <w:vMerge w:val="restart"/>
            <w:tcBorders>
              <w:top w:val="single" w:color="000000" w:sz="8" w:space="0"/>
              <w:left w:val="nil"/>
              <w:bottom w:val="single" w:color="000000" w:sz="8" w:space="0"/>
              <w:right w:val="single" w:color="000000" w:sz="8" w:space="0"/>
            </w:tcBorders>
            <w:vAlign w:val="center"/>
          </w:tcPr>
          <w:p w14:paraId="3D7BB42D">
            <w:pPr>
              <w:pStyle w:val="1535"/>
              <w:rPr>
                <w:snapToGrid/>
              </w:rPr>
            </w:pPr>
            <w:r>
              <w:rPr>
                <w:snapToGrid/>
              </w:rPr>
              <w:t>风量</w:t>
            </w:r>
          </w:p>
        </w:tc>
        <w:tc>
          <w:tcPr>
            <w:tcW w:w="994" w:type="dxa"/>
            <w:vMerge w:val="restart"/>
            <w:tcBorders>
              <w:top w:val="single" w:color="000000" w:sz="8" w:space="0"/>
              <w:left w:val="nil"/>
              <w:bottom w:val="single" w:color="000000" w:sz="8" w:space="0"/>
              <w:right w:val="single" w:color="000000" w:sz="8" w:space="0"/>
            </w:tcBorders>
            <w:vAlign w:val="center"/>
          </w:tcPr>
          <w:p w14:paraId="4DBBE81B">
            <w:pPr>
              <w:pStyle w:val="1535"/>
              <w:rPr>
                <w:snapToGrid/>
              </w:rPr>
            </w:pPr>
            <w:r>
              <w:rPr>
                <w:snapToGrid/>
              </w:rPr>
              <w:t>污染物名称</w:t>
            </w:r>
          </w:p>
        </w:tc>
        <w:tc>
          <w:tcPr>
            <w:tcW w:w="796" w:type="dxa"/>
            <w:vMerge w:val="restart"/>
            <w:tcBorders>
              <w:top w:val="single" w:color="000000" w:sz="8" w:space="0"/>
              <w:left w:val="nil"/>
              <w:bottom w:val="single" w:color="000000" w:sz="8" w:space="0"/>
              <w:right w:val="single" w:color="000000" w:sz="8" w:space="0"/>
            </w:tcBorders>
            <w:vAlign w:val="center"/>
          </w:tcPr>
          <w:p w14:paraId="3CC431C5">
            <w:pPr>
              <w:pStyle w:val="1535"/>
              <w:rPr>
                <w:snapToGrid/>
              </w:rPr>
            </w:pPr>
            <w:r>
              <w:rPr>
                <w:snapToGrid/>
              </w:rPr>
              <w:t>核算方法</w:t>
            </w:r>
          </w:p>
        </w:tc>
        <w:tc>
          <w:tcPr>
            <w:tcW w:w="1754" w:type="dxa"/>
            <w:gridSpan w:val="2"/>
            <w:tcBorders>
              <w:top w:val="single" w:color="000000" w:sz="8" w:space="0"/>
              <w:left w:val="nil"/>
              <w:bottom w:val="single" w:color="000000" w:sz="8" w:space="0"/>
              <w:right w:val="single" w:color="000000" w:sz="8" w:space="0"/>
            </w:tcBorders>
            <w:vAlign w:val="center"/>
          </w:tcPr>
          <w:p w14:paraId="4DB623DD">
            <w:pPr>
              <w:pStyle w:val="1535"/>
              <w:rPr>
                <w:snapToGrid/>
              </w:rPr>
            </w:pPr>
            <w:r>
              <w:rPr>
                <w:snapToGrid/>
              </w:rPr>
              <w:t>处理前</w:t>
            </w:r>
          </w:p>
        </w:tc>
        <w:tc>
          <w:tcPr>
            <w:tcW w:w="2977" w:type="dxa"/>
            <w:vMerge w:val="restart"/>
            <w:tcBorders>
              <w:top w:val="single" w:color="000000" w:sz="8" w:space="0"/>
              <w:left w:val="nil"/>
              <w:bottom w:val="single" w:color="000000" w:sz="8" w:space="0"/>
              <w:right w:val="single" w:color="000000" w:sz="8" w:space="0"/>
            </w:tcBorders>
            <w:vAlign w:val="center"/>
          </w:tcPr>
          <w:p w14:paraId="5F8AB232">
            <w:pPr>
              <w:pStyle w:val="1535"/>
              <w:rPr>
                <w:snapToGrid/>
              </w:rPr>
            </w:pPr>
            <w:r>
              <w:rPr>
                <w:snapToGrid/>
              </w:rPr>
              <w:t>治理措施</w:t>
            </w:r>
          </w:p>
        </w:tc>
        <w:tc>
          <w:tcPr>
            <w:tcW w:w="3260" w:type="dxa"/>
            <w:gridSpan w:val="4"/>
            <w:tcBorders>
              <w:top w:val="single" w:color="000000" w:sz="8" w:space="0"/>
              <w:left w:val="nil"/>
              <w:bottom w:val="single" w:color="000000" w:sz="8" w:space="0"/>
              <w:right w:val="single" w:color="000000" w:sz="8" w:space="0"/>
            </w:tcBorders>
            <w:vAlign w:val="center"/>
          </w:tcPr>
          <w:p w14:paraId="66E30AFE">
            <w:pPr>
              <w:pStyle w:val="1535"/>
              <w:rPr>
                <w:snapToGrid/>
              </w:rPr>
            </w:pPr>
            <w:r>
              <w:rPr>
                <w:snapToGrid/>
              </w:rPr>
              <w:t>处理后</w:t>
            </w:r>
          </w:p>
        </w:tc>
        <w:tc>
          <w:tcPr>
            <w:tcW w:w="765" w:type="dxa"/>
            <w:vMerge w:val="restart"/>
            <w:tcBorders>
              <w:top w:val="single" w:color="000000" w:sz="8" w:space="0"/>
              <w:left w:val="nil"/>
              <w:bottom w:val="single" w:color="000000" w:sz="8" w:space="0"/>
              <w:right w:val="single" w:color="000000" w:sz="8" w:space="0"/>
            </w:tcBorders>
            <w:vAlign w:val="center"/>
          </w:tcPr>
          <w:p w14:paraId="2F29A284">
            <w:pPr>
              <w:pStyle w:val="1535"/>
              <w:rPr>
                <w:snapToGrid/>
              </w:rPr>
            </w:pPr>
            <w:r>
              <w:rPr>
                <w:snapToGrid/>
              </w:rPr>
              <w:t>备注</w:t>
            </w:r>
          </w:p>
        </w:tc>
      </w:tr>
      <w:tr w14:paraId="32F96EA5">
        <w:tblPrEx>
          <w:tblCellMar>
            <w:top w:w="0" w:type="dxa"/>
            <w:left w:w="108" w:type="dxa"/>
            <w:bottom w:w="0" w:type="dxa"/>
            <w:right w:w="108" w:type="dxa"/>
          </w:tblCellMar>
        </w:tblPrEx>
        <w:trPr>
          <w:trHeight w:val="20" w:hRule="atLeast"/>
          <w:jc w:val="center"/>
        </w:trPr>
        <w:tc>
          <w:tcPr>
            <w:tcW w:w="936" w:type="dxa"/>
            <w:vMerge w:val="continue"/>
            <w:tcBorders>
              <w:top w:val="single" w:color="000000" w:sz="8" w:space="0"/>
              <w:left w:val="single" w:color="000000" w:sz="8" w:space="0"/>
              <w:bottom w:val="single" w:color="000000" w:sz="8" w:space="0"/>
              <w:right w:val="single" w:color="000000" w:sz="8" w:space="0"/>
            </w:tcBorders>
            <w:vAlign w:val="center"/>
          </w:tcPr>
          <w:p w14:paraId="70C5A5F3">
            <w:pPr>
              <w:pStyle w:val="1535"/>
              <w:rPr>
                <w:snapToGrid/>
              </w:rPr>
            </w:pPr>
          </w:p>
        </w:tc>
        <w:tc>
          <w:tcPr>
            <w:tcW w:w="897" w:type="dxa"/>
            <w:vMerge w:val="continue"/>
            <w:tcBorders>
              <w:top w:val="single" w:color="000000" w:sz="8" w:space="0"/>
              <w:left w:val="nil"/>
              <w:bottom w:val="single" w:color="000000" w:sz="8" w:space="0"/>
              <w:right w:val="single" w:color="000000" w:sz="8" w:space="0"/>
            </w:tcBorders>
            <w:vAlign w:val="center"/>
          </w:tcPr>
          <w:p w14:paraId="697C4CCB">
            <w:pPr>
              <w:pStyle w:val="1535"/>
              <w:rPr>
                <w:snapToGrid/>
              </w:rPr>
            </w:pPr>
          </w:p>
        </w:tc>
        <w:tc>
          <w:tcPr>
            <w:tcW w:w="1559" w:type="dxa"/>
            <w:gridSpan w:val="2"/>
            <w:vMerge w:val="continue"/>
            <w:tcBorders>
              <w:top w:val="single" w:color="000000" w:sz="8" w:space="0"/>
              <w:left w:val="nil"/>
              <w:bottom w:val="single" w:color="000000" w:sz="8" w:space="0"/>
              <w:right w:val="single" w:color="000000" w:sz="8" w:space="0"/>
            </w:tcBorders>
            <w:vAlign w:val="center"/>
          </w:tcPr>
          <w:p w14:paraId="609AE8C7">
            <w:pPr>
              <w:pStyle w:val="1535"/>
              <w:rPr>
                <w:snapToGrid/>
              </w:rPr>
            </w:pPr>
          </w:p>
        </w:tc>
        <w:tc>
          <w:tcPr>
            <w:tcW w:w="994" w:type="dxa"/>
            <w:vMerge w:val="continue"/>
            <w:tcBorders>
              <w:top w:val="single" w:color="000000" w:sz="8" w:space="0"/>
              <w:left w:val="nil"/>
              <w:bottom w:val="single" w:color="000000" w:sz="8" w:space="0"/>
              <w:right w:val="single" w:color="000000" w:sz="8" w:space="0"/>
            </w:tcBorders>
            <w:vAlign w:val="center"/>
          </w:tcPr>
          <w:p w14:paraId="31E0FCC0">
            <w:pPr>
              <w:pStyle w:val="1535"/>
              <w:rPr>
                <w:snapToGrid/>
              </w:rPr>
            </w:pPr>
          </w:p>
        </w:tc>
        <w:tc>
          <w:tcPr>
            <w:tcW w:w="796" w:type="dxa"/>
            <w:vMerge w:val="continue"/>
            <w:tcBorders>
              <w:top w:val="single" w:color="000000" w:sz="8" w:space="0"/>
              <w:left w:val="nil"/>
              <w:bottom w:val="single" w:color="000000" w:sz="8" w:space="0"/>
              <w:right w:val="single" w:color="000000" w:sz="8" w:space="0"/>
            </w:tcBorders>
            <w:vAlign w:val="center"/>
          </w:tcPr>
          <w:p w14:paraId="1F4D1F27">
            <w:pPr>
              <w:pStyle w:val="1535"/>
              <w:rPr>
                <w:snapToGrid/>
              </w:rPr>
            </w:pPr>
          </w:p>
        </w:tc>
        <w:tc>
          <w:tcPr>
            <w:tcW w:w="904" w:type="dxa"/>
            <w:tcBorders>
              <w:top w:val="nil"/>
              <w:left w:val="nil"/>
              <w:bottom w:val="single" w:color="000000" w:sz="8" w:space="0"/>
              <w:right w:val="single" w:color="000000" w:sz="8" w:space="0"/>
            </w:tcBorders>
            <w:vAlign w:val="center"/>
          </w:tcPr>
          <w:p w14:paraId="6CB0E6FE">
            <w:pPr>
              <w:pStyle w:val="1535"/>
              <w:rPr>
                <w:snapToGrid/>
              </w:rPr>
            </w:pPr>
            <w:r>
              <w:rPr>
                <w:snapToGrid/>
              </w:rPr>
              <w:t>浓度</w:t>
            </w:r>
          </w:p>
        </w:tc>
        <w:tc>
          <w:tcPr>
            <w:tcW w:w="850" w:type="dxa"/>
            <w:tcBorders>
              <w:top w:val="nil"/>
              <w:left w:val="nil"/>
              <w:bottom w:val="single" w:color="000000" w:sz="8" w:space="0"/>
              <w:right w:val="single" w:color="000000" w:sz="8" w:space="0"/>
            </w:tcBorders>
            <w:vAlign w:val="center"/>
          </w:tcPr>
          <w:p w14:paraId="599A9795">
            <w:pPr>
              <w:pStyle w:val="1535"/>
              <w:rPr>
                <w:snapToGrid/>
              </w:rPr>
            </w:pPr>
            <w:r>
              <w:rPr>
                <w:snapToGrid/>
              </w:rPr>
              <w:t>产生量</w:t>
            </w:r>
          </w:p>
        </w:tc>
        <w:tc>
          <w:tcPr>
            <w:tcW w:w="2977" w:type="dxa"/>
            <w:vMerge w:val="continue"/>
            <w:tcBorders>
              <w:top w:val="single" w:color="000000" w:sz="8" w:space="0"/>
              <w:left w:val="nil"/>
              <w:bottom w:val="single" w:color="000000" w:sz="8" w:space="0"/>
              <w:right w:val="single" w:color="000000" w:sz="8" w:space="0"/>
            </w:tcBorders>
            <w:vAlign w:val="center"/>
          </w:tcPr>
          <w:p w14:paraId="1AB60BF8">
            <w:pPr>
              <w:pStyle w:val="1535"/>
              <w:rPr>
                <w:snapToGrid/>
              </w:rPr>
            </w:pPr>
          </w:p>
        </w:tc>
        <w:tc>
          <w:tcPr>
            <w:tcW w:w="850" w:type="dxa"/>
            <w:tcBorders>
              <w:top w:val="nil"/>
              <w:left w:val="nil"/>
              <w:bottom w:val="single" w:color="000000" w:sz="8" w:space="0"/>
              <w:right w:val="single" w:color="000000" w:sz="8" w:space="0"/>
            </w:tcBorders>
            <w:vAlign w:val="center"/>
          </w:tcPr>
          <w:p w14:paraId="54F5DE97">
            <w:pPr>
              <w:pStyle w:val="1535"/>
              <w:rPr>
                <w:snapToGrid/>
              </w:rPr>
            </w:pPr>
            <w:r>
              <w:rPr>
                <w:snapToGrid/>
              </w:rPr>
              <w:t>风量</w:t>
            </w:r>
          </w:p>
        </w:tc>
        <w:tc>
          <w:tcPr>
            <w:tcW w:w="709" w:type="dxa"/>
            <w:tcBorders>
              <w:top w:val="nil"/>
              <w:left w:val="nil"/>
              <w:bottom w:val="single" w:color="000000" w:sz="8" w:space="0"/>
              <w:right w:val="single" w:color="000000" w:sz="8" w:space="0"/>
            </w:tcBorders>
            <w:vAlign w:val="center"/>
          </w:tcPr>
          <w:p w14:paraId="77693B37">
            <w:pPr>
              <w:pStyle w:val="1535"/>
              <w:rPr>
                <w:snapToGrid/>
              </w:rPr>
            </w:pPr>
            <w:r>
              <w:rPr>
                <w:snapToGrid/>
              </w:rPr>
              <w:t>浓度</w:t>
            </w:r>
          </w:p>
        </w:tc>
        <w:tc>
          <w:tcPr>
            <w:tcW w:w="851" w:type="dxa"/>
            <w:tcBorders>
              <w:top w:val="nil"/>
              <w:left w:val="nil"/>
              <w:bottom w:val="single" w:color="000000" w:sz="8" w:space="0"/>
              <w:right w:val="single" w:color="000000" w:sz="8" w:space="0"/>
            </w:tcBorders>
            <w:vAlign w:val="center"/>
          </w:tcPr>
          <w:p w14:paraId="1B11B08F">
            <w:pPr>
              <w:pStyle w:val="1535"/>
              <w:rPr>
                <w:snapToGrid/>
              </w:rPr>
            </w:pPr>
            <w:r>
              <w:rPr>
                <w:snapToGrid/>
              </w:rPr>
              <w:t>排放量</w:t>
            </w:r>
          </w:p>
        </w:tc>
        <w:tc>
          <w:tcPr>
            <w:tcW w:w="850" w:type="dxa"/>
            <w:tcBorders>
              <w:top w:val="nil"/>
              <w:left w:val="nil"/>
              <w:bottom w:val="single" w:color="000000" w:sz="8" w:space="0"/>
              <w:right w:val="single" w:color="000000" w:sz="8" w:space="0"/>
            </w:tcBorders>
            <w:vAlign w:val="center"/>
          </w:tcPr>
          <w:p w14:paraId="10AF0FEE">
            <w:pPr>
              <w:pStyle w:val="1535"/>
              <w:rPr>
                <w:snapToGrid/>
              </w:rPr>
            </w:pPr>
            <w:r>
              <w:rPr>
                <w:snapToGrid/>
              </w:rPr>
              <w:t>排放速率</w:t>
            </w:r>
          </w:p>
        </w:tc>
        <w:tc>
          <w:tcPr>
            <w:tcW w:w="765" w:type="dxa"/>
            <w:vMerge w:val="continue"/>
            <w:tcBorders>
              <w:top w:val="single" w:color="000000" w:sz="8" w:space="0"/>
              <w:left w:val="nil"/>
              <w:bottom w:val="single" w:color="000000" w:sz="8" w:space="0"/>
              <w:right w:val="single" w:color="000000" w:sz="8" w:space="0"/>
            </w:tcBorders>
            <w:vAlign w:val="center"/>
          </w:tcPr>
          <w:p w14:paraId="2702D6DC">
            <w:pPr>
              <w:pStyle w:val="1535"/>
              <w:rPr>
                <w:snapToGrid/>
              </w:rPr>
            </w:pPr>
          </w:p>
        </w:tc>
      </w:tr>
      <w:tr w14:paraId="234A4CA0">
        <w:tblPrEx>
          <w:tblCellMar>
            <w:top w:w="0" w:type="dxa"/>
            <w:left w:w="108" w:type="dxa"/>
            <w:bottom w:w="0" w:type="dxa"/>
            <w:right w:w="108" w:type="dxa"/>
          </w:tblCellMar>
        </w:tblPrEx>
        <w:trPr>
          <w:trHeight w:val="20" w:hRule="atLeast"/>
          <w:jc w:val="center"/>
        </w:trPr>
        <w:tc>
          <w:tcPr>
            <w:tcW w:w="936" w:type="dxa"/>
            <w:vMerge w:val="continue"/>
            <w:tcBorders>
              <w:top w:val="single" w:color="000000" w:sz="8" w:space="0"/>
              <w:left w:val="single" w:color="000000" w:sz="8" w:space="0"/>
              <w:bottom w:val="single" w:color="000000" w:sz="8" w:space="0"/>
              <w:right w:val="single" w:color="000000" w:sz="8" w:space="0"/>
            </w:tcBorders>
            <w:vAlign w:val="center"/>
          </w:tcPr>
          <w:p w14:paraId="261676AD">
            <w:pPr>
              <w:pStyle w:val="1535"/>
              <w:rPr>
                <w:snapToGrid/>
              </w:rPr>
            </w:pPr>
          </w:p>
        </w:tc>
        <w:tc>
          <w:tcPr>
            <w:tcW w:w="897" w:type="dxa"/>
            <w:vMerge w:val="continue"/>
            <w:tcBorders>
              <w:top w:val="single" w:color="000000" w:sz="8" w:space="0"/>
              <w:left w:val="nil"/>
              <w:bottom w:val="single" w:color="000000" w:sz="8" w:space="0"/>
              <w:right w:val="single" w:color="000000" w:sz="8" w:space="0"/>
            </w:tcBorders>
            <w:vAlign w:val="center"/>
          </w:tcPr>
          <w:p w14:paraId="46D3904E">
            <w:pPr>
              <w:pStyle w:val="1535"/>
              <w:rPr>
                <w:snapToGrid/>
              </w:rPr>
            </w:pPr>
          </w:p>
        </w:tc>
        <w:tc>
          <w:tcPr>
            <w:tcW w:w="709" w:type="dxa"/>
            <w:tcBorders>
              <w:top w:val="nil"/>
              <w:left w:val="nil"/>
              <w:bottom w:val="single" w:color="000000" w:sz="8" w:space="0"/>
              <w:right w:val="single" w:color="000000" w:sz="8" w:space="0"/>
            </w:tcBorders>
            <w:vAlign w:val="center"/>
          </w:tcPr>
          <w:p w14:paraId="3D53E8C9">
            <w:pPr>
              <w:pStyle w:val="1535"/>
              <w:rPr>
                <w:snapToGrid/>
              </w:rPr>
            </w:pPr>
            <w:r>
              <w:rPr>
                <w:snapToGrid/>
              </w:rPr>
              <w:t>N m</w:t>
            </w:r>
            <w:r>
              <w:rPr>
                <w:snapToGrid/>
                <w:vertAlign w:val="superscript"/>
              </w:rPr>
              <w:t>3</w:t>
            </w:r>
            <w:r>
              <w:rPr>
                <w:snapToGrid/>
              </w:rPr>
              <w:t>/h</w:t>
            </w:r>
          </w:p>
        </w:tc>
        <w:tc>
          <w:tcPr>
            <w:tcW w:w="850" w:type="dxa"/>
            <w:tcBorders>
              <w:top w:val="nil"/>
              <w:left w:val="nil"/>
              <w:bottom w:val="single" w:color="000000" w:sz="8" w:space="0"/>
              <w:right w:val="single" w:color="000000" w:sz="8" w:space="0"/>
            </w:tcBorders>
            <w:vAlign w:val="center"/>
          </w:tcPr>
          <w:p w14:paraId="571648CD">
            <w:pPr>
              <w:pStyle w:val="1535"/>
              <w:rPr>
                <w:snapToGrid/>
              </w:rPr>
            </w:pPr>
            <w:r>
              <w:rPr>
                <w:snapToGrid/>
              </w:rPr>
              <w:t>万Nm</w:t>
            </w:r>
            <w:r>
              <w:rPr>
                <w:snapToGrid/>
                <w:vertAlign w:val="superscript"/>
              </w:rPr>
              <w:t>3</w:t>
            </w:r>
            <w:r>
              <w:rPr>
                <w:snapToGrid/>
              </w:rPr>
              <w:t>/a</w:t>
            </w:r>
          </w:p>
        </w:tc>
        <w:tc>
          <w:tcPr>
            <w:tcW w:w="994" w:type="dxa"/>
            <w:vMerge w:val="continue"/>
            <w:tcBorders>
              <w:top w:val="single" w:color="000000" w:sz="8" w:space="0"/>
              <w:left w:val="nil"/>
              <w:bottom w:val="single" w:color="000000" w:sz="8" w:space="0"/>
              <w:right w:val="single" w:color="000000" w:sz="8" w:space="0"/>
            </w:tcBorders>
            <w:vAlign w:val="center"/>
          </w:tcPr>
          <w:p w14:paraId="0CF3BBE3">
            <w:pPr>
              <w:pStyle w:val="1535"/>
              <w:rPr>
                <w:snapToGrid/>
              </w:rPr>
            </w:pPr>
          </w:p>
        </w:tc>
        <w:tc>
          <w:tcPr>
            <w:tcW w:w="796" w:type="dxa"/>
            <w:vMerge w:val="continue"/>
            <w:tcBorders>
              <w:top w:val="single" w:color="000000" w:sz="8" w:space="0"/>
              <w:left w:val="nil"/>
              <w:bottom w:val="single" w:color="000000" w:sz="8" w:space="0"/>
              <w:right w:val="single" w:color="000000" w:sz="8" w:space="0"/>
            </w:tcBorders>
            <w:vAlign w:val="center"/>
          </w:tcPr>
          <w:p w14:paraId="7D7BBE04">
            <w:pPr>
              <w:pStyle w:val="1535"/>
              <w:rPr>
                <w:snapToGrid/>
              </w:rPr>
            </w:pPr>
          </w:p>
        </w:tc>
        <w:tc>
          <w:tcPr>
            <w:tcW w:w="904" w:type="dxa"/>
            <w:tcBorders>
              <w:top w:val="nil"/>
              <w:left w:val="nil"/>
              <w:bottom w:val="single" w:color="000000" w:sz="8" w:space="0"/>
              <w:right w:val="single" w:color="000000" w:sz="8" w:space="0"/>
            </w:tcBorders>
            <w:vAlign w:val="center"/>
          </w:tcPr>
          <w:p w14:paraId="0F359565">
            <w:pPr>
              <w:pStyle w:val="1535"/>
              <w:rPr>
                <w:snapToGrid/>
              </w:rPr>
            </w:pPr>
            <w:r>
              <w:rPr>
                <w:snapToGrid/>
              </w:rPr>
              <w:t>mg/ m</w:t>
            </w:r>
            <w:r>
              <w:rPr>
                <w:snapToGrid/>
                <w:vertAlign w:val="superscript"/>
              </w:rPr>
              <w:t>3</w:t>
            </w:r>
          </w:p>
        </w:tc>
        <w:tc>
          <w:tcPr>
            <w:tcW w:w="850" w:type="dxa"/>
            <w:tcBorders>
              <w:top w:val="nil"/>
              <w:left w:val="nil"/>
              <w:bottom w:val="single" w:color="000000" w:sz="8" w:space="0"/>
              <w:right w:val="single" w:color="000000" w:sz="8" w:space="0"/>
            </w:tcBorders>
            <w:vAlign w:val="center"/>
          </w:tcPr>
          <w:p w14:paraId="15B0F393">
            <w:pPr>
              <w:pStyle w:val="1535"/>
              <w:rPr>
                <w:snapToGrid/>
              </w:rPr>
            </w:pPr>
            <w:r>
              <w:rPr>
                <w:snapToGrid/>
              </w:rPr>
              <w:t>t/a</w:t>
            </w:r>
          </w:p>
        </w:tc>
        <w:tc>
          <w:tcPr>
            <w:tcW w:w="2977" w:type="dxa"/>
            <w:vMerge w:val="continue"/>
            <w:tcBorders>
              <w:top w:val="single" w:color="000000" w:sz="8" w:space="0"/>
              <w:left w:val="nil"/>
              <w:bottom w:val="single" w:color="000000" w:sz="8" w:space="0"/>
              <w:right w:val="single" w:color="000000" w:sz="8" w:space="0"/>
            </w:tcBorders>
            <w:vAlign w:val="center"/>
          </w:tcPr>
          <w:p w14:paraId="407D0480">
            <w:pPr>
              <w:pStyle w:val="1535"/>
              <w:rPr>
                <w:snapToGrid/>
              </w:rPr>
            </w:pPr>
          </w:p>
        </w:tc>
        <w:tc>
          <w:tcPr>
            <w:tcW w:w="850" w:type="dxa"/>
            <w:tcBorders>
              <w:top w:val="nil"/>
              <w:left w:val="nil"/>
              <w:bottom w:val="single" w:color="000000" w:sz="8" w:space="0"/>
              <w:right w:val="single" w:color="000000" w:sz="8" w:space="0"/>
            </w:tcBorders>
            <w:vAlign w:val="center"/>
          </w:tcPr>
          <w:p w14:paraId="172281E3">
            <w:pPr>
              <w:pStyle w:val="1535"/>
              <w:rPr>
                <w:snapToGrid/>
              </w:rPr>
            </w:pPr>
            <w:r>
              <w:rPr>
                <w:snapToGrid/>
              </w:rPr>
              <w:t>Nm</w:t>
            </w:r>
            <w:r>
              <w:rPr>
                <w:snapToGrid/>
                <w:vertAlign w:val="superscript"/>
              </w:rPr>
              <w:t>3</w:t>
            </w:r>
            <w:r>
              <w:rPr>
                <w:snapToGrid/>
              </w:rPr>
              <w:t>/h</w:t>
            </w:r>
          </w:p>
        </w:tc>
        <w:tc>
          <w:tcPr>
            <w:tcW w:w="709" w:type="dxa"/>
            <w:tcBorders>
              <w:top w:val="nil"/>
              <w:left w:val="nil"/>
              <w:bottom w:val="single" w:color="000000" w:sz="8" w:space="0"/>
              <w:right w:val="single" w:color="000000" w:sz="8" w:space="0"/>
            </w:tcBorders>
            <w:vAlign w:val="center"/>
          </w:tcPr>
          <w:p w14:paraId="21DD9DB6">
            <w:pPr>
              <w:pStyle w:val="1535"/>
              <w:rPr>
                <w:snapToGrid/>
              </w:rPr>
            </w:pPr>
            <w:r>
              <w:rPr>
                <w:snapToGrid/>
              </w:rPr>
              <w:t>mg/ m</w:t>
            </w:r>
            <w:r>
              <w:rPr>
                <w:snapToGrid/>
                <w:vertAlign w:val="superscript"/>
              </w:rPr>
              <w:t>3</w:t>
            </w:r>
          </w:p>
        </w:tc>
        <w:tc>
          <w:tcPr>
            <w:tcW w:w="851" w:type="dxa"/>
            <w:tcBorders>
              <w:top w:val="nil"/>
              <w:left w:val="nil"/>
              <w:bottom w:val="single" w:color="000000" w:sz="8" w:space="0"/>
              <w:right w:val="single" w:color="000000" w:sz="8" w:space="0"/>
            </w:tcBorders>
            <w:vAlign w:val="center"/>
          </w:tcPr>
          <w:p w14:paraId="4DF80417">
            <w:pPr>
              <w:pStyle w:val="1535"/>
              <w:rPr>
                <w:snapToGrid/>
              </w:rPr>
            </w:pPr>
            <w:r>
              <w:rPr>
                <w:snapToGrid/>
              </w:rPr>
              <w:t>t/a</w:t>
            </w:r>
          </w:p>
        </w:tc>
        <w:tc>
          <w:tcPr>
            <w:tcW w:w="850" w:type="dxa"/>
            <w:tcBorders>
              <w:top w:val="nil"/>
              <w:left w:val="nil"/>
              <w:bottom w:val="single" w:color="000000" w:sz="8" w:space="0"/>
              <w:right w:val="single" w:color="000000" w:sz="8" w:space="0"/>
            </w:tcBorders>
            <w:vAlign w:val="center"/>
          </w:tcPr>
          <w:p w14:paraId="3EC1D04E">
            <w:pPr>
              <w:pStyle w:val="1535"/>
              <w:rPr>
                <w:snapToGrid/>
              </w:rPr>
            </w:pPr>
            <w:r>
              <w:rPr>
                <w:snapToGrid/>
              </w:rPr>
              <w:t>kg/h</w:t>
            </w:r>
          </w:p>
        </w:tc>
        <w:tc>
          <w:tcPr>
            <w:tcW w:w="765" w:type="dxa"/>
            <w:vMerge w:val="continue"/>
            <w:tcBorders>
              <w:top w:val="single" w:color="000000" w:sz="8" w:space="0"/>
              <w:left w:val="nil"/>
              <w:bottom w:val="single" w:color="000000" w:sz="8" w:space="0"/>
              <w:right w:val="single" w:color="000000" w:sz="8" w:space="0"/>
            </w:tcBorders>
            <w:vAlign w:val="center"/>
          </w:tcPr>
          <w:p w14:paraId="2C611408">
            <w:pPr>
              <w:pStyle w:val="1535"/>
              <w:rPr>
                <w:snapToGrid/>
              </w:rPr>
            </w:pPr>
          </w:p>
        </w:tc>
      </w:tr>
      <w:tr w14:paraId="61BDCC54">
        <w:tblPrEx>
          <w:tblCellMar>
            <w:top w:w="0" w:type="dxa"/>
            <w:left w:w="108" w:type="dxa"/>
            <w:bottom w:w="0" w:type="dxa"/>
            <w:right w:w="108" w:type="dxa"/>
          </w:tblCellMar>
        </w:tblPrEx>
        <w:trPr>
          <w:trHeight w:val="20" w:hRule="atLeast"/>
          <w:jc w:val="center"/>
        </w:trPr>
        <w:tc>
          <w:tcPr>
            <w:tcW w:w="13173" w:type="dxa"/>
            <w:gridSpan w:val="13"/>
            <w:tcBorders>
              <w:top w:val="nil"/>
              <w:left w:val="single" w:color="000000" w:sz="8" w:space="0"/>
              <w:bottom w:val="single" w:color="000000" w:sz="8" w:space="0"/>
              <w:right w:val="single" w:color="000000" w:sz="8" w:space="0"/>
            </w:tcBorders>
            <w:vAlign w:val="center"/>
          </w:tcPr>
          <w:p w14:paraId="746A682B">
            <w:pPr>
              <w:pStyle w:val="1535"/>
              <w:rPr>
                <w:snapToGrid/>
              </w:rPr>
            </w:pPr>
            <w:r>
              <w:rPr>
                <w:snapToGrid/>
              </w:rPr>
              <w:t>一、有组织排放</w:t>
            </w:r>
          </w:p>
        </w:tc>
        <w:tc>
          <w:tcPr>
            <w:tcW w:w="765" w:type="dxa"/>
            <w:tcBorders>
              <w:top w:val="nil"/>
              <w:left w:val="nil"/>
              <w:bottom w:val="single" w:color="000000" w:sz="8" w:space="0"/>
              <w:right w:val="single" w:color="000000" w:sz="8" w:space="0"/>
            </w:tcBorders>
            <w:vAlign w:val="center"/>
          </w:tcPr>
          <w:p w14:paraId="312B35DA">
            <w:pPr>
              <w:pStyle w:val="1535"/>
              <w:rPr>
                <w:snapToGrid/>
              </w:rPr>
            </w:pPr>
          </w:p>
        </w:tc>
      </w:tr>
      <w:tr w14:paraId="60ADF152">
        <w:tblPrEx>
          <w:tblCellMar>
            <w:top w:w="0" w:type="dxa"/>
            <w:left w:w="108" w:type="dxa"/>
            <w:bottom w:w="0" w:type="dxa"/>
            <w:right w:w="108" w:type="dxa"/>
          </w:tblCellMar>
        </w:tblPrEx>
        <w:trPr>
          <w:trHeight w:val="20" w:hRule="atLeast"/>
          <w:jc w:val="center"/>
        </w:trPr>
        <w:tc>
          <w:tcPr>
            <w:tcW w:w="936" w:type="dxa"/>
            <w:vMerge w:val="restart"/>
            <w:tcBorders>
              <w:top w:val="nil"/>
              <w:left w:val="single" w:color="000000" w:sz="8" w:space="0"/>
              <w:right w:val="single" w:color="000000" w:sz="8" w:space="0"/>
            </w:tcBorders>
            <w:vAlign w:val="center"/>
          </w:tcPr>
          <w:p w14:paraId="49548E14">
            <w:pPr>
              <w:pStyle w:val="1535"/>
              <w:rPr>
                <w:snapToGrid/>
              </w:rPr>
            </w:pPr>
            <w:r>
              <w:rPr>
                <w:snapToGrid/>
              </w:rPr>
              <w:t>DA004</w:t>
            </w:r>
          </w:p>
        </w:tc>
        <w:tc>
          <w:tcPr>
            <w:tcW w:w="897" w:type="dxa"/>
            <w:vMerge w:val="restart"/>
            <w:tcBorders>
              <w:top w:val="nil"/>
              <w:left w:val="nil"/>
              <w:right w:val="single" w:color="000000" w:sz="8" w:space="0"/>
            </w:tcBorders>
            <w:vAlign w:val="center"/>
          </w:tcPr>
          <w:p w14:paraId="4BDB6DC1">
            <w:pPr>
              <w:pStyle w:val="1535"/>
              <w:rPr>
                <w:snapToGrid/>
              </w:rPr>
            </w:pPr>
            <w:r>
              <w:rPr>
                <w:rFonts w:hint="eastAsia"/>
                <w:snapToGrid/>
              </w:rPr>
              <w:t>石墨纯化+碳化硅涂层废气</w:t>
            </w:r>
          </w:p>
        </w:tc>
        <w:tc>
          <w:tcPr>
            <w:tcW w:w="709" w:type="dxa"/>
            <w:vMerge w:val="restart"/>
            <w:tcBorders>
              <w:top w:val="nil"/>
              <w:left w:val="nil"/>
              <w:right w:val="single" w:color="000000" w:sz="8" w:space="0"/>
            </w:tcBorders>
            <w:vAlign w:val="center"/>
          </w:tcPr>
          <w:p w14:paraId="3C0E72CF">
            <w:pPr>
              <w:pStyle w:val="1535"/>
              <w:rPr>
                <w:snapToGrid/>
              </w:rPr>
            </w:pPr>
            <w:r>
              <w:rPr>
                <w:snapToGrid/>
              </w:rPr>
              <w:t>20000</w:t>
            </w:r>
          </w:p>
        </w:tc>
        <w:tc>
          <w:tcPr>
            <w:tcW w:w="850" w:type="dxa"/>
            <w:vMerge w:val="restart"/>
            <w:tcBorders>
              <w:top w:val="nil"/>
              <w:left w:val="nil"/>
              <w:right w:val="single" w:color="000000" w:sz="8" w:space="0"/>
            </w:tcBorders>
            <w:vAlign w:val="center"/>
          </w:tcPr>
          <w:p w14:paraId="1157460B">
            <w:pPr>
              <w:pStyle w:val="1535"/>
              <w:rPr>
                <w:snapToGrid/>
              </w:rPr>
            </w:pPr>
            <w:r>
              <w:rPr>
                <w:snapToGrid/>
              </w:rPr>
              <w:t>14400</w:t>
            </w:r>
          </w:p>
        </w:tc>
        <w:tc>
          <w:tcPr>
            <w:tcW w:w="994" w:type="dxa"/>
            <w:tcBorders>
              <w:top w:val="nil"/>
              <w:left w:val="nil"/>
              <w:bottom w:val="single" w:color="000000" w:sz="8" w:space="0"/>
              <w:right w:val="single" w:color="000000" w:sz="8" w:space="0"/>
            </w:tcBorders>
            <w:vAlign w:val="center"/>
          </w:tcPr>
          <w:p w14:paraId="5C26DB7A">
            <w:pPr>
              <w:pStyle w:val="1535"/>
              <w:rPr>
                <w:snapToGrid/>
              </w:rPr>
            </w:pPr>
            <w:r>
              <w:rPr>
                <w:snapToGrid/>
              </w:rPr>
              <w:t>氯化氢</w:t>
            </w:r>
          </w:p>
        </w:tc>
        <w:tc>
          <w:tcPr>
            <w:tcW w:w="796" w:type="dxa"/>
            <w:tcBorders>
              <w:top w:val="nil"/>
              <w:left w:val="nil"/>
              <w:bottom w:val="single" w:color="000000" w:sz="8" w:space="0"/>
              <w:right w:val="single" w:color="000000" w:sz="8" w:space="0"/>
            </w:tcBorders>
            <w:vAlign w:val="center"/>
          </w:tcPr>
          <w:p w14:paraId="59BEBC19">
            <w:pPr>
              <w:pStyle w:val="1535"/>
              <w:rPr>
                <w:snapToGrid/>
              </w:rPr>
            </w:pPr>
            <w:r>
              <w:rPr>
                <w:snapToGrid/>
              </w:rPr>
              <w:t>物料衡算</w:t>
            </w:r>
          </w:p>
        </w:tc>
        <w:tc>
          <w:tcPr>
            <w:tcW w:w="904" w:type="dxa"/>
            <w:tcBorders>
              <w:top w:val="nil"/>
              <w:left w:val="nil"/>
              <w:bottom w:val="single" w:color="000000" w:sz="8" w:space="0"/>
              <w:right w:val="single" w:color="000000" w:sz="8" w:space="0"/>
            </w:tcBorders>
            <w:vAlign w:val="center"/>
          </w:tcPr>
          <w:p w14:paraId="0542F0B0">
            <w:pPr>
              <w:pStyle w:val="1535"/>
              <w:rPr>
                <w:snapToGrid/>
              </w:rPr>
            </w:pPr>
            <w:r>
              <w:rPr>
                <w:rFonts w:hint="eastAsia"/>
                <w:snapToGrid/>
              </w:rPr>
              <w:t>12.22</w:t>
            </w:r>
          </w:p>
        </w:tc>
        <w:tc>
          <w:tcPr>
            <w:tcW w:w="850" w:type="dxa"/>
            <w:tcBorders>
              <w:top w:val="nil"/>
              <w:left w:val="nil"/>
              <w:bottom w:val="single" w:color="000000" w:sz="8" w:space="0"/>
              <w:right w:val="single" w:color="000000" w:sz="8" w:space="0"/>
            </w:tcBorders>
            <w:vAlign w:val="center"/>
          </w:tcPr>
          <w:p w14:paraId="74184F19">
            <w:pPr>
              <w:pStyle w:val="1535"/>
              <w:rPr>
                <w:snapToGrid/>
              </w:rPr>
            </w:pPr>
            <w:r>
              <w:rPr>
                <w:rFonts w:hint="eastAsia"/>
                <w:snapToGrid/>
              </w:rPr>
              <w:t>1.76</w:t>
            </w:r>
          </w:p>
        </w:tc>
        <w:tc>
          <w:tcPr>
            <w:tcW w:w="2977" w:type="dxa"/>
            <w:vMerge w:val="restart"/>
            <w:tcBorders>
              <w:top w:val="nil"/>
              <w:left w:val="nil"/>
              <w:right w:val="single" w:color="000000" w:sz="8" w:space="0"/>
            </w:tcBorders>
            <w:vAlign w:val="center"/>
          </w:tcPr>
          <w:p w14:paraId="639F7701">
            <w:pPr>
              <w:pStyle w:val="1535"/>
              <w:rPr>
                <w:snapToGrid/>
              </w:rPr>
            </w:pPr>
            <w:r>
              <w:rPr>
                <w:rFonts w:hint="eastAsia"/>
                <w:snapToGrid/>
              </w:rPr>
              <w:t>项目石墨化炉、纯化炉、CVD炉均为密闭式，产生的废气</w:t>
            </w:r>
            <w:r>
              <w:rPr>
                <w:snapToGrid/>
              </w:rPr>
              <w:t>炉内排气口接入四级酸雾喷淋塔处理后经25m排气筒排放。收集效率100%，单级处理效率为95%，前三级处理效率保守取值为99.8%，第四级作为保险装置，防止处理效率出现波动后超标排放</w:t>
            </w:r>
            <w:r>
              <w:rPr>
                <w:rFonts w:hint="eastAsia"/>
                <w:snapToGrid/>
              </w:rPr>
              <w:t>；碳黑尘不考虑处理效率</w:t>
            </w:r>
            <w:r>
              <w:rPr>
                <w:snapToGrid/>
              </w:rPr>
              <w:t>。</w:t>
            </w:r>
          </w:p>
        </w:tc>
        <w:tc>
          <w:tcPr>
            <w:tcW w:w="850" w:type="dxa"/>
            <w:vMerge w:val="restart"/>
            <w:tcBorders>
              <w:top w:val="nil"/>
              <w:left w:val="nil"/>
              <w:right w:val="single" w:color="000000" w:sz="8" w:space="0"/>
            </w:tcBorders>
            <w:vAlign w:val="center"/>
          </w:tcPr>
          <w:p w14:paraId="77A54431">
            <w:pPr>
              <w:pStyle w:val="1535"/>
              <w:rPr>
                <w:snapToGrid/>
              </w:rPr>
            </w:pPr>
            <w:r>
              <w:rPr>
                <w:snapToGrid/>
              </w:rPr>
              <w:t>20000</w:t>
            </w:r>
          </w:p>
        </w:tc>
        <w:tc>
          <w:tcPr>
            <w:tcW w:w="709" w:type="dxa"/>
            <w:tcBorders>
              <w:top w:val="nil"/>
              <w:left w:val="nil"/>
              <w:bottom w:val="single" w:color="000000" w:sz="8" w:space="0"/>
              <w:right w:val="single" w:color="000000" w:sz="8" w:space="0"/>
            </w:tcBorders>
            <w:vAlign w:val="center"/>
          </w:tcPr>
          <w:p w14:paraId="1A35FC0C">
            <w:pPr>
              <w:pStyle w:val="1535"/>
              <w:rPr>
                <w:snapToGrid/>
              </w:rPr>
            </w:pPr>
            <w:r>
              <w:rPr>
                <w:rFonts w:hint="eastAsia"/>
                <w:snapToGrid/>
              </w:rPr>
              <w:t>0.04</w:t>
            </w:r>
          </w:p>
        </w:tc>
        <w:tc>
          <w:tcPr>
            <w:tcW w:w="851" w:type="dxa"/>
            <w:tcBorders>
              <w:top w:val="nil"/>
              <w:left w:val="nil"/>
              <w:bottom w:val="single" w:color="000000" w:sz="8" w:space="0"/>
              <w:right w:val="single" w:color="000000" w:sz="8" w:space="0"/>
            </w:tcBorders>
            <w:vAlign w:val="center"/>
          </w:tcPr>
          <w:p w14:paraId="24130FBC">
            <w:pPr>
              <w:pStyle w:val="1535"/>
              <w:rPr>
                <w:snapToGrid/>
              </w:rPr>
            </w:pPr>
            <w:r>
              <w:rPr>
                <w:snapToGrid/>
              </w:rPr>
              <w:t>0.</w:t>
            </w:r>
            <w:r>
              <w:rPr>
                <w:rFonts w:hint="eastAsia"/>
                <w:snapToGrid/>
              </w:rPr>
              <w:t>004</w:t>
            </w:r>
          </w:p>
        </w:tc>
        <w:tc>
          <w:tcPr>
            <w:tcW w:w="850" w:type="dxa"/>
            <w:tcBorders>
              <w:top w:val="nil"/>
              <w:left w:val="nil"/>
              <w:bottom w:val="single" w:color="000000" w:sz="8" w:space="0"/>
              <w:right w:val="single" w:color="000000" w:sz="8" w:space="0"/>
            </w:tcBorders>
            <w:vAlign w:val="center"/>
          </w:tcPr>
          <w:p w14:paraId="0A4F5BB1">
            <w:pPr>
              <w:pStyle w:val="1535"/>
              <w:rPr>
                <w:snapToGrid/>
              </w:rPr>
            </w:pPr>
            <w:r>
              <w:rPr>
                <w:snapToGrid/>
              </w:rPr>
              <w:t>0.0</w:t>
            </w:r>
            <w:r>
              <w:rPr>
                <w:rFonts w:hint="eastAsia"/>
                <w:snapToGrid/>
              </w:rPr>
              <w:t>007</w:t>
            </w:r>
          </w:p>
        </w:tc>
        <w:tc>
          <w:tcPr>
            <w:tcW w:w="765" w:type="dxa"/>
            <w:vMerge w:val="restart"/>
            <w:tcBorders>
              <w:top w:val="nil"/>
              <w:left w:val="nil"/>
              <w:right w:val="single" w:color="000000" w:sz="8" w:space="0"/>
            </w:tcBorders>
            <w:vAlign w:val="center"/>
          </w:tcPr>
          <w:p w14:paraId="217D5837">
            <w:pPr>
              <w:pStyle w:val="1535"/>
              <w:rPr>
                <w:snapToGrid/>
              </w:rPr>
            </w:pPr>
            <w:r>
              <w:rPr>
                <w:snapToGrid/>
              </w:rPr>
              <w:t>排气筒25×0.8m；25℃</w:t>
            </w:r>
          </w:p>
        </w:tc>
      </w:tr>
      <w:tr w14:paraId="44BBF342">
        <w:tblPrEx>
          <w:tblCellMar>
            <w:top w:w="0" w:type="dxa"/>
            <w:left w:w="108" w:type="dxa"/>
            <w:bottom w:w="0" w:type="dxa"/>
            <w:right w:w="108" w:type="dxa"/>
          </w:tblCellMar>
        </w:tblPrEx>
        <w:trPr>
          <w:trHeight w:val="20" w:hRule="atLeast"/>
          <w:jc w:val="center"/>
        </w:trPr>
        <w:tc>
          <w:tcPr>
            <w:tcW w:w="936" w:type="dxa"/>
            <w:vMerge w:val="continue"/>
            <w:tcBorders>
              <w:left w:val="single" w:color="000000" w:sz="8" w:space="0"/>
              <w:right w:val="single" w:color="000000" w:sz="8" w:space="0"/>
            </w:tcBorders>
            <w:vAlign w:val="center"/>
          </w:tcPr>
          <w:p w14:paraId="0C0FD19A">
            <w:pPr>
              <w:pStyle w:val="1535"/>
              <w:rPr>
                <w:snapToGrid/>
              </w:rPr>
            </w:pPr>
          </w:p>
        </w:tc>
        <w:tc>
          <w:tcPr>
            <w:tcW w:w="897" w:type="dxa"/>
            <w:vMerge w:val="continue"/>
            <w:tcBorders>
              <w:left w:val="nil"/>
              <w:right w:val="single" w:color="000000" w:sz="8" w:space="0"/>
            </w:tcBorders>
            <w:vAlign w:val="center"/>
          </w:tcPr>
          <w:p w14:paraId="55E8A941">
            <w:pPr>
              <w:pStyle w:val="1535"/>
              <w:rPr>
                <w:snapToGrid/>
              </w:rPr>
            </w:pPr>
          </w:p>
        </w:tc>
        <w:tc>
          <w:tcPr>
            <w:tcW w:w="709" w:type="dxa"/>
            <w:vMerge w:val="continue"/>
            <w:tcBorders>
              <w:left w:val="nil"/>
              <w:right w:val="single" w:color="000000" w:sz="8" w:space="0"/>
            </w:tcBorders>
            <w:vAlign w:val="center"/>
          </w:tcPr>
          <w:p w14:paraId="59B2182D">
            <w:pPr>
              <w:pStyle w:val="1535"/>
              <w:rPr>
                <w:snapToGrid/>
              </w:rPr>
            </w:pPr>
          </w:p>
        </w:tc>
        <w:tc>
          <w:tcPr>
            <w:tcW w:w="850" w:type="dxa"/>
            <w:vMerge w:val="continue"/>
            <w:tcBorders>
              <w:left w:val="nil"/>
              <w:right w:val="single" w:color="000000" w:sz="8" w:space="0"/>
            </w:tcBorders>
            <w:vAlign w:val="center"/>
          </w:tcPr>
          <w:p w14:paraId="20564FF7">
            <w:pPr>
              <w:pStyle w:val="1535"/>
              <w:rPr>
                <w:snapToGrid/>
              </w:rPr>
            </w:pPr>
          </w:p>
        </w:tc>
        <w:tc>
          <w:tcPr>
            <w:tcW w:w="994" w:type="dxa"/>
            <w:tcBorders>
              <w:top w:val="nil"/>
              <w:left w:val="nil"/>
              <w:bottom w:val="single" w:color="000000" w:sz="8" w:space="0"/>
              <w:right w:val="single" w:color="000000" w:sz="8" w:space="0"/>
            </w:tcBorders>
            <w:vAlign w:val="center"/>
          </w:tcPr>
          <w:p w14:paraId="2A467380">
            <w:pPr>
              <w:pStyle w:val="1535"/>
              <w:rPr>
                <w:snapToGrid/>
              </w:rPr>
            </w:pPr>
            <w:r>
              <w:rPr>
                <w:snapToGrid/>
              </w:rPr>
              <w:t>碳黑尘</w:t>
            </w:r>
          </w:p>
        </w:tc>
        <w:tc>
          <w:tcPr>
            <w:tcW w:w="796" w:type="dxa"/>
            <w:tcBorders>
              <w:top w:val="nil"/>
              <w:left w:val="nil"/>
              <w:bottom w:val="single" w:color="000000" w:sz="8" w:space="0"/>
              <w:right w:val="single" w:color="000000" w:sz="8" w:space="0"/>
            </w:tcBorders>
            <w:vAlign w:val="center"/>
          </w:tcPr>
          <w:p w14:paraId="6BC9B4E3">
            <w:pPr>
              <w:pStyle w:val="1535"/>
              <w:rPr>
                <w:snapToGrid/>
              </w:rPr>
            </w:pPr>
            <w:r>
              <w:rPr>
                <w:snapToGrid/>
              </w:rPr>
              <w:t>产污系数</w:t>
            </w:r>
          </w:p>
        </w:tc>
        <w:tc>
          <w:tcPr>
            <w:tcW w:w="904" w:type="dxa"/>
            <w:tcBorders>
              <w:top w:val="nil"/>
              <w:left w:val="nil"/>
              <w:bottom w:val="single" w:color="000000" w:sz="8" w:space="0"/>
              <w:right w:val="single" w:color="000000" w:sz="8" w:space="0"/>
            </w:tcBorders>
            <w:vAlign w:val="center"/>
          </w:tcPr>
          <w:p w14:paraId="342D5BEE">
            <w:pPr>
              <w:pStyle w:val="1535"/>
              <w:rPr>
                <w:snapToGrid/>
              </w:rPr>
            </w:pPr>
            <w:r>
              <w:rPr>
                <w:rFonts w:hint="eastAsia"/>
                <w:snapToGrid/>
              </w:rPr>
              <w:t>0.64</w:t>
            </w:r>
          </w:p>
        </w:tc>
        <w:tc>
          <w:tcPr>
            <w:tcW w:w="850" w:type="dxa"/>
            <w:tcBorders>
              <w:top w:val="nil"/>
              <w:left w:val="nil"/>
              <w:bottom w:val="single" w:color="000000" w:sz="8" w:space="0"/>
              <w:right w:val="single" w:color="000000" w:sz="8" w:space="0"/>
            </w:tcBorders>
            <w:vAlign w:val="center"/>
          </w:tcPr>
          <w:p w14:paraId="4B2C8FDA">
            <w:pPr>
              <w:pStyle w:val="1535"/>
              <w:rPr>
                <w:snapToGrid/>
              </w:rPr>
            </w:pPr>
            <w:r>
              <w:rPr>
                <w:rFonts w:hint="eastAsia"/>
                <w:snapToGrid/>
              </w:rPr>
              <w:t>0.062</w:t>
            </w:r>
          </w:p>
        </w:tc>
        <w:tc>
          <w:tcPr>
            <w:tcW w:w="2977" w:type="dxa"/>
            <w:vMerge w:val="continue"/>
            <w:tcBorders>
              <w:left w:val="nil"/>
              <w:right w:val="single" w:color="000000" w:sz="8" w:space="0"/>
            </w:tcBorders>
            <w:vAlign w:val="center"/>
          </w:tcPr>
          <w:p w14:paraId="07978899">
            <w:pPr>
              <w:pStyle w:val="1535"/>
              <w:rPr>
                <w:snapToGrid/>
              </w:rPr>
            </w:pPr>
          </w:p>
        </w:tc>
        <w:tc>
          <w:tcPr>
            <w:tcW w:w="850" w:type="dxa"/>
            <w:vMerge w:val="continue"/>
            <w:tcBorders>
              <w:left w:val="nil"/>
              <w:right w:val="single" w:color="000000" w:sz="8" w:space="0"/>
            </w:tcBorders>
            <w:vAlign w:val="center"/>
          </w:tcPr>
          <w:p w14:paraId="5B60065C">
            <w:pPr>
              <w:pStyle w:val="1535"/>
              <w:rPr>
                <w:snapToGrid/>
              </w:rPr>
            </w:pPr>
          </w:p>
        </w:tc>
        <w:tc>
          <w:tcPr>
            <w:tcW w:w="709" w:type="dxa"/>
            <w:tcBorders>
              <w:top w:val="nil"/>
              <w:left w:val="nil"/>
              <w:bottom w:val="single" w:color="000000" w:sz="8" w:space="0"/>
              <w:right w:val="single" w:color="000000" w:sz="8" w:space="0"/>
            </w:tcBorders>
            <w:vAlign w:val="center"/>
          </w:tcPr>
          <w:p w14:paraId="0DE0DAC8">
            <w:pPr>
              <w:pStyle w:val="1535"/>
              <w:rPr>
                <w:snapToGrid/>
              </w:rPr>
            </w:pPr>
            <w:r>
              <w:rPr>
                <w:rFonts w:hint="eastAsia"/>
                <w:snapToGrid/>
              </w:rPr>
              <w:t>0.64</w:t>
            </w:r>
          </w:p>
        </w:tc>
        <w:tc>
          <w:tcPr>
            <w:tcW w:w="851" w:type="dxa"/>
            <w:tcBorders>
              <w:top w:val="nil"/>
              <w:left w:val="nil"/>
              <w:bottom w:val="single" w:color="000000" w:sz="8" w:space="0"/>
              <w:right w:val="single" w:color="000000" w:sz="8" w:space="0"/>
            </w:tcBorders>
            <w:vAlign w:val="center"/>
          </w:tcPr>
          <w:p w14:paraId="0635D897">
            <w:pPr>
              <w:pStyle w:val="1535"/>
              <w:rPr>
                <w:snapToGrid/>
              </w:rPr>
            </w:pPr>
            <w:r>
              <w:rPr>
                <w:rFonts w:hint="eastAsia"/>
                <w:snapToGrid/>
              </w:rPr>
              <w:t>0.062</w:t>
            </w:r>
          </w:p>
        </w:tc>
        <w:tc>
          <w:tcPr>
            <w:tcW w:w="850" w:type="dxa"/>
            <w:tcBorders>
              <w:top w:val="nil"/>
              <w:left w:val="nil"/>
              <w:bottom w:val="single" w:color="000000" w:sz="8" w:space="0"/>
              <w:right w:val="single" w:color="000000" w:sz="8" w:space="0"/>
            </w:tcBorders>
            <w:vAlign w:val="center"/>
          </w:tcPr>
          <w:p w14:paraId="5AC2D998">
            <w:pPr>
              <w:pStyle w:val="1535"/>
              <w:rPr>
                <w:snapToGrid/>
              </w:rPr>
            </w:pPr>
            <w:r>
              <w:rPr>
                <w:rFonts w:hint="eastAsia"/>
                <w:snapToGrid/>
              </w:rPr>
              <w:t>0.012</w:t>
            </w:r>
          </w:p>
        </w:tc>
        <w:tc>
          <w:tcPr>
            <w:tcW w:w="765" w:type="dxa"/>
            <w:vMerge w:val="continue"/>
            <w:tcBorders>
              <w:left w:val="nil"/>
              <w:right w:val="single" w:color="000000" w:sz="8" w:space="0"/>
            </w:tcBorders>
            <w:vAlign w:val="center"/>
          </w:tcPr>
          <w:p w14:paraId="002273AA">
            <w:pPr>
              <w:pStyle w:val="1535"/>
              <w:rPr>
                <w:snapToGrid/>
              </w:rPr>
            </w:pPr>
          </w:p>
        </w:tc>
      </w:tr>
      <w:tr w14:paraId="66F7ED93">
        <w:tblPrEx>
          <w:tblCellMar>
            <w:top w:w="0" w:type="dxa"/>
            <w:left w:w="108" w:type="dxa"/>
            <w:bottom w:w="0" w:type="dxa"/>
            <w:right w:w="108" w:type="dxa"/>
          </w:tblCellMar>
        </w:tblPrEx>
        <w:trPr>
          <w:trHeight w:val="20" w:hRule="atLeast"/>
          <w:jc w:val="center"/>
        </w:trPr>
        <w:tc>
          <w:tcPr>
            <w:tcW w:w="936" w:type="dxa"/>
            <w:vMerge w:val="continue"/>
            <w:tcBorders>
              <w:left w:val="single" w:color="000000" w:sz="8" w:space="0"/>
              <w:bottom w:val="single" w:color="000000" w:sz="8" w:space="0"/>
              <w:right w:val="single" w:color="000000" w:sz="8" w:space="0"/>
            </w:tcBorders>
            <w:vAlign w:val="center"/>
          </w:tcPr>
          <w:p w14:paraId="79701526">
            <w:pPr>
              <w:pStyle w:val="1535"/>
              <w:rPr>
                <w:snapToGrid/>
              </w:rPr>
            </w:pPr>
          </w:p>
        </w:tc>
        <w:tc>
          <w:tcPr>
            <w:tcW w:w="897" w:type="dxa"/>
            <w:vMerge w:val="continue"/>
            <w:tcBorders>
              <w:left w:val="nil"/>
              <w:bottom w:val="single" w:color="000000" w:sz="8" w:space="0"/>
              <w:right w:val="single" w:color="000000" w:sz="8" w:space="0"/>
            </w:tcBorders>
            <w:vAlign w:val="center"/>
          </w:tcPr>
          <w:p w14:paraId="5BE849CA">
            <w:pPr>
              <w:pStyle w:val="1535"/>
              <w:rPr>
                <w:snapToGrid/>
              </w:rPr>
            </w:pPr>
          </w:p>
        </w:tc>
        <w:tc>
          <w:tcPr>
            <w:tcW w:w="709" w:type="dxa"/>
            <w:vMerge w:val="continue"/>
            <w:tcBorders>
              <w:left w:val="nil"/>
              <w:bottom w:val="single" w:color="000000" w:sz="8" w:space="0"/>
              <w:right w:val="single" w:color="000000" w:sz="8" w:space="0"/>
            </w:tcBorders>
            <w:vAlign w:val="center"/>
          </w:tcPr>
          <w:p w14:paraId="7963B54D">
            <w:pPr>
              <w:pStyle w:val="1535"/>
              <w:rPr>
                <w:snapToGrid/>
              </w:rPr>
            </w:pPr>
          </w:p>
        </w:tc>
        <w:tc>
          <w:tcPr>
            <w:tcW w:w="850" w:type="dxa"/>
            <w:vMerge w:val="continue"/>
            <w:tcBorders>
              <w:left w:val="nil"/>
              <w:bottom w:val="single" w:color="000000" w:sz="8" w:space="0"/>
              <w:right w:val="single" w:color="000000" w:sz="8" w:space="0"/>
            </w:tcBorders>
            <w:vAlign w:val="center"/>
          </w:tcPr>
          <w:p w14:paraId="012F52E6">
            <w:pPr>
              <w:pStyle w:val="1535"/>
              <w:rPr>
                <w:snapToGrid/>
              </w:rPr>
            </w:pPr>
          </w:p>
        </w:tc>
        <w:tc>
          <w:tcPr>
            <w:tcW w:w="994" w:type="dxa"/>
            <w:tcBorders>
              <w:top w:val="nil"/>
              <w:left w:val="nil"/>
              <w:bottom w:val="single" w:color="000000" w:sz="8" w:space="0"/>
              <w:right w:val="single" w:color="000000" w:sz="8" w:space="0"/>
            </w:tcBorders>
            <w:vAlign w:val="center"/>
          </w:tcPr>
          <w:p w14:paraId="0F8BE1DA">
            <w:pPr>
              <w:pStyle w:val="1535"/>
              <w:rPr>
                <w:snapToGrid/>
              </w:rPr>
            </w:pPr>
            <w:r>
              <w:rPr>
                <w:rFonts w:hint="eastAsia"/>
                <w:snapToGrid/>
              </w:rPr>
              <w:t>非甲烷总烃（未反应MTS以非甲烷总烃计）</w:t>
            </w:r>
          </w:p>
        </w:tc>
        <w:tc>
          <w:tcPr>
            <w:tcW w:w="796" w:type="dxa"/>
            <w:tcBorders>
              <w:top w:val="nil"/>
              <w:left w:val="nil"/>
              <w:bottom w:val="single" w:color="000000" w:sz="8" w:space="0"/>
              <w:right w:val="single" w:color="000000" w:sz="8" w:space="0"/>
            </w:tcBorders>
            <w:vAlign w:val="center"/>
          </w:tcPr>
          <w:p w14:paraId="046426B1">
            <w:pPr>
              <w:pStyle w:val="1535"/>
              <w:rPr>
                <w:snapToGrid/>
              </w:rPr>
            </w:pPr>
            <w:r>
              <w:rPr>
                <w:snapToGrid/>
              </w:rPr>
              <w:t>物料衡算</w:t>
            </w:r>
          </w:p>
        </w:tc>
        <w:tc>
          <w:tcPr>
            <w:tcW w:w="904" w:type="dxa"/>
            <w:tcBorders>
              <w:top w:val="nil"/>
              <w:left w:val="nil"/>
              <w:bottom w:val="single" w:color="000000" w:sz="8" w:space="0"/>
              <w:right w:val="single" w:color="000000" w:sz="8" w:space="0"/>
            </w:tcBorders>
            <w:vAlign w:val="center"/>
          </w:tcPr>
          <w:p w14:paraId="112CFFA6">
            <w:pPr>
              <w:pStyle w:val="1535"/>
              <w:rPr>
                <w:snapToGrid/>
              </w:rPr>
            </w:pPr>
            <w:r>
              <w:rPr>
                <w:rFonts w:hint="eastAsia"/>
                <w:snapToGrid/>
              </w:rPr>
              <w:t>16.67</w:t>
            </w:r>
          </w:p>
        </w:tc>
        <w:tc>
          <w:tcPr>
            <w:tcW w:w="850" w:type="dxa"/>
            <w:tcBorders>
              <w:top w:val="nil"/>
              <w:left w:val="nil"/>
              <w:bottom w:val="single" w:color="000000" w:sz="8" w:space="0"/>
              <w:right w:val="single" w:color="000000" w:sz="8" w:space="0"/>
            </w:tcBorders>
            <w:vAlign w:val="center"/>
          </w:tcPr>
          <w:p w14:paraId="06584D00">
            <w:pPr>
              <w:pStyle w:val="1535"/>
              <w:rPr>
                <w:snapToGrid/>
              </w:rPr>
            </w:pPr>
            <w:r>
              <w:rPr>
                <w:rFonts w:hint="eastAsia"/>
                <w:snapToGrid/>
              </w:rPr>
              <w:t>2.4</w:t>
            </w:r>
          </w:p>
        </w:tc>
        <w:tc>
          <w:tcPr>
            <w:tcW w:w="2977" w:type="dxa"/>
            <w:vMerge w:val="continue"/>
            <w:tcBorders>
              <w:left w:val="nil"/>
              <w:bottom w:val="single" w:color="000000" w:sz="8" w:space="0"/>
              <w:right w:val="single" w:color="000000" w:sz="8" w:space="0"/>
            </w:tcBorders>
            <w:vAlign w:val="center"/>
          </w:tcPr>
          <w:p w14:paraId="048EB1FD">
            <w:pPr>
              <w:pStyle w:val="1535"/>
              <w:rPr>
                <w:snapToGrid/>
              </w:rPr>
            </w:pPr>
          </w:p>
        </w:tc>
        <w:tc>
          <w:tcPr>
            <w:tcW w:w="850" w:type="dxa"/>
            <w:vMerge w:val="continue"/>
            <w:tcBorders>
              <w:left w:val="nil"/>
              <w:bottom w:val="single" w:color="000000" w:sz="8" w:space="0"/>
              <w:right w:val="single" w:color="000000" w:sz="8" w:space="0"/>
            </w:tcBorders>
            <w:vAlign w:val="center"/>
          </w:tcPr>
          <w:p w14:paraId="714EDC7C">
            <w:pPr>
              <w:pStyle w:val="1535"/>
              <w:rPr>
                <w:snapToGrid/>
              </w:rPr>
            </w:pPr>
          </w:p>
        </w:tc>
        <w:tc>
          <w:tcPr>
            <w:tcW w:w="709" w:type="dxa"/>
            <w:tcBorders>
              <w:top w:val="nil"/>
              <w:left w:val="nil"/>
              <w:bottom w:val="single" w:color="000000" w:sz="8" w:space="0"/>
              <w:right w:val="single" w:color="000000" w:sz="8" w:space="0"/>
            </w:tcBorders>
            <w:vAlign w:val="center"/>
          </w:tcPr>
          <w:p w14:paraId="796D71A0">
            <w:pPr>
              <w:pStyle w:val="1535"/>
              <w:rPr>
                <w:snapToGrid/>
              </w:rPr>
            </w:pPr>
            <w:r>
              <w:rPr>
                <w:rFonts w:hint="eastAsia"/>
                <w:snapToGrid/>
              </w:rPr>
              <w:t>0.05</w:t>
            </w:r>
          </w:p>
        </w:tc>
        <w:tc>
          <w:tcPr>
            <w:tcW w:w="851" w:type="dxa"/>
            <w:tcBorders>
              <w:top w:val="nil"/>
              <w:left w:val="nil"/>
              <w:bottom w:val="single" w:color="000000" w:sz="8" w:space="0"/>
              <w:right w:val="single" w:color="000000" w:sz="8" w:space="0"/>
            </w:tcBorders>
            <w:vAlign w:val="center"/>
          </w:tcPr>
          <w:p w14:paraId="76ACF0FF">
            <w:pPr>
              <w:pStyle w:val="1535"/>
              <w:rPr>
                <w:snapToGrid/>
              </w:rPr>
            </w:pPr>
            <w:r>
              <w:rPr>
                <w:rFonts w:hint="eastAsia"/>
                <w:snapToGrid/>
              </w:rPr>
              <w:t>0.005</w:t>
            </w:r>
          </w:p>
        </w:tc>
        <w:tc>
          <w:tcPr>
            <w:tcW w:w="850" w:type="dxa"/>
            <w:tcBorders>
              <w:top w:val="nil"/>
              <w:left w:val="nil"/>
              <w:bottom w:val="single" w:color="000000" w:sz="8" w:space="0"/>
              <w:right w:val="single" w:color="000000" w:sz="8" w:space="0"/>
            </w:tcBorders>
            <w:vAlign w:val="center"/>
          </w:tcPr>
          <w:p w14:paraId="63A659CD">
            <w:pPr>
              <w:pStyle w:val="1535"/>
              <w:rPr>
                <w:snapToGrid/>
              </w:rPr>
            </w:pPr>
            <w:r>
              <w:rPr>
                <w:rFonts w:hint="eastAsia"/>
                <w:snapToGrid/>
              </w:rPr>
              <w:t>0.005</w:t>
            </w:r>
          </w:p>
        </w:tc>
        <w:tc>
          <w:tcPr>
            <w:tcW w:w="765" w:type="dxa"/>
            <w:vMerge w:val="continue"/>
            <w:tcBorders>
              <w:left w:val="nil"/>
              <w:bottom w:val="single" w:color="000000" w:sz="8" w:space="0"/>
              <w:right w:val="single" w:color="000000" w:sz="8" w:space="0"/>
            </w:tcBorders>
            <w:vAlign w:val="center"/>
          </w:tcPr>
          <w:p w14:paraId="7FCFEE5A">
            <w:pPr>
              <w:pStyle w:val="1535"/>
              <w:rPr>
                <w:snapToGrid/>
              </w:rPr>
            </w:pPr>
          </w:p>
        </w:tc>
      </w:tr>
      <w:tr w14:paraId="700C83E6">
        <w:tblPrEx>
          <w:tblCellMar>
            <w:top w:w="0" w:type="dxa"/>
            <w:left w:w="108" w:type="dxa"/>
            <w:bottom w:w="0" w:type="dxa"/>
            <w:right w:w="108" w:type="dxa"/>
          </w:tblCellMar>
        </w:tblPrEx>
        <w:trPr>
          <w:trHeight w:val="20" w:hRule="atLeast"/>
          <w:jc w:val="center"/>
        </w:trPr>
        <w:tc>
          <w:tcPr>
            <w:tcW w:w="936" w:type="dxa"/>
            <w:tcBorders>
              <w:top w:val="nil"/>
              <w:left w:val="single" w:color="000000" w:sz="8" w:space="0"/>
              <w:bottom w:val="single" w:color="000000" w:sz="8" w:space="0"/>
              <w:right w:val="single" w:color="000000" w:sz="8" w:space="0"/>
            </w:tcBorders>
            <w:vAlign w:val="center"/>
          </w:tcPr>
          <w:p w14:paraId="50621C68">
            <w:pPr>
              <w:pStyle w:val="1535"/>
              <w:rPr>
                <w:snapToGrid/>
              </w:rPr>
            </w:pPr>
            <w:r>
              <w:rPr>
                <w:rFonts w:hint="eastAsia"/>
                <w:snapToGrid/>
              </w:rPr>
              <w:t>DA005</w:t>
            </w:r>
          </w:p>
        </w:tc>
        <w:tc>
          <w:tcPr>
            <w:tcW w:w="897" w:type="dxa"/>
            <w:tcBorders>
              <w:top w:val="nil"/>
              <w:left w:val="nil"/>
              <w:bottom w:val="single" w:color="000000" w:sz="8" w:space="0"/>
              <w:right w:val="single" w:color="000000" w:sz="8" w:space="0"/>
            </w:tcBorders>
            <w:vAlign w:val="center"/>
          </w:tcPr>
          <w:p w14:paraId="5EE8B339">
            <w:pPr>
              <w:pStyle w:val="1535"/>
              <w:rPr>
                <w:snapToGrid/>
              </w:rPr>
            </w:pPr>
            <w:r>
              <w:rPr>
                <w:snapToGrid/>
              </w:rPr>
              <w:t>清洗废气</w:t>
            </w:r>
          </w:p>
        </w:tc>
        <w:tc>
          <w:tcPr>
            <w:tcW w:w="709" w:type="dxa"/>
            <w:tcBorders>
              <w:top w:val="nil"/>
              <w:left w:val="nil"/>
              <w:bottom w:val="single" w:color="000000" w:sz="8" w:space="0"/>
              <w:right w:val="single" w:color="000000" w:sz="8" w:space="0"/>
            </w:tcBorders>
            <w:vAlign w:val="center"/>
          </w:tcPr>
          <w:p w14:paraId="20306BB3">
            <w:pPr>
              <w:pStyle w:val="1535"/>
              <w:rPr>
                <w:snapToGrid/>
              </w:rPr>
            </w:pPr>
            <w:r>
              <w:rPr>
                <w:rFonts w:hint="eastAsia"/>
                <w:snapToGrid/>
              </w:rPr>
              <w:t>20</w:t>
            </w:r>
            <w:r>
              <w:rPr>
                <w:snapToGrid/>
              </w:rPr>
              <w:t>00</w:t>
            </w:r>
          </w:p>
        </w:tc>
        <w:tc>
          <w:tcPr>
            <w:tcW w:w="850" w:type="dxa"/>
            <w:tcBorders>
              <w:top w:val="nil"/>
              <w:left w:val="nil"/>
              <w:bottom w:val="single" w:color="000000" w:sz="8" w:space="0"/>
              <w:right w:val="single" w:color="000000" w:sz="8" w:space="0"/>
            </w:tcBorders>
            <w:vAlign w:val="center"/>
          </w:tcPr>
          <w:p w14:paraId="7CA06B45">
            <w:pPr>
              <w:pStyle w:val="1535"/>
              <w:rPr>
                <w:snapToGrid/>
              </w:rPr>
            </w:pPr>
            <w:r>
              <w:rPr>
                <w:snapToGrid/>
              </w:rPr>
              <w:t>14400</w:t>
            </w:r>
          </w:p>
        </w:tc>
        <w:tc>
          <w:tcPr>
            <w:tcW w:w="994" w:type="dxa"/>
            <w:tcBorders>
              <w:top w:val="nil"/>
              <w:left w:val="nil"/>
              <w:bottom w:val="single" w:color="000000" w:sz="8" w:space="0"/>
              <w:right w:val="single" w:color="000000" w:sz="8" w:space="0"/>
            </w:tcBorders>
            <w:vAlign w:val="center"/>
          </w:tcPr>
          <w:p w14:paraId="31402D94">
            <w:pPr>
              <w:pStyle w:val="1535"/>
              <w:rPr>
                <w:snapToGrid/>
              </w:rPr>
            </w:pPr>
            <w:r>
              <w:rPr>
                <w:snapToGrid/>
              </w:rPr>
              <w:t>氟化物</w:t>
            </w:r>
          </w:p>
        </w:tc>
        <w:tc>
          <w:tcPr>
            <w:tcW w:w="796" w:type="dxa"/>
            <w:tcBorders>
              <w:top w:val="nil"/>
              <w:left w:val="nil"/>
              <w:bottom w:val="single" w:color="000000" w:sz="8" w:space="0"/>
              <w:right w:val="single" w:color="000000" w:sz="8" w:space="0"/>
            </w:tcBorders>
            <w:vAlign w:val="center"/>
          </w:tcPr>
          <w:p w14:paraId="062155D2">
            <w:pPr>
              <w:pStyle w:val="1535"/>
              <w:rPr>
                <w:snapToGrid/>
              </w:rPr>
            </w:pPr>
            <w:r>
              <w:rPr>
                <w:snapToGrid/>
              </w:rPr>
              <w:t>产污系数</w:t>
            </w:r>
          </w:p>
        </w:tc>
        <w:tc>
          <w:tcPr>
            <w:tcW w:w="904" w:type="dxa"/>
            <w:tcBorders>
              <w:top w:val="nil"/>
              <w:left w:val="nil"/>
              <w:bottom w:val="single" w:color="000000" w:sz="8" w:space="0"/>
              <w:right w:val="single" w:color="000000" w:sz="8" w:space="0"/>
            </w:tcBorders>
            <w:vAlign w:val="center"/>
          </w:tcPr>
          <w:p w14:paraId="47E5FE9A">
            <w:pPr>
              <w:pStyle w:val="1535"/>
              <w:rPr>
                <w:snapToGrid/>
              </w:rPr>
            </w:pPr>
            <w:r>
              <w:rPr>
                <w:rFonts w:hint="eastAsia"/>
                <w:snapToGrid/>
              </w:rPr>
              <w:t>1.2</w:t>
            </w:r>
          </w:p>
        </w:tc>
        <w:tc>
          <w:tcPr>
            <w:tcW w:w="850" w:type="dxa"/>
            <w:tcBorders>
              <w:top w:val="nil"/>
              <w:left w:val="nil"/>
              <w:bottom w:val="single" w:color="000000" w:sz="8" w:space="0"/>
              <w:right w:val="single" w:color="000000" w:sz="8" w:space="0"/>
            </w:tcBorders>
            <w:vAlign w:val="center"/>
          </w:tcPr>
          <w:p w14:paraId="5D654551">
            <w:pPr>
              <w:pStyle w:val="1535"/>
              <w:rPr>
                <w:snapToGrid/>
              </w:rPr>
            </w:pPr>
            <w:r>
              <w:rPr>
                <w:rFonts w:hint="eastAsia"/>
                <w:snapToGrid/>
              </w:rPr>
              <w:t>0.017</w:t>
            </w:r>
          </w:p>
        </w:tc>
        <w:tc>
          <w:tcPr>
            <w:tcW w:w="2977" w:type="dxa"/>
            <w:tcBorders>
              <w:top w:val="nil"/>
              <w:left w:val="nil"/>
              <w:bottom w:val="single" w:color="000000" w:sz="8" w:space="0"/>
              <w:right w:val="single" w:color="000000" w:sz="8" w:space="0"/>
            </w:tcBorders>
            <w:vAlign w:val="center"/>
          </w:tcPr>
          <w:p w14:paraId="1121196F">
            <w:pPr>
              <w:pStyle w:val="1535"/>
              <w:rPr>
                <w:snapToGrid/>
              </w:rPr>
            </w:pPr>
            <w:r>
              <w:t>清洗线</w:t>
            </w:r>
            <w:r>
              <w:rPr>
                <w:rFonts w:hint="eastAsia"/>
              </w:rPr>
              <w:t>整体置于</w:t>
            </w:r>
            <w:r>
              <w:t>密闭通道</w:t>
            </w:r>
            <w:r>
              <w:rPr>
                <w:rFonts w:hint="eastAsia"/>
              </w:rPr>
              <w:t>中，</w:t>
            </w:r>
            <w:r>
              <w:t>通道两侧设置挡帘</w:t>
            </w:r>
            <w:r>
              <w:rPr>
                <w:rFonts w:hint="eastAsia"/>
              </w:rPr>
              <w:t>，通道可通过</w:t>
            </w:r>
            <w:r>
              <w:t>产品及挂钩</w:t>
            </w:r>
            <w:r>
              <w:rPr>
                <w:rFonts w:hint="eastAsia"/>
              </w:rPr>
              <w:t>，</w:t>
            </w:r>
            <w:r>
              <w:t>清洗槽槽边设负压抽风系统</w:t>
            </w:r>
            <w:r>
              <w:rPr>
                <w:rFonts w:hint="eastAsia"/>
                <w:snapToGrid/>
              </w:rPr>
              <w:t>收集率80%，酸碱雾净化塔处理，经15m排气筒排放，酸雾处理效率为90%。</w:t>
            </w:r>
          </w:p>
        </w:tc>
        <w:tc>
          <w:tcPr>
            <w:tcW w:w="850" w:type="dxa"/>
            <w:tcBorders>
              <w:top w:val="nil"/>
              <w:left w:val="nil"/>
              <w:bottom w:val="single" w:color="000000" w:sz="8" w:space="0"/>
              <w:right w:val="single" w:color="000000" w:sz="8" w:space="0"/>
            </w:tcBorders>
            <w:vAlign w:val="center"/>
          </w:tcPr>
          <w:p w14:paraId="3DD9651B">
            <w:pPr>
              <w:pStyle w:val="1535"/>
              <w:rPr>
                <w:snapToGrid/>
              </w:rPr>
            </w:pPr>
            <w:r>
              <w:rPr>
                <w:rFonts w:hint="eastAsia"/>
                <w:snapToGrid/>
              </w:rPr>
              <w:t>2000</w:t>
            </w:r>
          </w:p>
        </w:tc>
        <w:tc>
          <w:tcPr>
            <w:tcW w:w="709" w:type="dxa"/>
            <w:tcBorders>
              <w:top w:val="nil"/>
              <w:left w:val="nil"/>
              <w:bottom w:val="single" w:color="000000" w:sz="8" w:space="0"/>
              <w:right w:val="single" w:color="000000" w:sz="8" w:space="0"/>
            </w:tcBorders>
            <w:vAlign w:val="center"/>
          </w:tcPr>
          <w:p w14:paraId="580895F9">
            <w:pPr>
              <w:pStyle w:val="1535"/>
              <w:rPr>
                <w:snapToGrid/>
              </w:rPr>
            </w:pPr>
            <w:r>
              <w:rPr>
                <w:snapToGrid/>
              </w:rPr>
              <w:t>0.</w:t>
            </w:r>
            <w:r>
              <w:rPr>
                <w:rFonts w:hint="eastAsia"/>
                <w:snapToGrid/>
              </w:rPr>
              <w:t>12</w:t>
            </w:r>
          </w:p>
        </w:tc>
        <w:tc>
          <w:tcPr>
            <w:tcW w:w="851" w:type="dxa"/>
            <w:tcBorders>
              <w:top w:val="nil"/>
              <w:left w:val="nil"/>
              <w:bottom w:val="single" w:color="000000" w:sz="8" w:space="0"/>
              <w:right w:val="single" w:color="000000" w:sz="8" w:space="0"/>
            </w:tcBorders>
            <w:vAlign w:val="center"/>
          </w:tcPr>
          <w:p w14:paraId="5C6E5124">
            <w:pPr>
              <w:pStyle w:val="1535"/>
              <w:rPr>
                <w:snapToGrid/>
              </w:rPr>
            </w:pPr>
            <w:r>
              <w:rPr>
                <w:snapToGrid/>
              </w:rPr>
              <w:t>0.0</w:t>
            </w:r>
            <w:r>
              <w:rPr>
                <w:rFonts w:hint="eastAsia"/>
                <w:snapToGrid/>
              </w:rPr>
              <w:t>02</w:t>
            </w:r>
          </w:p>
        </w:tc>
        <w:tc>
          <w:tcPr>
            <w:tcW w:w="850" w:type="dxa"/>
            <w:tcBorders>
              <w:top w:val="nil"/>
              <w:left w:val="nil"/>
              <w:bottom w:val="single" w:color="000000" w:sz="8" w:space="0"/>
              <w:right w:val="single" w:color="000000" w:sz="8" w:space="0"/>
            </w:tcBorders>
            <w:vAlign w:val="center"/>
          </w:tcPr>
          <w:p w14:paraId="0F2BAA32">
            <w:pPr>
              <w:pStyle w:val="1535"/>
              <w:rPr>
                <w:snapToGrid/>
              </w:rPr>
            </w:pPr>
            <w:r>
              <w:rPr>
                <w:snapToGrid/>
              </w:rPr>
              <w:t>0.00</w:t>
            </w:r>
            <w:r>
              <w:rPr>
                <w:rFonts w:hint="eastAsia"/>
                <w:snapToGrid/>
              </w:rPr>
              <w:t>2</w:t>
            </w:r>
          </w:p>
        </w:tc>
        <w:tc>
          <w:tcPr>
            <w:tcW w:w="765" w:type="dxa"/>
            <w:tcBorders>
              <w:top w:val="nil"/>
              <w:left w:val="nil"/>
              <w:bottom w:val="single" w:color="000000" w:sz="8" w:space="0"/>
              <w:right w:val="single" w:color="000000" w:sz="8" w:space="0"/>
            </w:tcBorders>
            <w:vAlign w:val="center"/>
          </w:tcPr>
          <w:p w14:paraId="192D0B05">
            <w:pPr>
              <w:pStyle w:val="1535"/>
              <w:rPr>
                <w:snapToGrid/>
              </w:rPr>
            </w:pPr>
            <w:r>
              <w:rPr>
                <w:snapToGrid/>
              </w:rPr>
              <w:t>排气筒15×0.2m；25℃</w:t>
            </w:r>
          </w:p>
        </w:tc>
      </w:tr>
      <w:tr w14:paraId="21E285E7">
        <w:tblPrEx>
          <w:tblCellMar>
            <w:top w:w="0" w:type="dxa"/>
            <w:left w:w="108" w:type="dxa"/>
            <w:bottom w:w="0" w:type="dxa"/>
            <w:right w:w="108" w:type="dxa"/>
          </w:tblCellMar>
        </w:tblPrEx>
        <w:trPr>
          <w:trHeight w:val="20" w:hRule="atLeast"/>
          <w:jc w:val="center"/>
        </w:trPr>
        <w:tc>
          <w:tcPr>
            <w:tcW w:w="936" w:type="dxa"/>
            <w:tcBorders>
              <w:top w:val="nil"/>
              <w:left w:val="single" w:color="000000" w:sz="8" w:space="0"/>
              <w:bottom w:val="single" w:color="000000" w:sz="8" w:space="0"/>
              <w:right w:val="single" w:color="000000" w:sz="8" w:space="0"/>
            </w:tcBorders>
            <w:vAlign w:val="center"/>
          </w:tcPr>
          <w:p w14:paraId="2B2CFA87">
            <w:pPr>
              <w:pStyle w:val="1535"/>
              <w:rPr>
                <w:snapToGrid/>
              </w:rPr>
            </w:pPr>
            <w:r>
              <w:rPr>
                <w:snapToGrid/>
              </w:rPr>
              <w:t>DA0</w:t>
            </w:r>
            <w:r>
              <w:rPr>
                <w:rFonts w:hint="eastAsia"/>
                <w:snapToGrid/>
              </w:rPr>
              <w:t>16</w:t>
            </w:r>
          </w:p>
        </w:tc>
        <w:tc>
          <w:tcPr>
            <w:tcW w:w="897" w:type="dxa"/>
            <w:tcBorders>
              <w:top w:val="nil"/>
              <w:left w:val="nil"/>
              <w:bottom w:val="single" w:color="000000" w:sz="8" w:space="0"/>
              <w:right w:val="single" w:color="000000" w:sz="8" w:space="0"/>
            </w:tcBorders>
            <w:vAlign w:val="center"/>
          </w:tcPr>
          <w:p w14:paraId="7793DD23">
            <w:pPr>
              <w:pStyle w:val="1535"/>
              <w:rPr>
                <w:snapToGrid/>
              </w:rPr>
            </w:pPr>
            <w:r>
              <w:rPr>
                <w:snapToGrid/>
              </w:rPr>
              <w:t>石墨</w:t>
            </w:r>
            <w:r>
              <w:rPr>
                <w:rFonts w:hint="eastAsia"/>
                <w:snapToGrid/>
              </w:rPr>
              <w:t>机加</w:t>
            </w:r>
            <w:r>
              <w:rPr>
                <w:snapToGrid/>
              </w:rPr>
              <w:t>废气</w:t>
            </w:r>
          </w:p>
        </w:tc>
        <w:tc>
          <w:tcPr>
            <w:tcW w:w="709" w:type="dxa"/>
            <w:tcBorders>
              <w:top w:val="nil"/>
              <w:left w:val="nil"/>
              <w:bottom w:val="single" w:color="000000" w:sz="8" w:space="0"/>
              <w:right w:val="single" w:color="000000" w:sz="8" w:space="0"/>
            </w:tcBorders>
            <w:vAlign w:val="center"/>
          </w:tcPr>
          <w:p w14:paraId="7E978E95">
            <w:pPr>
              <w:pStyle w:val="1535"/>
              <w:rPr>
                <w:snapToGrid/>
              </w:rPr>
            </w:pPr>
            <w:r>
              <w:rPr>
                <w:rFonts w:hint="eastAsia"/>
                <w:snapToGrid/>
              </w:rPr>
              <w:t>3</w:t>
            </w:r>
            <w:r>
              <w:rPr>
                <w:snapToGrid/>
              </w:rPr>
              <w:t>000</w:t>
            </w:r>
          </w:p>
        </w:tc>
        <w:tc>
          <w:tcPr>
            <w:tcW w:w="850" w:type="dxa"/>
            <w:tcBorders>
              <w:top w:val="nil"/>
              <w:left w:val="nil"/>
              <w:bottom w:val="single" w:color="000000" w:sz="8" w:space="0"/>
              <w:right w:val="single" w:color="000000" w:sz="8" w:space="0"/>
            </w:tcBorders>
            <w:vAlign w:val="center"/>
          </w:tcPr>
          <w:p w14:paraId="1745E889">
            <w:pPr>
              <w:pStyle w:val="1535"/>
              <w:rPr>
                <w:snapToGrid/>
              </w:rPr>
            </w:pPr>
            <w:r>
              <w:rPr>
                <w:rFonts w:hint="eastAsia"/>
                <w:snapToGrid/>
              </w:rPr>
              <w:t>1440</w:t>
            </w:r>
          </w:p>
        </w:tc>
        <w:tc>
          <w:tcPr>
            <w:tcW w:w="994" w:type="dxa"/>
            <w:tcBorders>
              <w:top w:val="nil"/>
              <w:left w:val="nil"/>
              <w:bottom w:val="single" w:color="000000" w:sz="8" w:space="0"/>
              <w:right w:val="single" w:color="000000" w:sz="8" w:space="0"/>
            </w:tcBorders>
            <w:vAlign w:val="center"/>
          </w:tcPr>
          <w:p w14:paraId="6FF693BA">
            <w:pPr>
              <w:pStyle w:val="1535"/>
              <w:rPr>
                <w:snapToGrid/>
              </w:rPr>
            </w:pPr>
            <w:r>
              <w:rPr>
                <w:snapToGrid/>
              </w:rPr>
              <w:t>碳黑尘</w:t>
            </w:r>
          </w:p>
        </w:tc>
        <w:tc>
          <w:tcPr>
            <w:tcW w:w="796" w:type="dxa"/>
            <w:tcBorders>
              <w:top w:val="nil"/>
              <w:left w:val="nil"/>
              <w:bottom w:val="single" w:color="000000" w:sz="8" w:space="0"/>
              <w:right w:val="single" w:color="000000" w:sz="8" w:space="0"/>
            </w:tcBorders>
            <w:vAlign w:val="center"/>
          </w:tcPr>
          <w:p w14:paraId="618E3D1B">
            <w:pPr>
              <w:pStyle w:val="1535"/>
              <w:rPr>
                <w:snapToGrid/>
              </w:rPr>
            </w:pPr>
            <w:r>
              <w:rPr>
                <w:snapToGrid/>
              </w:rPr>
              <w:t>产污系数</w:t>
            </w:r>
          </w:p>
        </w:tc>
        <w:tc>
          <w:tcPr>
            <w:tcW w:w="904" w:type="dxa"/>
            <w:tcBorders>
              <w:top w:val="nil"/>
              <w:left w:val="nil"/>
              <w:bottom w:val="single" w:color="000000" w:sz="8" w:space="0"/>
              <w:right w:val="single" w:color="000000" w:sz="8" w:space="0"/>
            </w:tcBorders>
            <w:vAlign w:val="center"/>
          </w:tcPr>
          <w:p w14:paraId="28CB1C70">
            <w:pPr>
              <w:pStyle w:val="1535"/>
              <w:rPr>
                <w:snapToGrid/>
              </w:rPr>
            </w:pPr>
            <w:r>
              <w:rPr>
                <w:rFonts w:hint="eastAsia"/>
                <w:snapToGrid/>
              </w:rPr>
              <w:t>1.10</w:t>
            </w:r>
          </w:p>
        </w:tc>
        <w:tc>
          <w:tcPr>
            <w:tcW w:w="850" w:type="dxa"/>
            <w:tcBorders>
              <w:top w:val="nil"/>
              <w:left w:val="nil"/>
              <w:bottom w:val="single" w:color="000000" w:sz="8" w:space="0"/>
              <w:right w:val="single" w:color="000000" w:sz="8" w:space="0"/>
            </w:tcBorders>
            <w:vAlign w:val="center"/>
          </w:tcPr>
          <w:p w14:paraId="130EB02F">
            <w:pPr>
              <w:pStyle w:val="1535"/>
              <w:rPr>
                <w:snapToGrid/>
              </w:rPr>
            </w:pPr>
            <w:r>
              <w:rPr>
                <w:snapToGrid/>
              </w:rPr>
              <w:t>0.0</w:t>
            </w:r>
            <w:r>
              <w:rPr>
                <w:rFonts w:hint="eastAsia"/>
                <w:snapToGrid/>
              </w:rPr>
              <w:t>15</w:t>
            </w:r>
          </w:p>
        </w:tc>
        <w:tc>
          <w:tcPr>
            <w:tcW w:w="2977" w:type="dxa"/>
            <w:tcBorders>
              <w:top w:val="nil"/>
              <w:left w:val="nil"/>
              <w:bottom w:val="single" w:color="000000" w:sz="8" w:space="0"/>
              <w:right w:val="single" w:color="000000" w:sz="8" w:space="0"/>
            </w:tcBorders>
            <w:vAlign w:val="center"/>
          </w:tcPr>
          <w:p w14:paraId="3589B718">
            <w:pPr>
              <w:pStyle w:val="1535"/>
              <w:rPr>
                <w:snapToGrid/>
              </w:rPr>
            </w:pPr>
            <w:r>
              <w:rPr>
                <w:rFonts w:hint="eastAsia"/>
                <w:snapToGrid/>
              </w:rPr>
              <w:t>石墨加工粉尘密闭收集，经布袋除尘器处理后进入经</w:t>
            </w:r>
            <w:r>
              <w:rPr>
                <w:snapToGrid/>
              </w:rPr>
              <w:t>DA0</w:t>
            </w:r>
            <w:r>
              <w:rPr>
                <w:rFonts w:hint="eastAsia"/>
                <w:snapToGrid/>
              </w:rPr>
              <w:t>16</w:t>
            </w:r>
            <w:r>
              <w:rPr>
                <w:snapToGrid/>
              </w:rPr>
              <w:t>排气筒排放，收集效率为</w:t>
            </w:r>
            <w:r>
              <w:rPr>
                <w:rFonts w:hint="eastAsia"/>
                <w:snapToGrid/>
              </w:rPr>
              <w:t>80</w:t>
            </w:r>
            <w:r>
              <w:rPr>
                <w:snapToGrid/>
              </w:rPr>
              <w:t>%，布袋除尘器除尘效率为90%</w:t>
            </w:r>
          </w:p>
        </w:tc>
        <w:tc>
          <w:tcPr>
            <w:tcW w:w="850" w:type="dxa"/>
            <w:tcBorders>
              <w:top w:val="nil"/>
              <w:left w:val="nil"/>
              <w:bottom w:val="single" w:color="000000" w:sz="8" w:space="0"/>
              <w:right w:val="single" w:color="000000" w:sz="8" w:space="0"/>
            </w:tcBorders>
            <w:vAlign w:val="center"/>
          </w:tcPr>
          <w:p w14:paraId="7F41DA26">
            <w:pPr>
              <w:pStyle w:val="1535"/>
              <w:rPr>
                <w:snapToGrid/>
              </w:rPr>
            </w:pPr>
            <w:r>
              <w:rPr>
                <w:snapToGrid/>
              </w:rPr>
              <w:t>3000</w:t>
            </w:r>
          </w:p>
        </w:tc>
        <w:tc>
          <w:tcPr>
            <w:tcW w:w="709" w:type="dxa"/>
            <w:tcBorders>
              <w:top w:val="nil"/>
              <w:left w:val="nil"/>
              <w:bottom w:val="single" w:color="000000" w:sz="8" w:space="0"/>
              <w:right w:val="single" w:color="000000" w:sz="8" w:space="0"/>
            </w:tcBorders>
            <w:vAlign w:val="center"/>
          </w:tcPr>
          <w:p w14:paraId="1C5ADA1E">
            <w:pPr>
              <w:pStyle w:val="1535"/>
              <w:rPr>
                <w:snapToGrid/>
              </w:rPr>
            </w:pPr>
            <w:r>
              <w:rPr>
                <w:snapToGrid/>
              </w:rPr>
              <w:t>0.</w:t>
            </w:r>
            <w:r>
              <w:rPr>
                <w:rFonts w:hint="eastAsia"/>
                <w:snapToGrid/>
              </w:rPr>
              <w:t>11</w:t>
            </w:r>
          </w:p>
        </w:tc>
        <w:tc>
          <w:tcPr>
            <w:tcW w:w="851" w:type="dxa"/>
            <w:tcBorders>
              <w:top w:val="nil"/>
              <w:left w:val="nil"/>
              <w:bottom w:val="single" w:color="000000" w:sz="8" w:space="0"/>
              <w:right w:val="single" w:color="000000" w:sz="8" w:space="0"/>
            </w:tcBorders>
            <w:vAlign w:val="center"/>
          </w:tcPr>
          <w:p w14:paraId="646E838B">
            <w:pPr>
              <w:pStyle w:val="1535"/>
              <w:rPr>
                <w:snapToGrid/>
              </w:rPr>
            </w:pPr>
            <w:r>
              <w:rPr>
                <w:snapToGrid/>
              </w:rPr>
              <w:t>0.00</w:t>
            </w:r>
            <w:r>
              <w:rPr>
                <w:rFonts w:hint="eastAsia"/>
                <w:snapToGrid/>
              </w:rPr>
              <w:t>2</w:t>
            </w:r>
          </w:p>
        </w:tc>
        <w:tc>
          <w:tcPr>
            <w:tcW w:w="850" w:type="dxa"/>
            <w:tcBorders>
              <w:top w:val="nil"/>
              <w:left w:val="nil"/>
              <w:bottom w:val="single" w:color="000000" w:sz="8" w:space="0"/>
              <w:right w:val="single" w:color="000000" w:sz="8" w:space="0"/>
            </w:tcBorders>
            <w:vAlign w:val="center"/>
          </w:tcPr>
          <w:p w14:paraId="7EB952BE">
            <w:pPr>
              <w:pStyle w:val="1535"/>
              <w:rPr>
                <w:snapToGrid/>
              </w:rPr>
            </w:pPr>
            <w:r>
              <w:rPr>
                <w:snapToGrid/>
              </w:rPr>
              <w:t>0.00</w:t>
            </w:r>
            <w:r>
              <w:rPr>
                <w:rFonts w:hint="eastAsia"/>
                <w:snapToGrid/>
              </w:rPr>
              <w:t>03</w:t>
            </w:r>
          </w:p>
        </w:tc>
        <w:tc>
          <w:tcPr>
            <w:tcW w:w="765" w:type="dxa"/>
            <w:tcBorders>
              <w:top w:val="nil"/>
              <w:left w:val="nil"/>
              <w:bottom w:val="single" w:color="000000" w:sz="8" w:space="0"/>
              <w:right w:val="single" w:color="000000" w:sz="8" w:space="0"/>
            </w:tcBorders>
            <w:vAlign w:val="center"/>
          </w:tcPr>
          <w:p w14:paraId="26A84EC4">
            <w:pPr>
              <w:pStyle w:val="1535"/>
              <w:rPr>
                <w:snapToGrid/>
              </w:rPr>
            </w:pPr>
            <w:r>
              <w:rPr>
                <w:snapToGrid/>
              </w:rPr>
              <w:t>排气筒15×0.2m；25℃</w:t>
            </w:r>
          </w:p>
        </w:tc>
      </w:tr>
      <w:tr w14:paraId="16F884DA">
        <w:tblPrEx>
          <w:tblCellMar>
            <w:top w:w="0" w:type="dxa"/>
            <w:left w:w="108" w:type="dxa"/>
            <w:bottom w:w="0" w:type="dxa"/>
            <w:right w:w="108" w:type="dxa"/>
          </w:tblCellMar>
        </w:tblPrEx>
        <w:trPr>
          <w:trHeight w:val="20" w:hRule="atLeast"/>
          <w:jc w:val="center"/>
        </w:trPr>
        <w:tc>
          <w:tcPr>
            <w:tcW w:w="13938" w:type="dxa"/>
            <w:gridSpan w:val="14"/>
            <w:tcBorders>
              <w:top w:val="nil"/>
              <w:left w:val="single" w:color="000000" w:sz="8" w:space="0"/>
              <w:bottom w:val="single" w:color="000000" w:sz="8" w:space="0"/>
              <w:right w:val="single" w:color="000000" w:sz="8" w:space="0"/>
            </w:tcBorders>
            <w:vAlign w:val="center"/>
          </w:tcPr>
          <w:p w14:paraId="0A37BA73">
            <w:pPr>
              <w:pStyle w:val="1535"/>
              <w:rPr>
                <w:snapToGrid/>
              </w:rPr>
            </w:pPr>
            <w:r>
              <w:rPr>
                <w:snapToGrid/>
              </w:rPr>
              <w:t>有组织排放合计</w:t>
            </w:r>
          </w:p>
        </w:tc>
      </w:tr>
      <w:tr w14:paraId="7A7309C9">
        <w:tblPrEx>
          <w:tblCellMar>
            <w:top w:w="0" w:type="dxa"/>
            <w:left w:w="108" w:type="dxa"/>
            <w:bottom w:w="0" w:type="dxa"/>
            <w:right w:w="108" w:type="dxa"/>
          </w:tblCellMar>
        </w:tblPrEx>
        <w:trPr>
          <w:trHeight w:val="20" w:hRule="atLeast"/>
          <w:jc w:val="center"/>
        </w:trPr>
        <w:tc>
          <w:tcPr>
            <w:tcW w:w="3392" w:type="dxa"/>
            <w:gridSpan w:val="4"/>
            <w:vMerge w:val="restart"/>
            <w:tcBorders>
              <w:top w:val="nil"/>
              <w:left w:val="single" w:color="000000" w:sz="8" w:space="0"/>
              <w:bottom w:val="single" w:color="000000" w:sz="8" w:space="0"/>
              <w:right w:val="single" w:color="000000" w:sz="8" w:space="0"/>
            </w:tcBorders>
            <w:vAlign w:val="center"/>
          </w:tcPr>
          <w:p w14:paraId="570D6614">
            <w:pPr>
              <w:pStyle w:val="1535"/>
              <w:rPr>
                <w:snapToGrid/>
              </w:rPr>
            </w:pPr>
            <w:r>
              <w:rPr>
                <w:snapToGrid/>
              </w:rPr>
              <w:t>小计</w:t>
            </w:r>
          </w:p>
        </w:tc>
        <w:tc>
          <w:tcPr>
            <w:tcW w:w="1790" w:type="dxa"/>
            <w:gridSpan w:val="2"/>
            <w:tcBorders>
              <w:top w:val="nil"/>
              <w:left w:val="nil"/>
              <w:bottom w:val="single" w:color="000000" w:sz="8" w:space="0"/>
              <w:right w:val="single" w:color="000000" w:sz="8" w:space="0"/>
            </w:tcBorders>
            <w:vAlign w:val="center"/>
          </w:tcPr>
          <w:p w14:paraId="3811E0A9">
            <w:pPr>
              <w:pStyle w:val="1535"/>
              <w:rPr>
                <w:snapToGrid/>
              </w:rPr>
            </w:pPr>
            <w:r>
              <w:rPr>
                <w:snapToGrid/>
              </w:rPr>
              <w:t>氟化物</w:t>
            </w:r>
          </w:p>
        </w:tc>
        <w:tc>
          <w:tcPr>
            <w:tcW w:w="904" w:type="dxa"/>
            <w:tcBorders>
              <w:top w:val="nil"/>
              <w:left w:val="nil"/>
              <w:bottom w:val="single" w:color="000000" w:sz="8" w:space="0"/>
              <w:right w:val="single" w:color="000000" w:sz="8" w:space="0"/>
            </w:tcBorders>
            <w:vAlign w:val="center"/>
          </w:tcPr>
          <w:p w14:paraId="20E4939B">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7BFF5D79">
            <w:pPr>
              <w:pStyle w:val="1535"/>
              <w:rPr>
                <w:snapToGrid/>
              </w:rPr>
            </w:pPr>
            <w:r>
              <w:rPr>
                <w:rFonts w:hint="eastAsia"/>
                <w:snapToGrid/>
              </w:rPr>
              <w:t>0.017</w:t>
            </w:r>
            <w:r>
              <w:rPr>
                <w:snapToGrid/>
              </w:rPr>
              <w:t xml:space="preserve"> </w:t>
            </w:r>
          </w:p>
        </w:tc>
        <w:tc>
          <w:tcPr>
            <w:tcW w:w="2977" w:type="dxa"/>
            <w:tcBorders>
              <w:top w:val="nil"/>
              <w:left w:val="nil"/>
              <w:bottom w:val="single" w:color="000000" w:sz="8" w:space="0"/>
              <w:right w:val="single" w:color="000000" w:sz="8" w:space="0"/>
            </w:tcBorders>
            <w:vAlign w:val="center"/>
          </w:tcPr>
          <w:p w14:paraId="0EB1E5B1">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59C57F28">
            <w:pPr>
              <w:pStyle w:val="1535"/>
              <w:rPr>
                <w:snapToGrid/>
              </w:rPr>
            </w:pPr>
            <w:r>
              <w:rPr>
                <w:snapToGrid/>
              </w:rPr>
              <w:t>/</w:t>
            </w:r>
          </w:p>
        </w:tc>
        <w:tc>
          <w:tcPr>
            <w:tcW w:w="709" w:type="dxa"/>
            <w:tcBorders>
              <w:top w:val="nil"/>
              <w:left w:val="nil"/>
              <w:bottom w:val="single" w:color="000000" w:sz="8" w:space="0"/>
              <w:right w:val="single" w:color="000000" w:sz="8" w:space="0"/>
            </w:tcBorders>
            <w:vAlign w:val="center"/>
          </w:tcPr>
          <w:p w14:paraId="08AC02CB">
            <w:pPr>
              <w:pStyle w:val="1535"/>
              <w:rPr>
                <w:snapToGrid/>
              </w:rPr>
            </w:pPr>
            <w:r>
              <w:rPr>
                <w:snapToGrid/>
              </w:rPr>
              <w:t>/</w:t>
            </w:r>
          </w:p>
        </w:tc>
        <w:tc>
          <w:tcPr>
            <w:tcW w:w="851" w:type="dxa"/>
            <w:tcBorders>
              <w:top w:val="nil"/>
              <w:left w:val="nil"/>
              <w:bottom w:val="single" w:color="000000" w:sz="8" w:space="0"/>
              <w:right w:val="single" w:color="000000" w:sz="8" w:space="0"/>
            </w:tcBorders>
            <w:vAlign w:val="center"/>
          </w:tcPr>
          <w:p w14:paraId="49F3D061">
            <w:pPr>
              <w:pStyle w:val="1535"/>
              <w:rPr>
                <w:snapToGrid/>
              </w:rPr>
            </w:pPr>
            <w:r>
              <w:rPr>
                <w:snapToGrid/>
              </w:rPr>
              <w:t>0.0</w:t>
            </w:r>
            <w:r>
              <w:rPr>
                <w:rFonts w:hint="eastAsia"/>
                <w:snapToGrid/>
              </w:rPr>
              <w:t>02</w:t>
            </w:r>
            <w:r>
              <w:rPr>
                <w:snapToGrid/>
              </w:rPr>
              <w:t xml:space="preserve"> </w:t>
            </w:r>
          </w:p>
        </w:tc>
        <w:tc>
          <w:tcPr>
            <w:tcW w:w="850" w:type="dxa"/>
            <w:tcBorders>
              <w:top w:val="nil"/>
              <w:left w:val="nil"/>
              <w:bottom w:val="single" w:color="000000" w:sz="8" w:space="0"/>
              <w:right w:val="single" w:color="000000" w:sz="8" w:space="0"/>
            </w:tcBorders>
            <w:vAlign w:val="center"/>
          </w:tcPr>
          <w:p w14:paraId="298E00A4">
            <w:pPr>
              <w:pStyle w:val="1535"/>
              <w:rPr>
                <w:snapToGrid/>
              </w:rPr>
            </w:pPr>
            <w:r>
              <w:rPr>
                <w:snapToGrid/>
              </w:rPr>
              <w:t>/</w:t>
            </w:r>
          </w:p>
        </w:tc>
        <w:tc>
          <w:tcPr>
            <w:tcW w:w="765" w:type="dxa"/>
            <w:tcBorders>
              <w:top w:val="nil"/>
              <w:left w:val="nil"/>
              <w:bottom w:val="single" w:color="000000" w:sz="8" w:space="0"/>
              <w:right w:val="single" w:color="000000" w:sz="8" w:space="0"/>
            </w:tcBorders>
            <w:vAlign w:val="center"/>
          </w:tcPr>
          <w:p w14:paraId="47BB6088">
            <w:pPr>
              <w:pStyle w:val="1535"/>
              <w:rPr>
                <w:snapToGrid/>
              </w:rPr>
            </w:pPr>
            <w:r>
              <w:rPr>
                <w:snapToGrid/>
              </w:rPr>
              <w:t>/</w:t>
            </w:r>
          </w:p>
        </w:tc>
      </w:tr>
      <w:tr w14:paraId="3575C9C0">
        <w:tblPrEx>
          <w:tblCellMar>
            <w:top w:w="0" w:type="dxa"/>
            <w:left w:w="108" w:type="dxa"/>
            <w:bottom w:w="0" w:type="dxa"/>
            <w:right w:w="108" w:type="dxa"/>
          </w:tblCellMar>
        </w:tblPrEx>
        <w:trPr>
          <w:trHeight w:val="20" w:hRule="atLeast"/>
          <w:jc w:val="center"/>
        </w:trPr>
        <w:tc>
          <w:tcPr>
            <w:tcW w:w="3392" w:type="dxa"/>
            <w:gridSpan w:val="4"/>
            <w:vMerge w:val="continue"/>
            <w:tcBorders>
              <w:top w:val="nil"/>
              <w:left w:val="single" w:color="000000" w:sz="8" w:space="0"/>
              <w:bottom w:val="single" w:color="000000" w:sz="8" w:space="0"/>
              <w:right w:val="single" w:color="000000" w:sz="8" w:space="0"/>
            </w:tcBorders>
            <w:vAlign w:val="center"/>
          </w:tcPr>
          <w:p w14:paraId="2A4B4FB1">
            <w:pPr>
              <w:pStyle w:val="1535"/>
              <w:rPr>
                <w:snapToGrid/>
              </w:rPr>
            </w:pPr>
          </w:p>
        </w:tc>
        <w:tc>
          <w:tcPr>
            <w:tcW w:w="1790" w:type="dxa"/>
            <w:gridSpan w:val="2"/>
            <w:tcBorders>
              <w:top w:val="nil"/>
              <w:left w:val="nil"/>
              <w:bottom w:val="single" w:color="000000" w:sz="8" w:space="0"/>
              <w:right w:val="single" w:color="000000" w:sz="8" w:space="0"/>
            </w:tcBorders>
            <w:vAlign w:val="center"/>
          </w:tcPr>
          <w:p w14:paraId="263D13E4">
            <w:pPr>
              <w:pStyle w:val="1535"/>
              <w:rPr>
                <w:snapToGrid/>
              </w:rPr>
            </w:pPr>
            <w:r>
              <w:rPr>
                <w:snapToGrid/>
              </w:rPr>
              <w:t>氯化氢</w:t>
            </w:r>
          </w:p>
        </w:tc>
        <w:tc>
          <w:tcPr>
            <w:tcW w:w="904" w:type="dxa"/>
            <w:tcBorders>
              <w:top w:val="nil"/>
              <w:left w:val="nil"/>
              <w:bottom w:val="single" w:color="000000" w:sz="8" w:space="0"/>
              <w:right w:val="single" w:color="000000" w:sz="8" w:space="0"/>
            </w:tcBorders>
            <w:vAlign w:val="center"/>
          </w:tcPr>
          <w:p w14:paraId="1030DC76">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3D864B0C">
            <w:pPr>
              <w:pStyle w:val="1535"/>
              <w:rPr>
                <w:snapToGrid/>
              </w:rPr>
            </w:pPr>
            <w:r>
              <w:rPr>
                <w:rFonts w:hint="eastAsia"/>
                <w:snapToGrid/>
              </w:rPr>
              <w:t>1.760</w:t>
            </w:r>
          </w:p>
        </w:tc>
        <w:tc>
          <w:tcPr>
            <w:tcW w:w="2977" w:type="dxa"/>
            <w:tcBorders>
              <w:top w:val="nil"/>
              <w:left w:val="nil"/>
              <w:bottom w:val="single" w:color="000000" w:sz="8" w:space="0"/>
              <w:right w:val="single" w:color="000000" w:sz="8" w:space="0"/>
            </w:tcBorders>
            <w:vAlign w:val="center"/>
          </w:tcPr>
          <w:p w14:paraId="63F9DD54">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03ACD4C8">
            <w:pPr>
              <w:pStyle w:val="1535"/>
              <w:rPr>
                <w:snapToGrid/>
              </w:rPr>
            </w:pPr>
            <w:r>
              <w:rPr>
                <w:snapToGrid/>
              </w:rPr>
              <w:t>/</w:t>
            </w:r>
          </w:p>
        </w:tc>
        <w:tc>
          <w:tcPr>
            <w:tcW w:w="709" w:type="dxa"/>
            <w:tcBorders>
              <w:top w:val="nil"/>
              <w:left w:val="nil"/>
              <w:bottom w:val="single" w:color="000000" w:sz="8" w:space="0"/>
              <w:right w:val="single" w:color="000000" w:sz="8" w:space="0"/>
            </w:tcBorders>
            <w:vAlign w:val="center"/>
          </w:tcPr>
          <w:p w14:paraId="186BBA66">
            <w:pPr>
              <w:pStyle w:val="1535"/>
              <w:rPr>
                <w:snapToGrid/>
              </w:rPr>
            </w:pPr>
            <w:r>
              <w:rPr>
                <w:snapToGrid/>
              </w:rPr>
              <w:t>/</w:t>
            </w:r>
          </w:p>
        </w:tc>
        <w:tc>
          <w:tcPr>
            <w:tcW w:w="851" w:type="dxa"/>
            <w:tcBorders>
              <w:top w:val="nil"/>
              <w:left w:val="nil"/>
              <w:bottom w:val="single" w:color="000000" w:sz="8" w:space="0"/>
              <w:right w:val="single" w:color="000000" w:sz="8" w:space="0"/>
            </w:tcBorders>
            <w:vAlign w:val="center"/>
          </w:tcPr>
          <w:p w14:paraId="77DAA84D">
            <w:pPr>
              <w:pStyle w:val="1535"/>
              <w:rPr>
                <w:snapToGrid/>
              </w:rPr>
            </w:pPr>
            <w:r>
              <w:rPr>
                <w:rFonts w:hint="eastAsia"/>
                <w:snapToGrid/>
              </w:rPr>
              <w:t>0.004</w:t>
            </w:r>
          </w:p>
        </w:tc>
        <w:tc>
          <w:tcPr>
            <w:tcW w:w="850" w:type="dxa"/>
            <w:tcBorders>
              <w:top w:val="nil"/>
              <w:left w:val="nil"/>
              <w:bottom w:val="single" w:color="000000" w:sz="8" w:space="0"/>
              <w:right w:val="single" w:color="000000" w:sz="8" w:space="0"/>
            </w:tcBorders>
            <w:vAlign w:val="center"/>
          </w:tcPr>
          <w:p w14:paraId="1A779C98">
            <w:pPr>
              <w:pStyle w:val="1535"/>
              <w:rPr>
                <w:snapToGrid/>
              </w:rPr>
            </w:pPr>
            <w:r>
              <w:rPr>
                <w:snapToGrid/>
              </w:rPr>
              <w:t>/</w:t>
            </w:r>
          </w:p>
        </w:tc>
        <w:tc>
          <w:tcPr>
            <w:tcW w:w="765" w:type="dxa"/>
            <w:tcBorders>
              <w:top w:val="nil"/>
              <w:left w:val="nil"/>
              <w:bottom w:val="single" w:color="000000" w:sz="8" w:space="0"/>
              <w:right w:val="single" w:color="000000" w:sz="8" w:space="0"/>
            </w:tcBorders>
            <w:vAlign w:val="center"/>
          </w:tcPr>
          <w:p w14:paraId="79BF2831">
            <w:pPr>
              <w:pStyle w:val="1535"/>
              <w:rPr>
                <w:snapToGrid/>
              </w:rPr>
            </w:pPr>
            <w:r>
              <w:rPr>
                <w:snapToGrid/>
              </w:rPr>
              <w:t>/</w:t>
            </w:r>
          </w:p>
        </w:tc>
      </w:tr>
      <w:tr w14:paraId="304CBEE9">
        <w:tblPrEx>
          <w:tblCellMar>
            <w:top w:w="0" w:type="dxa"/>
            <w:left w:w="108" w:type="dxa"/>
            <w:bottom w:w="0" w:type="dxa"/>
            <w:right w:w="108" w:type="dxa"/>
          </w:tblCellMar>
        </w:tblPrEx>
        <w:trPr>
          <w:trHeight w:val="20" w:hRule="atLeast"/>
          <w:jc w:val="center"/>
        </w:trPr>
        <w:tc>
          <w:tcPr>
            <w:tcW w:w="3392" w:type="dxa"/>
            <w:gridSpan w:val="4"/>
            <w:vMerge w:val="continue"/>
            <w:tcBorders>
              <w:top w:val="nil"/>
              <w:left w:val="single" w:color="000000" w:sz="8" w:space="0"/>
              <w:bottom w:val="single" w:color="000000" w:sz="8" w:space="0"/>
              <w:right w:val="single" w:color="000000" w:sz="8" w:space="0"/>
            </w:tcBorders>
            <w:vAlign w:val="center"/>
          </w:tcPr>
          <w:p w14:paraId="02C99E99">
            <w:pPr>
              <w:pStyle w:val="1535"/>
              <w:rPr>
                <w:snapToGrid/>
              </w:rPr>
            </w:pPr>
          </w:p>
        </w:tc>
        <w:tc>
          <w:tcPr>
            <w:tcW w:w="1790" w:type="dxa"/>
            <w:gridSpan w:val="2"/>
            <w:tcBorders>
              <w:top w:val="nil"/>
              <w:left w:val="nil"/>
              <w:bottom w:val="single" w:color="000000" w:sz="8" w:space="0"/>
              <w:right w:val="single" w:color="000000" w:sz="8" w:space="0"/>
            </w:tcBorders>
            <w:vAlign w:val="center"/>
          </w:tcPr>
          <w:p w14:paraId="0BD610E0">
            <w:pPr>
              <w:pStyle w:val="1535"/>
              <w:rPr>
                <w:snapToGrid/>
              </w:rPr>
            </w:pPr>
            <w:r>
              <w:rPr>
                <w:rFonts w:hint="eastAsia"/>
                <w:snapToGrid/>
              </w:rPr>
              <w:t>碳黑尘</w:t>
            </w:r>
          </w:p>
        </w:tc>
        <w:tc>
          <w:tcPr>
            <w:tcW w:w="904" w:type="dxa"/>
            <w:tcBorders>
              <w:top w:val="nil"/>
              <w:left w:val="nil"/>
              <w:bottom w:val="single" w:color="000000" w:sz="8" w:space="0"/>
              <w:right w:val="single" w:color="000000" w:sz="8" w:space="0"/>
            </w:tcBorders>
            <w:vAlign w:val="center"/>
          </w:tcPr>
          <w:p w14:paraId="2E522B2F">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214F7153">
            <w:pPr>
              <w:pStyle w:val="1535"/>
              <w:rPr>
                <w:snapToGrid/>
              </w:rPr>
            </w:pPr>
            <w:r>
              <w:rPr>
                <w:rFonts w:hint="eastAsia"/>
                <w:snapToGrid/>
              </w:rPr>
              <w:t>0.077</w:t>
            </w:r>
          </w:p>
        </w:tc>
        <w:tc>
          <w:tcPr>
            <w:tcW w:w="2977" w:type="dxa"/>
            <w:tcBorders>
              <w:top w:val="nil"/>
              <w:left w:val="nil"/>
              <w:bottom w:val="single" w:color="000000" w:sz="8" w:space="0"/>
              <w:right w:val="single" w:color="000000" w:sz="8" w:space="0"/>
            </w:tcBorders>
            <w:vAlign w:val="center"/>
          </w:tcPr>
          <w:p w14:paraId="7FBB3DC6">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4D3DDB77">
            <w:pPr>
              <w:pStyle w:val="1535"/>
              <w:rPr>
                <w:snapToGrid/>
              </w:rPr>
            </w:pPr>
            <w:r>
              <w:rPr>
                <w:snapToGrid/>
              </w:rPr>
              <w:t>/</w:t>
            </w:r>
          </w:p>
        </w:tc>
        <w:tc>
          <w:tcPr>
            <w:tcW w:w="709" w:type="dxa"/>
            <w:tcBorders>
              <w:top w:val="nil"/>
              <w:left w:val="nil"/>
              <w:bottom w:val="single" w:color="000000" w:sz="8" w:space="0"/>
              <w:right w:val="single" w:color="000000" w:sz="8" w:space="0"/>
            </w:tcBorders>
            <w:vAlign w:val="center"/>
          </w:tcPr>
          <w:p w14:paraId="59193022">
            <w:pPr>
              <w:pStyle w:val="1535"/>
              <w:rPr>
                <w:snapToGrid/>
              </w:rPr>
            </w:pPr>
            <w:r>
              <w:rPr>
                <w:snapToGrid/>
              </w:rPr>
              <w:t>/</w:t>
            </w:r>
          </w:p>
        </w:tc>
        <w:tc>
          <w:tcPr>
            <w:tcW w:w="851" w:type="dxa"/>
            <w:tcBorders>
              <w:top w:val="nil"/>
              <w:left w:val="nil"/>
              <w:bottom w:val="single" w:color="000000" w:sz="8" w:space="0"/>
              <w:right w:val="single" w:color="000000" w:sz="8" w:space="0"/>
            </w:tcBorders>
            <w:vAlign w:val="center"/>
          </w:tcPr>
          <w:p w14:paraId="36586244">
            <w:pPr>
              <w:pStyle w:val="1535"/>
              <w:rPr>
                <w:snapToGrid/>
              </w:rPr>
            </w:pPr>
            <w:r>
              <w:rPr>
                <w:snapToGrid/>
              </w:rPr>
              <w:t>0.0</w:t>
            </w:r>
            <w:r>
              <w:rPr>
                <w:rFonts w:hint="eastAsia"/>
                <w:snapToGrid/>
              </w:rPr>
              <w:t>64</w:t>
            </w:r>
            <w:r>
              <w:rPr>
                <w:snapToGrid/>
              </w:rPr>
              <w:t xml:space="preserve"> </w:t>
            </w:r>
          </w:p>
        </w:tc>
        <w:tc>
          <w:tcPr>
            <w:tcW w:w="850" w:type="dxa"/>
            <w:tcBorders>
              <w:top w:val="nil"/>
              <w:left w:val="nil"/>
              <w:bottom w:val="single" w:color="000000" w:sz="8" w:space="0"/>
              <w:right w:val="single" w:color="000000" w:sz="8" w:space="0"/>
            </w:tcBorders>
            <w:vAlign w:val="center"/>
          </w:tcPr>
          <w:p w14:paraId="77BEA357">
            <w:pPr>
              <w:pStyle w:val="1535"/>
              <w:rPr>
                <w:snapToGrid/>
              </w:rPr>
            </w:pPr>
            <w:r>
              <w:rPr>
                <w:snapToGrid/>
              </w:rPr>
              <w:t>/</w:t>
            </w:r>
          </w:p>
        </w:tc>
        <w:tc>
          <w:tcPr>
            <w:tcW w:w="765" w:type="dxa"/>
            <w:tcBorders>
              <w:top w:val="nil"/>
              <w:left w:val="nil"/>
              <w:bottom w:val="single" w:color="000000" w:sz="8" w:space="0"/>
              <w:right w:val="single" w:color="000000" w:sz="8" w:space="0"/>
            </w:tcBorders>
            <w:vAlign w:val="center"/>
          </w:tcPr>
          <w:p w14:paraId="678D3C3C">
            <w:pPr>
              <w:pStyle w:val="1535"/>
              <w:rPr>
                <w:snapToGrid/>
              </w:rPr>
            </w:pPr>
            <w:r>
              <w:rPr>
                <w:snapToGrid/>
              </w:rPr>
              <w:t>/</w:t>
            </w:r>
          </w:p>
        </w:tc>
      </w:tr>
      <w:tr w14:paraId="24DA0266">
        <w:tblPrEx>
          <w:tblCellMar>
            <w:top w:w="0" w:type="dxa"/>
            <w:left w:w="108" w:type="dxa"/>
            <w:bottom w:w="0" w:type="dxa"/>
            <w:right w:w="108" w:type="dxa"/>
          </w:tblCellMar>
        </w:tblPrEx>
        <w:trPr>
          <w:trHeight w:val="20" w:hRule="atLeast"/>
          <w:jc w:val="center"/>
        </w:trPr>
        <w:tc>
          <w:tcPr>
            <w:tcW w:w="3392" w:type="dxa"/>
            <w:gridSpan w:val="4"/>
            <w:vMerge w:val="continue"/>
            <w:tcBorders>
              <w:top w:val="nil"/>
              <w:left w:val="single" w:color="000000" w:sz="8" w:space="0"/>
              <w:bottom w:val="single" w:color="000000" w:sz="8" w:space="0"/>
              <w:right w:val="single" w:color="000000" w:sz="8" w:space="0"/>
            </w:tcBorders>
            <w:vAlign w:val="center"/>
          </w:tcPr>
          <w:p w14:paraId="0B44C6D1">
            <w:pPr>
              <w:pStyle w:val="1535"/>
              <w:rPr>
                <w:snapToGrid/>
              </w:rPr>
            </w:pPr>
          </w:p>
        </w:tc>
        <w:tc>
          <w:tcPr>
            <w:tcW w:w="1790" w:type="dxa"/>
            <w:gridSpan w:val="2"/>
            <w:tcBorders>
              <w:top w:val="nil"/>
              <w:left w:val="nil"/>
              <w:bottom w:val="single" w:color="000000" w:sz="8" w:space="0"/>
              <w:right w:val="single" w:color="000000" w:sz="8" w:space="0"/>
            </w:tcBorders>
            <w:vAlign w:val="center"/>
          </w:tcPr>
          <w:p w14:paraId="688BEF0E">
            <w:pPr>
              <w:pStyle w:val="1535"/>
              <w:rPr>
                <w:snapToGrid/>
              </w:rPr>
            </w:pPr>
            <w:r>
              <w:rPr>
                <w:rFonts w:hint="eastAsia"/>
                <w:snapToGrid/>
              </w:rPr>
              <w:t>非甲烷总烃（未反应MTS以非甲烷总烃计）</w:t>
            </w:r>
          </w:p>
        </w:tc>
        <w:tc>
          <w:tcPr>
            <w:tcW w:w="904" w:type="dxa"/>
            <w:tcBorders>
              <w:top w:val="nil"/>
              <w:left w:val="nil"/>
              <w:bottom w:val="single" w:color="000000" w:sz="8" w:space="0"/>
              <w:right w:val="single" w:color="000000" w:sz="8" w:space="0"/>
            </w:tcBorders>
            <w:vAlign w:val="center"/>
          </w:tcPr>
          <w:p w14:paraId="5B5ECF97">
            <w:pPr>
              <w:pStyle w:val="1535"/>
              <w:rPr>
                <w:snapToGrid/>
              </w:rPr>
            </w:pPr>
            <w:r>
              <w:rPr>
                <w:rFonts w:hint="eastAsia"/>
                <w:snapToGrid/>
              </w:rPr>
              <w:t>/</w:t>
            </w:r>
          </w:p>
        </w:tc>
        <w:tc>
          <w:tcPr>
            <w:tcW w:w="850" w:type="dxa"/>
            <w:tcBorders>
              <w:top w:val="nil"/>
              <w:left w:val="nil"/>
              <w:bottom w:val="single" w:color="000000" w:sz="8" w:space="0"/>
              <w:right w:val="single" w:color="000000" w:sz="8" w:space="0"/>
            </w:tcBorders>
            <w:vAlign w:val="center"/>
          </w:tcPr>
          <w:p w14:paraId="5F4EB616">
            <w:pPr>
              <w:pStyle w:val="1535"/>
              <w:rPr>
                <w:snapToGrid/>
              </w:rPr>
            </w:pPr>
            <w:r>
              <w:rPr>
                <w:rFonts w:hint="eastAsia"/>
                <w:snapToGrid/>
              </w:rPr>
              <w:t>2.40</w:t>
            </w:r>
          </w:p>
        </w:tc>
        <w:tc>
          <w:tcPr>
            <w:tcW w:w="2977" w:type="dxa"/>
            <w:tcBorders>
              <w:top w:val="nil"/>
              <w:left w:val="nil"/>
              <w:bottom w:val="single" w:color="000000" w:sz="8" w:space="0"/>
              <w:right w:val="single" w:color="000000" w:sz="8" w:space="0"/>
            </w:tcBorders>
            <w:vAlign w:val="center"/>
          </w:tcPr>
          <w:p w14:paraId="69AC48D9">
            <w:pPr>
              <w:pStyle w:val="1535"/>
              <w:rPr>
                <w:snapToGrid/>
              </w:rPr>
            </w:pPr>
            <w:r>
              <w:rPr>
                <w:rFonts w:hint="eastAsia"/>
                <w:snapToGrid/>
              </w:rPr>
              <w:t>/</w:t>
            </w:r>
          </w:p>
        </w:tc>
        <w:tc>
          <w:tcPr>
            <w:tcW w:w="850" w:type="dxa"/>
            <w:tcBorders>
              <w:top w:val="nil"/>
              <w:left w:val="nil"/>
              <w:bottom w:val="single" w:color="000000" w:sz="8" w:space="0"/>
              <w:right w:val="single" w:color="000000" w:sz="8" w:space="0"/>
            </w:tcBorders>
            <w:vAlign w:val="center"/>
          </w:tcPr>
          <w:p w14:paraId="1173AB64">
            <w:pPr>
              <w:pStyle w:val="1535"/>
              <w:rPr>
                <w:snapToGrid/>
              </w:rPr>
            </w:pPr>
            <w:r>
              <w:rPr>
                <w:rFonts w:hint="eastAsia"/>
                <w:snapToGrid/>
              </w:rPr>
              <w:t>/</w:t>
            </w:r>
          </w:p>
        </w:tc>
        <w:tc>
          <w:tcPr>
            <w:tcW w:w="709" w:type="dxa"/>
            <w:tcBorders>
              <w:top w:val="nil"/>
              <w:left w:val="nil"/>
              <w:bottom w:val="single" w:color="000000" w:sz="8" w:space="0"/>
              <w:right w:val="single" w:color="000000" w:sz="8" w:space="0"/>
            </w:tcBorders>
            <w:vAlign w:val="center"/>
          </w:tcPr>
          <w:p w14:paraId="1D82C6CA">
            <w:pPr>
              <w:pStyle w:val="1535"/>
              <w:rPr>
                <w:snapToGrid/>
              </w:rPr>
            </w:pPr>
            <w:r>
              <w:rPr>
                <w:rFonts w:hint="eastAsia"/>
                <w:snapToGrid/>
              </w:rPr>
              <w:t>/</w:t>
            </w:r>
          </w:p>
        </w:tc>
        <w:tc>
          <w:tcPr>
            <w:tcW w:w="851" w:type="dxa"/>
            <w:tcBorders>
              <w:top w:val="nil"/>
              <w:left w:val="nil"/>
              <w:bottom w:val="single" w:color="000000" w:sz="8" w:space="0"/>
              <w:right w:val="single" w:color="000000" w:sz="8" w:space="0"/>
            </w:tcBorders>
            <w:vAlign w:val="center"/>
          </w:tcPr>
          <w:p w14:paraId="3D10F459">
            <w:pPr>
              <w:pStyle w:val="1535"/>
              <w:rPr>
                <w:snapToGrid/>
              </w:rPr>
            </w:pPr>
            <w:r>
              <w:rPr>
                <w:rFonts w:hint="eastAsia"/>
                <w:snapToGrid/>
              </w:rPr>
              <w:t>0.005</w:t>
            </w:r>
          </w:p>
        </w:tc>
        <w:tc>
          <w:tcPr>
            <w:tcW w:w="850" w:type="dxa"/>
            <w:tcBorders>
              <w:top w:val="nil"/>
              <w:left w:val="nil"/>
              <w:bottom w:val="single" w:color="000000" w:sz="8" w:space="0"/>
              <w:right w:val="single" w:color="000000" w:sz="8" w:space="0"/>
            </w:tcBorders>
            <w:vAlign w:val="center"/>
          </w:tcPr>
          <w:p w14:paraId="4E7AC051">
            <w:pPr>
              <w:pStyle w:val="1535"/>
              <w:rPr>
                <w:snapToGrid/>
              </w:rPr>
            </w:pPr>
            <w:r>
              <w:rPr>
                <w:rFonts w:hint="eastAsia"/>
                <w:snapToGrid/>
              </w:rPr>
              <w:t>/</w:t>
            </w:r>
          </w:p>
        </w:tc>
        <w:tc>
          <w:tcPr>
            <w:tcW w:w="765" w:type="dxa"/>
            <w:tcBorders>
              <w:top w:val="nil"/>
              <w:left w:val="nil"/>
              <w:bottom w:val="single" w:color="000000" w:sz="8" w:space="0"/>
              <w:right w:val="single" w:color="000000" w:sz="8" w:space="0"/>
            </w:tcBorders>
            <w:vAlign w:val="center"/>
          </w:tcPr>
          <w:p w14:paraId="5630AFED">
            <w:pPr>
              <w:pStyle w:val="1535"/>
              <w:rPr>
                <w:snapToGrid/>
              </w:rPr>
            </w:pPr>
            <w:r>
              <w:rPr>
                <w:rFonts w:hint="eastAsia"/>
                <w:snapToGrid/>
              </w:rPr>
              <w:t>/</w:t>
            </w:r>
          </w:p>
        </w:tc>
      </w:tr>
      <w:tr w14:paraId="7CFA49D5">
        <w:tblPrEx>
          <w:tblCellMar>
            <w:top w:w="0" w:type="dxa"/>
            <w:left w:w="108" w:type="dxa"/>
            <w:bottom w:w="0" w:type="dxa"/>
            <w:right w:w="108" w:type="dxa"/>
          </w:tblCellMar>
        </w:tblPrEx>
        <w:trPr>
          <w:trHeight w:val="20" w:hRule="atLeast"/>
          <w:jc w:val="center"/>
        </w:trPr>
        <w:tc>
          <w:tcPr>
            <w:tcW w:w="13938" w:type="dxa"/>
            <w:gridSpan w:val="14"/>
            <w:tcBorders>
              <w:top w:val="nil"/>
              <w:left w:val="single" w:color="000000" w:sz="8" w:space="0"/>
              <w:bottom w:val="single" w:color="000000" w:sz="8" w:space="0"/>
              <w:right w:val="single" w:color="000000" w:sz="8" w:space="0"/>
            </w:tcBorders>
            <w:vAlign w:val="center"/>
          </w:tcPr>
          <w:p w14:paraId="5A9ABABA">
            <w:pPr>
              <w:pStyle w:val="1535"/>
              <w:rPr>
                <w:snapToGrid/>
              </w:rPr>
            </w:pPr>
            <w:r>
              <w:rPr>
                <w:snapToGrid/>
              </w:rPr>
              <w:t>二、无组织排放</w:t>
            </w:r>
          </w:p>
        </w:tc>
      </w:tr>
      <w:tr w14:paraId="37813F3B">
        <w:tblPrEx>
          <w:tblCellMar>
            <w:top w:w="0" w:type="dxa"/>
            <w:left w:w="108" w:type="dxa"/>
            <w:bottom w:w="0" w:type="dxa"/>
            <w:right w:w="108" w:type="dxa"/>
          </w:tblCellMar>
        </w:tblPrEx>
        <w:trPr>
          <w:trHeight w:val="20" w:hRule="atLeast"/>
          <w:jc w:val="center"/>
        </w:trPr>
        <w:tc>
          <w:tcPr>
            <w:tcW w:w="3392" w:type="dxa"/>
            <w:gridSpan w:val="4"/>
            <w:vMerge w:val="restart"/>
            <w:tcBorders>
              <w:top w:val="nil"/>
              <w:left w:val="single" w:color="000000" w:sz="8" w:space="0"/>
              <w:bottom w:val="single" w:color="000000" w:sz="8" w:space="0"/>
              <w:right w:val="single" w:color="000000" w:sz="8" w:space="0"/>
            </w:tcBorders>
            <w:vAlign w:val="center"/>
          </w:tcPr>
          <w:p w14:paraId="28EF6F89">
            <w:pPr>
              <w:pStyle w:val="1535"/>
              <w:rPr>
                <w:snapToGrid/>
              </w:rPr>
            </w:pPr>
            <w:r>
              <w:rPr>
                <w:snapToGrid/>
              </w:rPr>
              <w:t>厂房</w:t>
            </w:r>
          </w:p>
        </w:tc>
        <w:tc>
          <w:tcPr>
            <w:tcW w:w="1790" w:type="dxa"/>
            <w:gridSpan w:val="2"/>
            <w:tcBorders>
              <w:top w:val="nil"/>
              <w:left w:val="nil"/>
              <w:bottom w:val="single" w:color="000000" w:sz="8" w:space="0"/>
              <w:right w:val="single" w:color="000000" w:sz="8" w:space="0"/>
            </w:tcBorders>
            <w:vAlign w:val="center"/>
          </w:tcPr>
          <w:p w14:paraId="049697B1">
            <w:pPr>
              <w:pStyle w:val="1535"/>
              <w:rPr>
                <w:snapToGrid/>
              </w:rPr>
            </w:pPr>
            <w:r>
              <w:rPr>
                <w:snapToGrid/>
              </w:rPr>
              <w:t>氟化物</w:t>
            </w:r>
          </w:p>
        </w:tc>
        <w:tc>
          <w:tcPr>
            <w:tcW w:w="904" w:type="dxa"/>
            <w:tcBorders>
              <w:top w:val="nil"/>
              <w:left w:val="nil"/>
              <w:bottom w:val="single" w:color="000000" w:sz="8" w:space="0"/>
              <w:right w:val="single" w:color="000000" w:sz="8" w:space="0"/>
            </w:tcBorders>
            <w:vAlign w:val="center"/>
          </w:tcPr>
          <w:p w14:paraId="20460844">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39B7DD90">
            <w:pPr>
              <w:pStyle w:val="1535"/>
              <w:rPr>
                <w:snapToGrid/>
              </w:rPr>
            </w:pPr>
            <w:r>
              <w:rPr>
                <w:snapToGrid/>
              </w:rPr>
              <w:t>0.0</w:t>
            </w:r>
            <w:r>
              <w:rPr>
                <w:rFonts w:hint="eastAsia"/>
                <w:snapToGrid/>
              </w:rPr>
              <w:t>04</w:t>
            </w:r>
          </w:p>
        </w:tc>
        <w:tc>
          <w:tcPr>
            <w:tcW w:w="2977" w:type="dxa"/>
            <w:tcBorders>
              <w:top w:val="nil"/>
              <w:left w:val="nil"/>
              <w:bottom w:val="single" w:color="000000" w:sz="8" w:space="0"/>
              <w:right w:val="single" w:color="000000" w:sz="8" w:space="0"/>
            </w:tcBorders>
            <w:vAlign w:val="center"/>
          </w:tcPr>
          <w:p w14:paraId="5DBBB461">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0503C9A1">
            <w:pPr>
              <w:pStyle w:val="1535"/>
              <w:rPr>
                <w:snapToGrid/>
              </w:rPr>
            </w:pPr>
            <w:r>
              <w:rPr>
                <w:snapToGrid/>
              </w:rPr>
              <w:t>/</w:t>
            </w:r>
          </w:p>
        </w:tc>
        <w:tc>
          <w:tcPr>
            <w:tcW w:w="709" w:type="dxa"/>
            <w:tcBorders>
              <w:top w:val="nil"/>
              <w:left w:val="nil"/>
              <w:bottom w:val="single" w:color="000000" w:sz="8" w:space="0"/>
              <w:right w:val="single" w:color="000000" w:sz="8" w:space="0"/>
            </w:tcBorders>
            <w:vAlign w:val="center"/>
          </w:tcPr>
          <w:p w14:paraId="7D5AD789">
            <w:pPr>
              <w:pStyle w:val="1535"/>
              <w:rPr>
                <w:snapToGrid/>
              </w:rPr>
            </w:pPr>
            <w:r>
              <w:rPr>
                <w:snapToGrid/>
              </w:rPr>
              <w:t>/</w:t>
            </w:r>
          </w:p>
        </w:tc>
        <w:tc>
          <w:tcPr>
            <w:tcW w:w="851" w:type="dxa"/>
            <w:tcBorders>
              <w:top w:val="nil"/>
              <w:left w:val="nil"/>
              <w:bottom w:val="single" w:color="000000" w:sz="8" w:space="0"/>
              <w:right w:val="single" w:color="000000" w:sz="8" w:space="0"/>
            </w:tcBorders>
            <w:vAlign w:val="center"/>
          </w:tcPr>
          <w:p w14:paraId="210BAFDD">
            <w:pPr>
              <w:pStyle w:val="1535"/>
              <w:rPr>
                <w:snapToGrid/>
              </w:rPr>
            </w:pPr>
            <w:r>
              <w:rPr>
                <w:snapToGrid/>
              </w:rPr>
              <w:t>0.0</w:t>
            </w:r>
            <w:r>
              <w:rPr>
                <w:rFonts w:hint="eastAsia"/>
                <w:snapToGrid/>
              </w:rPr>
              <w:t>04</w:t>
            </w:r>
          </w:p>
        </w:tc>
        <w:tc>
          <w:tcPr>
            <w:tcW w:w="850" w:type="dxa"/>
            <w:tcBorders>
              <w:top w:val="nil"/>
              <w:left w:val="nil"/>
              <w:bottom w:val="single" w:color="000000" w:sz="8" w:space="0"/>
              <w:right w:val="single" w:color="000000" w:sz="8" w:space="0"/>
            </w:tcBorders>
            <w:vAlign w:val="center"/>
          </w:tcPr>
          <w:p w14:paraId="586665F5">
            <w:pPr>
              <w:pStyle w:val="1535"/>
              <w:rPr>
                <w:snapToGrid/>
              </w:rPr>
            </w:pPr>
            <w:r>
              <w:rPr>
                <w:snapToGrid/>
              </w:rPr>
              <w:t>/</w:t>
            </w:r>
          </w:p>
        </w:tc>
        <w:tc>
          <w:tcPr>
            <w:tcW w:w="765" w:type="dxa"/>
            <w:tcBorders>
              <w:top w:val="nil"/>
              <w:left w:val="nil"/>
              <w:bottom w:val="single" w:color="000000" w:sz="8" w:space="0"/>
              <w:right w:val="single" w:color="000000" w:sz="8" w:space="0"/>
            </w:tcBorders>
            <w:vAlign w:val="center"/>
          </w:tcPr>
          <w:p w14:paraId="6B625C71">
            <w:pPr>
              <w:pStyle w:val="1535"/>
              <w:rPr>
                <w:snapToGrid/>
              </w:rPr>
            </w:pPr>
            <w:r>
              <w:rPr>
                <w:snapToGrid/>
              </w:rPr>
              <w:t>/</w:t>
            </w:r>
          </w:p>
        </w:tc>
      </w:tr>
      <w:tr w14:paraId="26581600">
        <w:tblPrEx>
          <w:tblCellMar>
            <w:top w:w="0" w:type="dxa"/>
            <w:left w:w="108" w:type="dxa"/>
            <w:bottom w:w="0" w:type="dxa"/>
            <w:right w:w="108" w:type="dxa"/>
          </w:tblCellMar>
        </w:tblPrEx>
        <w:trPr>
          <w:trHeight w:val="20" w:hRule="atLeast"/>
          <w:jc w:val="center"/>
        </w:trPr>
        <w:tc>
          <w:tcPr>
            <w:tcW w:w="3392" w:type="dxa"/>
            <w:gridSpan w:val="4"/>
            <w:vMerge w:val="continue"/>
            <w:tcBorders>
              <w:top w:val="nil"/>
              <w:left w:val="single" w:color="000000" w:sz="8" w:space="0"/>
              <w:bottom w:val="single" w:color="000000" w:sz="8" w:space="0"/>
              <w:right w:val="single" w:color="000000" w:sz="8" w:space="0"/>
            </w:tcBorders>
            <w:vAlign w:val="center"/>
          </w:tcPr>
          <w:p w14:paraId="74638EBA">
            <w:pPr>
              <w:pStyle w:val="1535"/>
              <w:rPr>
                <w:snapToGrid/>
              </w:rPr>
            </w:pPr>
          </w:p>
        </w:tc>
        <w:tc>
          <w:tcPr>
            <w:tcW w:w="1790" w:type="dxa"/>
            <w:gridSpan w:val="2"/>
            <w:tcBorders>
              <w:top w:val="nil"/>
              <w:left w:val="nil"/>
              <w:bottom w:val="single" w:color="000000" w:sz="8" w:space="0"/>
              <w:right w:val="single" w:color="000000" w:sz="8" w:space="0"/>
            </w:tcBorders>
            <w:vAlign w:val="center"/>
          </w:tcPr>
          <w:p w14:paraId="2A675CAC">
            <w:pPr>
              <w:pStyle w:val="1535"/>
              <w:rPr>
                <w:snapToGrid/>
              </w:rPr>
            </w:pPr>
            <w:r>
              <w:rPr>
                <w:rFonts w:hint="eastAsia"/>
                <w:snapToGrid/>
              </w:rPr>
              <w:t>碳黑尘</w:t>
            </w:r>
          </w:p>
        </w:tc>
        <w:tc>
          <w:tcPr>
            <w:tcW w:w="904" w:type="dxa"/>
            <w:tcBorders>
              <w:top w:val="nil"/>
              <w:left w:val="nil"/>
              <w:bottom w:val="single" w:color="000000" w:sz="8" w:space="0"/>
              <w:right w:val="single" w:color="000000" w:sz="8" w:space="0"/>
            </w:tcBorders>
            <w:vAlign w:val="center"/>
          </w:tcPr>
          <w:p w14:paraId="5A5B09ED">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7198A1F6">
            <w:pPr>
              <w:pStyle w:val="1535"/>
              <w:rPr>
                <w:snapToGrid/>
              </w:rPr>
            </w:pPr>
            <w:r>
              <w:rPr>
                <w:snapToGrid/>
              </w:rPr>
              <w:t>0.00</w:t>
            </w:r>
            <w:r>
              <w:rPr>
                <w:rFonts w:hint="eastAsia"/>
                <w:snapToGrid/>
              </w:rPr>
              <w:t>4</w:t>
            </w:r>
          </w:p>
        </w:tc>
        <w:tc>
          <w:tcPr>
            <w:tcW w:w="2977" w:type="dxa"/>
            <w:tcBorders>
              <w:top w:val="nil"/>
              <w:left w:val="nil"/>
              <w:bottom w:val="single" w:color="000000" w:sz="8" w:space="0"/>
              <w:right w:val="single" w:color="000000" w:sz="8" w:space="0"/>
            </w:tcBorders>
            <w:vAlign w:val="center"/>
          </w:tcPr>
          <w:p w14:paraId="078A448B">
            <w:pPr>
              <w:pStyle w:val="1535"/>
              <w:rPr>
                <w:snapToGrid/>
              </w:rPr>
            </w:pPr>
            <w:r>
              <w:rPr>
                <w:snapToGrid/>
              </w:rPr>
              <w:t>/</w:t>
            </w:r>
          </w:p>
        </w:tc>
        <w:tc>
          <w:tcPr>
            <w:tcW w:w="850" w:type="dxa"/>
            <w:tcBorders>
              <w:top w:val="nil"/>
              <w:left w:val="nil"/>
              <w:bottom w:val="single" w:color="000000" w:sz="8" w:space="0"/>
              <w:right w:val="single" w:color="000000" w:sz="8" w:space="0"/>
            </w:tcBorders>
            <w:vAlign w:val="center"/>
          </w:tcPr>
          <w:p w14:paraId="5E744ACE">
            <w:pPr>
              <w:pStyle w:val="1535"/>
              <w:rPr>
                <w:snapToGrid/>
              </w:rPr>
            </w:pPr>
            <w:r>
              <w:rPr>
                <w:snapToGrid/>
              </w:rPr>
              <w:t>/</w:t>
            </w:r>
          </w:p>
        </w:tc>
        <w:tc>
          <w:tcPr>
            <w:tcW w:w="709" w:type="dxa"/>
            <w:tcBorders>
              <w:top w:val="nil"/>
              <w:left w:val="nil"/>
              <w:bottom w:val="single" w:color="000000" w:sz="8" w:space="0"/>
              <w:right w:val="single" w:color="000000" w:sz="8" w:space="0"/>
            </w:tcBorders>
            <w:vAlign w:val="center"/>
          </w:tcPr>
          <w:p w14:paraId="2E66B786">
            <w:pPr>
              <w:pStyle w:val="1535"/>
              <w:rPr>
                <w:snapToGrid/>
              </w:rPr>
            </w:pPr>
            <w:r>
              <w:rPr>
                <w:snapToGrid/>
              </w:rPr>
              <w:t>/</w:t>
            </w:r>
          </w:p>
        </w:tc>
        <w:tc>
          <w:tcPr>
            <w:tcW w:w="851" w:type="dxa"/>
            <w:tcBorders>
              <w:top w:val="nil"/>
              <w:left w:val="nil"/>
              <w:bottom w:val="single" w:color="000000" w:sz="8" w:space="0"/>
              <w:right w:val="single" w:color="000000" w:sz="8" w:space="0"/>
            </w:tcBorders>
            <w:vAlign w:val="center"/>
          </w:tcPr>
          <w:p w14:paraId="359B5EBB">
            <w:pPr>
              <w:pStyle w:val="1535"/>
              <w:rPr>
                <w:snapToGrid/>
              </w:rPr>
            </w:pPr>
            <w:r>
              <w:rPr>
                <w:snapToGrid/>
              </w:rPr>
              <w:t>0.00</w:t>
            </w:r>
            <w:r>
              <w:rPr>
                <w:rFonts w:hint="eastAsia"/>
                <w:snapToGrid/>
              </w:rPr>
              <w:t>4</w:t>
            </w:r>
          </w:p>
        </w:tc>
        <w:tc>
          <w:tcPr>
            <w:tcW w:w="850" w:type="dxa"/>
            <w:tcBorders>
              <w:top w:val="nil"/>
              <w:left w:val="nil"/>
              <w:bottom w:val="single" w:color="000000" w:sz="8" w:space="0"/>
              <w:right w:val="single" w:color="000000" w:sz="8" w:space="0"/>
            </w:tcBorders>
            <w:vAlign w:val="center"/>
          </w:tcPr>
          <w:p w14:paraId="248DF79D">
            <w:pPr>
              <w:pStyle w:val="1535"/>
              <w:rPr>
                <w:snapToGrid/>
              </w:rPr>
            </w:pPr>
            <w:r>
              <w:rPr>
                <w:snapToGrid/>
              </w:rPr>
              <w:t>/</w:t>
            </w:r>
          </w:p>
        </w:tc>
        <w:tc>
          <w:tcPr>
            <w:tcW w:w="765" w:type="dxa"/>
            <w:tcBorders>
              <w:top w:val="nil"/>
              <w:left w:val="nil"/>
              <w:bottom w:val="single" w:color="000000" w:sz="8" w:space="0"/>
              <w:right w:val="single" w:color="000000" w:sz="8" w:space="0"/>
            </w:tcBorders>
            <w:vAlign w:val="center"/>
          </w:tcPr>
          <w:p w14:paraId="7561070B">
            <w:pPr>
              <w:pStyle w:val="1535"/>
              <w:rPr>
                <w:snapToGrid/>
              </w:rPr>
            </w:pPr>
            <w:r>
              <w:rPr>
                <w:snapToGrid/>
              </w:rPr>
              <w:t>/</w:t>
            </w:r>
          </w:p>
        </w:tc>
      </w:tr>
      <w:tr w14:paraId="6C167A8D">
        <w:tblPrEx>
          <w:tblCellMar>
            <w:top w:w="0" w:type="dxa"/>
            <w:left w:w="108" w:type="dxa"/>
            <w:bottom w:w="0" w:type="dxa"/>
            <w:right w:w="108" w:type="dxa"/>
          </w:tblCellMar>
        </w:tblPrEx>
        <w:trPr>
          <w:trHeight w:val="20" w:hRule="atLeast"/>
          <w:jc w:val="center"/>
        </w:trPr>
        <w:tc>
          <w:tcPr>
            <w:tcW w:w="3392" w:type="dxa"/>
            <w:gridSpan w:val="4"/>
            <w:vMerge w:val="continue"/>
            <w:tcBorders>
              <w:top w:val="nil"/>
              <w:left w:val="single" w:color="000000" w:sz="8" w:space="0"/>
              <w:bottom w:val="single" w:color="000000" w:sz="8" w:space="0"/>
              <w:right w:val="single" w:color="000000" w:sz="8" w:space="0"/>
            </w:tcBorders>
            <w:vAlign w:val="center"/>
          </w:tcPr>
          <w:p w14:paraId="1C50D226">
            <w:pPr>
              <w:pStyle w:val="1535"/>
              <w:rPr>
                <w:snapToGrid/>
              </w:rPr>
            </w:pPr>
          </w:p>
        </w:tc>
        <w:tc>
          <w:tcPr>
            <w:tcW w:w="1790" w:type="dxa"/>
            <w:gridSpan w:val="2"/>
            <w:tcBorders>
              <w:top w:val="nil"/>
              <w:left w:val="nil"/>
              <w:bottom w:val="single" w:color="000000" w:sz="8" w:space="0"/>
              <w:right w:val="single" w:color="000000" w:sz="8" w:space="0"/>
            </w:tcBorders>
            <w:vAlign w:val="center"/>
          </w:tcPr>
          <w:p w14:paraId="639AAE9B">
            <w:pPr>
              <w:pStyle w:val="1535"/>
              <w:rPr>
                <w:snapToGrid/>
              </w:rPr>
            </w:pPr>
            <w:r>
              <w:rPr>
                <w:rFonts w:hint="eastAsia"/>
                <w:snapToGrid/>
              </w:rPr>
              <w:t>非甲烷总烃</w:t>
            </w:r>
          </w:p>
        </w:tc>
        <w:tc>
          <w:tcPr>
            <w:tcW w:w="904" w:type="dxa"/>
            <w:tcBorders>
              <w:top w:val="nil"/>
              <w:left w:val="nil"/>
              <w:bottom w:val="single" w:color="000000" w:sz="8" w:space="0"/>
              <w:right w:val="single" w:color="000000" w:sz="8" w:space="0"/>
            </w:tcBorders>
            <w:vAlign w:val="center"/>
          </w:tcPr>
          <w:p w14:paraId="40294FFE">
            <w:pPr>
              <w:pStyle w:val="1535"/>
              <w:rPr>
                <w:snapToGrid/>
              </w:rPr>
            </w:pPr>
            <w:r>
              <w:rPr>
                <w:rFonts w:hint="eastAsia"/>
                <w:snapToGrid/>
              </w:rPr>
              <w:t>/</w:t>
            </w:r>
          </w:p>
        </w:tc>
        <w:tc>
          <w:tcPr>
            <w:tcW w:w="850" w:type="dxa"/>
            <w:tcBorders>
              <w:top w:val="nil"/>
              <w:left w:val="nil"/>
              <w:bottom w:val="single" w:color="000000" w:sz="8" w:space="0"/>
              <w:right w:val="single" w:color="000000" w:sz="8" w:space="0"/>
            </w:tcBorders>
            <w:vAlign w:val="center"/>
          </w:tcPr>
          <w:p w14:paraId="0BEE9B65">
            <w:pPr>
              <w:pStyle w:val="1535"/>
              <w:rPr>
                <w:snapToGrid/>
              </w:rPr>
            </w:pPr>
            <w:r>
              <w:rPr>
                <w:rFonts w:hint="eastAsia"/>
                <w:snapToGrid/>
              </w:rPr>
              <w:t>/</w:t>
            </w:r>
          </w:p>
        </w:tc>
        <w:tc>
          <w:tcPr>
            <w:tcW w:w="2977" w:type="dxa"/>
            <w:tcBorders>
              <w:top w:val="nil"/>
              <w:left w:val="nil"/>
              <w:bottom w:val="single" w:color="000000" w:sz="8" w:space="0"/>
              <w:right w:val="single" w:color="000000" w:sz="8" w:space="0"/>
            </w:tcBorders>
            <w:vAlign w:val="center"/>
          </w:tcPr>
          <w:p w14:paraId="5BCC162E">
            <w:pPr>
              <w:pStyle w:val="1535"/>
              <w:rPr>
                <w:snapToGrid/>
              </w:rPr>
            </w:pPr>
            <w:r>
              <w:rPr>
                <w:rFonts w:hint="eastAsia"/>
                <w:snapToGrid/>
              </w:rPr>
              <w:t>/</w:t>
            </w:r>
          </w:p>
        </w:tc>
        <w:tc>
          <w:tcPr>
            <w:tcW w:w="850" w:type="dxa"/>
            <w:tcBorders>
              <w:top w:val="nil"/>
              <w:left w:val="nil"/>
              <w:bottom w:val="single" w:color="000000" w:sz="8" w:space="0"/>
              <w:right w:val="single" w:color="000000" w:sz="8" w:space="0"/>
            </w:tcBorders>
            <w:vAlign w:val="center"/>
          </w:tcPr>
          <w:p w14:paraId="3F7BCE29">
            <w:pPr>
              <w:pStyle w:val="1535"/>
              <w:rPr>
                <w:snapToGrid/>
              </w:rPr>
            </w:pPr>
            <w:r>
              <w:rPr>
                <w:rFonts w:hint="eastAsia"/>
                <w:snapToGrid/>
              </w:rPr>
              <w:t>/</w:t>
            </w:r>
          </w:p>
        </w:tc>
        <w:tc>
          <w:tcPr>
            <w:tcW w:w="709" w:type="dxa"/>
            <w:tcBorders>
              <w:top w:val="nil"/>
              <w:left w:val="nil"/>
              <w:bottom w:val="single" w:color="000000" w:sz="8" w:space="0"/>
              <w:right w:val="single" w:color="000000" w:sz="8" w:space="0"/>
            </w:tcBorders>
            <w:vAlign w:val="center"/>
          </w:tcPr>
          <w:p w14:paraId="0BA0C082">
            <w:pPr>
              <w:pStyle w:val="1535"/>
              <w:rPr>
                <w:snapToGrid/>
              </w:rPr>
            </w:pPr>
            <w:r>
              <w:rPr>
                <w:rFonts w:hint="eastAsia"/>
                <w:snapToGrid/>
              </w:rPr>
              <w:t>/</w:t>
            </w:r>
          </w:p>
        </w:tc>
        <w:tc>
          <w:tcPr>
            <w:tcW w:w="851" w:type="dxa"/>
            <w:tcBorders>
              <w:top w:val="nil"/>
              <w:left w:val="nil"/>
              <w:bottom w:val="single" w:color="000000" w:sz="8" w:space="0"/>
              <w:right w:val="single" w:color="000000" w:sz="8" w:space="0"/>
            </w:tcBorders>
            <w:vAlign w:val="center"/>
          </w:tcPr>
          <w:p w14:paraId="3105E4E3">
            <w:pPr>
              <w:pStyle w:val="1535"/>
              <w:rPr>
                <w:snapToGrid/>
              </w:rPr>
            </w:pPr>
            <w:r>
              <w:rPr>
                <w:rFonts w:hint="eastAsia"/>
                <w:snapToGrid/>
              </w:rPr>
              <w:t>/</w:t>
            </w:r>
          </w:p>
        </w:tc>
        <w:tc>
          <w:tcPr>
            <w:tcW w:w="850" w:type="dxa"/>
            <w:tcBorders>
              <w:top w:val="nil"/>
              <w:left w:val="nil"/>
              <w:bottom w:val="single" w:color="000000" w:sz="8" w:space="0"/>
              <w:right w:val="single" w:color="000000" w:sz="8" w:space="0"/>
            </w:tcBorders>
            <w:vAlign w:val="center"/>
          </w:tcPr>
          <w:p w14:paraId="4A2AB201">
            <w:pPr>
              <w:pStyle w:val="1535"/>
              <w:rPr>
                <w:snapToGrid/>
              </w:rPr>
            </w:pPr>
            <w:r>
              <w:rPr>
                <w:rFonts w:hint="eastAsia"/>
                <w:snapToGrid/>
              </w:rPr>
              <w:t>/</w:t>
            </w:r>
          </w:p>
        </w:tc>
        <w:tc>
          <w:tcPr>
            <w:tcW w:w="765" w:type="dxa"/>
            <w:tcBorders>
              <w:top w:val="nil"/>
              <w:left w:val="nil"/>
              <w:bottom w:val="single" w:color="000000" w:sz="8" w:space="0"/>
              <w:right w:val="single" w:color="000000" w:sz="8" w:space="0"/>
            </w:tcBorders>
            <w:vAlign w:val="center"/>
          </w:tcPr>
          <w:p w14:paraId="62FBAC86">
            <w:pPr>
              <w:pStyle w:val="1535"/>
              <w:rPr>
                <w:snapToGrid/>
              </w:rPr>
            </w:pPr>
            <w:r>
              <w:rPr>
                <w:rFonts w:hint="eastAsia"/>
                <w:snapToGrid/>
              </w:rPr>
              <w:t>/</w:t>
            </w:r>
          </w:p>
        </w:tc>
      </w:tr>
    </w:tbl>
    <w:p w14:paraId="35686650">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DA004叠加现有污染物</w:t>
      </w:r>
      <w:r>
        <w:rPr>
          <w:color w:val="000000" w:themeColor="text1"/>
          <w14:textFill>
            <w14:solidFill>
              <w14:schemeClr w14:val="tx1"/>
            </w14:solidFill>
          </w14:textFill>
        </w:rPr>
        <w:t>后废气污染物统计表</w:t>
      </w:r>
    </w:p>
    <w:tbl>
      <w:tblPr>
        <w:tblStyle w:val="88"/>
        <w:tblW w:w="5000" w:type="pct"/>
        <w:jc w:val="center"/>
        <w:tblLayout w:type="fixed"/>
        <w:tblCellMar>
          <w:top w:w="0" w:type="dxa"/>
          <w:left w:w="108" w:type="dxa"/>
          <w:bottom w:w="0" w:type="dxa"/>
          <w:right w:w="108" w:type="dxa"/>
        </w:tblCellMar>
      </w:tblPr>
      <w:tblGrid>
        <w:gridCol w:w="952"/>
        <w:gridCol w:w="912"/>
        <w:gridCol w:w="721"/>
        <w:gridCol w:w="864"/>
        <w:gridCol w:w="1011"/>
        <w:gridCol w:w="809"/>
        <w:gridCol w:w="919"/>
        <w:gridCol w:w="864"/>
        <w:gridCol w:w="3027"/>
        <w:gridCol w:w="864"/>
        <w:gridCol w:w="721"/>
        <w:gridCol w:w="865"/>
        <w:gridCol w:w="864"/>
        <w:gridCol w:w="778"/>
      </w:tblGrid>
      <w:tr w14:paraId="69765C01">
        <w:tblPrEx>
          <w:tblCellMar>
            <w:top w:w="0" w:type="dxa"/>
            <w:left w:w="108" w:type="dxa"/>
            <w:bottom w:w="0" w:type="dxa"/>
            <w:right w:w="108" w:type="dxa"/>
          </w:tblCellMar>
        </w:tblPrEx>
        <w:trPr>
          <w:trHeight w:val="20" w:hRule="atLeast"/>
          <w:jc w:val="center"/>
        </w:trPr>
        <w:tc>
          <w:tcPr>
            <w:tcW w:w="936" w:type="dxa"/>
            <w:vMerge w:val="restart"/>
            <w:tcBorders>
              <w:top w:val="single" w:color="000000" w:sz="8" w:space="0"/>
              <w:left w:val="single" w:color="000000" w:sz="8" w:space="0"/>
              <w:bottom w:val="single" w:color="000000" w:sz="8" w:space="0"/>
              <w:right w:val="single" w:color="000000" w:sz="8" w:space="0"/>
            </w:tcBorders>
            <w:vAlign w:val="center"/>
          </w:tcPr>
          <w:p w14:paraId="0129E4E8">
            <w:pPr>
              <w:pStyle w:val="1535"/>
              <w:rPr>
                <w:snapToGrid/>
              </w:rPr>
            </w:pPr>
            <w:r>
              <w:rPr>
                <w:snapToGrid/>
              </w:rPr>
              <w:t>序号</w:t>
            </w:r>
          </w:p>
        </w:tc>
        <w:tc>
          <w:tcPr>
            <w:tcW w:w="897" w:type="dxa"/>
            <w:vMerge w:val="restart"/>
            <w:tcBorders>
              <w:top w:val="single" w:color="000000" w:sz="8" w:space="0"/>
              <w:left w:val="nil"/>
              <w:bottom w:val="single" w:color="000000" w:sz="8" w:space="0"/>
              <w:right w:val="single" w:color="000000" w:sz="8" w:space="0"/>
            </w:tcBorders>
            <w:vAlign w:val="center"/>
          </w:tcPr>
          <w:p w14:paraId="3F3F4397">
            <w:pPr>
              <w:pStyle w:val="1535"/>
              <w:rPr>
                <w:snapToGrid/>
              </w:rPr>
            </w:pPr>
            <w:r>
              <w:rPr>
                <w:snapToGrid/>
              </w:rPr>
              <w:t>类别及污染工序</w:t>
            </w:r>
          </w:p>
        </w:tc>
        <w:tc>
          <w:tcPr>
            <w:tcW w:w="1559" w:type="dxa"/>
            <w:gridSpan w:val="2"/>
            <w:vMerge w:val="restart"/>
            <w:tcBorders>
              <w:top w:val="single" w:color="000000" w:sz="8" w:space="0"/>
              <w:left w:val="nil"/>
              <w:bottom w:val="single" w:color="000000" w:sz="8" w:space="0"/>
              <w:right w:val="single" w:color="000000" w:sz="8" w:space="0"/>
            </w:tcBorders>
            <w:vAlign w:val="center"/>
          </w:tcPr>
          <w:p w14:paraId="7910D13E">
            <w:pPr>
              <w:pStyle w:val="1535"/>
              <w:rPr>
                <w:snapToGrid/>
              </w:rPr>
            </w:pPr>
            <w:r>
              <w:rPr>
                <w:snapToGrid/>
              </w:rPr>
              <w:t>风量</w:t>
            </w:r>
          </w:p>
        </w:tc>
        <w:tc>
          <w:tcPr>
            <w:tcW w:w="994" w:type="dxa"/>
            <w:vMerge w:val="restart"/>
            <w:tcBorders>
              <w:top w:val="single" w:color="000000" w:sz="8" w:space="0"/>
              <w:left w:val="nil"/>
              <w:bottom w:val="single" w:color="000000" w:sz="8" w:space="0"/>
              <w:right w:val="single" w:color="000000" w:sz="8" w:space="0"/>
            </w:tcBorders>
            <w:vAlign w:val="center"/>
          </w:tcPr>
          <w:p w14:paraId="15383794">
            <w:pPr>
              <w:pStyle w:val="1535"/>
              <w:rPr>
                <w:snapToGrid/>
              </w:rPr>
            </w:pPr>
            <w:r>
              <w:rPr>
                <w:snapToGrid/>
              </w:rPr>
              <w:t>污染物名称</w:t>
            </w:r>
          </w:p>
        </w:tc>
        <w:tc>
          <w:tcPr>
            <w:tcW w:w="796" w:type="dxa"/>
            <w:vMerge w:val="restart"/>
            <w:tcBorders>
              <w:top w:val="single" w:color="000000" w:sz="8" w:space="0"/>
              <w:left w:val="nil"/>
              <w:bottom w:val="single" w:color="000000" w:sz="8" w:space="0"/>
              <w:right w:val="single" w:color="000000" w:sz="8" w:space="0"/>
            </w:tcBorders>
            <w:vAlign w:val="center"/>
          </w:tcPr>
          <w:p w14:paraId="28B8EC94">
            <w:pPr>
              <w:pStyle w:val="1535"/>
              <w:rPr>
                <w:snapToGrid/>
              </w:rPr>
            </w:pPr>
            <w:r>
              <w:rPr>
                <w:snapToGrid/>
              </w:rPr>
              <w:t>核算方法</w:t>
            </w:r>
          </w:p>
        </w:tc>
        <w:tc>
          <w:tcPr>
            <w:tcW w:w="1754" w:type="dxa"/>
            <w:gridSpan w:val="2"/>
            <w:tcBorders>
              <w:top w:val="single" w:color="000000" w:sz="8" w:space="0"/>
              <w:left w:val="nil"/>
              <w:bottom w:val="single" w:color="000000" w:sz="8" w:space="0"/>
              <w:right w:val="single" w:color="000000" w:sz="8" w:space="0"/>
            </w:tcBorders>
            <w:vAlign w:val="center"/>
          </w:tcPr>
          <w:p w14:paraId="5958AC00">
            <w:pPr>
              <w:pStyle w:val="1535"/>
              <w:rPr>
                <w:snapToGrid/>
              </w:rPr>
            </w:pPr>
            <w:r>
              <w:rPr>
                <w:snapToGrid/>
              </w:rPr>
              <w:t>处理前</w:t>
            </w:r>
          </w:p>
        </w:tc>
        <w:tc>
          <w:tcPr>
            <w:tcW w:w="2977" w:type="dxa"/>
            <w:vMerge w:val="restart"/>
            <w:tcBorders>
              <w:top w:val="single" w:color="000000" w:sz="8" w:space="0"/>
              <w:left w:val="nil"/>
              <w:bottom w:val="single" w:color="000000" w:sz="8" w:space="0"/>
              <w:right w:val="single" w:color="000000" w:sz="8" w:space="0"/>
            </w:tcBorders>
            <w:vAlign w:val="center"/>
          </w:tcPr>
          <w:p w14:paraId="39CB6BB8">
            <w:pPr>
              <w:pStyle w:val="1535"/>
              <w:rPr>
                <w:snapToGrid/>
              </w:rPr>
            </w:pPr>
            <w:r>
              <w:rPr>
                <w:snapToGrid/>
              </w:rPr>
              <w:t>治理措施</w:t>
            </w:r>
          </w:p>
        </w:tc>
        <w:tc>
          <w:tcPr>
            <w:tcW w:w="3260" w:type="dxa"/>
            <w:gridSpan w:val="4"/>
            <w:tcBorders>
              <w:top w:val="single" w:color="000000" w:sz="8" w:space="0"/>
              <w:left w:val="nil"/>
              <w:bottom w:val="single" w:color="000000" w:sz="8" w:space="0"/>
              <w:right w:val="single" w:color="000000" w:sz="8" w:space="0"/>
            </w:tcBorders>
            <w:vAlign w:val="center"/>
          </w:tcPr>
          <w:p w14:paraId="4BF04504">
            <w:pPr>
              <w:pStyle w:val="1535"/>
              <w:rPr>
                <w:snapToGrid/>
              </w:rPr>
            </w:pPr>
            <w:r>
              <w:rPr>
                <w:snapToGrid/>
              </w:rPr>
              <w:t>处理后</w:t>
            </w:r>
          </w:p>
        </w:tc>
        <w:tc>
          <w:tcPr>
            <w:tcW w:w="765" w:type="dxa"/>
            <w:vMerge w:val="restart"/>
            <w:tcBorders>
              <w:top w:val="single" w:color="000000" w:sz="8" w:space="0"/>
              <w:left w:val="nil"/>
              <w:bottom w:val="single" w:color="000000" w:sz="8" w:space="0"/>
              <w:right w:val="single" w:color="000000" w:sz="8" w:space="0"/>
            </w:tcBorders>
            <w:vAlign w:val="center"/>
          </w:tcPr>
          <w:p w14:paraId="5B9475C1">
            <w:pPr>
              <w:pStyle w:val="1535"/>
              <w:rPr>
                <w:snapToGrid/>
              </w:rPr>
            </w:pPr>
            <w:r>
              <w:rPr>
                <w:snapToGrid/>
              </w:rPr>
              <w:t>备注</w:t>
            </w:r>
          </w:p>
        </w:tc>
      </w:tr>
      <w:tr w14:paraId="7E95C4D0">
        <w:tblPrEx>
          <w:tblCellMar>
            <w:top w:w="0" w:type="dxa"/>
            <w:left w:w="108" w:type="dxa"/>
            <w:bottom w:w="0" w:type="dxa"/>
            <w:right w:w="108" w:type="dxa"/>
          </w:tblCellMar>
        </w:tblPrEx>
        <w:trPr>
          <w:trHeight w:val="20" w:hRule="atLeast"/>
          <w:jc w:val="center"/>
        </w:trPr>
        <w:tc>
          <w:tcPr>
            <w:tcW w:w="936" w:type="dxa"/>
            <w:vMerge w:val="continue"/>
            <w:tcBorders>
              <w:top w:val="single" w:color="000000" w:sz="8" w:space="0"/>
              <w:left w:val="single" w:color="000000" w:sz="8" w:space="0"/>
              <w:bottom w:val="single" w:color="000000" w:sz="8" w:space="0"/>
              <w:right w:val="single" w:color="000000" w:sz="8" w:space="0"/>
            </w:tcBorders>
            <w:vAlign w:val="center"/>
          </w:tcPr>
          <w:p w14:paraId="7CB48BF8">
            <w:pPr>
              <w:pStyle w:val="1535"/>
              <w:rPr>
                <w:snapToGrid/>
              </w:rPr>
            </w:pPr>
          </w:p>
        </w:tc>
        <w:tc>
          <w:tcPr>
            <w:tcW w:w="897" w:type="dxa"/>
            <w:vMerge w:val="continue"/>
            <w:tcBorders>
              <w:top w:val="single" w:color="000000" w:sz="8" w:space="0"/>
              <w:left w:val="nil"/>
              <w:bottom w:val="single" w:color="000000" w:sz="8" w:space="0"/>
              <w:right w:val="single" w:color="000000" w:sz="8" w:space="0"/>
            </w:tcBorders>
            <w:vAlign w:val="center"/>
          </w:tcPr>
          <w:p w14:paraId="356AA1BB">
            <w:pPr>
              <w:pStyle w:val="1535"/>
              <w:rPr>
                <w:snapToGrid/>
              </w:rPr>
            </w:pPr>
          </w:p>
        </w:tc>
        <w:tc>
          <w:tcPr>
            <w:tcW w:w="1559" w:type="dxa"/>
            <w:gridSpan w:val="2"/>
            <w:vMerge w:val="continue"/>
            <w:tcBorders>
              <w:top w:val="single" w:color="000000" w:sz="8" w:space="0"/>
              <w:left w:val="nil"/>
              <w:bottom w:val="single" w:color="000000" w:sz="8" w:space="0"/>
              <w:right w:val="single" w:color="000000" w:sz="8" w:space="0"/>
            </w:tcBorders>
            <w:vAlign w:val="center"/>
          </w:tcPr>
          <w:p w14:paraId="56CB477E">
            <w:pPr>
              <w:pStyle w:val="1535"/>
              <w:rPr>
                <w:snapToGrid/>
              </w:rPr>
            </w:pPr>
          </w:p>
        </w:tc>
        <w:tc>
          <w:tcPr>
            <w:tcW w:w="994" w:type="dxa"/>
            <w:vMerge w:val="continue"/>
            <w:tcBorders>
              <w:top w:val="single" w:color="000000" w:sz="8" w:space="0"/>
              <w:left w:val="nil"/>
              <w:bottom w:val="single" w:color="000000" w:sz="8" w:space="0"/>
              <w:right w:val="single" w:color="000000" w:sz="8" w:space="0"/>
            </w:tcBorders>
            <w:vAlign w:val="center"/>
          </w:tcPr>
          <w:p w14:paraId="4F828E54">
            <w:pPr>
              <w:pStyle w:val="1535"/>
              <w:rPr>
                <w:snapToGrid/>
              </w:rPr>
            </w:pPr>
          </w:p>
        </w:tc>
        <w:tc>
          <w:tcPr>
            <w:tcW w:w="796" w:type="dxa"/>
            <w:vMerge w:val="continue"/>
            <w:tcBorders>
              <w:top w:val="single" w:color="000000" w:sz="8" w:space="0"/>
              <w:left w:val="nil"/>
              <w:bottom w:val="single" w:color="000000" w:sz="8" w:space="0"/>
              <w:right w:val="single" w:color="000000" w:sz="8" w:space="0"/>
            </w:tcBorders>
            <w:vAlign w:val="center"/>
          </w:tcPr>
          <w:p w14:paraId="5E9B1963">
            <w:pPr>
              <w:pStyle w:val="1535"/>
              <w:rPr>
                <w:snapToGrid/>
              </w:rPr>
            </w:pPr>
          </w:p>
        </w:tc>
        <w:tc>
          <w:tcPr>
            <w:tcW w:w="904" w:type="dxa"/>
            <w:tcBorders>
              <w:top w:val="nil"/>
              <w:left w:val="nil"/>
              <w:bottom w:val="single" w:color="000000" w:sz="8" w:space="0"/>
              <w:right w:val="single" w:color="000000" w:sz="8" w:space="0"/>
            </w:tcBorders>
            <w:vAlign w:val="center"/>
          </w:tcPr>
          <w:p w14:paraId="7F29C1E1">
            <w:pPr>
              <w:pStyle w:val="1535"/>
              <w:rPr>
                <w:snapToGrid/>
              </w:rPr>
            </w:pPr>
            <w:r>
              <w:rPr>
                <w:snapToGrid/>
              </w:rPr>
              <w:t>浓度</w:t>
            </w:r>
          </w:p>
        </w:tc>
        <w:tc>
          <w:tcPr>
            <w:tcW w:w="850" w:type="dxa"/>
            <w:tcBorders>
              <w:top w:val="nil"/>
              <w:left w:val="nil"/>
              <w:bottom w:val="single" w:color="000000" w:sz="8" w:space="0"/>
              <w:right w:val="single" w:color="000000" w:sz="8" w:space="0"/>
            </w:tcBorders>
            <w:vAlign w:val="center"/>
          </w:tcPr>
          <w:p w14:paraId="7FFFC98C">
            <w:pPr>
              <w:pStyle w:val="1535"/>
              <w:rPr>
                <w:snapToGrid/>
              </w:rPr>
            </w:pPr>
            <w:r>
              <w:rPr>
                <w:snapToGrid/>
              </w:rPr>
              <w:t>产生量</w:t>
            </w:r>
          </w:p>
        </w:tc>
        <w:tc>
          <w:tcPr>
            <w:tcW w:w="2977" w:type="dxa"/>
            <w:vMerge w:val="continue"/>
            <w:tcBorders>
              <w:top w:val="single" w:color="000000" w:sz="8" w:space="0"/>
              <w:left w:val="nil"/>
              <w:bottom w:val="single" w:color="000000" w:sz="8" w:space="0"/>
              <w:right w:val="single" w:color="000000" w:sz="8" w:space="0"/>
            </w:tcBorders>
            <w:vAlign w:val="center"/>
          </w:tcPr>
          <w:p w14:paraId="12E406F5">
            <w:pPr>
              <w:pStyle w:val="1535"/>
              <w:rPr>
                <w:snapToGrid/>
              </w:rPr>
            </w:pPr>
          </w:p>
        </w:tc>
        <w:tc>
          <w:tcPr>
            <w:tcW w:w="850" w:type="dxa"/>
            <w:tcBorders>
              <w:top w:val="nil"/>
              <w:left w:val="nil"/>
              <w:bottom w:val="single" w:color="000000" w:sz="8" w:space="0"/>
              <w:right w:val="single" w:color="000000" w:sz="8" w:space="0"/>
            </w:tcBorders>
            <w:vAlign w:val="center"/>
          </w:tcPr>
          <w:p w14:paraId="50EBABA9">
            <w:pPr>
              <w:pStyle w:val="1535"/>
              <w:rPr>
                <w:snapToGrid/>
              </w:rPr>
            </w:pPr>
            <w:r>
              <w:rPr>
                <w:snapToGrid/>
              </w:rPr>
              <w:t>风量</w:t>
            </w:r>
          </w:p>
        </w:tc>
        <w:tc>
          <w:tcPr>
            <w:tcW w:w="709" w:type="dxa"/>
            <w:tcBorders>
              <w:top w:val="nil"/>
              <w:left w:val="nil"/>
              <w:bottom w:val="single" w:color="000000" w:sz="8" w:space="0"/>
              <w:right w:val="single" w:color="000000" w:sz="8" w:space="0"/>
            </w:tcBorders>
            <w:vAlign w:val="center"/>
          </w:tcPr>
          <w:p w14:paraId="7C25573F">
            <w:pPr>
              <w:pStyle w:val="1535"/>
              <w:rPr>
                <w:snapToGrid/>
              </w:rPr>
            </w:pPr>
            <w:r>
              <w:rPr>
                <w:snapToGrid/>
              </w:rPr>
              <w:t>浓度</w:t>
            </w:r>
          </w:p>
        </w:tc>
        <w:tc>
          <w:tcPr>
            <w:tcW w:w="851" w:type="dxa"/>
            <w:tcBorders>
              <w:top w:val="nil"/>
              <w:left w:val="nil"/>
              <w:bottom w:val="single" w:color="000000" w:sz="8" w:space="0"/>
              <w:right w:val="single" w:color="000000" w:sz="8" w:space="0"/>
            </w:tcBorders>
            <w:vAlign w:val="center"/>
          </w:tcPr>
          <w:p w14:paraId="3F90F875">
            <w:pPr>
              <w:pStyle w:val="1535"/>
              <w:rPr>
                <w:snapToGrid/>
              </w:rPr>
            </w:pPr>
            <w:r>
              <w:rPr>
                <w:snapToGrid/>
              </w:rPr>
              <w:t>排放量</w:t>
            </w:r>
          </w:p>
        </w:tc>
        <w:tc>
          <w:tcPr>
            <w:tcW w:w="850" w:type="dxa"/>
            <w:tcBorders>
              <w:top w:val="nil"/>
              <w:left w:val="nil"/>
              <w:bottom w:val="single" w:color="000000" w:sz="8" w:space="0"/>
              <w:right w:val="single" w:color="000000" w:sz="8" w:space="0"/>
            </w:tcBorders>
            <w:vAlign w:val="center"/>
          </w:tcPr>
          <w:p w14:paraId="379881FD">
            <w:pPr>
              <w:pStyle w:val="1535"/>
              <w:rPr>
                <w:snapToGrid/>
              </w:rPr>
            </w:pPr>
            <w:r>
              <w:rPr>
                <w:snapToGrid/>
              </w:rPr>
              <w:t>排放速率</w:t>
            </w:r>
          </w:p>
        </w:tc>
        <w:tc>
          <w:tcPr>
            <w:tcW w:w="765" w:type="dxa"/>
            <w:vMerge w:val="continue"/>
            <w:tcBorders>
              <w:top w:val="single" w:color="000000" w:sz="8" w:space="0"/>
              <w:left w:val="nil"/>
              <w:bottom w:val="single" w:color="000000" w:sz="8" w:space="0"/>
              <w:right w:val="single" w:color="000000" w:sz="8" w:space="0"/>
            </w:tcBorders>
            <w:vAlign w:val="center"/>
          </w:tcPr>
          <w:p w14:paraId="70BF8672">
            <w:pPr>
              <w:pStyle w:val="1535"/>
              <w:rPr>
                <w:snapToGrid/>
              </w:rPr>
            </w:pPr>
          </w:p>
        </w:tc>
      </w:tr>
      <w:tr w14:paraId="14539B6B">
        <w:tblPrEx>
          <w:tblCellMar>
            <w:top w:w="0" w:type="dxa"/>
            <w:left w:w="108" w:type="dxa"/>
            <w:bottom w:w="0" w:type="dxa"/>
            <w:right w:w="108" w:type="dxa"/>
          </w:tblCellMar>
        </w:tblPrEx>
        <w:trPr>
          <w:trHeight w:val="20" w:hRule="atLeast"/>
          <w:jc w:val="center"/>
        </w:trPr>
        <w:tc>
          <w:tcPr>
            <w:tcW w:w="936" w:type="dxa"/>
            <w:vMerge w:val="continue"/>
            <w:tcBorders>
              <w:top w:val="single" w:color="000000" w:sz="8" w:space="0"/>
              <w:left w:val="single" w:color="000000" w:sz="8" w:space="0"/>
              <w:bottom w:val="single" w:color="000000" w:sz="8" w:space="0"/>
              <w:right w:val="single" w:color="000000" w:sz="8" w:space="0"/>
            </w:tcBorders>
            <w:vAlign w:val="center"/>
          </w:tcPr>
          <w:p w14:paraId="52AC5413">
            <w:pPr>
              <w:pStyle w:val="1535"/>
              <w:rPr>
                <w:snapToGrid/>
              </w:rPr>
            </w:pPr>
          </w:p>
        </w:tc>
        <w:tc>
          <w:tcPr>
            <w:tcW w:w="897" w:type="dxa"/>
            <w:vMerge w:val="continue"/>
            <w:tcBorders>
              <w:top w:val="single" w:color="000000" w:sz="8" w:space="0"/>
              <w:left w:val="nil"/>
              <w:bottom w:val="single" w:color="000000" w:sz="8" w:space="0"/>
              <w:right w:val="single" w:color="000000" w:sz="8" w:space="0"/>
            </w:tcBorders>
            <w:vAlign w:val="center"/>
          </w:tcPr>
          <w:p w14:paraId="38224820">
            <w:pPr>
              <w:pStyle w:val="1535"/>
              <w:rPr>
                <w:snapToGrid/>
              </w:rPr>
            </w:pPr>
          </w:p>
        </w:tc>
        <w:tc>
          <w:tcPr>
            <w:tcW w:w="709" w:type="dxa"/>
            <w:tcBorders>
              <w:top w:val="nil"/>
              <w:left w:val="nil"/>
              <w:bottom w:val="single" w:color="000000" w:sz="8" w:space="0"/>
              <w:right w:val="single" w:color="000000" w:sz="8" w:space="0"/>
            </w:tcBorders>
            <w:vAlign w:val="center"/>
          </w:tcPr>
          <w:p w14:paraId="1635CAB2">
            <w:pPr>
              <w:pStyle w:val="1535"/>
              <w:rPr>
                <w:snapToGrid/>
              </w:rPr>
            </w:pPr>
            <w:r>
              <w:rPr>
                <w:snapToGrid/>
              </w:rPr>
              <w:t>N m</w:t>
            </w:r>
            <w:r>
              <w:rPr>
                <w:snapToGrid/>
                <w:vertAlign w:val="superscript"/>
              </w:rPr>
              <w:t>3</w:t>
            </w:r>
            <w:r>
              <w:rPr>
                <w:snapToGrid/>
              </w:rPr>
              <w:t>/h</w:t>
            </w:r>
          </w:p>
        </w:tc>
        <w:tc>
          <w:tcPr>
            <w:tcW w:w="850" w:type="dxa"/>
            <w:tcBorders>
              <w:top w:val="nil"/>
              <w:left w:val="nil"/>
              <w:bottom w:val="single" w:color="000000" w:sz="8" w:space="0"/>
              <w:right w:val="single" w:color="000000" w:sz="8" w:space="0"/>
            </w:tcBorders>
            <w:vAlign w:val="center"/>
          </w:tcPr>
          <w:p w14:paraId="28ADC4B0">
            <w:pPr>
              <w:pStyle w:val="1535"/>
              <w:rPr>
                <w:snapToGrid/>
              </w:rPr>
            </w:pPr>
            <w:r>
              <w:rPr>
                <w:snapToGrid/>
              </w:rPr>
              <w:t>万Nm</w:t>
            </w:r>
            <w:r>
              <w:rPr>
                <w:snapToGrid/>
                <w:vertAlign w:val="superscript"/>
              </w:rPr>
              <w:t>3</w:t>
            </w:r>
            <w:r>
              <w:rPr>
                <w:snapToGrid/>
              </w:rPr>
              <w:t>/a</w:t>
            </w:r>
          </w:p>
        </w:tc>
        <w:tc>
          <w:tcPr>
            <w:tcW w:w="994" w:type="dxa"/>
            <w:vMerge w:val="continue"/>
            <w:tcBorders>
              <w:top w:val="single" w:color="000000" w:sz="8" w:space="0"/>
              <w:left w:val="nil"/>
              <w:bottom w:val="single" w:color="000000" w:sz="8" w:space="0"/>
              <w:right w:val="single" w:color="000000" w:sz="8" w:space="0"/>
            </w:tcBorders>
            <w:vAlign w:val="center"/>
          </w:tcPr>
          <w:p w14:paraId="2D5F6C5B">
            <w:pPr>
              <w:pStyle w:val="1535"/>
              <w:rPr>
                <w:snapToGrid/>
              </w:rPr>
            </w:pPr>
          </w:p>
        </w:tc>
        <w:tc>
          <w:tcPr>
            <w:tcW w:w="796" w:type="dxa"/>
            <w:vMerge w:val="continue"/>
            <w:tcBorders>
              <w:top w:val="single" w:color="000000" w:sz="8" w:space="0"/>
              <w:left w:val="nil"/>
              <w:bottom w:val="single" w:color="000000" w:sz="8" w:space="0"/>
              <w:right w:val="single" w:color="000000" w:sz="8" w:space="0"/>
            </w:tcBorders>
            <w:vAlign w:val="center"/>
          </w:tcPr>
          <w:p w14:paraId="40CC9F6C">
            <w:pPr>
              <w:pStyle w:val="1535"/>
              <w:rPr>
                <w:snapToGrid/>
              </w:rPr>
            </w:pPr>
          </w:p>
        </w:tc>
        <w:tc>
          <w:tcPr>
            <w:tcW w:w="904" w:type="dxa"/>
            <w:tcBorders>
              <w:top w:val="nil"/>
              <w:left w:val="nil"/>
              <w:bottom w:val="single" w:color="000000" w:sz="8" w:space="0"/>
              <w:right w:val="single" w:color="000000" w:sz="8" w:space="0"/>
            </w:tcBorders>
            <w:vAlign w:val="center"/>
          </w:tcPr>
          <w:p w14:paraId="050CCD34">
            <w:pPr>
              <w:pStyle w:val="1535"/>
              <w:rPr>
                <w:snapToGrid/>
              </w:rPr>
            </w:pPr>
            <w:r>
              <w:rPr>
                <w:snapToGrid/>
              </w:rPr>
              <w:t>mg/ m</w:t>
            </w:r>
            <w:r>
              <w:rPr>
                <w:snapToGrid/>
                <w:vertAlign w:val="superscript"/>
              </w:rPr>
              <w:t>3</w:t>
            </w:r>
          </w:p>
        </w:tc>
        <w:tc>
          <w:tcPr>
            <w:tcW w:w="850" w:type="dxa"/>
            <w:tcBorders>
              <w:top w:val="nil"/>
              <w:left w:val="nil"/>
              <w:bottom w:val="single" w:color="000000" w:sz="8" w:space="0"/>
              <w:right w:val="single" w:color="000000" w:sz="8" w:space="0"/>
            </w:tcBorders>
            <w:vAlign w:val="center"/>
          </w:tcPr>
          <w:p w14:paraId="5728E4A2">
            <w:pPr>
              <w:pStyle w:val="1535"/>
              <w:rPr>
                <w:snapToGrid/>
              </w:rPr>
            </w:pPr>
            <w:r>
              <w:rPr>
                <w:snapToGrid/>
              </w:rPr>
              <w:t>t/a</w:t>
            </w:r>
          </w:p>
        </w:tc>
        <w:tc>
          <w:tcPr>
            <w:tcW w:w="2977" w:type="dxa"/>
            <w:vMerge w:val="continue"/>
            <w:tcBorders>
              <w:top w:val="single" w:color="000000" w:sz="8" w:space="0"/>
              <w:left w:val="nil"/>
              <w:bottom w:val="single" w:color="000000" w:sz="8" w:space="0"/>
              <w:right w:val="single" w:color="000000" w:sz="8" w:space="0"/>
            </w:tcBorders>
            <w:vAlign w:val="center"/>
          </w:tcPr>
          <w:p w14:paraId="56D80327">
            <w:pPr>
              <w:pStyle w:val="1535"/>
              <w:rPr>
                <w:snapToGrid/>
              </w:rPr>
            </w:pPr>
          </w:p>
        </w:tc>
        <w:tc>
          <w:tcPr>
            <w:tcW w:w="850" w:type="dxa"/>
            <w:tcBorders>
              <w:top w:val="nil"/>
              <w:left w:val="nil"/>
              <w:bottom w:val="single" w:color="000000" w:sz="8" w:space="0"/>
              <w:right w:val="single" w:color="000000" w:sz="8" w:space="0"/>
            </w:tcBorders>
            <w:vAlign w:val="center"/>
          </w:tcPr>
          <w:p w14:paraId="37FDC303">
            <w:pPr>
              <w:pStyle w:val="1535"/>
              <w:rPr>
                <w:snapToGrid/>
              </w:rPr>
            </w:pPr>
            <w:r>
              <w:rPr>
                <w:snapToGrid/>
              </w:rPr>
              <w:t>Nm</w:t>
            </w:r>
            <w:r>
              <w:rPr>
                <w:snapToGrid/>
                <w:vertAlign w:val="superscript"/>
              </w:rPr>
              <w:t>3</w:t>
            </w:r>
            <w:r>
              <w:rPr>
                <w:snapToGrid/>
              </w:rPr>
              <w:t>/h</w:t>
            </w:r>
          </w:p>
        </w:tc>
        <w:tc>
          <w:tcPr>
            <w:tcW w:w="709" w:type="dxa"/>
            <w:tcBorders>
              <w:top w:val="nil"/>
              <w:left w:val="nil"/>
              <w:bottom w:val="single" w:color="000000" w:sz="8" w:space="0"/>
              <w:right w:val="single" w:color="000000" w:sz="8" w:space="0"/>
            </w:tcBorders>
            <w:vAlign w:val="center"/>
          </w:tcPr>
          <w:p w14:paraId="1D2F2DBF">
            <w:pPr>
              <w:pStyle w:val="1535"/>
              <w:rPr>
                <w:snapToGrid/>
              </w:rPr>
            </w:pPr>
            <w:r>
              <w:rPr>
                <w:snapToGrid/>
              </w:rPr>
              <w:t>mg/ m</w:t>
            </w:r>
            <w:r>
              <w:rPr>
                <w:snapToGrid/>
                <w:vertAlign w:val="superscript"/>
              </w:rPr>
              <w:t>3</w:t>
            </w:r>
          </w:p>
        </w:tc>
        <w:tc>
          <w:tcPr>
            <w:tcW w:w="851" w:type="dxa"/>
            <w:tcBorders>
              <w:top w:val="nil"/>
              <w:left w:val="nil"/>
              <w:bottom w:val="single" w:color="000000" w:sz="8" w:space="0"/>
              <w:right w:val="single" w:color="000000" w:sz="8" w:space="0"/>
            </w:tcBorders>
            <w:vAlign w:val="center"/>
          </w:tcPr>
          <w:p w14:paraId="35FAC231">
            <w:pPr>
              <w:pStyle w:val="1535"/>
              <w:rPr>
                <w:snapToGrid/>
              </w:rPr>
            </w:pPr>
            <w:r>
              <w:rPr>
                <w:snapToGrid/>
              </w:rPr>
              <w:t>t/a</w:t>
            </w:r>
          </w:p>
        </w:tc>
        <w:tc>
          <w:tcPr>
            <w:tcW w:w="850" w:type="dxa"/>
            <w:tcBorders>
              <w:top w:val="nil"/>
              <w:left w:val="nil"/>
              <w:bottom w:val="single" w:color="000000" w:sz="8" w:space="0"/>
              <w:right w:val="single" w:color="000000" w:sz="8" w:space="0"/>
            </w:tcBorders>
            <w:vAlign w:val="center"/>
          </w:tcPr>
          <w:p w14:paraId="6FF8A86A">
            <w:pPr>
              <w:pStyle w:val="1535"/>
              <w:rPr>
                <w:snapToGrid/>
              </w:rPr>
            </w:pPr>
            <w:r>
              <w:rPr>
                <w:snapToGrid/>
              </w:rPr>
              <w:t>kg/h</w:t>
            </w:r>
          </w:p>
        </w:tc>
        <w:tc>
          <w:tcPr>
            <w:tcW w:w="765" w:type="dxa"/>
            <w:vMerge w:val="continue"/>
            <w:tcBorders>
              <w:top w:val="single" w:color="000000" w:sz="8" w:space="0"/>
              <w:left w:val="nil"/>
              <w:bottom w:val="single" w:color="000000" w:sz="8" w:space="0"/>
              <w:right w:val="single" w:color="000000" w:sz="8" w:space="0"/>
            </w:tcBorders>
            <w:vAlign w:val="center"/>
          </w:tcPr>
          <w:p w14:paraId="3161E9D0">
            <w:pPr>
              <w:pStyle w:val="1535"/>
              <w:rPr>
                <w:snapToGrid/>
              </w:rPr>
            </w:pPr>
          </w:p>
        </w:tc>
      </w:tr>
      <w:tr w14:paraId="4C365F0F">
        <w:tblPrEx>
          <w:tblCellMar>
            <w:top w:w="0" w:type="dxa"/>
            <w:left w:w="108" w:type="dxa"/>
            <w:bottom w:w="0" w:type="dxa"/>
            <w:right w:w="108" w:type="dxa"/>
          </w:tblCellMar>
        </w:tblPrEx>
        <w:trPr>
          <w:trHeight w:val="20" w:hRule="atLeast"/>
          <w:jc w:val="center"/>
        </w:trPr>
        <w:tc>
          <w:tcPr>
            <w:tcW w:w="13173" w:type="dxa"/>
            <w:gridSpan w:val="13"/>
            <w:tcBorders>
              <w:top w:val="nil"/>
              <w:left w:val="single" w:color="000000" w:sz="8" w:space="0"/>
              <w:bottom w:val="single" w:color="000000" w:sz="8" w:space="0"/>
              <w:right w:val="single" w:color="000000" w:sz="8" w:space="0"/>
            </w:tcBorders>
            <w:vAlign w:val="center"/>
          </w:tcPr>
          <w:p w14:paraId="667E1CF4">
            <w:pPr>
              <w:pStyle w:val="1535"/>
              <w:rPr>
                <w:snapToGrid/>
              </w:rPr>
            </w:pPr>
            <w:r>
              <w:rPr>
                <w:snapToGrid/>
              </w:rPr>
              <w:t>一、有组织排放</w:t>
            </w:r>
          </w:p>
        </w:tc>
        <w:tc>
          <w:tcPr>
            <w:tcW w:w="765" w:type="dxa"/>
            <w:tcBorders>
              <w:top w:val="nil"/>
              <w:left w:val="nil"/>
              <w:bottom w:val="single" w:color="000000" w:sz="8" w:space="0"/>
              <w:right w:val="single" w:color="000000" w:sz="8" w:space="0"/>
            </w:tcBorders>
            <w:vAlign w:val="center"/>
          </w:tcPr>
          <w:p w14:paraId="0F29A89E">
            <w:pPr>
              <w:pStyle w:val="1535"/>
              <w:rPr>
                <w:snapToGrid/>
              </w:rPr>
            </w:pPr>
          </w:p>
        </w:tc>
      </w:tr>
      <w:tr w14:paraId="1A035929">
        <w:tblPrEx>
          <w:tblCellMar>
            <w:top w:w="0" w:type="dxa"/>
            <w:left w:w="108" w:type="dxa"/>
            <w:bottom w:w="0" w:type="dxa"/>
            <w:right w:w="108" w:type="dxa"/>
          </w:tblCellMar>
        </w:tblPrEx>
        <w:trPr>
          <w:trHeight w:val="20" w:hRule="atLeast"/>
          <w:jc w:val="center"/>
        </w:trPr>
        <w:tc>
          <w:tcPr>
            <w:tcW w:w="936" w:type="dxa"/>
            <w:vMerge w:val="restart"/>
            <w:tcBorders>
              <w:top w:val="nil"/>
              <w:left w:val="single" w:color="000000" w:sz="8" w:space="0"/>
              <w:right w:val="single" w:color="000000" w:sz="8" w:space="0"/>
            </w:tcBorders>
            <w:vAlign w:val="center"/>
          </w:tcPr>
          <w:p w14:paraId="5CE99BFD">
            <w:pPr>
              <w:pStyle w:val="1535"/>
              <w:rPr>
                <w:snapToGrid/>
              </w:rPr>
            </w:pPr>
            <w:r>
              <w:rPr>
                <w:snapToGrid/>
              </w:rPr>
              <w:t>DA004</w:t>
            </w:r>
          </w:p>
        </w:tc>
        <w:tc>
          <w:tcPr>
            <w:tcW w:w="897" w:type="dxa"/>
            <w:vMerge w:val="restart"/>
            <w:tcBorders>
              <w:top w:val="nil"/>
              <w:left w:val="nil"/>
              <w:right w:val="single" w:color="000000" w:sz="8" w:space="0"/>
            </w:tcBorders>
            <w:vAlign w:val="center"/>
          </w:tcPr>
          <w:p w14:paraId="09121513">
            <w:pPr>
              <w:pStyle w:val="1535"/>
              <w:rPr>
                <w:snapToGrid/>
              </w:rPr>
            </w:pPr>
            <w:r>
              <w:rPr>
                <w:rFonts w:hint="eastAsia"/>
                <w:snapToGrid/>
              </w:rPr>
              <w:t>现有</w:t>
            </w:r>
            <w:r>
              <w:rPr>
                <w:snapToGrid/>
              </w:rPr>
              <w:t>碳化硅废气</w:t>
            </w:r>
            <w:r>
              <w:rPr>
                <w:rFonts w:hint="eastAsia"/>
                <w:snapToGrid/>
              </w:rPr>
              <w:t>+本次石墨纯化+碳化硅涂层废气</w:t>
            </w:r>
          </w:p>
        </w:tc>
        <w:tc>
          <w:tcPr>
            <w:tcW w:w="709" w:type="dxa"/>
            <w:vMerge w:val="restart"/>
            <w:tcBorders>
              <w:top w:val="nil"/>
              <w:left w:val="nil"/>
              <w:right w:val="single" w:color="000000" w:sz="8" w:space="0"/>
            </w:tcBorders>
            <w:vAlign w:val="center"/>
          </w:tcPr>
          <w:p w14:paraId="15BF3D6A">
            <w:pPr>
              <w:pStyle w:val="1535"/>
              <w:rPr>
                <w:snapToGrid/>
              </w:rPr>
            </w:pPr>
            <w:r>
              <w:rPr>
                <w:snapToGrid/>
              </w:rPr>
              <w:t>20000</w:t>
            </w:r>
          </w:p>
        </w:tc>
        <w:tc>
          <w:tcPr>
            <w:tcW w:w="850" w:type="dxa"/>
            <w:vMerge w:val="restart"/>
            <w:tcBorders>
              <w:top w:val="nil"/>
              <w:left w:val="nil"/>
              <w:right w:val="single" w:color="000000" w:sz="8" w:space="0"/>
            </w:tcBorders>
            <w:vAlign w:val="center"/>
          </w:tcPr>
          <w:p w14:paraId="64A3D83C">
            <w:pPr>
              <w:pStyle w:val="1535"/>
              <w:rPr>
                <w:snapToGrid/>
              </w:rPr>
            </w:pPr>
            <w:r>
              <w:rPr>
                <w:snapToGrid/>
              </w:rPr>
              <w:t>14400</w:t>
            </w:r>
          </w:p>
        </w:tc>
        <w:tc>
          <w:tcPr>
            <w:tcW w:w="994" w:type="dxa"/>
            <w:tcBorders>
              <w:top w:val="nil"/>
              <w:left w:val="nil"/>
              <w:bottom w:val="single" w:color="000000" w:sz="8" w:space="0"/>
              <w:right w:val="single" w:color="000000" w:sz="8" w:space="0"/>
            </w:tcBorders>
            <w:vAlign w:val="center"/>
          </w:tcPr>
          <w:p w14:paraId="7CAB4FA2">
            <w:pPr>
              <w:pStyle w:val="1535"/>
              <w:rPr>
                <w:snapToGrid/>
              </w:rPr>
            </w:pPr>
            <w:r>
              <w:rPr>
                <w:snapToGrid/>
              </w:rPr>
              <w:t>氯化氢</w:t>
            </w:r>
          </w:p>
        </w:tc>
        <w:tc>
          <w:tcPr>
            <w:tcW w:w="796" w:type="dxa"/>
            <w:tcBorders>
              <w:top w:val="nil"/>
              <w:left w:val="nil"/>
              <w:bottom w:val="single" w:color="000000" w:sz="8" w:space="0"/>
              <w:right w:val="single" w:color="000000" w:sz="8" w:space="0"/>
            </w:tcBorders>
            <w:vAlign w:val="center"/>
          </w:tcPr>
          <w:p w14:paraId="531AF1E3">
            <w:pPr>
              <w:pStyle w:val="1535"/>
              <w:rPr>
                <w:snapToGrid/>
              </w:rPr>
            </w:pPr>
            <w:r>
              <w:rPr>
                <w:snapToGrid/>
              </w:rPr>
              <w:t>物料衡算</w:t>
            </w:r>
          </w:p>
        </w:tc>
        <w:tc>
          <w:tcPr>
            <w:tcW w:w="904" w:type="dxa"/>
            <w:tcBorders>
              <w:top w:val="nil"/>
              <w:left w:val="nil"/>
              <w:bottom w:val="single" w:color="000000" w:sz="8" w:space="0"/>
              <w:right w:val="single" w:color="000000" w:sz="8" w:space="0"/>
            </w:tcBorders>
            <w:vAlign w:val="center"/>
          </w:tcPr>
          <w:p w14:paraId="4BBE6B01">
            <w:pPr>
              <w:pStyle w:val="1535"/>
              <w:rPr>
                <w:snapToGrid/>
              </w:rPr>
            </w:pPr>
            <w:r>
              <w:rPr>
                <w:snapToGrid/>
              </w:rPr>
              <w:t>6</w:t>
            </w:r>
            <w:r>
              <w:rPr>
                <w:rFonts w:hint="eastAsia"/>
                <w:snapToGrid/>
              </w:rPr>
              <w:t>45.69</w:t>
            </w:r>
          </w:p>
        </w:tc>
        <w:tc>
          <w:tcPr>
            <w:tcW w:w="850" w:type="dxa"/>
            <w:tcBorders>
              <w:top w:val="nil"/>
              <w:left w:val="nil"/>
              <w:bottom w:val="single" w:color="000000" w:sz="8" w:space="0"/>
              <w:right w:val="single" w:color="000000" w:sz="8" w:space="0"/>
            </w:tcBorders>
            <w:vAlign w:val="center"/>
          </w:tcPr>
          <w:p w14:paraId="631BE186">
            <w:pPr>
              <w:pStyle w:val="1535"/>
              <w:rPr>
                <w:snapToGrid/>
              </w:rPr>
            </w:pPr>
            <w:r>
              <w:rPr>
                <w:rFonts w:hint="eastAsia"/>
                <w:snapToGrid/>
              </w:rPr>
              <w:t>92.98</w:t>
            </w:r>
          </w:p>
        </w:tc>
        <w:tc>
          <w:tcPr>
            <w:tcW w:w="2977" w:type="dxa"/>
            <w:vMerge w:val="restart"/>
            <w:tcBorders>
              <w:top w:val="nil"/>
              <w:left w:val="nil"/>
              <w:right w:val="single" w:color="000000" w:sz="8" w:space="0"/>
            </w:tcBorders>
            <w:vAlign w:val="center"/>
          </w:tcPr>
          <w:p w14:paraId="3FA7BB8E">
            <w:pPr>
              <w:pStyle w:val="1535"/>
              <w:rPr>
                <w:snapToGrid/>
              </w:rPr>
            </w:pPr>
            <w:r>
              <w:rPr>
                <w:snapToGrid/>
              </w:rPr>
              <w:t>炉内排气口接入酸雾喷淋塔，废气负压抽风全部进入四级酸雾喷淋塔处理后经25m排气筒排放。收集效率100%，单级处理效率为95%，前三级处理效率保守取值为99.8%，第四级作为保险装置，防止处理效率出现波动后超标排放</w:t>
            </w:r>
            <w:r>
              <w:rPr>
                <w:rFonts w:hint="eastAsia"/>
                <w:snapToGrid/>
              </w:rPr>
              <w:t>；碳黑尘不考虑处理效率</w:t>
            </w:r>
            <w:r>
              <w:rPr>
                <w:snapToGrid/>
              </w:rPr>
              <w:t>。</w:t>
            </w:r>
          </w:p>
        </w:tc>
        <w:tc>
          <w:tcPr>
            <w:tcW w:w="850" w:type="dxa"/>
            <w:vMerge w:val="restart"/>
            <w:tcBorders>
              <w:top w:val="nil"/>
              <w:left w:val="nil"/>
              <w:right w:val="single" w:color="000000" w:sz="8" w:space="0"/>
            </w:tcBorders>
            <w:vAlign w:val="center"/>
          </w:tcPr>
          <w:p w14:paraId="20D30351">
            <w:pPr>
              <w:pStyle w:val="1535"/>
              <w:rPr>
                <w:snapToGrid/>
              </w:rPr>
            </w:pPr>
            <w:r>
              <w:rPr>
                <w:snapToGrid/>
              </w:rPr>
              <w:t>20000</w:t>
            </w:r>
          </w:p>
        </w:tc>
        <w:tc>
          <w:tcPr>
            <w:tcW w:w="709" w:type="dxa"/>
            <w:tcBorders>
              <w:top w:val="nil"/>
              <w:left w:val="nil"/>
              <w:bottom w:val="single" w:color="000000" w:sz="8" w:space="0"/>
              <w:right w:val="single" w:color="000000" w:sz="8" w:space="0"/>
            </w:tcBorders>
            <w:vAlign w:val="center"/>
          </w:tcPr>
          <w:p w14:paraId="5A32EDE6">
            <w:pPr>
              <w:pStyle w:val="1535"/>
              <w:rPr>
                <w:snapToGrid/>
              </w:rPr>
            </w:pPr>
            <w:r>
              <w:rPr>
                <w:rFonts w:hint="eastAsia"/>
                <w:snapToGrid/>
              </w:rPr>
              <w:t>1.94</w:t>
            </w:r>
          </w:p>
        </w:tc>
        <w:tc>
          <w:tcPr>
            <w:tcW w:w="851" w:type="dxa"/>
            <w:tcBorders>
              <w:top w:val="nil"/>
              <w:left w:val="nil"/>
              <w:bottom w:val="single" w:color="000000" w:sz="8" w:space="0"/>
              <w:right w:val="single" w:color="000000" w:sz="8" w:space="0"/>
            </w:tcBorders>
            <w:vAlign w:val="center"/>
          </w:tcPr>
          <w:p w14:paraId="6EDD8896">
            <w:pPr>
              <w:pStyle w:val="1535"/>
              <w:rPr>
                <w:snapToGrid/>
              </w:rPr>
            </w:pPr>
            <w:r>
              <w:rPr>
                <w:snapToGrid/>
              </w:rPr>
              <w:t>0.18</w:t>
            </w:r>
            <w:r>
              <w:rPr>
                <w:rFonts w:hint="eastAsia"/>
                <w:snapToGrid/>
              </w:rPr>
              <w:t>6</w:t>
            </w:r>
          </w:p>
        </w:tc>
        <w:tc>
          <w:tcPr>
            <w:tcW w:w="850" w:type="dxa"/>
            <w:tcBorders>
              <w:top w:val="nil"/>
              <w:left w:val="nil"/>
              <w:bottom w:val="single" w:color="000000" w:sz="8" w:space="0"/>
              <w:right w:val="single" w:color="000000" w:sz="8" w:space="0"/>
            </w:tcBorders>
            <w:vAlign w:val="center"/>
          </w:tcPr>
          <w:p w14:paraId="43CDE23F">
            <w:pPr>
              <w:pStyle w:val="1535"/>
              <w:rPr>
                <w:snapToGrid/>
              </w:rPr>
            </w:pPr>
            <w:r>
              <w:rPr>
                <w:snapToGrid/>
              </w:rPr>
              <w:t>0.03</w:t>
            </w:r>
            <w:r>
              <w:rPr>
                <w:rFonts w:hint="eastAsia"/>
                <w:snapToGrid/>
              </w:rPr>
              <w:t>9</w:t>
            </w:r>
          </w:p>
        </w:tc>
        <w:tc>
          <w:tcPr>
            <w:tcW w:w="765" w:type="dxa"/>
            <w:vMerge w:val="restart"/>
            <w:tcBorders>
              <w:top w:val="nil"/>
              <w:left w:val="nil"/>
              <w:right w:val="single" w:color="000000" w:sz="8" w:space="0"/>
            </w:tcBorders>
            <w:vAlign w:val="center"/>
          </w:tcPr>
          <w:p w14:paraId="4C6D5930">
            <w:pPr>
              <w:pStyle w:val="1535"/>
              <w:rPr>
                <w:snapToGrid/>
              </w:rPr>
            </w:pPr>
            <w:r>
              <w:rPr>
                <w:snapToGrid/>
              </w:rPr>
              <w:t>排气筒25×0.8m；25℃</w:t>
            </w:r>
          </w:p>
        </w:tc>
      </w:tr>
      <w:tr w14:paraId="65D73782">
        <w:tblPrEx>
          <w:tblCellMar>
            <w:top w:w="0" w:type="dxa"/>
            <w:left w:w="108" w:type="dxa"/>
            <w:bottom w:w="0" w:type="dxa"/>
            <w:right w:w="108" w:type="dxa"/>
          </w:tblCellMar>
        </w:tblPrEx>
        <w:trPr>
          <w:trHeight w:val="20" w:hRule="atLeast"/>
          <w:jc w:val="center"/>
        </w:trPr>
        <w:tc>
          <w:tcPr>
            <w:tcW w:w="936" w:type="dxa"/>
            <w:vMerge w:val="continue"/>
            <w:tcBorders>
              <w:left w:val="single" w:color="000000" w:sz="8" w:space="0"/>
              <w:right w:val="single" w:color="000000" w:sz="8" w:space="0"/>
            </w:tcBorders>
            <w:vAlign w:val="center"/>
          </w:tcPr>
          <w:p w14:paraId="0D8041C1">
            <w:pPr>
              <w:pStyle w:val="1535"/>
              <w:rPr>
                <w:snapToGrid/>
              </w:rPr>
            </w:pPr>
          </w:p>
        </w:tc>
        <w:tc>
          <w:tcPr>
            <w:tcW w:w="897" w:type="dxa"/>
            <w:vMerge w:val="continue"/>
            <w:tcBorders>
              <w:left w:val="nil"/>
              <w:right w:val="single" w:color="000000" w:sz="8" w:space="0"/>
            </w:tcBorders>
            <w:vAlign w:val="center"/>
          </w:tcPr>
          <w:p w14:paraId="0C674403">
            <w:pPr>
              <w:pStyle w:val="1535"/>
              <w:rPr>
                <w:snapToGrid/>
              </w:rPr>
            </w:pPr>
          </w:p>
        </w:tc>
        <w:tc>
          <w:tcPr>
            <w:tcW w:w="709" w:type="dxa"/>
            <w:vMerge w:val="continue"/>
            <w:tcBorders>
              <w:left w:val="nil"/>
              <w:right w:val="single" w:color="000000" w:sz="8" w:space="0"/>
            </w:tcBorders>
            <w:vAlign w:val="center"/>
          </w:tcPr>
          <w:p w14:paraId="70A8D1B9">
            <w:pPr>
              <w:pStyle w:val="1535"/>
              <w:rPr>
                <w:snapToGrid/>
              </w:rPr>
            </w:pPr>
          </w:p>
        </w:tc>
        <w:tc>
          <w:tcPr>
            <w:tcW w:w="850" w:type="dxa"/>
            <w:vMerge w:val="continue"/>
            <w:tcBorders>
              <w:left w:val="nil"/>
              <w:right w:val="single" w:color="000000" w:sz="8" w:space="0"/>
            </w:tcBorders>
            <w:vAlign w:val="center"/>
          </w:tcPr>
          <w:p w14:paraId="17828D9C">
            <w:pPr>
              <w:pStyle w:val="1535"/>
              <w:rPr>
                <w:snapToGrid/>
              </w:rPr>
            </w:pPr>
          </w:p>
        </w:tc>
        <w:tc>
          <w:tcPr>
            <w:tcW w:w="994" w:type="dxa"/>
            <w:tcBorders>
              <w:top w:val="nil"/>
              <w:left w:val="nil"/>
              <w:bottom w:val="single" w:color="000000" w:sz="8" w:space="0"/>
              <w:right w:val="single" w:color="000000" w:sz="8" w:space="0"/>
            </w:tcBorders>
            <w:vAlign w:val="center"/>
          </w:tcPr>
          <w:p w14:paraId="067F66A1">
            <w:pPr>
              <w:pStyle w:val="1535"/>
              <w:rPr>
                <w:snapToGrid/>
              </w:rPr>
            </w:pPr>
            <w:r>
              <w:rPr>
                <w:snapToGrid/>
              </w:rPr>
              <w:t>碳黑尘</w:t>
            </w:r>
          </w:p>
        </w:tc>
        <w:tc>
          <w:tcPr>
            <w:tcW w:w="796" w:type="dxa"/>
            <w:tcBorders>
              <w:top w:val="nil"/>
              <w:left w:val="nil"/>
              <w:bottom w:val="single" w:color="000000" w:sz="8" w:space="0"/>
              <w:right w:val="single" w:color="000000" w:sz="8" w:space="0"/>
            </w:tcBorders>
            <w:vAlign w:val="center"/>
          </w:tcPr>
          <w:p w14:paraId="6090D081">
            <w:pPr>
              <w:pStyle w:val="1535"/>
              <w:rPr>
                <w:snapToGrid/>
              </w:rPr>
            </w:pPr>
            <w:r>
              <w:rPr>
                <w:snapToGrid/>
              </w:rPr>
              <w:t>产污系数</w:t>
            </w:r>
          </w:p>
        </w:tc>
        <w:tc>
          <w:tcPr>
            <w:tcW w:w="904" w:type="dxa"/>
            <w:tcBorders>
              <w:top w:val="nil"/>
              <w:left w:val="nil"/>
              <w:bottom w:val="single" w:color="000000" w:sz="8" w:space="0"/>
              <w:right w:val="single" w:color="000000" w:sz="8" w:space="0"/>
            </w:tcBorders>
            <w:vAlign w:val="center"/>
          </w:tcPr>
          <w:p w14:paraId="2E9BD089">
            <w:pPr>
              <w:pStyle w:val="1535"/>
              <w:rPr>
                <w:snapToGrid/>
              </w:rPr>
            </w:pPr>
            <w:r>
              <w:rPr>
                <w:rFonts w:hint="eastAsia"/>
                <w:snapToGrid/>
              </w:rPr>
              <w:t>0.64</w:t>
            </w:r>
          </w:p>
        </w:tc>
        <w:tc>
          <w:tcPr>
            <w:tcW w:w="850" w:type="dxa"/>
            <w:tcBorders>
              <w:top w:val="nil"/>
              <w:left w:val="nil"/>
              <w:bottom w:val="single" w:color="000000" w:sz="8" w:space="0"/>
              <w:right w:val="single" w:color="000000" w:sz="8" w:space="0"/>
            </w:tcBorders>
            <w:vAlign w:val="center"/>
          </w:tcPr>
          <w:p w14:paraId="2A9BF249">
            <w:pPr>
              <w:pStyle w:val="1535"/>
              <w:rPr>
                <w:snapToGrid/>
              </w:rPr>
            </w:pPr>
            <w:r>
              <w:rPr>
                <w:rFonts w:hint="eastAsia"/>
                <w:snapToGrid/>
              </w:rPr>
              <w:t>0.062</w:t>
            </w:r>
          </w:p>
        </w:tc>
        <w:tc>
          <w:tcPr>
            <w:tcW w:w="2977" w:type="dxa"/>
            <w:vMerge w:val="continue"/>
            <w:tcBorders>
              <w:left w:val="nil"/>
              <w:right w:val="single" w:color="000000" w:sz="8" w:space="0"/>
            </w:tcBorders>
            <w:vAlign w:val="center"/>
          </w:tcPr>
          <w:p w14:paraId="3BAA9E2E">
            <w:pPr>
              <w:pStyle w:val="1535"/>
              <w:rPr>
                <w:snapToGrid/>
              </w:rPr>
            </w:pPr>
          </w:p>
        </w:tc>
        <w:tc>
          <w:tcPr>
            <w:tcW w:w="850" w:type="dxa"/>
            <w:vMerge w:val="continue"/>
            <w:tcBorders>
              <w:left w:val="nil"/>
              <w:right w:val="single" w:color="000000" w:sz="8" w:space="0"/>
            </w:tcBorders>
            <w:vAlign w:val="center"/>
          </w:tcPr>
          <w:p w14:paraId="1B832560">
            <w:pPr>
              <w:pStyle w:val="1535"/>
              <w:rPr>
                <w:snapToGrid/>
              </w:rPr>
            </w:pPr>
          </w:p>
        </w:tc>
        <w:tc>
          <w:tcPr>
            <w:tcW w:w="709" w:type="dxa"/>
            <w:tcBorders>
              <w:top w:val="nil"/>
              <w:left w:val="nil"/>
              <w:bottom w:val="single" w:color="000000" w:sz="8" w:space="0"/>
              <w:right w:val="single" w:color="000000" w:sz="8" w:space="0"/>
            </w:tcBorders>
            <w:vAlign w:val="center"/>
          </w:tcPr>
          <w:p w14:paraId="113DA57A">
            <w:pPr>
              <w:pStyle w:val="1535"/>
              <w:rPr>
                <w:snapToGrid/>
              </w:rPr>
            </w:pPr>
            <w:r>
              <w:rPr>
                <w:rFonts w:hint="eastAsia"/>
                <w:snapToGrid/>
              </w:rPr>
              <w:t>0.64</w:t>
            </w:r>
          </w:p>
        </w:tc>
        <w:tc>
          <w:tcPr>
            <w:tcW w:w="851" w:type="dxa"/>
            <w:tcBorders>
              <w:top w:val="nil"/>
              <w:left w:val="nil"/>
              <w:bottom w:val="single" w:color="000000" w:sz="8" w:space="0"/>
              <w:right w:val="single" w:color="000000" w:sz="8" w:space="0"/>
            </w:tcBorders>
            <w:vAlign w:val="center"/>
          </w:tcPr>
          <w:p w14:paraId="0501E562">
            <w:pPr>
              <w:pStyle w:val="1535"/>
              <w:rPr>
                <w:snapToGrid/>
              </w:rPr>
            </w:pPr>
            <w:r>
              <w:rPr>
                <w:rFonts w:hint="eastAsia"/>
                <w:snapToGrid/>
              </w:rPr>
              <w:t>0.062</w:t>
            </w:r>
          </w:p>
        </w:tc>
        <w:tc>
          <w:tcPr>
            <w:tcW w:w="850" w:type="dxa"/>
            <w:tcBorders>
              <w:top w:val="nil"/>
              <w:left w:val="nil"/>
              <w:bottom w:val="single" w:color="000000" w:sz="8" w:space="0"/>
              <w:right w:val="single" w:color="000000" w:sz="8" w:space="0"/>
            </w:tcBorders>
            <w:vAlign w:val="center"/>
          </w:tcPr>
          <w:p w14:paraId="34C98C96">
            <w:pPr>
              <w:pStyle w:val="1535"/>
              <w:rPr>
                <w:snapToGrid/>
              </w:rPr>
            </w:pPr>
            <w:r>
              <w:rPr>
                <w:rFonts w:hint="eastAsia"/>
                <w:snapToGrid/>
              </w:rPr>
              <w:t>0.012</w:t>
            </w:r>
          </w:p>
        </w:tc>
        <w:tc>
          <w:tcPr>
            <w:tcW w:w="765" w:type="dxa"/>
            <w:vMerge w:val="continue"/>
            <w:tcBorders>
              <w:left w:val="nil"/>
              <w:right w:val="single" w:color="000000" w:sz="8" w:space="0"/>
            </w:tcBorders>
            <w:vAlign w:val="center"/>
          </w:tcPr>
          <w:p w14:paraId="332321DF">
            <w:pPr>
              <w:pStyle w:val="1535"/>
              <w:rPr>
                <w:snapToGrid/>
              </w:rPr>
            </w:pPr>
          </w:p>
        </w:tc>
      </w:tr>
      <w:tr w14:paraId="2A8CB670">
        <w:tblPrEx>
          <w:tblCellMar>
            <w:top w:w="0" w:type="dxa"/>
            <w:left w:w="108" w:type="dxa"/>
            <w:bottom w:w="0" w:type="dxa"/>
            <w:right w:w="108" w:type="dxa"/>
          </w:tblCellMar>
        </w:tblPrEx>
        <w:trPr>
          <w:trHeight w:val="20" w:hRule="atLeast"/>
          <w:jc w:val="center"/>
        </w:trPr>
        <w:tc>
          <w:tcPr>
            <w:tcW w:w="936" w:type="dxa"/>
            <w:vMerge w:val="continue"/>
            <w:tcBorders>
              <w:left w:val="single" w:color="000000" w:sz="8" w:space="0"/>
              <w:bottom w:val="single" w:color="000000" w:sz="8" w:space="0"/>
              <w:right w:val="single" w:color="000000" w:sz="8" w:space="0"/>
            </w:tcBorders>
            <w:vAlign w:val="center"/>
          </w:tcPr>
          <w:p w14:paraId="0C796BB8">
            <w:pPr>
              <w:pStyle w:val="1535"/>
              <w:rPr>
                <w:snapToGrid/>
              </w:rPr>
            </w:pPr>
          </w:p>
        </w:tc>
        <w:tc>
          <w:tcPr>
            <w:tcW w:w="897" w:type="dxa"/>
            <w:vMerge w:val="continue"/>
            <w:tcBorders>
              <w:left w:val="nil"/>
              <w:bottom w:val="single" w:color="000000" w:sz="8" w:space="0"/>
              <w:right w:val="single" w:color="000000" w:sz="8" w:space="0"/>
            </w:tcBorders>
            <w:vAlign w:val="center"/>
          </w:tcPr>
          <w:p w14:paraId="29261E21">
            <w:pPr>
              <w:pStyle w:val="1535"/>
              <w:rPr>
                <w:snapToGrid/>
              </w:rPr>
            </w:pPr>
          </w:p>
        </w:tc>
        <w:tc>
          <w:tcPr>
            <w:tcW w:w="709" w:type="dxa"/>
            <w:vMerge w:val="continue"/>
            <w:tcBorders>
              <w:left w:val="nil"/>
              <w:bottom w:val="single" w:color="000000" w:sz="8" w:space="0"/>
              <w:right w:val="single" w:color="000000" w:sz="8" w:space="0"/>
            </w:tcBorders>
            <w:vAlign w:val="center"/>
          </w:tcPr>
          <w:p w14:paraId="365E98E1">
            <w:pPr>
              <w:pStyle w:val="1535"/>
              <w:rPr>
                <w:snapToGrid/>
              </w:rPr>
            </w:pPr>
          </w:p>
        </w:tc>
        <w:tc>
          <w:tcPr>
            <w:tcW w:w="850" w:type="dxa"/>
            <w:vMerge w:val="continue"/>
            <w:tcBorders>
              <w:left w:val="nil"/>
              <w:bottom w:val="single" w:color="000000" w:sz="8" w:space="0"/>
              <w:right w:val="single" w:color="000000" w:sz="8" w:space="0"/>
            </w:tcBorders>
            <w:vAlign w:val="center"/>
          </w:tcPr>
          <w:p w14:paraId="661BAEC0">
            <w:pPr>
              <w:pStyle w:val="1535"/>
              <w:rPr>
                <w:snapToGrid/>
              </w:rPr>
            </w:pPr>
          </w:p>
        </w:tc>
        <w:tc>
          <w:tcPr>
            <w:tcW w:w="994" w:type="dxa"/>
            <w:tcBorders>
              <w:top w:val="nil"/>
              <w:left w:val="nil"/>
              <w:bottom w:val="single" w:color="000000" w:sz="8" w:space="0"/>
              <w:right w:val="single" w:color="000000" w:sz="8" w:space="0"/>
            </w:tcBorders>
            <w:vAlign w:val="center"/>
          </w:tcPr>
          <w:p w14:paraId="4F0BF2BC">
            <w:pPr>
              <w:pStyle w:val="1535"/>
              <w:rPr>
                <w:snapToGrid/>
              </w:rPr>
            </w:pPr>
            <w:r>
              <w:rPr>
                <w:rFonts w:hint="eastAsia"/>
                <w:snapToGrid/>
              </w:rPr>
              <w:t>未反应MTS（以非甲烷总烃计）</w:t>
            </w:r>
          </w:p>
        </w:tc>
        <w:tc>
          <w:tcPr>
            <w:tcW w:w="796" w:type="dxa"/>
            <w:tcBorders>
              <w:top w:val="nil"/>
              <w:left w:val="nil"/>
              <w:bottom w:val="single" w:color="000000" w:sz="8" w:space="0"/>
              <w:right w:val="single" w:color="000000" w:sz="8" w:space="0"/>
            </w:tcBorders>
            <w:vAlign w:val="center"/>
          </w:tcPr>
          <w:p w14:paraId="186C0139">
            <w:pPr>
              <w:pStyle w:val="1535"/>
              <w:rPr>
                <w:snapToGrid/>
              </w:rPr>
            </w:pPr>
            <w:r>
              <w:rPr>
                <w:snapToGrid/>
              </w:rPr>
              <w:t>物料衡算</w:t>
            </w:r>
          </w:p>
        </w:tc>
        <w:tc>
          <w:tcPr>
            <w:tcW w:w="904" w:type="dxa"/>
            <w:tcBorders>
              <w:top w:val="nil"/>
              <w:left w:val="nil"/>
              <w:bottom w:val="single" w:color="000000" w:sz="8" w:space="0"/>
              <w:right w:val="single" w:color="000000" w:sz="8" w:space="0"/>
            </w:tcBorders>
            <w:vAlign w:val="center"/>
          </w:tcPr>
          <w:p w14:paraId="0277A2E8">
            <w:pPr>
              <w:pStyle w:val="1535"/>
              <w:rPr>
                <w:snapToGrid/>
              </w:rPr>
            </w:pPr>
            <w:r>
              <w:rPr>
                <w:rFonts w:hint="eastAsia"/>
                <w:snapToGrid/>
              </w:rPr>
              <w:t>981.94</w:t>
            </w:r>
          </w:p>
        </w:tc>
        <w:tc>
          <w:tcPr>
            <w:tcW w:w="850" w:type="dxa"/>
            <w:tcBorders>
              <w:top w:val="nil"/>
              <w:left w:val="nil"/>
              <w:bottom w:val="single" w:color="000000" w:sz="8" w:space="0"/>
              <w:right w:val="single" w:color="000000" w:sz="8" w:space="0"/>
            </w:tcBorders>
            <w:vAlign w:val="center"/>
          </w:tcPr>
          <w:p w14:paraId="42B13E6D">
            <w:pPr>
              <w:pStyle w:val="1535"/>
              <w:rPr>
                <w:snapToGrid/>
              </w:rPr>
            </w:pPr>
            <w:r>
              <w:rPr>
                <w:rFonts w:hint="eastAsia"/>
                <w:snapToGrid/>
              </w:rPr>
              <w:t>141.4</w:t>
            </w:r>
          </w:p>
        </w:tc>
        <w:tc>
          <w:tcPr>
            <w:tcW w:w="2977" w:type="dxa"/>
            <w:vMerge w:val="continue"/>
            <w:tcBorders>
              <w:left w:val="nil"/>
              <w:bottom w:val="single" w:color="000000" w:sz="8" w:space="0"/>
              <w:right w:val="single" w:color="000000" w:sz="8" w:space="0"/>
            </w:tcBorders>
            <w:vAlign w:val="center"/>
          </w:tcPr>
          <w:p w14:paraId="24B4B285">
            <w:pPr>
              <w:pStyle w:val="1535"/>
              <w:rPr>
                <w:snapToGrid/>
              </w:rPr>
            </w:pPr>
          </w:p>
        </w:tc>
        <w:tc>
          <w:tcPr>
            <w:tcW w:w="850" w:type="dxa"/>
            <w:vMerge w:val="continue"/>
            <w:tcBorders>
              <w:left w:val="nil"/>
              <w:bottom w:val="single" w:color="000000" w:sz="8" w:space="0"/>
              <w:right w:val="single" w:color="000000" w:sz="8" w:space="0"/>
            </w:tcBorders>
            <w:vAlign w:val="center"/>
          </w:tcPr>
          <w:p w14:paraId="43315768">
            <w:pPr>
              <w:pStyle w:val="1535"/>
              <w:rPr>
                <w:snapToGrid/>
              </w:rPr>
            </w:pPr>
          </w:p>
        </w:tc>
        <w:tc>
          <w:tcPr>
            <w:tcW w:w="709" w:type="dxa"/>
            <w:tcBorders>
              <w:top w:val="nil"/>
              <w:left w:val="nil"/>
              <w:bottom w:val="single" w:color="000000" w:sz="8" w:space="0"/>
              <w:right w:val="single" w:color="000000" w:sz="8" w:space="0"/>
            </w:tcBorders>
            <w:vAlign w:val="center"/>
          </w:tcPr>
          <w:p w14:paraId="56F3085F">
            <w:pPr>
              <w:pStyle w:val="1535"/>
              <w:rPr>
                <w:snapToGrid/>
              </w:rPr>
            </w:pPr>
            <w:r>
              <w:rPr>
                <w:rFonts w:hint="eastAsia"/>
                <w:snapToGrid/>
              </w:rPr>
              <w:t>2.95</w:t>
            </w:r>
          </w:p>
        </w:tc>
        <w:tc>
          <w:tcPr>
            <w:tcW w:w="851" w:type="dxa"/>
            <w:tcBorders>
              <w:top w:val="nil"/>
              <w:left w:val="nil"/>
              <w:bottom w:val="single" w:color="000000" w:sz="8" w:space="0"/>
              <w:right w:val="single" w:color="000000" w:sz="8" w:space="0"/>
            </w:tcBorders>
            <w:vAlign w:val="center"/>
          </w:tcPr>
          <w:p w14:paraId="44950B50">
            <w:pPr>
              <w:pStyle w:val="1535"/>
              <w:rPr>
                <w:snapToGrid/>
              </w:rPr>
            </w:pPr>
            <w:r>
              <w:rPr>
                <w:rFonts w:hint="eastAsia"/>
                <w:snapToGrid/>
              </w:rPr>
              <w:t>0.283</w:t>
            </w:r>
          </w:p>
        </w:tc>
        <w:tc>
          <w:tcPr>
            <w:tcW w:w="850" w:type="dxa"/>
            <w:tcBorders>
              <w:top w:val="nil"/>
              <w:left w:val="nil"/>
              <w:bottom w:val="single" w:color="000000" w:sz="8" w:space="0"/>
              <w:right w:val="single" w:color="000000" w:sz="8" w:space="0"/>
            </w:tcBorders>
            <w:vAlign w:val="center"/>
          </w:tcPr>
          <w:p w14:paraId="24DFDDFF">
            <w:pPr>
              <w:pStyle w:val="1535"/>
              <w:rPr>
                <w:snapToGrid/>
              </w:rPr>
            </w:pPr>
            <w:r>
              <w:rPr>
                <w:rFonts w:hint="eastAsia"/>
                <w:snapToGrid/>
              </w:rPr>
              <w:t>0.059</w:t>
            </w:r>
          </w:p>
        </w:tc>
        <w:tc>
          <w:tcPr>
            <w:tcW w:w="765" w:type="dxa"/>
            <w:vMerge w:val="continue"/>
            <w:tcBorders>
              <w:left w:val="nil"/>
              <w:bottom w:val="single" w:color="000000" w:sz="8" w:space="0"/>
              <w:right w:val="single" w:color="000000" w:sz="8" w:space="0"/>
            </w:tcBorders>
            <w:vAlign w:val="center"/>
          </w:tcPr>
          <w:p w14:paraId="3B5442A0">
            <w:pPr>
              <w:pStyle w:val="1535"/>
              <w:rPr>
                <w:snapToGrid/>
              </w:rPr>
            </w:pPr>
          </w:p>
        </w:tc>
      </w:tr>
    </w:tbl>
    <w:p w14:paraId="733FB702">
      <w:pPr>
        <w:ind w:firstLine="0" w:firstLineChars="0"/>
        <w:jc w:val="center"/>
        <w:rPr>
          <w:color w:val="000000" w:themeColor="text1"/>
          <w14:textFill>
            <w14:solidFill>
              <w14:schemeClr w14:val="tx1"/>
            </w14:solidFill>
          </w14:textFill>
        </w:rPr>
      </w:pPr>
    </w:p>
    <w:p w14:paraId="6E5CBD23">
      <w:pPr>
        <w:spacing w:before="32"/>
        <w:ind w:firstLine="520"/>
        <w:rPr>
          <w:color w:val="000000" w:themeColor="text1"/>
          <w14:textFill>
            <w14:solidFill>
              <w14:schemeClr w14:val="tx1"/>
            </w14:solidFill>
          </w14:textFill>
        </w:rPr>
      </w:pPr>
    </w:p>
    <w:p w14:paraId="76D0D9D4">
      <w:pPr>
        <w:spacing w:before="32"/>
        <w:ind w:firstLine="520"/>
        <w:rPr>
          <w:color w:val="000000" w:themeColor="text1"/>
          <w14:textFill>
            <w14:solidFill>
              <w14:schemeClr w14:val="tx1"/>
            </w14:solidFill>
          </w14:textFill>
        </w:rPr>
        <w:sectPr>
          <w:pgSz w:w="16838" w:h="11906" w:orient="landscape"/>
          <w:pgMar w:top="1797" w:right="1440" w:bottom="1797" w:left="1440" w:header="851" w:footer="992" w:gutter="0"/>
          <w:cols w:space="720" w:num="1"/>
          <w:docGrid w:type="lines" w:linePitch="326" w:charSpace="0"/>
        </w:sectPr>
      </w:pPr>
    </w:p>
    <w:p w14:paraId="45418C6E">
      <w:pPr>
        <w:pStyle w:val="5"/>
        <w:rPr>
          <w:color w:val="000000" w:themeColor="text1"/>
          <w14:textFill>
            <w14:solidFill>
              <w14:schemeClr w14:val="tx1"/>
            </w14:solidFill>
          </w14:textFill>
        </w:rPr>
      </w:pPr>
      <w:r>
        <w:rPr>
          <w:color w:val="000000" w:themeColor="text1"/>
          <w14:textFill>
            <w14:solidFill>
              <w14:schemeClr w14:val="tx1"/>
            </w14:solidFill>
          </w14:textFill>
        </w:rPr>
        <w:t>噪声</w:t>
      </w:r>
    </w:p>
    <w:p w14:paraId="7EB53FE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本次扩建项目，</w:t>
      </w:r>
      <w:r>
        <w:rPr>
          <w:color w:val="000000" w:themeColor="text1"/>
          <w14:textFill>
            <w14:solidFill>
              <w14:schemeClr w14:val="tx1"/>
            </w14:solidFill>
          </w14:textFill>
        </w:rPr>
        <w:t>主要噪声设备声源声级值见下表。</w:t>
      </w:r>
    </w:p>
    <w:p w14:paraId="0A60BED6">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主要噪声源声级值</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4799"/>
        <w:gridCol w:w="1164"/>
        <w:gridCol w:w="810"/>
      </w:tblGrid>
      <w:tr w14:paraId="6FFE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6" w:type="pct"/>
            <w:vAlign w:val="center"/>
          </w:tcPr>
          <w:p w14:paraId="3C85C36D">
            <w:pPr>
              <w:pStyle w:val="1535"/>
            </w:pPr>
            <w:r>
              <w:t>车间名称</w:t>
            </w:r>
          </w:p>
        </w:tc>
        <w:tc>
          <w:tcPr>
            <w:tcW w:w="2815" w:type="pct"/>
            <w:vAlign w:val="center"/>
          </w:tcPr>
          <w:p w14:paraId="72A70276">
            <w:pPr>
              <w:pStyle w:val="1535"/>
            </w:pPr>
            <w:r>
              <w:t>主要声源</w:t>
            </w:r>
          </w:p>
        </w:tc>
        <w:tc>
          <w:tcPr>
            <w:tcW w:w="683" w:type="pct"/>
            <w:vAlign w:val="center"/>
          </w:tcPr>
          <w:p w14:paraId="0C166F38">
            <w:pPr>
              <w:pStyle w:val="1535"/>
            </w:pPr>
            <w:r>
              <w:t>源强(dB(A))</w:t>
            </w:r>
          </w:p>
        </w:tc>
        <w:tc>
          <w:tcPr>
            <w:tcW w:w="475" w:type="pct"/>
            <w:vAlign w:val="center"/>
          </w:tcPr>
          <w:p w14:paraId="53B55EAE">
            <w:pPr>
              <w:pStyle w:val="1535"/>
            </w:pPr>
            <w:r>
              <w:t>排放特点</w:t>
            </w:r>
          </w:p>
        </w:tc>
      </w:tr>
      <w:tr w14:paraId="3A0C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6" w:type="pct"/>
            <w:vAlign w:val="center"/>
          </w:tcPr>
          <w:p w14:paraId="03417379">
            <w:pPr>
              <w:pStyle w:val="1535"/>
            </w:pPr>
            <w:r>
              <w:rPr>
                <w:rFonts w:hint="eastAsia"/>
              </w:rPr>
              <w:t>臻宝半导体公司1#厂房</w:t>
            </w:r>
          </w:p>
        </w:tc>
        <w:tc>
          <w:tcPr>
            <w:tcW w:w="2815" w:type="pct"/>
            <w:vAlign w:val="center"/>
          </w:tcPr>
          <w:p w14:paraId="00F7A0EF">
            <w:pPr>
              <w:pStyle w:val="1535"/>
            </w:pPr>
            <w:r>
              <w:rPr>
                <w:rFonts w:hint="eastAsia"/>
              </w:rPr>
              <w:t>纯化炉</w:t>
            </w:r>
            <w:r>
              <w:t>、</w:t>
            </w:r>
            <w:r>
              <w:rPr>
                <w:rFonts w:hint="eastAsia"/>
                <w:snapToGrid/>
              </w:rPr>
              <w:t>高温处理炉</w:t>
            </w:r>
            <w:r>
              <w:t>、</w:t>
            </w:r>
            <w:r>
              <w:rPr>
                <w:snapToGrid/>
              </w:rPr>
              <w:t>CVDSIC炉</w:t>
            </w:r>
          </w:p>
        </w:tc>
        <w:tc>
          <w:tcPr>
            <w:tcW w:w="683" w:type="pct"/>
            <w:vAlign w:val="center"/>
          </w:tcPr>
          <w:p w14:paraId="36E5983D">
            <w:pPr>
              <w:pStyle w:val="1535"/>
            </w:pPr>
            <w:r>
              <w:rPr>
                <w:rFonts w:hint="eastAsia"/>
              </w:rPr>
              <w:t>80</w:t>
            </w:r>
            <w:r>
              <w:t>-</w:t>
            </w:r>
            <w:r>
              <w:rPr>
                <w:rFonts w:hint="eastAsia"/>
              </w:rPr>
              <w:t>8</w:t>
            </w:r>
            <w:r>
              <w:t>5</w:t>
            </w:r>
          </w:p>
        </w:tc>
        <w:tc>
          <w:tcPr>
            <w:tcW w:w="475" w:type="pct"/>
            <w:vAlign w:val="center"/>
          </w:tcPr>
          <w:p w14:paraId="210E3B77">
            <w:pPr>
              <w:pStyle w:val="1535"/>
            </w:pPr>
            <w:r>
              <w:t>连续</w:t>
            </w:r>
          </w:p>
        </w:tc>
      </w:tr>
      <w:tr w14:paraId="0B2B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6" w:type="pct"/>
            <w:vAlign w:val="center"/>
          </w:tcPr>
          <w:p w14:paraId="7B526815">
            <w:pPr>
              <w:pStyle w:val="1535"/>
            </w:pPr>
            <w:r>
              <w:rPr>
                <w:rFonts w:hint="eastAsia"/>
              </w:rPr>
              <w:t>臻宝科技公司联合厂房</w:t>
            </w:r>
          </w:p>
        </w:tc>
        <w:tc>
          <w:tcPr>
            <w:tcW w:w="2815" w:type="pct"/>
            <w:vAlign w:val="center"/>
          </w:tcPr>
          <w:p w14:paraId="236FE644">
            <w:pPr>
              <w:pStyle w:val="1535"/>
            </w:pPr>
            <w:r>
              <w:rPr>
                <w:rFonts w:hint="eastAsia"/>
              </w:rPr>
              <w:t>纵切型自动车床(走心机)、高速离心式抛光机、自动切断机、伺服模切压力机、薄片清洁机、外抽真空包装机</w:t>
            </w:r>
          </w:p>
        </w:tc>
        <w:tc>
          <w:tcPr>
            <w:tcW w:w="683" w:type="pct"/>
            <w:vAlign w:val="center"/>
          </w:tcPr>
          <w:p w14:paraId="16E18344">
            <w:pPr>
              <w:pStyle w:val="1535"/>
            </w:pPr>
            <w:r>
              <w:rPr>
                <w:rFonts w:hint="eastAsia"/>
              </w:rPr>
              <w:t>70</w:t>
            </w:r>
            <w:r>
              <w:t>-</w:t>
            </w:r>
            <w:r>
              <w:rPr>
                <w:rFonts w:hint="eastAsia"/>
              </w:rPr>
              <w:t>7</w:t>
            </w:r>
            <w:r>
              <w:t>5</w:t>
            </w:r>
          </w:p>
        </w:tc>
        <w:tc>
          <w:tcPr>
            <w:tcW w:w="475" w:type="pct"/>
            <w:vAlign w:val="center"/>
          </w:tcPr>
          <w:p w14:paraId="647582E5">
            <w:pPr>
              <w:pStyle w:val="1535"/>
            </w:pPr>
            <w:r>
              <w:t>连续</w:t>
            </w:r>
          </w:p>
        </w:tc>
      </w:tr>
      <w:tr w14:paraId="1BA0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6" w:type="pct"/>
            <w:vAlign w:val="center"/>
          </w:tcPr>
          <w:p w14:paraId="1DA9D4BB">
            <w:pPr>
              <w:pStyle w:val="1535"/>
            </w:pPr>
            <w:r>
              <w:rPr>
                <w:rFonts w:hint="eastAsia"/>
              </w:rPr>
              <w:t>臻宝科技公司附属用房01</w:t>
            </w:r>
          </w:p>
        </w:tc>
        <w:tc>
          <w:tcPr>
            <w:tcW w:w="2815" w:type="pct"/>
            <w:vAlign w:val="center"/>
          </w:tcPr>
          <w:p w14:paraId="1752D863">
            <w:pPr>
              <w:pStyle w:val="1535"/>
            </w:pPr>
            <w:r>
              <w:rPr>
                <w:rFonts w:hint="eastAsia"/>
              </w:rPr>
              <w:t>立式数控砂线切割机、立式带锯床、立式加工中心、高速精雕机、卧式数控车削中心、卧式数控车床、卧式普通车床、立式砂光机、立式炮塔铣床</w:t>
            </w:r>
          </w:p>
        </w:tc>
        <w:tc>
          <w:tcPr>
            <w:tcW w:w="683" w:type="pct"/>
            <w:vAlign w:val="center"/>
          </w:tcPr>
          <w:p w14:paraId="60440842">
            <w:pPr>
              <w:pStyle w:val="1535"/>
            </w:pPr>
            <w:r>
              <w:rPr>
                <w:rFonts w:hint="eastAsia"/>
              </w:rPr>
              <w:t>65</w:t>
            </w:r>
            <w:r>
              <w:t>-</w:t>
            </w:r>
            <w:r>
              <w:rPr>
                <w:rFonts w:hint="eastAsia"/>
              </w:rPr>
              <w:t>7</w:t>
            </w:r>
            <w:r>
              <w:t>5</w:t>
            </w:r>
          </w:p>
        </w:tc>
        <w:tc>
          <w:tcPr>
            <w:tcW w:w="475" w:type="pct"/>
            <w:vAlign w:val="center"/>
          </w:tcPr>
          <w:p w14:paraId="2CFDB1F5">
            <w:pPr>
              <w:pStyle w:val="1535"/>
            </w:pPr>
            <w:r>
              <w:t>连续</w:t>
            </w:r>
          </w:p>
        </w:tc>
      </w:tr>
    </w:tbl>
    <w:p w14:paraId="00E50D43">
      <w:pPr>
        <w:pStyle w:val="5"/>
        <w:rPr>
          <w:color w:val="000000" w:themeColor="text1"/>
          <w14:textFill>
            <w14:solidFill>
              <w14:schemeClr w14:val="tx1"/>
            </w14:solidFill>
          </w14:textFill>
        </w:rPr>
      </w:pPr>
      <w:r>
        <w:rPr>
          <w:color w:val="000000" w:themeColor="text1"/>
          <w14:textFill>
            <w14:solidFill>
              <w14:schemeClr w14:val="tx1"/>
            </w14:solidFill>
          </w14:textFill>
        </w:rPr>
        <w:t>固废</w:t>
      </w:r>
    </w:p>
    <w:p w14:paraId="6E3A8187">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w:t>
      </w:r>
      <w:r>
        <w:rPr>
          <w:rFonts w:hint="eastAsia"/>
          <w:color w:val="000000" w:themeColor="text1"/>
          <w14:textFill>
            <w14:solidFill>
              <w14:schemeClr w14:val="tx1"/>
            </w14:solidFill>
          </w14:textFill>
        </w:rPr>
        <w:t>营运期</w:t>
      </w:r>
      <w:r>
        <w:rPr>
          <w:color w:val="000000" w:themeColor="text1"/>
          <w14:textFill>
            <w14:solidFill>
              <w14:schemeClr w14:val="tx1"/>
            </w14:solidFill>
          </w14:textFill>
        </w:rPr>
        <w:t>产生的固废主要包括一般工业固废、危险废物、生活垃圾等，其中一般工业固体废物包括除尘灰、纯水站废RO膜、包装材料等；危险废物包括废切削液、含油废渣、废设备机油、危险化学品桶、</w:t>
      </w:r>
      <w:r>
        <w:rPr>
          <w:snapToGrid/>
          <w:color w:val="000000" w:themeColor="text1"/>
          <w14:textFill>
            <w14:solidFill>
              <w14:schemeClr w14:val="tx1"/>
            </w14:solidFill>
          </w14:textFill>
        </w:rPr>
        <w:t>含切削液污泥</w:t>
      </w:r>
      <w:r>
        <w:rPr>
          <w:rFonts w:hint="eastAsia"/>
          <w:snapToGrid/>
          <w:color w:val="000000" w:themeColor="text1"/>
          <w14:textFill>
            <w14:solidFill>
              <w14:schemeClr w14:val="tx1"/>
            </w14:solidFill>
          </w14:textFill>
        </w:rPr>
        <w:t>、</w:t>
      </w:r>
      <w:r>
        <w:rPr>
          <w:rFonts w:hint="eastAsia"/>
          <w:color w:val="000000" w:themeColor="text1"/>
          <w14:textFill>
            <w14:solidFill>
              <w14:schemeClr w14:val="tx1"/>
            </w14:solidFill>
          </w14:textFill>
        </w:rPr>
        <w:t>沾染危险废物抹布手套</w:t>
      </w:r>
      <w:r>
        <w:rPr>
          <w:color w:val="000000" w:themeColor="text1"/>
          <w14:textFill>
            <w14:solidFill>
              <w14:schemeClr w14:val="tx1"/>
            </w14:solidFill>
          </w14:textFill>
        </w:rPr>
        <w:t>等，扩建项目固体废物产生量详见下表。</w:t>
      </w:r>
    </w:p>
    <w:p w14:paraId="55880F1B">
      <w:pPr>
        <w:ind w:firstLine="520"/>
        <w:rPr>
          <w:color w:val="000000" w:themeColor="text1"/>
          <w14:textFill>
            <w14:solidFill>
              <w14:schemeClr w14:val="tx1"/>
            </w14:solidFill>
          </w14:textFill>
        </w:rPr>
      </w:pPr>
    </w:p>
    <w:p w14:paraId="5FB855F3">
      <w:pPr>
        <w:spacing w:before="32"/>
        <w:ind w:firstLine="520"/>
        <w:rPr>
          <w:color w:val="000000" w:themeColor="text1"/>
          <w14:textFill>
            <w14:solidFill>
              <w14:schemeClr w14:val="tx1"/>
            </w14:solidFill>
          </w14:textFill>
        </w:rPr>
      </w:pPr>
    </w:p>
    <w:p w14:paraId="3DC62EA2">
      <w:pPr>
        <w:spacing w:before="32"/>
        <w:ind w:firstLine="52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76F7D125">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固废的产生和处置情况</w:t>
      </w:r>
    </w:p>
    <w:tbl>
      <w:tblPr>
        <w:tblStyle w:val="8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54"/>
        <w:gridCol w:w="1298"/>
        <w:gridCol w:w="1153"/>
        <w:gridCol w:w="1009"/>
        <w:gridCol w:w="1686"/>
        <w:gridCol w:w="765"/>
        <w:gridCol w:w="1153"/>
        <w:gridCol w:w="864"/>
        <w:gridCol w:w="1298"/>
        <w:gridCol w:w="1298"/>
        <w:gridCol w:w="2796"/>
      </w:tblGrid>
      <w:tr w14:paraId="70A08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72" w:hRule="atLeast"/>
          <w:jc w:val="center"/>
        </w:trPr>
        <w:tc>
          <w:tcPr>
            <w:tcW w:w="841" w:type="dxa"/>
            <w:vAlign w:val="center"/>
          </w:tcPr>
          <w:p w14:paraId="1C1F5F8C">
            <w:pPr>
              <w:pStyle w:val="1535"/>
              <w:rPr>
                <w:snapToGrid/>
              </w:rPr>
            </w:pPr>
            <w:r>
              <w:rPr>
                <w:snapToGrid/>
              </w:rPr>
              <w:t>序号</w:t>
            </w:r>
          </w:p>
        </w:tc>
        <w:tc>
          <w:tcPr>
            <w:tcW w:w="1276" w:type="dxa"/>
            <w:vAlign w:val="center"/>
          </w:tcPr>
          <w:p w14:paraId="7AA12EEF">
            <w:pPr>
              <w:pStyle w:val="1535"/>
              <w:rPr>
                <w:snapToGrid/>
              </w:rPr>
            </w:pPr>
            <w:r>
              <w:rPr>
                <w:snapToGrid/>
              </w:rPr>
              <w:t>编号</w:t>
            </w:r>
          </w:p>
        </w:tc>
        <w:tc>
          <w:tcPr>
            <w:tcW w:w="1134" w:type="dxa"/>
            <w:vAlign w:val="center"/>
          </w:tcPr>
          <w:p w14:paraId="1492860E">
            <w:pPr>
              <w:pStyle w:val="1535"/>
              <w:rPr>
                <w:snapToGrid/>
              </w:rPr>
            </w:pPr>
            <w:r>
              <w:rPr>
                <w:snapToGrid/>
              </w:rPr>
              <w:t>名称</w:t>
            </w:r>
          </w:p>
        </w:tc>
        <w:tc>
          <w:tcPr>
            <w:tcW w:w="992" w:type="dxa"/>
            <w:vAlign w:val="center"/>
          </w:tcPr>
          <w:p w14:paraId="542D8B0C">
            <w:pPr>
              <w:pStyle w:val="1535"/>
              <w:rPr>
                <w:snapToGrid/>
              </w:rPr>
            </w:pPr>
            <w:r>
              <w:rPr>
                <w:snapToGrid/>
              </w:rPr>
              <w:t>属性</w:t>
            </w:r>
          </w:p>
        </w:tc>
        <w:tc>
          <w:tcPr>
            <w:tcW w:w="1658" w:type="dxa"/>
            <w:vAlign w:val="center"/>
          </w:tcPr>
          <w:p w14:paraId="723C1B88">
            <w:pPr>
              <w:pStyle w:val="1535"/>
              <w:rPr>
                <w:snapToGrid/>
              </w:rPr>
            </w:pPr>
            <w:r>
              <w:rPr>
                <w:snapToGrid/>
              </w:rPr>
              <w:t>产污节点</w:t>
            </w:r>
          </w:p>
        </w:tc>
        <w:tc>
          <w:tcPr>
            <w:tcW w:w="752" w:type="dxa"/>
            <w:vAlign w:val="center"/>
          </w:tcPr>
          <w:p w14:paraId="06F917E3">
            <w:pPr>
              <w:pStyle w:val="1535"/>
              <w:rPr>
                <w:snapToGrid/>
              </w:rPr>
            </w:pPr>
            <w:r>
              <w:rPr>
                <w:snapToGrid/>
              </w:rPr>
              <w:t>形态</w:t>
            </w:r>
          </w:p>
        </w:tc>
        <w:tc>
          <w:tcPr>
            <w:tcW w:w="1134" w:type="dxa"/>
            <w:vAlign w:val="center"/>
          </w:tcPr>
          <w:p w14:paraId="1D160D19">
            <w:pPr>
              <w:pStyle w:val="1535"/>
              <w:rPr>
                <w:snapToGrid/>
              </w:rPr>
            </w:pPr>
            <w:r>
              <w:rPr>
                <w:snapToGrid/>
              </w:rPr>
              <w:t>主要成分</w:t>
            </w:r>
          </w:p>
        </w:tc>
        <w:tc>
          <w:tcPr>
            <w:tcW w:w="850" w:type="dxa"/>
            <w:vAlign w:val="center"/>
          </w:tcPr>
          <w:p w14:paraId="7201434F">
            <w:pPr>
              <w:pStyle w:val="1535"/>
              <w:rPr>
                <w:snapToGrid/>
              </w:rPr>
            </w:pPr>
            <w:r>
              <w:rPr>
                <w:snapToGrid/>
              </w:rPr>
              <w:t>废物类别</w:t>
            </w:r>
          </w:p>
        </w:tc>
        <w:tc>
          <w:tcPr>
            <w:tcW w:w="1276" w:type="dxa"/>
            <w:vAlign w:val="center"/>
          </w:tcPr>
          <w:p w14:paraId="358015A0">
            <w:pPr>
              <w:pStyle w:val="1535"/>
              <w:rPr>
                <w:snapToGrid/>
              </w:rPr>
            </w:pPr>
            <w:r>
              <w:rPr>
                <w:snapToGrid/>
              </w:rPr>
              <w:t>废物代码</w:t>
            </w:r>
          </w:p>
        </w:tc>
        <w:tc>
          <w:tcPr>
            <w:tcW w:w="1276" w:type="dxa"/>
            <w:vAlign w:val="center"/>
          </w:tcPr>
          <w:p w14:paraId="0DCA7292">
            <w:pPr>
              <w:pStyle w:val="1535"/>
              <w:rPr>
                <w:snapToGrid/>
              </w:rPr>
            </w:pPr>
            <w:r>
              <w:rPr>
                <w:snapToGrid/>
              </w:rPr>
              <w:t>产生量t/a</w:t>
            </w:r>
          </w:p>
        </w:tc>
        <w:tc>
          <w:tcPr>
            <w:tcW w:w="2749" w:type="dxa"/>
            <w:vAlign w:val="center"/>
          </w:tcPr>
          <w:p w14:paraId="2A99FD8B">
            <w:pPr>
              <w:pStyle w:val="1535"/>
              <w:rPr>
                <w:snapToGrid/>
              </w:rPr>
            </w:pPr>
            <w:r>
              <w:rPr>
                <w:snapToGrid/>
              </w:rPr>
              <w:t>处置办法</w:t>
            </w:r>
          </w:p>
        </w:tc>
      </w:tr>
      <w:tr w14:paraId="679B9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588D75EF">
            <w:pPr>
              <w:pStyle w:val="1535"/>
              <w:rPr>
                <w:snapToGrid/>
              </w:rPr>
            </w:pPr>
            <w:r>
              <w:rPr>
                <w:snapToGrid/>
              </w:rPr>
              <w:t>1</w:t>
            </w:r>
          </w:p>
        </w:tc>
        <w:tc>
          <w:tcPr>
            <w:tcW w:w="1276" w:type="dxa"/>
            <w:vAlign w:val="center"/>
          </w:tcPr>
          <w:p w14:paraId="45F2418B">
            <w:pPr>
              <w:pStyle w:val="1535"/>
              <w:rPr>
                <w:snapToGrid/>
              </w:rPr>
            </w:pPr>
            <w:r>
              <w:rPr>
                <w:snapToGrid/>
              </w:rPr>
              <w:t>S1</w:t>
            </w:r>
          </w:p>
        </w:tc>
        <w:tc>
          <w:tcPr>
            <w:tcW w:w="1134" w:type="dxa"/>
            <w:vAlign w:val="center"/>
          </w:tcPr>
          <w:p w14:paraId="79C944AA">
            <w:pPr>
              <w:pStyle w:val="1535"/>
              <w:rPr>
                <w:snapToGrid/>
              </w:rPr>
            </w:pPr>
            <w:r>
              <w:rPr>
                <w:rFonts w:hint="eastAsia"/>
                <w:snapToGrid/>
              </w:rPr>
              <w:t>废塑料、废金属</w:t>
            </w:r>
          </w:p>
        </w:tc>
        <w:tc>
          <w:tcPr>
            <w:tcW w:w="992" w:type="dxa"/>
            <w:vAlign w:val="center"/>
          </w:tcPr>
          <w:p w14:paraId="395C1F6D">
            <w:pPr>
              <w:pStyle w:val="1535"/>
              <w:rPr>
                <w:snapToGrid/>
              </w:rPr>
            </w:pPr>
            <w:r>
              <w:rPr>
                <w:snapToGrid/>
              </w:rPr>
              <w:t>一般工业固废</w:t>
            </w:r>
          </w:p>
        </w:tc>
        <w:tc>
          <w:tcPr>
            <w:tcW w:w="1658" w:type="dxa"/>
            <w:vAlign w:val="center"/>
          </w:tcPr>
          <w:p w14:paraId="1E2E6135">
            <w:pPr>
              <w:pStyle w:val="1535"/>
              <w:rPr>
                <w:snapToGrid/>
              </w:rPr>
            </w:pPr>
            <w:r>
              <w:rPr>
                <w:rFonts w:hint="eastAsia"/>
                <w:snapToGrid/>
              </w:rPr>
              <w:t>下料、机加</w:t>
            </w:r>
          </w:p>
        </w:tc>
        <w:tc>
          <w:tcPr>
            <w:tcW w:w="752" w:type="dxa"/>
            <w:vAlign w:val="center"/>
          </w:tcPr>
          <w:p w14:paraId="7453E21A">
            <w:pPr>
              <w:pStyle w:val="1535"/>
              <w:rPr>
                <w:snapToGrid/>
              </w:rPr>
            </w:pPr>
            <w:r>
              <w:rPr>
                <w:snapToGrid/>
              </w:rPr>
              <w:t>固态</w:t>
            </w:r>
          </w:p>
        </w:tc>
        <w:tc>
          <w:tcPr>
            <w:tcW w:w="1134" w:type="dxa"/>
            <w:vAlign w:val="center"/>
          </w:tcPr>
          <w:p w14:paraId="5115F3F5">
            <w:pPr>
              <w:pStyle w:val="1535"/>
              <w:rPr>
                <w:snapToGrid/>
              </w:rPr>
            </w:pPr>
            <w:r>
              <w:rPr>
                <w:rFonts w:hint="eastAsia"/>
                <w:snapToGrid/>
              </w:rPr>
              <w:t>塑料、铁</w:t>
            </w:r>
          </w:p>
        </w:tc>
        <w:tc>
          <w:tcPr>
            <w:tcW w:w="850" w:type="dxa"/>
            <w:vAlign w:val="center"/>
          </w:tcPr>
          <w:p w14:paraId="523CE93A">
            <w:pPr>
              <w:pStyle w:val="1535"/>
              <w:rPr>
                <w:snapToGrid/>
              </w:rPr>
            </w:pPr>
            <w:r>
              <w:rPr>
                <w:snapToGrid/>
              </w:rPr>
              <w:t>/</w:t>
            </w:r>
          </w:p>
        </w:tc>
        <w:tc>
          <w:tcPr>
            <w:tcW w:w="1276" w:type="dxa"/>
            <w:vAlign w:val="center"/>
          </w:tcPr>
          <w:p w14:paraId="05CC2D24">
            <w:pPr>
              <w:pStyle w:val="1535"/>
              <w:rPr>
                <w:snapToGrid/>
              </w:rPr>
            </w:pPr>
            <w:r>
              <w:rPr>
                <w:snapToGrid/>
              </w:rPr>
              <w:t>/</w:t>
            </w:r>
          </w:p>
        </w:tc>
        <w:tc>
          <w:tcPr>
            <w:tcW w:w="1276" w:type="dxa"/>
            <w:vAlign w:val="center"/>
          </w:tcPr>
          <w:p w14:paraId="04EC741B">
            <w:pPr>
              <w:pStyle w:val="1535"/>
              <w:rPr>
                <w:snapToGrid/>
              </w:rPr>
            </w:pPr>
            <w:r>
              <w:rPr>
                <w:snapToGrid/>
              </w:rPr>
              <w:t>1</w:t>
            </w:r>
            <w:r>
              <w:rPr>
                <w:rFonts w:hint="eastAsia"/>
                <w:snapToGrid/>
              </w:rPr>
              <w:t>.0</w:t>
            </w:r>
          </w:p>
        </w:tc>
        <w:tc>
          <w:tcPr>
            <w:tcW w:w="2749" w:type="dxa"/>
            <w:vAlign w:val="center"/>
          </w:tcPr>
          <w:p w14:paraId="7E2EE1DB">
            <w:pPr>
              <w:pStyle w:val="1535"/>
              <w:rPr>
                <w:snapToGrid/>
              </w:rPr>
            </w:pPr>
            <w:r>
              <w:rPr>
                <w:snapToGrid/>
              </w:rPr>
              <w:t>外卖物资公司回收利用</w:t>
            </w:r>
          </w:p>
        </w:tc>
      </w:tr>
      <w:tr w14:paraId="38D28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57AF0A57">
            <w:pPr>
              <w:pStyle w:val="1535"/>
              <w:rPr>
                <w:snapToGrid/>
              </w:rPr>
            </w:pPr>
            <w:r>
              <w:rPr>
                <w:snapToGrid/>
              </w:rPr>
              <w:t>2</w:t>
            </w:r>
          </w:p>
        </w:tc>
        <w:tc>
          <w:tcPr>
            <w:tcW w:w="1276" w:type="dxa"/>
            <w:vAlign w:val="center"/>
          </w:tcPr>
          <w:p w14:paraId="712CA00B">
            <w:pPr>
              <w:pStyle w:val="1535"/>
              <w:rPr>
                <w:snapToGrid/>
              </w:rPr>
            </w:pPr>
            <w:r>
              <w:rPr>
                <w:snapToGrid/>
              </w:rPr>
              <w:t>S2</w:t>
            </w:r>
          </w:p>
        </w:tc>
        <w:tc>
          <w:tcPr>
            <w:tcW w:w="1134" w:type="dxa"/>
            <w:vAlign w:val="center"/>
          </w:tcPr>
          <w:p w14:paraId="5804AA2D">
            <w:pPr>
              <w:pStyle w:val="1535"/>
              <w:rPr>
                <w:snapToGrid/>
              </w:rPr>
            </w:pPr>
            <w:r>
              <w:rPr>
                <w:snapToGrid/>
              </w:rPr>
              <w:t>废切削液</w:t>
            </w:r>
          </w:p>
        </w:tc>
        <w:tc>
          <w:tcPr>
            <w:tcW w:w="992" w:type="dxa"/>
            <w:vAlign w:val="center"/>
          </w:tcPr>
          <w:p w14:paraId="460154A4">
            <w:pPr>
              <w:pStyle w:val="1535"/>
              <w:rPr>
                <w:snapToGrid/>
              </w:rPr>
            </w:pPr>
            <w:r>
              <w:rPr>
                <w:snapToGrid/>
              </w:rPr>
              <w:t>危险废物</w:t>
            </w:r>
          </w:p>
        </w:tc>
        <w:tc>
          <w:tcPr>
            <w:tcW w:w="1658" w:type="dxa"/>
            <w:vAlign w:val="center"/>
          </w:tcPr>
          <w:p w14:paraId="3C18FEAE">
            <w:pPr>
              <w:pStyle w:val="1535"/>
              <w:rPr>
                <w:snapToGrid/>
              </w:rPr>
            </w:pPr>
            <w:r>
              <w:rPr>
                <w:snapToGrid/>
              </w:rPr>
              <w:t>下料、</w:t>
            </w:r>
            <w:r>
              <w:rPr>
                <w:rFonts w:hint="eastAsia"/>
                <w:snapToGrid/>
              </w:rPr>
              <w:t>机加</w:t>
            </w:r>
          </w:p>
        </w:tc>
        <w:tc>
          <w:tcPr>
            <w:tcW w:w="752" w:type="dxa"/>
            <w:vAlign w:val="center"/>
          </w:tcPr>
          <w:p w14:paraId="25EF30A7">
            <w:pPr>
              <w:pStyle w:val="1535"/>
              <w:rPr>
                <w:snapToGrid/>
              </w:rPr>
            </w:pPr>
            <w:r>
              <w:rPr>
                <w:snapToGrid/>
              </w:rPr>
              <w:t>液态</w:t>
            </w:r>
          </w:p>
        </w:tc>
        <w:tc>
          <w:tcPr>
            <w:tcW w:w="1134" w:type="dxa"/>
            <w:vAlign w:val="center"/>
          </w:tcPr>
          <w:p w14:paraId="642A4F88">
            <w:pPr>
              <w:pStyle w:val="1535"/>
              <w:rPr>
                <w:snapToGrid/>
              </w:rPr>
            </w:pPr>
            <w:r>
              <w:rPr>
                <w:snapToGrid/>
              </w:rPr>
              <w:t>乳化液</w:t>
            </w:r>
          </w:p>
        </w:tc>
        <w:tc>
          <w:tcPr>
            <w:tcW w:w="850" w:type="dxa"/>
            <w:vAlign w:val="center"/>
          </w:tcPr>
          <w:p w14:paraId="4639FE94">
            <w:pPr>
              <w:pStyle w:val="1535"/>
              <w:rPr>
                <w:snapToGrid/>
              </w:rPr>
            </w:pPr>
            <w:r>
              <w:rPr>
                <w:snapToGrid/>
              </w:rPr>
              <w:t>HW09</w:t>
            </w:r>
          </w:p>
        </w:tc>
        <w:tc>
          <w:tcPr>
            <w:tcW w:w="1276" w:type="dxa"/>
            <w:vAlign w:val="center"/>
          </w:tcPr>
          <w:p w14:paraId="39E85C5E">
            <w:pPr>
              <w:pStyle w:val="1535"/>
              <w:rPr>
                <w:snapToGrid/>
              </w:rPr>
            </w:pPr>
            <w:r>
              <w:rPr>
                <w:snapToGrid/>
              </w:rPr>
              <w:t>900-006-09</w:t>
            </w:r>
          </w:p>
        </w:tc>
        <w:tc>
          <w:tcPr>
            <w:tcW w:w="1276" w:type="dxa"/>
            <w:vAlign w:val="center"/>
          </w:tcPr>
          <w:p w14:paraId="222C4B81">
            <w:pPr>
              <w:pStyle w:val="1535"/>
              <w:rPr>
                <w:snapToGrid/>
              </w:rPr>
            </w:pPr>
            <w:r>
              <w:rPr>
                <w:rFonts w:hint="eastAsia"/>
                <w:snapToGrid/>
              </w:rPr>
              <w:t>0.2</w:t>
            </w:r>
          </w:p>
        </w:tc>
        <w:tc>
          <w:tcPr>
            <w:tcW w:w="2749" w:type="dxa"/>
            <w:vAlign w:val="center"/>
          </w:tcPr>
          <w:p w14:paraId="18596709">
            <w:pPr>
              <w:pStyle w:val="1535"/>
              <w:rPr>
                <w:snapToGrid/>
              </w:rPr>
            </w:pPr>
            <w:r>
              <w:rPr>
                <w:snapToGrid/>
              </w:rPr>
              <w:t>在切削液回收车间经压滤+过滤处置后回用于生产，含有污泥作为危险废物，委托有资质单位处置</w:t>
            </w:r>
          </w:p>
        </w:tc>
      </w:tr>
      <w:tr w14:paraId="40EC48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00DAC2F0">
            <w:pPr>
              <w:pStyle w:val="1535"/>
              <w:rPr>
                <w:snapToGrid/>
              </w:rPr>
            </w:pPr>
            <w:r>
              <w:rPr>
                <w:snapToGrid/>
              </w:rPr>
              <w:t>3</w:t>
            </w:r>
          </w:p>
        </w:tc>
        <w:tc>
          <w:tcPr>
            <w:tcW w:w="1276" w:type="dxa"/>
            <w:vAlign w:val="center"/>
          </w:tcPr>
          <w:p w14:paraId="63751E11">
            <w:pPr>
              <w:pStyle w:val="1535"/>
              <w:rPr>
                <w:snapToGrid/>
              </w:rPr>
            </w:pPr>
            <w:r>
              <w:rPr>
                <w:snapToGrid/>
              </w:rPr>
              <w:t>S3</w:t>
            </w:r>
          </w:p>
        </w:tc>
        <w:tc>
          <w:tcPr>
            <w:tcW w:w="1134" w:type="dxa"/>
            <w:vAlign w:val="center"/>
          </w:tcPr>
          <w:p w14:paraId="1F0F6AD0">
            <w:pPr>
              <w:pStyle w:val="1535"/>
              <w:rPr>
                <w:snapToGrid/>
              </w:rPr>
            </w:pPr>
            <w:r>
              <w:rPr>
                <w:rFonts w:hint="eastAsia"/>
                <w:snapToGrid/>
              </w:rPr>
              <w:t>废边角料</w:t>
            </w:r>
          </w:p>
        </w:tc>
        <w:tc>
          <w:tcPr>
            <w:tcW w:w="992" w:type="dxa"/>
            <w:vAlign w:val="center"/>
          </w:tcPr>
          <w:p w14:paraId="2D817D70">
            <w:pPr>
              <w:pStyle w:val="1535"/>
              <w:rPr>
                <w:snapToGrid/>
              </w:rPr>
            </w:pPr>
            <w:r>
              <w:rPr>
                <w:snapToGrid/>
              </w:rPr>
              <w:t>一般工业固废</w:t>
            </w:r>
          </w:p>
        </w:tc>
        <w:tc>
          <w:tcPr>
            <w:tcW w:w="1658" w:type="dxa"/>
            <w:vAlign w:val="center"/>
          </w:tcPr>
          <w:p w14:paraId="5BB5FD4A">
            <w:pPr>
              <w:pStyle w:val="1535"/>
              <w:rPr>
                <w:snapToGrid/>
              </w:rPr>
            </w:pPr>
            <w:r>
              <w:rPr>
                <w:rFonts w:hint="eastAsia"/>
                <w:snapToGrid/>
              </w:rPr>
              <w:t>模切</w:t>
            </w:r>
          </w:p>
        </w:tc>
        <w:tc>
          <w:tcPr>
            <w:tcW w:w="752" w:type="dxa"/>
            <w:vAlign w:val="center"/>
          </w:tcPr>
          <w:p w14:paraId="6FC2E449">
            <w:pPr>
              <w:pStyle w:val="1535"/>
              <w:rPr>
                <w:snapToGrid/>
              </w:rPr>
            </w:pPr>
            <w:r>
              <w:rPr>
                <w:snapToGrid/>
              </w:rPr>
              <w:t>固态</w:t>
            </w:r>
          </w:p>
        </w:tc>
        <w:tc>
          <w:tcPr>
            <w:tcW w:w="1134" w:type="dxa"/>
            <w:vAlign w:val="center"/>
          </w:tcPr>
          <w:p w14:paraId="22BCADA5">
            <w:pPr>
              <w:pStyle w:val="1535"/>
              <w:rPr>
                <w:snapToGrid/>
              </w:rPr>
            </w:pPr>
            <w:r>
              <w:rPr>
                <w:rFonts w:hint="eastAsia"/>
                <w:snapToGrid/>
              </w:rPr>
              <w:t>塑料、石墨纸</w:t>
            </w:r>
          </w:p>
        </w:tc>
        <w:tc>
          <w:tcPr>
            <w:tcW w:w="850" w:type="dxa"/>
            <w:vAlign w:val="center"/>
          </w:tcPr>
          <w:p w14:paraId="3B5E66C9">
            <w:pPr>
              <w:pStyle w:val="1535"/>
              <w:rPr>
                <w:snapToGrid/>
              </w:rPr>
            </w:pPr>
            <w:r>
              <w:rPr>
                <w:snapToGrid/>
              </w:rPr>
              <w:t>/</w:t>
            </w:r>
          </w:p>
        </w:tc>
        <w:tc>
          <w:tcPr>
            <w:tcW w:w="1276" w:type="dxa"/>
            <w:vAlign w:val="center"/>
          </w:tcPr>
          <w:p w14:paraId="2F9A10AD">
            <w:pPr>
              <w:pStyle w:val="1535"/>
              <w:rPr>
                <w:snapToGrid/>
              </w:rPr>
            </w:pPr>
            <w:r>
              <w:rPr>
                <w:snapToGrid/>
              </w:rPr>
              <w:t>/</w:t>
            </w:r>
          </w:p>
        </w:tc>
        <w:tc>
          <w:tcPr>
            <w:tcW w:w="1276" w:type="dxa"/>
            <w:vAlign w:val="center"/>
          </w:tcPr>
          <w:p w14:paraId="447E86A7">
            <w:pPr>
              <w:pStyle w:val="1535"/>
              <w:rPr>
                <w:snapToGrid/>
              </w:rPr>
            </w:pPr>
            <w:r>
              <w:rPr>
                <w:snapToGrid/>
              </w:rPr>
              <w:t>0.8</w:t>
            </w:r>
          </w:p>
        </w:tc>
        <w:tc>
          <w:tcPr>
            <w:tcW w:w="2749" w:type="dxa"/>
            <w:vAlign w:val="center"/>
          </w:tcPr>
          <w:p w14:paraId="45008B49">
            <w:pPr>
              <w:pStyle w:val="1535"/>
              <w:rPr>
                <w:snapToGrid/>
              </w:rPr>
            </w:pPr>
            <w:r>
              <w:rPr>
                <w:snapToGrid/>
              </w:rPr>
              <w:t>外卖物资公司回收利用</w:t>
            </w:r>
          </w:p>
        </w:tc>
      </w:tr>
      <w:tr w14:paraId="4989B3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43A4A1A5">
            <w:pPr>
              <w:pStyle w:val="1535"/>
              <w:rPr>
                <w:snapToGrid/>
              </w:rPr>
            </w:pPr>
            <w:r>
              <w:rPr>
                <w:snapToGrid/>
              </w:rPr>
              <w:t>4</w:t>
            </w:r>
          </w:p>
        </w:tc>
        <w:tc>
          <w:tcPr>
            <w:tcW w:w="1276" w:type="dxa"/>
            <w:vAlign w:val="center"/>
          </w:tcPr>
          <w:p w14:paraId="1DDA1B6C">
            <w:pPr>
              <w:pStyle w:val="1535"/>
              <w:rPr>
                <w:snapToGrid/>
              </w:rPr>
            </w:pPr>
            <w:r>
              <w:rPr>
                <w:snapToGrid/>
              </w:rPr>
              <w:t>S4</w:t>
            </w:r>
          </w:p>
        </w:tc>
        <w:tc>
          <w:tcPr>
            <w:tcW w:w="1134" w:type="dxa"/>
            <w:vAlign w:val="center"/>
          </w:tcPr>
          <w:p w14:paraId="535AC7F7">
            <w:pPr>
              <w:pStyle w:val="1535"/>
              <w:rPr>
                <w:snapToGrid/>
              </w:rPr>
            </w:pPr>
            <w:r>
              <w:rPr>
                <w:rFonts w:hint="eastAsia"/>
              </w:rPr>
              <w:t>沾染乙醇抹布手套</w:t>
            </w:r>
          </w:p>
        </w:tc>
        <w:tc>
          <w:tcPr>
            <w:tcW w:w="992" w:type="dxa"/>
            <w:vAlign w:val="center"/>
          </w:tcPr>
          <w:p w14:paraId="5CB61E61">
            <w:pPr>
              <w:pStyle w:val="1535"/>
              <w:rPr>
                <w:snapToGrid/>
              </w:rPr>
            </w:pPr>
            <w:r>
              <w:rPr>
                <w:rFonts w:hint="eastAsia"/>
                <w:snapToGrid/>
              </w:rPr>
              <w:t>危险废物</w:t>
            </w:r>
          </w:p>
        </w:tc>
        <w:tc>
          <w:tcPr>
            <w:tcW w:w="1658" w:type="dxa"/>
            <w:vAlign w:val="center"/>
          </w:tcPr>
          <w:p w14:paraId="51B84C4C">
            <w:pPr>
              <w:pStyle w:val="1535"/>
              <w:rPr>
                <w:snapToGrid/>
              </w:rPr>
            </w:pPr>
            <w:r>
              <w:rPr>
                <w:rFonts w:hint="eastAsia"/>
                <w:snapToGrid/>
              </w:rPr>
              <w:t>清洁</w:t>
            </w:r>
          </w:p>
        </w:tc>
        <w:tc>
          <w:tcPr>
            <w:tcW w:w="752" w:type="dxa"/>
            <w:vAlign w:val="center"/>
          </w:tcPr>
          <w:p w14:paraId="2653F061">
            <w:pPr>
              <w:pStyle w:val="1535"/>
              <w:rPr>
                <w:snapToGrid/>
              </w:rPr>
            </w:pPr>
            <w:r>
              <w:rPr>
                <w:snapToGrid/>
              </w:rPr>
              <w:t>固态</w:t>
            </w:r>
          </w:p>
        </w:tc>
        <w:tc>
          <w:tcPr>
            <w:tcW w:w="1134" w:type="dxa"/>
            <w:vAlign w:val="center"/>
          </w:tcPr>
          <w:p w14:paraId="7D397ADF">
            <w:pPr>
              <w:pStyle w:val="1535"/>
              <w:rPr>
                <w:snapToGrid/>
              </w:rPr>
            </w:pPr>
            <w:r>
              <w:rPr>
                <w:rFonts w:hint="eastAsia"/>
                <w:snapToGrid/>
              </w:rPr>
              <w:t>危险废物</w:t>
            </w:r>
          </w:p>
        </w:tc>
        <w:tc>
          <w:tcPr>
            <w:tcW w:w="850" w:type="dxa"/>
            <w:vAlign w:val="center"/>
          </w:tcPr>
          <w:p w14:paraId="212BC1B6">
            <w:pPr>
              <w:pStyle w:val="1535"/>
              <w:rPr>
                <w:snapToGrid/>
              </w:rPr>
            </w:pPr>
            <w:r>
              <w:t>HW49</w:t>
            </w:r>
          </w:p>
        </w:tc>
        <w:tc>
          <w:tcPr>
            <w:tcW w:w="1276" w:type="dxa"/>
            <w:vAlign w:val="center"/>
          </w:tcPr>
          <w:p w14:paraId="26B330F8">
            <w:pPr>
              <w:pStyle w:val="1535"/>
              <w:rPr>
                <w:snapToGrid/>
              </w:rPr>
            </w:pPr>
            <w:r>
              <w:t>900-047-49</w:t>
            </w:r>
          </w:p>
        </w:tc>
        <w:tc>
          <w:tcPr>
            <w:tcW w:w="1276" w:type="dxa"/>
            <w:vAlign w:val="center"/>
          </w:tcPr>
          <w:p w14:paraId="436A695E">
            <w:pPr>
              <w:pStyle w:val="1535"/>
              <w:rPr>
                <w:snapToGrid/>
              </w:rPr>
            </w:pPr>
            <w:r>
              <w:rPr>
                <w:rFonts w:hint="eastAsia"/>
                <w:snapToGrid/>
              </w:rPr>
              <w:t>0.2</w:t>
            </w:r>
          </w:p>
        </w:tc>
        <w:tc>
          <w:tcPr>
            <w:tcW w:w="2749" w:type="dxa"/>
            <w:vAlign w:val="center"/>
          </w:tcPr>
          <w:p w14:paraId="64591BBB">
            <w:pPr>
              <w:pStyle w:val="1535"/>
              <w:rPr>
                <w:snapToGrid/>
              </w:rPr>
            </w:pPr>
            <w:r>
              <w:rPr>
                <w:snapToGrid/>
              </w:rPr>
              <w:t>委托有资质单位处置</w:t>
            </w:r>
          </w:p>
        </w:tc>
      </w:tr>
      <w:tr w14:paraId="3F9CB3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42C90AAE">
            <w:pPr>
              <w:pStyle w:val="1535"/>
              <w:rPr>
                <w:snapToGrid/>
              </w:rPr>
            </w:pPr>
            <w:r>
              <w:rPr>
                <w:snapToGrid/>
              </w:rPr>
              <w:t>5</w:t>
            </w:r>
          </w:p>
        </w:tc>
        <w:tc>
          <w:tcPr>
            <w:tcW w:w="1276" w:type="dxa"/>
            <w:vAlign w:val="center"/>
          </w:tcPr>
          <w:p w14:paraId="35AB7ECB">
            <w:pPr>
              <w:pStyle w:val="1535"/>
              <w:rPr>
                <w:snapToGrid/>
              </w:rPr>
            </w:pPr>
            <w:r>
              <w:rPr>
                <w:snapToGrid/>
              </w:rPr>
              <w:t>S</w:t>
            </w:r>
            <w:r>
              <w:rPr>
                <w:rFonts w:hint="eastAsia"/>
                <w:snapToGrid/>
              </w:rPr>
              <w:t>5</w:t>
            </w:r>
          </w:p>
        </w:tc>
        <w:tc>
          <w:tcPr>
            <w:tcW w:w="1134" w:type="dxa"/>
            <w:vAlign w:val="center"/>
          </w:tcPr>
          <w:p w14:paraId="0F2BF376">
            <w:pPr>
              <w:pStyle w:val="1535"/>
              <w:rPr>
                <w:snapToGrid/>
              </w:rPr>
            </w:pPr>
            <w:r>
              <w:rPr>
                <w:rFonts w:hint="eastAsia"/>
                <w:snapToGrid/>
              </w:rPr>
              <w:t>石墨边角料</w:t>
            </w:r>
          </w:p>
        </w:tc>
        <w:tc>
          <w:tcPr>
            <w:tcW w:w="992" w:type="dxa"/>
            <w:vAlign w:val="center"/>
          </w:tcPr>
          <w:p w14:paraId="2427B4CF">
            <w:pPr>
              <w:pStyle w:val="1535"/>
              <w:rPr>
                <w:snapToGrid/>
              </w:rPr>
            </w:pPr>
            <w:r>
              <w:rPr>
                <w:snapToGrid/>
              </w:rPr>
              <w:t>一般工业固废</w:t>
            </w:r>
          </w:p>
        </w:tc>
        <w:tc>
          <w:tcPr>
            <w:tcW w:w="1658" w:type="dxa"/>
            <w:vAlign w:val="center"/>
          </w:tcPr>
          <w:p w14:paraId="225032DB">
            <w:pPr>
              <w:pStyle w:val="1535"/>
              <w:rPr>
                <w:snapToGrid/>
              </w:rPr>
            </w:pPr>
            <w:r>
              <w:rPr>
                <w:snapToGrid/>
              </w:rPr>
              <w:t>下料、</w:t>
            </w:r>
            <w:r>
              <w:rPr>
                <w:rFonts w:hint="eastAsia"/>
                <w:snapToGrid/>
              </w:rPr>
              <w:t>机加</w:t>
            </w:r>
          </w:p>
        </w:tc>
        <w:tc>
          <w:tcPr>
            <w:tcW w:w="752" w:type="dxa"/>
            <w:vAlign w:val="center"/>
          </w:tcPr>
          <w:p w14:paraId="79BBC43C">
            <w:pPr>
              <w:pStyle w:val="1535"/>
              <w:rPr>
                <w:snapToGrid/>
              </w:rPr>
            </w:pPr>
            <w:r>
              <w:rPr>
                <w:snapToGrid/>
              </w:rPr>
              <w:t>固态</w:t>
            </w:r>
          </w:p>
        </w:tc>
        <w:tc>
          <w:tcPr>
            <w:tcW w:w="1134" w:type="dxa"/>
            <w:vAlign w:val="center"/>
          </w:tcPr>
          <w:p w14:paraId="33643958">
            <w:pPr>
              <w:pStyle w:val="1535"/>
              <w:rPr>
                <w:snapToGrid/>
              </w:rPr>
            </w:pPr>
            <w:r>
              <w:rPr>
                <w:rFonts w:hint="eastAsia"/>
                <w:snapToGrid/>
              </w:rPr>
              <w:t>石墨</w:t>
            </w:r>
          </w:p>
        </w:tc>
        <w:tc>
          <w:tcPr>
            <w:tcW w:w="850" w:type="dxa"/>
            <w:vAlign w:val="center"/>
          </w:tcPr>
          <w:p w14:paraId="26F8AF13">
            <w:pPr>
              <w:pStyle w:val="1535"/>
              <w:rPr>
                <w:snapToGrid/>
              </w:rPr>
            </w:pPr>
            <w:r>
              <w:rPr>
                <w:snapToGrid/>
              </w:rPr>
              <w:t>/</w:t>
            </w:r>
          </w:p>
        </w:tc>
        <w:tc>
          <w:tcPr>
            <w:tcW w:w="1276" w:type="dxa"/>
            <w:vAlign w:val="center"/>
          </w:tcPr>
          <w:p w14:paraId="2D613808">
            <w:pPr>
              <w:pStyle w:val="1535"/>
              <w:rPr>
                <w:snapToGrid/>
              </w:rPr>
            </w:pPr>
            <w:r>
              <w:rPr>
                <w:snapToGrid/>
              </w:rPr>
              <w:t>/</w:t>
            </w:r>
          </w:p>
        </w:tc>
        <w:tc>
          <w:tcPr>
            <w:tcW w:w="1276" w:type="dxa"/>
            <w:vAlign w:val="center"/>
          </w:tcPr>
          <w:p w14:paraId="05AF535E">
            <w:pPr>
              <w:pStyle w:val="1535"/>
              <w:rPr>
                <w:snapToGrid/>
              </w:rPr>
            </w:pPr>
            <w:r>
              <w:rPr>
                <w:rFonts w:hint="eastAsia"/>
                <w:snapToGrid/>
              </w:rPr>
              <w:t>0.6</w:t>
            </w:r>
          </w:p>
        </w:tc>
        <w:tc>
          <w:tcPr>
            <w:tcW w:w="2749" w:type="dxa"/>
            <w:vAlign w:val="center"/>
          </w:tcPr>
          <w:p w14:paraId="321DE310">
            <w:pPr>
              <w:pStyle w:val="1535"/>
              <w:rPr>
                <w:snapToGrid/>
              </w:rPr>
            </w:pPr>
            <w:r>
              <w:rPr>
                <w:snapToGrid/>
              </w:rPr>
              <w:t>外卖物资公司回收利用</w:t>
            </w:r>
          </w:p>
        </w:tc>
      </w:tr>
      <w:tr w14:paraId="05FE15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7993BC49">
            <w:pPr>
              <w:pStyle w:val="1535"/>
              <w:rPr>
                <w:snapToGrid/>
              </w:rPr>
            </w:pPr>
            <w:r>
              <w:rPr>
                <w:rFonts w:hint="eastAsia"/>
                <w:snapToGrid/>
              </w:rPr>
              <w:t>6</w:t>
            </w:r>
          </w:p>
        </w:tc>
        <w:tc>
          <w:tcPr>
            <w:tcW w:w="1276" w:type="dxa"/>
            <w:vAlign w:val="center"/>
          </w:tcPr>
          <w:p w14:paraId="33AB3A07">
            <w:pPr>
              <w:pStyle w:val="1535"/>
              <w:rPr>
                <w:snapToGrid/>
              </w:rPr>
            </w:pPr>
            <w:r>
              <w:rPr>
                <w:snapToGrid/>
              </w:rPr>
              <w:t>S6</w:t>
            </w:r>
          </w:p>
        </w:tc>
        <w:tc>
          <w:tcPr>
            <w:tcW w:w="1134" w:type="dxa"/>
            <w:vAlign w:val="center"/>
          </w:tcPr>
          <w:p w14:paraId="4ADDDB9C">
            <w:pPr>
              <w:pStyle w:val="1535"/>
              <w:rPr>
                <w:snapToGrid/>
              </w:rPr>
            </w:pPr>
            <w:r>
              <w:rPr>
                <w:rFonts w:hint="eastAsia"/>
              </w:rPr>
              <w:t>沾染切削液废石墨屑</w:t>
            </w:r>
          </w:p>
        </w:tc>
        <w:tc>
          <w:tcPr>
            <w:tcW w:w="992" w:type="dxa"/>
            <w:vAlign w:val="center"/>
          </w:tcPr>
          <w:p w14:paraId="3C3ECAEF">
            <w:pPr>
              <w:pStyle w:val="1535"/>
              <w:rPr>
                <w:snapToGrid/>
              </w:rPr>
            </w:pPr>
            <w:r>
              <w:rPr>
                <w:rFonts w:hint="eastAsia"/>
                <w:snapToGrid/>
              </w:rPr>
              <w:t>危险废物</w:t>
            </w:r>
          </w:p>
        </w:tc>
        <w:tc>
          <w:tcPr>
            <w:tcW w:w="1658" w:type="dxa"/>
            <w:vAlign w:val="center"/>
          </w:tcPr>
          <w:p w14:paraId="4FFC15CE">
            <w:pPr>
              <w:pStyle w:val="1535"/>
              <w:rPr>
                <w:snapToGrid/>
              </w:rPr>
            </w:pPr>
            <w:r>
              <w:rPr>
                <w:rFonts w:hint="eastAsia"/>
                <w:snapToGrid/>
              </w:rPr>
              <w:t>加工</w:t>
            </w:r>
          </w:p>
        </w:tc>
        <w:tc>
          <w:tcPr>
            <w:tcW w:w="752" w:type="dxa"/>
            <w:vAlign w:val="center"/>
          </w:tcPr>
          <w:p w14:paraId="14DD57A8">
            <w:pPr>
              <w:pStyle w:val="1535"/>
              <w:rPr>
                <w:snapToGrid/>
              </w:rPr>
            </w:pPr>
            <w:r>
              <w:rPr>
                <w:rFonts w:hint="eastAsia"/>
                <w:snapToGrid/>
              </w:rPr>
              <w:t>固态</w:t>
            </w:r>
          </w:p>
        </w:tc>
        <w:tc>
          <w:tcPr>
            <w:tcW w:w="1134" w:type="dxa"/>
            <w:vAlign w:val="center"/>
          </w:tcPr>
          <w:p w14:paraId="0A787704">
            <w:pPr>
              <w:pStyle w:val="1535"/>
              <w:rPr>
                <w:snapToGrid/>
              </w:rPr>
            </w:pPr>
            <w:r>
              <w:rPr>
                <w:rFonts w:hint="eastAsia"/>
                <w:snapToGrid/>
              </w:rPr>
              <w:t>切削液</w:t>
            </w:r>
          </w:p>
        </w:tc>
        <w:tc>
          <w:tcPr>
            <w:tcW w:w="850" w:type="dxa"/>
            <w:vAlign w:val="center"/>
          </w:tcPr>
          <w:p w14:paraId="4A7A83A8">
            <w:pPr>
              <w:pStyle w:val="1535"/>
              <w:rPr>
                <w:snapToGrid/>
              </w:rPr>
            </w:pPr>
            <w:r>
              <w:rPr>
                <w:snapToGrid/>
              </w:rPr>
              <w:t>HW09</w:t>
            </w:r>
          </w:p>
        </w:tc>
        <w:tc>
          <w:tcPr>
            <w:tcW w:w="1276" w:type="dxa"/>
            <w:vAlign w:val="center"/>
          </w:tcPr>
          <w:p w14:paraId="5919AE81">
            <w:pPr>
              <w:pStyle w:val="1535"/>
              <w:rPr>
                <w:snapToGrid/>
              </w:rPr>
            </w:pPr>
            <w:r>
              <w:rPr>
                <w:snapToGrid/>
              </w:rPr>
              <w:t>900-006-09</w:t>
            </w:r>
          </w:p>
        </w:tc>
        <w:tc>
          <w:tcPr>
            <w:tcW w:w="1276" w:type="dxa"/>
            <w:vAlign w:val="center"/>
          </w:tcPr>
          <w:p w14:paraId="494868F9">
            <w:pPr>
              <w:pStyle w:val="1535"/>
              <w:rPr>
                <w:snapToGrid/>
              </w:rPr>
            </w:pPr>
            <w:r>
              <w:rPr>
                <w:rFonts w:hint="eastAsia"/>
                <w:snapToGrid/>
              </w:rPr>
              <w:t>1.0</w:t>
            </w:r>
          </w:p>
        </w:tc>
        <w:tc>
          <w:tcPr>
            <w:tcW w:w="2749" w:type="dxa"/>
            <w:vAlign w:val="center"/>
          </w:tcPr>
          <w:p w14:paraId="79EFF7B0">
            <w:pPr>
              <w:pStyle w:val="1535"/>
              <w:rPr>
                <w:snapToGrid/>
              </w:rPr>
            </w:pPr>
            <w:r>
              <w:rPr>
                <w:snapToGrid/>
              </w:rPr>
              <w:t>委托有资质单位处置</w:t>
            </w:r>
          </w:p>
        </w:tc>
      </w:tr>
      <w:tr w14:paraId="6543D2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7F9DAED2">
            <w:pPr>
              <w:pStyle w:val="1535"/>
              <w:rPr>
                <w:snapToGrid/>
              </w:rPr>
            </w:pPr>
            <w:r>
              <w:rPr>
                <w:rFonts w:hint="eastAsia"/>
                <w:snapToGrid/>
              </w:rPr>
              <w:t>7</w:t>
            </w:r>
          </w:p>
        </w:tc>
        <w:tc>
          <w:tcPr>
            <w:tcW w:w="1276" w:type="dxa"/>
            <w:vAlign w:val="center"/>
          </w:tcPr>
          <w:p w14:paraId="5F48A56C">
            <w:pPr>
              <w:pStyle w:val="1535"/>
              <w:rPr>
                <w:snapToGrid/>
              </w:rPr>
            </w:pPr>
            <w:r>
              <w:rPr>
                <w:snapToGrid/>
              </w:rPr>
              <w:t>S</w:t>
            </w:r>
            <w:r>
              <w:rPr>
                <w:rFonts w:hint="eastAsia"/>
                <w:snapToGrid/>
              </w:rPr>
              <w:t>7</w:t>
            </w:r>
          </w:p>
        </w:tc>
        <w:tc>
          <w:tcPr>
            <w:tcW w:w="1134" w:type="dxa"/>
            <w:vAlign w:val="center"/>
          </w:tcPr>
          <w:p w14:paraId="00FF193F">
            <w:pPr>
              <w:pStyle w:val="1535"/>
            </w:pPr>
            <w:r>
              <w:rPr>
                <w:rFonts w:hint="eastAsia"/>
              </w:rPr>
              <w:t>废包装</w:t>
            </w:r>
          </w:p>
        </w:tc>
        <w:tc>
          <w:tcPr>
            <w:tcW w:w="992" w:type="dxa"/>
            <w:vAlign w:val="center"/>
          </w:tcPr>
          <w:p w14:paraId="557846C6">
            <w:pPr>
              <w:pStyle w:val="1535"/>
              <w:rPr>
                <w:snapToGrid/>
              </w:rPr>
            </w:pPr>
            <w:r>
              <w:rPr>
                <w:snapToGrid/>
              </w:rPr>
              <w:t>一般工业固废</w:t>
            </w:r>
          </w:p>
        </w:tc>
        <w:tc>
          <w:tcPr>
            <w:tcW w:w="1658" w:type="dxa"/>
            <w:vAlign w:val="center"/>
          </w:tcPr>
          <w:p w14:paraId="023FFF50">
            <w:pPr>
              <w:pStyle w:val="1535"/>
              <w:rPr>
                <w:snapToGrid/>
              </w:rPr>
            </w:pPr>
            <w:r>
              <w:rPr>
                <w:rFonts w:hint="eastAsia"/>
                <w:snapToGrid/>
              </w:rPr>
              <w:t>包装</w:t>
            </w:r>
          </w:p>
        </w:tc>
        <w:tc>
          <w:tcPr>
            <w:tcW w:w="752" w:type="dxa"/>
            <w:vAlign w:val="center"/>
          </w:tcPr>
          <w:p w14:paraId="6C3255C9">
            <w:pPr>
              <w:pStyle w:val="1535"/>
              <w:rPr>
                <w:snapToGrid/>
              </w:rPr>
            </w:pPr>
            <w:r>
              <w:rPr>
                <w:rFonts w:hint="eastAsia"/>
                <w:snapToGrid/>
              </w:rPr>
              <w:t>固态</w:t>
            </w:r>
          </w:p>
        </w:tc>
        <w:tc>
          <w:tcPr>
            <w:tcW w:w="1134" w:type="dxa"/>
            <w:vAlign w:val="center"/>
          </w:tcPr>
          <w:p w14:paraId="6211E2ED">
            <w:pPr>
              <w:pStyle w:val="1535"/>
              <w:rPr>
                <w:snapToGrid/>
              </w:rPr>
            </w:pPr>
            <w:r>
              <w:rPr>
                <w:rFonts w:hint="eastAsia"/>
                <w:snapToGrid/>
              </w:rPr>
              <w:t>塑料、纸</w:t>
            </w:r>
          </w:p>
        </w:tc>
        <w:tc>
          <w:tcPr>
            <w:tcW w:w="850" w:type="dxa"/>
            <w:vAlign w:val="center"/>
          </w:tcPr>
          <w:p w14:paraId="633B8605">
            <w:pPr>
              <w:pStyle w:val="1535"/>
              <w:rPr>
                <w:snapToGrid/>
              </w:rPr>
            </w:pPr>
            <w:r>
              <w:rPr>
                <w:rFonts w:hint="eastAsia"/>
                <w:snapToGrid/>
              </w:rPr>
              <w:t>/</w:t>
            </w:r>
          </w:p>
        </w:tc>
        <w:tc>
          <w:tcPr>
            <w:tcW w:w="1276" w:type="dxa"/>
            <w:vAlign w:val="center"/>
          </w:tcPr>
          <w:p w14:paraId="7D916B8B">
            <w:pPr>
              <w:pStyle w:val="1535"/>
              <w:rPr>
                <w:snapToGrid/>
              </w:rPr>
            </w:pPr>
            <w:r>
              <w:rPr>
                <w:rFonts w:hint="eastAsia"/>
                <w:snapToGrid/>
              </w:rPr>
              <w:t>/</w:t>
            </w:r>
          </w:p>
        </w:tc>
        <w:tc>
          <w:tcPr>
            <w:tcW w:w="1276" w:type="dxa"/>
            <w:vAlign w:val="center"/>
          </w:tcPr>
          <w:p w14:paraId="4ED7ABC1">
            <w:pPr>
              <w:pStyle w:val="1535"/>
              <w:rPr>
                <w:snapToGrid/>
              </w:rPr>
            </w:pPr>
            <w:r>
              <w:rPr>
                <w:rFonts w:hint="eastAsia"/>
                <w:snapToGrid/>
              </w:rPr>
              <w:t>5.0</w:t>
            </w:r>
          </w:p>
        </w:tc>
        <w:tc>
          <w:tcPr>
            <w:tcW w:w="2749" w:type="dxa"/>
            <w:vAlign w:val="center"/>
          </w:tcPr>
          <w:p w14:paraId="42E4F97C">
            <w:pPr>
              <w:pStyle w:val="1535"/>
              <w:rPr>
                <w:snapToGrid/>
              </w:rPr>
            </w:pPr>
            <w:r>
              <w:rPr>
                <w:snapToGrid/>
              </w:rPr>
              <w:t>外卖物资公司回收利用</w:t>
            </w:r>
          </w:p>
        </w:tc>
      </w:tr>
      <w:tr w14:paraId="3AD504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75FDCA7E">
            <w:pPr>
              <w:pStyle w:val="1535"/>
              <w:rPr>
                <w:snapToGrid/>
              </w:rPr>
            </w:pPr>
            <w:r>
              <w:rPr>
                <w:rFonts w:hint="eastAsia"/>
                <w:snapToGrid/>
              </w:rPr>
              <w:t>8</w:t>
            </w:r>
          </w:p>
        </w:tc>
        <w:tc>
          <w:tcPr>
            <w:tcW w:w="1276" w:type="dxa"/>
            <w:vAlign w:val="center"/>
          </w:tcPr>
          <w:p w14:paraId="244E2BED">
            <w:pPr>
              <w:pStyle w:val="1535"/>
              <w:rPr>
                <w:snapToGrid/>
              </w:rPr>
            </w:pPr>
            <w:r>
              <w:rPr>
                <w:snapToGrid/>
              </w:rPr>
              <w:t>S</w:t>
            </w:r>
            <w:r>
              <w:rPr>
                <w:rFonts w:hint="eastAsia"/>
                <w:snapToGrid/>
              </w:rPr>
              <w:t>8</w:t>
            </w:r>
          </w:p>
        </w:tc>
        <w:tc>
          <w:tcPr>
            <w:tcW w:w="1134" w:type="dxa"/>
            <w:vAlign w:val="center"/>
          </w:tcPr>
          <w:p w14:paraId="65F7E927">
            <w:pPr>
              <w:pStyle w:val="1535"/>
              <w:rPr>
                <w:snapToGrid/>
              </w:rPr>
            </w:pPr>
            <w:r>
              <w:rPr>
                <w:snapToGrid/>
              </w:rPr>
              <w:t>废RO膜</w:t>
            </w:r>
          </w:p>
        </w:tc>
        <w:tc>
          <w:tcPr>
            <w:tcW w:w="992" w:type="dxa"/>
            <w:vAlign w:val="center"/>
          </w:tcPr>
          <w:p w14:paraId="72B87700">
            <w:pPr>
              <w:pStyle w:val="1535"/>
              <w:rPr>
                <w:snapToGrid/>
              </w:rPr>
            </w:pPr>
            <w:r>
              <w:rPr>
                <w:snapToGrid/>
              </w:rPr>
              <w:t>一般工业固废</w:t>
            </w:r>
          </w:p>
        </w:tc>
        <w:tc>
          <w:tcPr>
            <w:tcW w:w="1658" w:type="dxa"/>
            <w:vAlign w:val="center"/>
          </w:tcPr>
          <w:p w14:paraId="29BA222E">
            <w:pPr>
              <w:pStyle w:val="1535"/>
              <w:rPr>
                <w:snapToGrid/>
              </w:rPr>
            </w:pPr>
            <w:r>
              <w:rPr>
                <w:snapToGrid/>
              </w:rPr>
              <w:t>纯水制备</w:t>
            </w:r>
          </w:p>
        </w:tc>
        <w:tc>
          <w:tcPr>
            <w:tcW w:w="752" w:type="dxa"/>
            <w:vAlign w:val="center"/>
          </w:tcPr>
          <w:p w14:paraId="64BDF6D5">
            <w:pPr>
              <w:pStyle w:val="1535"/>
              <w:rPr>
                <w:snapToGrid/>
              </w:rPr>
            </w:pPr>
            <w:r>
              <w:rPr>
                <w:snapToGrid/>
              </w:rPr>
              <w:t>固态</w:t>
            </w:r>
          </w:p>
        </w:tc>
        <w:tc>
          <w:tcPr>
            <w:tcW w:w="1134" w:type="dxa"/>
            <w:vAlign w:val="center"/>
          </w:tcPr>
          <w:p w14:paraId="66B32517">
            <w:pPr>
              <w:pStyle w:val="1535"/>
              <w:rPr>
                <w:snapToGrid/>
              </w:rPr>
            </w:pPr>
            <w:r>
              <w:rPr>
                <w:snapToGrid/>
              </w:rPr>
              <w:t>有机树脂</w:t>
            </w:r>
          </w:p>
        </w:tc>
        <w:tc>
          <w:tcPr>
            <w:tcW w:w="850" w:type="dxa"/>
            <w:vAlign w:val="center"/>
          </w:tcPr>
          <w:p w14:paraId="01A2C9C9">
            <w:pPr>
              <w:pStyle w:val="1535"/>
              <w:rPr>
                <w:snapToGrid/>
              </w:rPr>
            </w:pPr>
            <w:r>
              <w:rPr>
                <w:snapToGrid/>
              </w:rPr>
              <w:t>/</w:t>
            </w:r>
          </w:p>
        </w:tc>
        <w:tc>
          <w:tcPr>
            <w:tcW w:w="1276" w:type="dxa"/>
            <w:vAlign w:val="center"/>
          </w:tcPr>
          <w:p w14:paraId="5D23E31C">
            <w:pPr>
              <w:pStyle w:val="1535"/>
              <w:rPr>
                <w:snapToGrid/>
              </w:rPr>
            </w:pPr>
            <w:r>
              <w:rPr>
                <w:snapToGrid/>
              </w:rPr>
              <w:t>/</w:t>
            </w:r>
          </w:p>
        </w:tc>
        <w:tc>
          <w:tcPr>
            <w:tcW w:w="1276" w:type="dxa"/>
            <w:vAlign w:val="center"/>
          </w:tcPr>
          <w:p w14:paraId="44CC80C4">
            <w:pPr>
              <w:pStyle w:val="1535"/>
              <w:rPr>
                <w:snapToGrid/>
              </w:rPr>
            </w:pPr>
            <w:r>
              <w:rPr>
                <w:rFonts w:hint="eastAsia"/>
                <w:snapToGrid/>
              </w:rPr>
              <w:t>1.0</w:t>
            </w:r>
          </w:p>
        </w:tc>
        <w:tc>
          <w:tcPr>
            <w:tcW w:w="2749" w:type="dxa"/>
            <w:vAlign w:val="center"/>
          </w:tcPr>
          <w:p w14:paraId="7474AB1A">
            <w:pPr>
              <w:pStyle w:val="1535"/>
              <w:rPr>
                <w:snapToGrid/>
              </w:rPr>
            </w:pPr>
            <w:r>
              <w:rPr>
                <w:snapToGrid/>
              </w:rPr>
              <w:t>暂存于一般工业固废暂存区，由设备供应商回收</w:t>
            </w:r>
          </w:p>
        </w:tc>
      </w:tr>
      <w:tr w14:paraId="053958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192305DA">
            <w:pPr>
              <w:pStyle w:val="1535"/>
              <w:rPr>
                <w:snapToGrid/>
              </w:rPr>
            </w:pPr>
            <w:r>
              <w:rPr>
                <w:rFonts w:hint="eastAsia"/>
                <w:snapToGrid/>
              </w:rPr>
              <w:t>9</w:t>
            </w:r>
          </w:p>
        </w:tc>
        <w:tc>
          <w:tcPr>
            <w:tcW w:w="1276" w:type="dxa"/>
            <w:vAlign w:val="center"/>
          </w:tcPr>
          <w:p w14:paraId="6FA42B19">
            <w:pPr>
              <w:pStyle w:val="1535"/>
              <w:rPr>
                <w:snapToGrid/>
              </w:rPr>
            </w:pPr>
            <w:r>
              <w:rPr>
                <w:snapToGrid/>
              </w:rPr>
              <w:t>S</w:t>
            </w:r>
            <w:r>
              <w:rPr>
                <w:rFonts w:hint="eastAsia"/>
                <w:snapToGrid/>
              </w:rPr>
              <w:t>9</w:t>
            </w:r>
          </w:p>
        </w:tc>
        <w:tc>
          <w:tcPr>
            <w:tcW w:w="1134" w:type="dxa"/>
            <w:vAlign w:val="center"/>
          </w:tcPr>
          <w:p w14:paraId="0816530D">
            <w:pPr>
              <w:pStyle w:val="1535"/>
              <w:rPr>
                <w:snapToGrid/>
              </w:rPr>
            </w:pPr>
            <w:r>
              <w:rPr>
                <w:rFonts w:hint="eastAsia"/>
                <w:snapToGrid/>
              </w:rPr>
              <w:t>含油废液</w:t>
            </w:r>
          </w:p>
        </w:tc>
        <w:tc>
          <w:tcPr>
            <w:tcW w:w="992" w:type="dxa"/>
            <w:vAlign w:val="center"/>
          </w:tcPr>
          <w:p w14:paraId="5B7CBBAA">
            <w:pPr>
              <w:pStyle w:val="1535"/>
              <w:rPr>
                <w:snapToGrid/>
              </w:rPr>
            </w:pPr>
            <w:r>
              <w:rPr>
                <w:snapToGrid/>
              </w:rPr>
              <w:t>危险废物</w:t>
            </w:r>
          </w:p>
        </w:tc>
        <w:tc>
          <w:tcPr>
            <w:tcW w:w="1658" w:type="dxa"/>
            <w:vAlign w:val="center"/>
          </w:tcPr>
          <w:p w14:paraId="5B384D76">
            <w:pPr>
              <w:pStyle w:val="1535"/>
              <w:rPr>
                <w:snapToGrid/>
              </w:rPr>
            </w:pPr>
            <w:r>
              <w:rPr>
                <w:snapToGrid/>
              </w:rPr>
              <w:t>设备保养</w:t>
            </w:r>
          </w:p>
        </w:tc>
        <w:tc>
          <w:tcPr>
            <w:tcW w:w="752" w:type="dxa"/>
            <w:vAlign w:val="center"/>
          </w:tcPr>
          <w:p w14:paraId="1A008681">
            <w:pPr>
              <w:pStyle w:val="1535"/>
              <w:rPr>
                <w:snapToGrid/>
              </w:rPr>
            </w:pPr>
            <w:r>
              <w:rPr>
                <w:snapToGrid/>
              </w:rPr>
              <w:t>液态</w:t>
            </w:r>
          </w:p>
        </w:tc>
        <w:tc>
          <w:tcPr>
            <w:tcW w:w="1134" w:type="dxa"/>
            <w:vAlign w:val="center"/>
          </w:tcPr>
          <w:p w14:paraId="2134C627">
            <w:pPr>
              <w:pStyle w:val="1535"/>
              <w:rPr>
                <w:snapToGrid/>
              </w:rPr>
            </w:pPr>
            <w:r>
              <w:rPr>
                <w:snapToGrid/>
              </w:rPr>
              <w:t>油类</w:t>
            </w:r>
          </w:p>
        </w:tc>
        <w:tc>
          <w:tcPr>
            <w:tcW w:w="850" w:type="dxa"/>
            <w:vAlign w:val="center"/>
          </w:tcPr>
          <w:p w14:paraId="00A27DFE">
            <w:pPr>
              <w:pStyle w:val="1535"/>
              <w:rPr>
                <w:snapToGrid/>
              </w:rPr>
            </w:pPr>
            <w:r>
              <w:rPr>
                <w:snapToGrid/>
              </w:rPr>
              <w:t>HW08</w:t>
            </w:r>
          </w:p>
        </w:tc>
        <w:tc>
          <w:tcPr>
            <w:tcW w:w="1276" w:type="dxa"/>
            <w:vAlign w:val="center"/>
          </w:tcPr>
          <w:p w14:paraId="74C8391C">
            <w:pPr>
              <w:pStyle w:val="1535"/>
              <w:rPr>
                <w:snapToGrid/>
              </w:rPr>
            </w:pPr>
            <w:r>
              <w:rPr>
                <w:snapToGrid/>
              </w:rPr>
              <w:t>900-214-08</w:t>
            </w:r>
          </w:p>
        </w:tc>
        <w:tc>
          <w:tcPr>
            <w:tcW w:w="1276" w:type="dxa"/>
            <w:vAlign w:val="center"/>
          </w:tcPr>
          <w:p w14:paraId="4043DE16">
            <w:pPr>
              <w:pStyle w:val="1535"/>
              <w:rPr>
                <w:snapToGrid/>
              </w:rPr>
            </w:pPr>
            <w:r>
              <w:rPr>
                <w:rFonts w:hint="eastAsia"/>
                <w:snapToGrid/>
              </w:rPr>
              <w:t>0.1</w:t>
            </w:r>
          </w:p>
        </w:tc>
        <w:tc>
          <w:tcPr>
            <w:tcW w:w="2749" w:type="dxa"/>
            <w:vAlign w:val="center"/>
          </w:tcPr>
          <w:p w14:paraId="06ABBB33">
            <w:pPr>
              <w:pStyle w:val="1535"/>
              <w:rPr>
                <w:snapToGrid/>
              </w:rPr>
            </w:pPr>
            <w:r>
              <w:rPr>
                <w:snapToGrid/>
              </w:rPr>
              <w:t>委托有资质单位处置</w:t>
            </w:r>
          </w:p>
        </w:tc>
      </w:tr>
      <w:tr w14:paraId="0B1579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040F0464">
            <w:pPr>
              <w:pStyle w:val="1535"/>
              <w:rPr>
                <w:snapToGrid/>
              </w:rPr>
            </w:pPr>
            <w:r>
              <w:rPr>
                <w:rFonts w:hint="eastAsia"/>
                <w:snapToGrid/>
              </w:rPr>
              <w:t>10</w:t>
            </w:r>
          </w:p>
        </w:tc>
        <w:tc>
          <w:tcPr>
            <w:tcW w:w="1276" w:type="dxa"/>
            <w:vAlign w:val="center"/>
          </w:tcPr>
          <w:p w14:paraId="4F2811BF">
            <w:pPr>
              <w:pStyle w:val="1535"/>
              <w:rPr>
                <w:snapToGrid/>
              </w:rPr>
            </w:pPr>
            <w:r>
              <w:rPr>
                <w:snapToGrid/>
              </w:rPr>
              <w:t>S</w:t>
            </w:r>
            <w:r>
              <w:rPr>
                <w:rFonts w:hint="eastAsia"/>
                <w:snapToGrid/>
              </w:rPr>
              <w:t>10</w:t>
            </w:r>
          </w:p>
        </w:tc>
        <w:tc>
          <w:tcPr>
            <w:tcW w:w="1134" w:type="dxa"/>
            <w:vAlign w:val="center"/>
          </w:tcPr>
          <w:p w14:paraId="4F3DA6AD">
            <w:pPr>
              <w:pStyle w:val="1535"/>
              <w:rPr>
                <w:snapToGrid/>
              </w:rPr>
            </w:pPr>
            <w:r>
              <w:rPr>
                <w:snapToGrid/>
              </w:rPr>
              <w:t>除尘灰</w:t>
            </w:r>
          </w:p>
        </w:tc>
        <w:tc>
          <w:tcPr>
            <w:tcW w:w="992" w:type="dxa"/>
            <w:vAlign w:val="center"/>
          </w:tcPr>
          <w:p w14:paraId="0B300FF8">
            <w:pPr>
              <w:pStyle w:val="1535"/>
              <w:rPr>
                <w:snapToGrid/>
              </w:rPr>
            </w:pPr>
            <w:r>
              <w:rPr>
                <w:snapToGrid/>
              </w:rPr>
              <w:t>一般工业固废</w:t>
            </w:r>
          </w:p>
        </w:tc>
        <w:tc>
          <w:tcPr>
            <w:tcW w:w="1658" w:type="dxa"/>
            <w:vAlign w:val="center"/>
          </w:tcPr>
          <w:p w14:paraId="4DE15DC2">
            <w:pPr>
              <w:pStyle w:val="1535"/>
              <w:rPr>
                <w:snapToGrid/>
              </w:rPr>
            </w:pPr>
            <w:r>
              <w:rPr>
                <w:snapToGrid/>
              </w:rPr>
              <w:t>除尘器</w:t>
            </w:r>
          </w:p>
        </w:tc>
        <w:tc>
          <w:tcPr>
            <w:tcW w:w="752" w:type="dxa"/>
            <w:vAlign w:val="center"/>
          </w:tcPr>
          <w:p w14:paraId="59D6ABF3">
            <w:pPr>
              <w:pStyle w:val="1535"/>
              <w:rPr>
                <w:snapToGrid/>
              </w:rPr>
            </w:pPr>
            <w:r>
              <w:rPr>
                <w:snapToGrid/>
              </w:rPr>
              <w:t>固态</w:t>
            </w:r>
          </w:p>
        </w:tc>
        <w:tc>
          <w:tcPr>
            <w:tcW w:w="1134" w:type="dxa"/>
            <w:vAlign w:val="center"/>
          </w:tcPr>
          <w:p w14:paraId="1B8F6644">
            <w:pPr>
              <w:pStyle w:val="1535"/>
              <w:rPr>
                <w:snapToGrid/>
              </w:rPr>
            </w:pPr>
            <w:r>
              <w:rPr>
                <w:rFonts w:hint="eastAsia"/>
                <w:snapToGrid/>
              </w:rPr>
              <w:t>石墨</w:t>
            </w:r>
          </w:p>
        </w:tc>
        <w:tc>
          <w:tcPr>
            <w:tcW w:w="850" w:type="dxa"/>
            <w:vAlign w:val="center"/>
          </w:tcPr>
          <w:p w14:paraId="67530223">
            <w:pPr>
              <w:pStyle w:val="1535"/>
              <w:rPr>
                <w:snapToGrid/>
              </w:rPr>
            </w:pPr>
            <w:r>
              <w:rPr>
                <w:snapToGrid/>
              </w:rPr>
              <w:t>/</w:t>
            </w:r>
          </w:p>
        </w:tc>
        <w:tc>
          <w:tcPr>
            <w:tcW w:w="1276" w:type="dxa"/>
            <w:vAlign w:val="center"/>
          </w:tcPr>
          <w:p w14:paraId="7685E4D5">
            <w:pPr>
              <w:pStyle w:val="1535"/>
              <w:rPr>
                <w:snapToGrid/>
              </w:rPr>
            </w:pPr>
            <w:r>
              <w:rPr>
                <w:snapToGrid/>
              </w:rPr>
              <w:t>/</w:t>
            </w:r>
          </w:p>
        </w:tc>
        <w:tc>
          <w:tcPr>
            <w:tcW w:w="1276" w:type="dxa"/>
            <w:vAlign w:val="center"/>
          </w:tcPr>
          <w:p w14:paraId="09A8C3B5">
            <w:pPr>
              <w:pStyle w:val="1535"/>
              <w:rPr>
                <w:snapToGrid/>
              </w:rPr>
            </w:pPr>
            <w:r>
              <w:rPr>
                <w:rFonts w:hint="eastAsia"/>
                <w:snapToGrid/>
              </w:rPr>
              <w:t>0.02</w:t>
            </w:r>
          </w:p>
        </w:tc>
        <w:tc>
          <w:tcPr>
            <w:tcW w:w="2749" w:type="dxa"/>
            <w:vAlign w:val="center"/>
          </w:tcPr>
          <w:p w14:paraId="2A68A1D7">
            <w:pPr>
              <w:pStyle w:val="1535"/>
              <w:rPr>
                <w:snapToGrid/>
              </w:rPr>
            </w:pPr>
            <w:r>
              <w:rPr>
                <w:rFonts w:hint="eastAsia"/>
                <w:snapToGrid/>
              </w:rPr>
              <w:t>由原料供应商回收</w:t>
            </w:r>
          </w:p>
        </w:tc>
      </w:tr>
      <w:tr w14:paraId="02FEBE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51E67071">
            <w:pPr>
              <w:pStyle w:val="1535"/>
              <w:rPr>
                <w:snapToGrid/>
              </w:rPr>
            </w:pPr>
            <w:r>
              <w:rPr>
                <w:rFonts w:hint="eastAsia"/>
                <w:snapToGrid/>
              </w:rPr>
              <w:t>11</w:t>
            </w:r>
          </w:p>
        </w:tc>
        <w:tc>
          <w:tcPr>
            <w:tcW w:w="1276" w:type="dxa"/>
            <w:vAlign w:val="center"/>
          </w:tcPr>
          <w:p w14:paraId="1074900C">
            <w:pPr>
              <w:pStyle w:val="1535"/>
              <w:rPr>
                <w:snapToGrid/>
              </w:rPr>
            </w:pPr>
            <w:r>
              <w:rPr>
                <w:snapToGrid/>
              </w:rPr>
              <w:t>S</w:t>
            </w:r>
            <w:r>
              <w:rPr>
                <w:rFonts w:hint="eastAsia"/>
                <w:snapToGrid/>
              </w:rPr>
              <w:t>11</w:t>
            </w:r>
          </w:p>
        </w:tc>
        <w:tc>
          <w:tcPr>
            <w:tcW w:w="1134" w:type="dxa"/>
            <w:vAlign w:val="center"/>
          </w:tcPr>
          <w:p w14:paraId="62C6CC89">
            <w:pPr>
              <w:pStyle w:val="1535"/>
              <w:rPr>
                <w:snapToGrid/>
              </w:rPr>
            </w:pPr>
            <w:r>
              <w:rPr>
                <w:snapToGrid/>
              </w:rPr>
              <w:t>废水处理站污泥</w:t>
            </w:r>
          </w:p>
        </w:tc>
        <w:tc>
          <w:tcPr>
            <w:tcW w:w="992" w:type="dxa"/>
            <w:vAlign w:val="center"/>
          </w:tcPr>
          <w:p w14:paraId="7FA19C1A">
            <w:pPr>
              <w:pStyle w:val="1535"/>
              <w:rPr>
                <w:snapToGrid/>
              </w:rPr>
            </w:pPr>
            <w:r>
              <w:rPr>
                <w:snapToGrid/>
              </w:rPr>
              <w:t>危险废物</w:t>
            </w:r>
          </w:p>
        </w:tc>
        <w:tc>
          <w:tcPr>
            <w:tcW w:w="1658" w:type="dxa"/>
            <w:vAlign w:val="center"/>
          </w:tcPr>
          <w:p w14:paraId="75EE86B5">
            <w:pPr>
              <w:pStyle w:val="1535"/>
              <w:rPr>
                <w:snapToGrid/>
              </w:rPr>
            </w:pPr>
            <w:r>
              <w:rPr>
                <w:snapToGrid/>
              </w:rPr>
              <w:t>综合污水处理站</w:t>
            </w:r>
          </w:p>
        </w:tc>
        <w:tc>
          <w:tcPr>
            <w:tcW w:w="752" w:type="dxa"/>
            <w:vAlign w:val="center"/>
          </w:tcPr>
          <w:p w14:paraId="5AB2B1EF">
            <w:pPr>
              <w:pStyle w:val="1535"/>
              <w:rPr>
                <w:snapToGrid/>
              </w:rPr>
            </w:pPr>
            <w:r>
              <w:rPr>
                <w:snapToGrid/>
              </w:rPr>
              <w:t>固态</w:t>
            </w:r>
          </w:p>
        </w:tc>
        <w:tc>
          <w:tcPr>
            <w:tcW w:w="1134" w:type="dxa"/>
            <w:vAlign w:val="center"/>
          </w:tcPr>
          <w:p w14:paraId="1460F21F">
            <w:pPr>
              <w:pStyle w:val="1535"/>
              <w:rPr>
                <w:snapToGrid/>
              </w:rPr>
            </w:pPr>
            <w:r>
              <w:rPr>
                <w:snapToGrid/>
              </w:rPr>
              <w:t>/</w:t>
            </w:r>
          </w:p>
        </w:tc>
        <w:tc>
          <w:tcPr>
            <w:tcW w:w="850" w:type="dxa"/>
            <w:vAlign w:val="center"/>
          </w:tcPr>
          <w:p w14:paraId="66354FFF">
            <w:pPr>
              <w:pStyle w:val="1535"/>
              <w:rPr>
                <w:snapToGrid/>
              </w:rPr>
            </w:pPr>
            <w:r>
              <w:rPr>
                <w:snapToGrid/>
              </w:rPr>
              <w:t>/</w:t>
            </w:r>
          </w:p>
        </w:tc>
        <w:tc>
          <w:tcPr>
            <w:tcW w:w="1276" w:type="dxa"/>
            <w:vAlign w:val="center"/>
          </w:tcPr>
          <w:p w14:paraId="264AE771">
            <w:pPr>
              <w:pStyle w:val="1535"/>
              <w:rPr>
                <w:snapToGrid/>
              </w:rPr>
            </w:pPr>
            <w:r>
              <w:rPr>
                <w:snapToGrid/>
              </w:rPr>
              <w:t>/</w:t>
            </w:r>
          </w:p>
        </w:tc>
        <w:tc>
          <w:tcPr>
            <w:tcW w:w="1276" w:type="dxa"/>
            <w:vAlign w:val="center"/>
          </w:tcPr>
          <w:p w14:paraId="229DB2EB">
            <w:pPr>
              <w:pStyle w:val="1535"/>
              <w:rPr>
                <w:snapToGrid/>
              </w:rPr>
            </w:pPr>
            <w:r>
              <w:rPr>
                <w:rFonts w:hint="eastAsia"/>
                <w:snapToGrid/>
              </w:rPr>
              <w:t>0.5</w:t>
            </w:r>
          </w:p>
        </w:tc>
        <w:tc>
          <w:tcPr>
            <w:tcW w:w="2749" w:type="dxa"/>
            <w:vAlign w:val="center"/>
          </w:tcPr>
          <w:p w14:paraId="16E5A52F">
            <w:pPr>
              <w:pStyle w:val="1535"/>
              <w:rPr>
                <w:snapToGrid/>
              </w:rPr>
            </w:pPr>
            <w:r>
              <w:rPr>
                <w:snapToGrid/>
              </w:rPr>
              <w:t>鉴定为危废则交有资质单位处置，鉴定为一般工业固废则按一般工业固废转运处置</w:t>
            </w:r>
          </w:p>
        </w:tc>
      </w:tr>
      <w:tr w14:paraId="3140B9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01D7CC6C">
            <w:pPr>
              <w:pStyle w:val="1535"/>
              <w:rPr>
                <w:snapToGrid/>
              </w:rPr>
            </w:pPr>
            <w:r>
              <w:rPr>
                <w:rFonts w:hint="eastAsia"/>
                <w:snapToGrid/>
              </w:rPr>
              <w:t>12</w:t>
            </w:r>
          </w:p>
        </w:tc>
        <w:tc>
          <w:tcPr>
            <w:tcW w:w="1276" w:type="dxa"/>
            <w:vAlign w:val="center"/>
          </w:tcPr>
          <w:p w14:paraId="4EC9F80B">
            <w:pPr>
              <w:pStyle w:val="1535"/>
              <w:rPr>
                <w:snapToGrid/>
              </w:rPr>
            </w:pPr>
            <w:r>
              <w:rPr>
                <w:snapToGrid/>
              </w:rPr>
              <w:t>S</w:t>
            </w:r>
            <w:r>
              <w:rPr>
                <w:rFonts w:hint="eastAsia"/>
                <w:snapToGrid/>
              </w:rPr>
              <w:t>12</w:t>
            </w:r>
          </w:p>
        </w:tc>
        <w:tc>
          <w:tcPr>
            <w:tcW w:w="1134" w:type="dxa"/>
            <w:vAlign w:val="center"/>
          </w:tcPr>
          <w:p w14:paraId="353DA04C">
            <w:pPr>
              <w:pStyle w:val="1535"/>
              <w:rPr>
                <w:snapToGrid/>
              </w:rPr>
            </w:pPr>
            <w:r>
              <w:rPr>
                <w:snapToGrid/>
              </w:rPr>
              <w:t>生化池污泥</w:t>
            </w:r>
          </w:p>
        </w:tc>
        <w:tc>
          <w:tcPr>
            <w:tcW w:w="992" w:type="dxa"/>
            <w:vAlign w:val="center"/>
          </w:tcPr>
          <w:p w14:paraId="183B61CC">
            <w:pPr>
              <w:pStyle w:val="1535"/>
              <w:rPr>
                <w:snapToGrid/>
              </w:rPr>
            </w:pPr>
            <w:r>
              <w:rPr>
                <w:snapToGrid/>
              </w:rPr>
              <w:t>生化池污泥</w:t>
            </w:r>
          </w:p>
        </w:tc>
        <w:tc>
          <w:tcPr>
            <w:tcW w:w="1658" w:type="dxa"/>
            <w:vAlign w:val="center"/>
          </w:tcPr>
          <w:p w14:paraId="39238EF3">
            <w:pPr>
              <w:pStyle w:val="1535"/>
              <w:rPr>
                <w:snapToGrid/>
              </w:rPr>
            </w:pPr>
            <w:r>
              <w:rPr>
                <w:snapToGrid/>
              </w:rPr>
              <w:t>生化池</w:t>
            </w:r>
          </w:p>
        </w:tc>
        <w:tc>
          <w:tcPr>
            <w:tcW w:w="752" w:type="dxa"/>
            <w:vAlign w:val="center"/>
          </w:tcPr>
          <w:p w14:paraId="242FD0D4">
            <w:pPr>
              <w:pStyle w:val="1535"/>
              <w:rPr>
                <w:snapToGrid/>
              </w:rPr>
            </w:pPr>
            <w:r>
              <w:rPr>
                <w:snapToGrid/>
              </w:rPr>
              <w:t>固态</w:t>
            </w:r>
          </w:p>
        </w:tc>
        <w:tc>
          <w:tcPr>
            <w:tcW w:w="1134" w:type="dxa"/>
            <w:vAlign w:val="center"/>
          </w:tcPr>
          <w:p w14:paraId="596B129B">
            <w:pPr>
              <w:pStyle w:val="1535"/>
              <w:rPr>
                <w:snapToGrid/>
              </w:rPr>
            </w:pPr>
            <w:r>
              <w:rPr>
                <w:snapToGrid/>
              </w:rPr>
              <w:t>/</w:t>
            </w:r>
          </w:p>
        </w:tc>
        <w:tc>
          <w:tcPr>
            <w:tcW w:w="850" w:type="dxa"/>
            <w:vAlign w:val="center"/>
          </w:tcPr>
          <w:p w14:paraId="7BB5A9FC">
            <w:pPr>
              <w:pStyle w:val="1535"/>
              <w:rPr>
                <w:snapToGrid/>
              </w:rPr>
            </w:pPr>
            <w:r>
              <w:rPr>
                <w:snapToGrid/>
              </w:rPr>
              <w:t>/</w:t>
            </w:r>
          </w:p>
        </w:tc>
        <w:tc>
          <w:tcPr>
            <w:tcW w:w="1276" w:type="dxa"/>
            <w:vAlign w:val="center"/>
          </w:tcPr>
          <w:p w14:paraId="0347150C">
            <w:pPr>
              <w:pStyle w:val="1535"/>
              <w:rPr>
                <w:snapToGrid/>
              </w:rPr>
            </w:pPr>
            <w:r>
              <w:rPr>
                <w:snapToGrid/>
              </w:rPr>
              <w:t>/</w:t>
            </w:r>
          </w:p>
        </w:tc>
        <w:tc>
          <w:tcPr>
            <w:tcW w:w="1276" w:type="dxa"/>
            <w:vAlign w:val="center"/>
          </w:tcPr>
          <w:p w14:paraId="58FF216F">
            <w:pPr>
              <w:pStyle w:val="1535"/>
              <w:rPr>
                <w:snapToGrid/>
              </w:rPr>
            </w:pPr>
            <w:r>
              <w:rPr>
                <w:rFonts w:hint="eastAsia"/>
                <w:snapToGrid/>
              </w:rPr>
              <w:t>0.1</w:t>
            </w:r>
          </w:p>
        </w:tc>
        <w:tc>
          <w:tcPr>
            <w:tcW w:w="2749" w:type="dxa"/>
            <w:vAlign w:val="center"/>
          </w:tcPr>
          <w:p w14:paraId="4EB28262">
            <w:pPr>
              <w:pStyle w:val="1535"/>
              <w:rPr>
                <w:snapToGrid/>
              </w:rPr>
            </w:pPr>
            <w:r>
              <w:rPr>
                <w:snapToGrid/>
              </w:rPr>
              <w:t>市政清运</w:t>
            </w:r>
          </w:p>
        </w:tc>
      </w:tr>
      <w:tr w14:paraId="4868F4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1B0709B4">
            <w:pPr>
              <w:pStyle w:val="1535"/>
              <w:rPr>
                <w:snapToGrid/>
              </w:rPr>
            </w:pPr>
            <w:r>
              <w:rPr>
                <w:rFonts w:hint="eastAsia"/>
                <w:snapToGrid/>
              </w:rPr>
              <w:t>13</w:t>
            </w:r>
          </w:p>
        </w:tc>
        <w:tc>
          <w:tcPr>
            <w:tcW w:w="1276" w:type="dxa"/>
            <w:vAlign w:val="center"/>
          </w:tcPr>
          <w:p w14:paraId="780BEECB">
            <w:pPr>
              <w:pStyle w:val="1535"/>
              <w:rPr>
                <w:snapToGrid/>
              </w:rPr>
            </w:pPr>
            <w:r>
              <w:rPr>
                <w:snapToGrid/>
              </w:rPr>
              <w:t>S</w:t>
            </w:r>
            <w:r>
              <w:rPr>
                <w:rFonts w:hint="eastAsia"/>
                <w:snapToGrid/>
              </w:rPr>
              <w:t>13</w:t>
            </w:r>
          </w:p>
        </w:tc>
        <w:tc>
          <w:tcPr>
            <w:tcW w:w="1134" w:type="dxa"/>
            <w:vAlign w:val="center"/>
          </w:tcPr>
          <w:p w14:paraId="7CD4C89F">
            <w:pPr>
              <w:pStyle w:val="1535"/>
              <w:rPr>
                <w:snapToGrid/>
              </w:rPr>
            </w:pPr>
            <w:r>
              <w:rPr>
                <w:snapToGrid/>
              </w:rPr>
              <w:t>含切削液污泥</w:t>
            </w:r>
          </w:p>
        </w:tc>
        <w:tc>
          <w:tcPr>
            <w:tcW w:w="992" w:type="dxa"/>
            <w:vAlign w:val="center"/>
          </w:tcPr>
          <w:p w14:paraId="0A2164BD">
            <w:pPr>
              <w:pStyle w:val="1535"/>
              <w:rPr>
                <w:snapToGrid/>
              </w:rPr>
            </w:pPr>
            <w:r>
              <w:rPr>
                <w:snapToGrid/>
              </w:rPr>
              <w:t>危险废物</w:t>
            </w:r>
          </w:p>
        </w:tc>
        <w:tc>
          <w:tcPr>
            <w:tcW w:w="1658" w:type="dxa"/>
            <w:vAlign w:val="center"/>
          </w:tcPr>
          <w:p w14:paraId="3E226C92">
            <w:pPr>
              <w:pStyle w:val="1535"/>
              <w:rPr>
                <w:snapToGrid/>
              </w:rPr>
            </w:pPr>
            <w:r>
              <w:rPr>
                <w:snapToGrid/>
              </w:rPr>
              <w:t>切削液回收车间</w:t>
            </w:r>
          </w:p>
        </w:tc>
        <w:tc>
          <w:tcPr>
            <w:tcW w:w="752" w:type="dxa"/>
            <w:vAlign w:val="center"/>
          </w:tcPr>
          <w:p w14:paraId="49ABE292">
            <w:pPr>
              <w:pStyle w:val="1535"/>
              <w:rPr>
                <w:snapToGrid/>
              </w:rPr>
            </w:pPr>
            <w:r>
              <w:rPr>
                <w:snapToGrid/>
              </w:rPr>
              <w:t>固态</w:t>
            </w:r>
          </w:p>
        </w:tc>
        <w:tc>
          <w:tcPr>
            <w:tcW w:w="1134" w:type="dxa"/>
            <w:vAlign w:val="center"/>
          </w:tcPr>
          <w:p w14:paraId="621FEA75">
            <w:pPr>
              <w:pStyle w:val="1535"/>
              <w:rPr>
                <w:snapToGrid/>
              </w:rPr>
            </w:pPr>
            <w:r>
              <w:rPr>
                <w:snapToGrid/>
              </w:rPr>
              <w:t>沾染乳化液的污泥</w:t>
            </w:r>
          </w:p>
        </w:tc>
        <w:tc>
          <w:tcPr>
            <w:tcW w:w="850" w:type="dxa"/>
            <w:vAlign w:val="center"/>
          </w:tcPr>
          <w:p w14:paraId="7D726829">
            <w:pPr>
              <w:pStyle w:val="1535"/>
              <w:rPr>
                <w:snapToGrid/>
              </w:rPr>
            </w:pPr>
            <w:r>
              <w:rPr>
                <w:snapToGrid/>
              </w:rPr>
              <w:t>HW09</w:t>
            </w:r>
          </w:p>
        </w:tc>
        <w:tc>
          <w:tcPr>
            <w:tcW w:w="1276" w:type="dxa"/>
            <w:vAlign w:val="center"/>
          </w:tcPr>
          <w:p w14:paraId="2912EF0C">
            <w:pPr>
              <w:pStyle w:val="1535"/>
              <w:rPr>
                <w:snapToGrid/>
              </w:rPr>
            </w:pPr>
            <w:r>
              <w:rPr>
                <w:snapToGrid/>
              </w:rPr>
              <w:t>900-006-09</w:t>
            </w:r>
          </w:p>
        </w:tc>
        <w:tc>
          <w:tcPr>
            <w:tcW w:w="1276" w:type="dxa"/>
            <w:vAlign w:val="center"/>
          </w:tcPr>
          <w:p w14:paraId="56696677">
            <w:pPr>
              <w:pStyle w:val="1535"/>
              <w:rPr>
                <w:snapToGrid/>
              </w:rPr>
            </w:pPr>
            <w:r>
              <w:rPr>
                <w:rFonts w:hint="eastAsia"/>
                <w:snapToGrid/>
              </w:rPr>
              <w:t>1.0</w:t>
            </w:r>
          </w:p>
        </w:tc>
        <w:tc>
          <w:tcPr>
            <w:tcW w:w="2749" w:type="dxa"/>
            <w:vAlign w:val="center"/>
          </w:tcPr>
          <w:p w14:paraId="248CCB88">
            <w:pPr>
              <w:pStyle w:val="1535"/>
              <w:rPr>
                <w:snapToGrid/>
              </w:rPr>
            </w:pPr>
            <w:r>
              <w:rPr>
                <w:snapToGrid/>
              </w:rPr>
              <w:t>委托有资质单位处置</w:t>
            </w:r>
          </w:p>
        </w:tc>
      </w:tr>
      <w:tr w14:paraId="6B034D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7D6F1EE7">
            <w:pPr>
              <w:pStyle w:val="1535"/>
              <w:rPr>
                <w:snapToGrid/>
              </w:rPr>
            </w:pPr>
            <w:r>
              <w:rPr>
                <w:rFonts w:hint="eastAsia"/>
                <w:snapToGrid/>
              </w:rPr>
              <w:t>14</w:t>
            </w:r>
          </w:p>
        </w:tc>
        <w:tc>
          <w:tcPr>
            <w:tcW w:w="1276" w:type="dxa"/>
            <w:vAlign w:val="center"/>
          </w:tcPr>
          <w:p w14:paraId="2B017416">
            <w:pPr>
              <w:pStyle w:val="1535"/>
              <w:rPr>
                <w:snapToGrid/>
              </w:rPr>
            </w:pPr>
            <w:r>
              <w:rPr>
                <w:snapToGrid/>
              </w:rPr>
              <w:t>S</w:t>
            </w:r>
            <w:r>
              <w:rPr>
                <w:rFonts w:hint="eastAsia"/>
                <w:snapToGrid/>
              </w:rPr>
              <w:t>14</w:t>
            </w:r>
          </w:p>
        </w:tc>
        <w:tc>
          <w:tcPr>
            <w:tcW w:w="1134" w:type="dxa"/>
            <w:vAlign w:val="center"/>
          </w:tcPr>
          <w:p w14:paraId="71CF46AE">
            <w:pPr>
              <w:pStyle w:val="1535"/>
              <w:rPr>
                <w:snapToGrid/>
              </w:rPr>
            </w:pPr>
            <w:r>
              <w:rPr>
                <w:snapToGrid/>
              </w:rPr>
              <w:t>危险化学品桶</w:t>
            </w:r>
          </w:p>
        </w:tc>
        <w:tc>
          <w:tcPr>
            <w:tcW w:w="992" w:type="dxa"/>
            <w:vAlign w:val="center"/>
          </w:tcPr>
          <w:p w14:paraId="37D7877C">
            <w:pPr>
              <w:pStyle w:val="1535"/>
              <w:rPr>
                <w:snapToGrid/>
              </w:rPr>
            </w:pPr>
            <w:r>
              <w:rPr>
                <w:snapToGrid/>
              </w:rPr>
              <w:t>危险废物</w:t>
            </w:r>
          </w:p>
        </w:tc>
        <w:tc>
          <w:tcPr>
            <w:tcW w:w="1658" w:type="dxa"/>
            <w:vAlign w:val="center"/>
          </w:tcPr>
          <w:p w14:paraId="627566B4">
            <w:pPr>
              <w:pStyle w:val="1535"/>
              <w:rPr>
                <w:snapToGrid/>
              </w:rPr>
            </w:pPr>
            <w:r>
              <w:rPr>
                <w:snapToGrid/>
              </w:rPr>
              <w:t>危险化学品使用</w:t>
            </w:r>
          </w:p>
        </w:tc>
        <w:tc>
          <w:tcPr>
            <w:tcW w:w="752" w:type="dxa"/>
            <w:vAlign w:val="center"/>
          </w:tcPr>
          <w:p w14:paraId="4CF1EC3E">
            <w:pPr>
              <w:pStyle w:val="1535"/>
              <w:rPr>
                <w:snapToGrid/>
              </w:rPr>
            </w:pPr>
            <w:r>
              <w:rPr>
                <w:snapToGrid/>
              </w:rPr>
              <w:t>固态</w:t>
            </w:r>
          </w:p>
        </w:tc>
        <w:tc>
          <w:tcPr>
            <w:tcW w:w="1134" w:type="dxa"/>
            <w:vAlign w:val="center"/>
          </w:tcPr>
          <w:p w14:paraId="7800F317">
            <w:pPr>
              <w:pStyle w:val="1535"/>
              <w:rPr>
                <w:snapToGrid/>
              </w:rPr>
            </w:pPr>
            <w:r>
              <w:rPr>
                <w:snapToGrid/>
              </w:rPr>
              <w:t>沾染危险化学品容器</w:t>
            </w:r>
          </w:p>
        </w:tc>
        <w:tc>
          <w:tcPr>
            <w:tcW w:w="850" w:type="dxa"/>
            <w:vAlign w:val="center"/>
          </w:tcPr>
          <w:p w14:paraId="577AC120">
            <w:pPr>
              <w:pStyle w:val="1535"/>
              <w:rPr>
                <w:snapToGrid/>
              </w:rPr>
            </w:pPr>
            <w:r>
              <w:rPr>
                <w:snapToGrid/>
              </w:rPr>
              <w:t>HW49</w:t>
            </w:r>
          </w:p>
        </w:tc>
        <w:tc>
          <w:tcPr>
            <w:tcW w:w="1276" w:type="dxa"/>
            <w:vAlign w:val="center"/>
          </w:tcPr>
          <w:p w14:paraId="1B4FC790">
            <w:pPr>
              <w:pStyle w:val="1535"/>
              <w:rPr>
                <w:snapToGrid/>
              </w:rPr>
            </w:pPr>
            <w:r>
              <w:rPr>
                <w:snapToGrid/>
              </w:rPr>
              <w:t>900-041-49</w:t>
            </w:r>
          </w:p>
        </w:tc>
        <w:tc>
          <w:tcPr>
            <w:tcW w:w="1276" w:type="dxa"/>
            <w:vAlign w:val="center"/>
          </w:tcPr>
          <w:p w14:paraId="5EA7981B">
            <w:pPr>
              <w:pStyle w:val="1535"/>
              <w:rPr>
                <w:snapToGrid/>
              </w:rPr>
            </w:pPr>
            <w:r>
              <w:rPr>
                <w:rFonts w:hint="eastAsia"/>
                <w:snapToGrid/>
              </w:rPr>
              <w:t>1.0</w:t>
            </w:r>
          </w:p>
        </w:tc>
        <w:tc>
          <w:tcPr>
            <w:tcW w:w="2749" w:type="dxa"/>
            <w:vAlign w:val="center"/>
          </w:tcPr>
          <w:p w14:paraId="5E8337DF">
            <w:pPr>
              <w:pStyle w:val="1535"/>
              <w:rPr>
                <w:snapToGrid/>
              </w:rPr>
            </w:pPr>
            <w:r>
              <w:rPr>
                <w:snapToGrid/>
              </w:rPr>
              <w:t>委托有资质单位处置</w:t>
            </w:r>
          </w:p>
        </w:tc>
      </w:tr>
      <w:tr w14:paraId="0E9F6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841" w:type="dxa"/>
            <w:vAlign w:val="center"/>
          </w:tcPr>
          <w:p w14:paraId="78C927F0">
            <w:pPr>
              <w:pStyle w:val="1535"/>
              <w:rPr>
                <w:snapToGrid/>
              </w:rPr>
            </w:pPr>
            <w:r>
              <w:rPr>
                <w:rFonts w:hint="eastAsia"/>
                <w:snapToGrid/>
              </w:rPr>
              <w:t>15</w:t>
            </w:r>
          </w:p>
        </w:tc>
        <w:tc>
          <w:tcPr>
            <w:tcW w:w="1276" w:type="dxa"/>
            <w:vAlign w:val="center"/>
          </w:tcPr>
          <w:p w14:paraId="580E26E2">
            <w:pPr>
              <w:pStyle w:val="1535"/>
              <w:rPr>
                <w:snapToGrid/>
              </w:rPr>
            </w:pPr>
            <w:r>
              <w:rPr>
                <w:snapToGrid/>
              </w:rPr>
              <w:t>S</w:t>
            </w:r>
            <w:r>
              <w:rPr>
                <w:rFonts w:hint="eastAsia"/>
                <w:snapToGrid/>
              </w:rPr>
              <w:t>15</w:t>
            </w:r>
          </w:p>
        </w:tc>
        <w:tc>
          <w:tcPr>
            <w:tcW w:w="1134" w:type="dxa"/>
            <w:vAlign w:val="center"/>
          </w:tcPr>
          <w:p w14:paraId="31F6A051">
            <w:pPr>
              <w:pStyle w:val="1535"/>
              <w:rPr>
                <w:snapToGrid/>
              </w:rPr>
            </w:pPr>
            <w:r>
              <w:rPr>
                <w:snapToGrid/>
              </w:rPr>
              <w:t>生活垃圾</w:t>
            </w:r>
          </w:p>
        </w:tc>
        <w:tc>
          <w:tcPr>
            <w:tcW w:w="992" w:type="dxa"/>
            <w:vAlign w:val="center"/>
          </w:tcPr>
          <w:p w14:paraId="5D7112B3">
            <w:pPr>
              <w:pStyle w:val="1535"/>
              <w:rPr>
                <w:snapToGrid/>
              </w:rPr>
            </w:pPr>
            <w:r>
              <w:rPr>
                <w:snapToGrid/>
              </w:rPr>
              <w:t>生活垃圾</w:t>
            </w:r>
          </w:p>
        </w:tc>
        <w:tc>
          <w:tcPr>
            <w:tcW w:w="1658" w:type="dxa"/>
            <w:vAlign w:val="center"/>
          </w:tcPr>
          <w:p w14:paraId="55E73D9C">
            <w:pPr>
              <w:pStyle w:val="1535"/>
              <w:rPr>
                <w:snapToGrid/>
              </w:rPr>
            </w:pPr>
            <w:r>
              <w:rPr>
                <w:snapToGrid/>
              </w:rPr>
              <w:t>职工生活</w:t>
            </w:r>
          </w:p>
        </w:tc>
        <w:tc>
          <w:tcPr>
            <w:tcW w:w="752" w:type="dxa"/>
            <w:vAlign w:val="center"/>
          </w:tcPr>
          <w:p w14:paraId="233368AF">
            <w:pPr>
              <w:pStyle w:val="1535"/>
              <w:rPr>
                <w:snapToGrid/>
              </w:rPr>
            </w:pPr>
            <w:r>
              <w:rPr>
                <w:snapToGrid/>
              </w:rPr>
              <w:t>固态</w:t>
            </w:r>
          </w:p>
        </w:tc>
        <w:tc>
          <w:tcPr>
            <w:tcW w:w="1134" w:type="dxa"/>
            <w:vAlign w:val="center"/>
          </w:tcPr>
          <w:p w14:paraId="0643C158">
            <w:pPr>
              <w:pStyle w:val="1535"/>
              <w:rPr>
                <w:snapToGrid/>
              </w:rPr>
            </w:pPr>
            <w:r>
              <w:rPr>
                <w:snapToGrid/>
              </w:rPr>
              <w:t>/</w:t>
            </w:r>
          </w:p>
        </w:tc>
        <w:tc>
          <w:tcPr>
            <w:tcW w:w="850" w:type="dxa"/>
            <w:vAlign w:val="center"/>
          </w:tcPr>
          <w:p w14:paraId="705CF02F">
            <w:pPr>
              <w:pStyle w:val="1535"/>
              <w:rPr>
                <w:snapToGrid/>
              </w:rPr>
            </w:pPr>
            <w:r>
              <w:rPr>
                <w:snapToGrid/>
              </w:rPr>
              <w:t>/</w:t>
            </w:r>
          </w:p>
        </w:tc>
        <w:tc>
          <w:tcPr>
            <w:tcW w:w="1276" w:type="dxa"/>
            <w:vAlign w:val="center"/>
          </w:tcPr>
          <w:p w14:paraId="38772327">
            <w:pPr>
              <w:pStyle w:val="1535"/>
              <w:rPr>
                <w:snapToGrid/>
              </w:rPr>
            </w:pPr>
            <w:r>
              <w:rPr>
                <w:snapToGrid/>
              </w:rPr>
              <w:t>/</w:t>
            </w:r>
          </w:p>
        </w:tc>
        <w:tc>
          <w:tcPr>
            <w:tcW w:w="1276" w:type="dxa"/>
            <w:vAlign w:val="center"/>
          </w:tcPr>
          <w:p w14:paraId="4D8C4E2F">
            <w:pPr>
              <w:pStyle w:val="1535"/>
              <w:rPr>
                <w:snapToGrid/>
              </w:rPr>
            </w:pPr>
            <w:r>
              <w:rPr>
                <w:rFonts w:hint="eastAsia"/>
                <w:snapToGrid/>
              </w:rPr>
              <w:t>2.25</w:t>
            </w:r>
          </w:p>
        </w:tc>
        <w:tc>
          <w:tcPr>
            <w:tcW w:w="2749" w:type="dxa"/>
            <w:vAlign w:val="center"/>
          </w:tcPr>
          <w:p w14:paraId="1AA031B3">
            <w:pPr>
              <w:pStyle w:val="1535"/>
              <w:rPr>
                <w:snapToGrid/>
              </w:rPr>
            </w:pPr>
            <w:r>
              <w:rPr>
                <w:snapToGrid/>
              </w:rPr>
              <w:t>市政清运</w:t>
            </w:r>
          </w:p>
        </w:tc>
      </w:tr>
    </w:tbl>
    <w:p w14:paraId="13E2B00D">
      <w:pPr>
        <w:ind w:firstLine="0" w:firstLineChars="0"/>
        <w:jc w:val="center"/>
        <w:rPr>
          <w:color w:val="000000" w:themeColor="text1"/>
          <w14:textFill>
            <w14:solidFill>
              <w14:schemeClr w14:val="tx1"/>
            </w14:solidFill>
          </w14:textFill>
        </w:rPr>
      </w:pPr>
    </w:p>
    <w:p w14:paraId="7A88A93A">
      <w:pPr>
        <w:ind w:firstLine="0" w:firstLineChars="0"/>
        <w:jc w:val="center"/>
        <w:rPr>
          <w:color w:val="000000" w:themeColor="text1"/>
          <w14:textFill>
            <w14:solidFill>
              <w14:schemeClr w14:val="tx1"/>
            </w14:solidFill>
          </w14:textFill>
        </w:rPr>
      </w:pPr>
    </w:p>
    <w:p w14:paraId="67D11359">
      <w:pPr>
        <w:ind w:firstLine="0" w:firstLineChars="0"/>
        <w:jc w:val="center"/>
        <w:rPr>
          <w:color w:val="000000" w:themeColor="text1"/>
          <w14:textFill>
            <w14:solidFill>
              <w14:schemeClr w14:val="tx1"/>
            </w14:solidFill>
          </w14:textFill>
        </w:rPr>
      </w:pPr>
    </w:p>
    <w:p w14:paraId="5AE03225">
      <w:pPr>
        <w:spacing w:before="32"/>
        <w:ind w:firstLine="520"/>
        <w:rPr>
          <w:bCs/>
          <w:color w:val="000000" w:themeColor="text1"/>
          <w14:textFill>
            <w14:solidFill>
              <w14:schemeClr w14:val="tx1"/>
            </w14:solidFill>
          </w14:textFill>
        </w:rPr>
        <w:sectPr>
          <w:pgSz w:w="16838" w:h="11906" w:orient="landscape"/>
          <w:pgMar w:top="1797" w:right="1440" w:bottom="1797" w:left="1440" w:header="851" w:footer="992" w:gutter="0"/>
          <w:cols w:space="720" w:num="1"/>
          <w:docGrid w:type="lines" w:linePitch="326" w:charSpace="0"/>
        </w:sectPr>
      </w:pPr>
    </w:p>
    <w:p w14:paraId="65F09619">
      <w:pPr>
        <w:pStyle w:val="4"/>
        <w:rPr>
          <w:color w:val="000000" w:themeColor="text1"/>
          <w14:textFill>
            <w14:solidFill>
              <w14:schemeClr w14:val="tx1"/>
            </w14:solidFill>
          </w14:textFill>
        </w:rPr>
      </w:pPr>
      <w:bookmarkStart w:id="178" w:name="_Toc10502"/>
      <w:r>
        <w:rPr>
          <w:rFonts w:hint="eastAsia"/>
          <w:color w:val="000000" w:themeColor="text1"/>
          <w14:textFill>
            <w14:solidFill>
              <w14:schemeClr w14:val="tx1"/>
            </w14:solidFill>
          </w14:textFill>
        </w:rPr>
        <w:t>三本账”核算</w:t>
      </w:r>
      <w:bookmarkEnd w:id="178"/>
    </w:p>
    <w:p w14:paraId="59BB230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项目完成后全厂污染物排放变化情况“三本账”核算见表4.9-1</w:t>
      </w:r>
    </w:p>
    <w:p w14:paraId="7B3CD874">
      <w:pPr>
        <w:spacing w:before="163" w:beforeLines="50" w:line="480" w:lineRule="exact"/>
        <w:ind w:firstLine="0" w:firstLineChars="0"/>
        <w:jc w:val="center"/>
        <w:rPr>
          <w:rFonts w:hint="eastAsia" w:hAnsi="宋体"/>
          <w:color w:val="000000" w:themeColor="text1"/>
          <w:szCs w:val="26"/>
          <w14:textFill>
            <w14:solidFill>
              <w14:schemeClr w14:val="tx1"/>
            </w14:solidFill>
          </w14:textFill>
        </w:rPr>
      </w:pPr>
      <w:r>
        <w:rPr>
          <w:rFonts w:hint="eastAsia" w:hAnsi="宋体"/>
          <w:color w:val="000000" w:themeColor="text1"/>
          <w:szCs w:val="26"/>
          <w14:textFill>
            <w14:solidFill>
              <w14:schemeClr w14:val="tx1"/>
            </w14:solidFill>
          </w14:textFill>
        </w:rPr>
        <w:t>表4.9-1  项目实施前后全厂污染物排放变化情况一览表</w:t>
      </w:r>
    </w:p>
    <w:tbl>
      <w:tblPr>
        <w:tblStyle w:val="88"/>
        <w:tblW w:w="5000" w:type="pct"/>
        <w:jc w:val="center"/>
        <w:tblLayout w:type="autofit"/>
        <w:tblCellMar>
          <w:top w:w="0" w:type="dxa"/>
          <w:left w:w="108" w:type="dxa"/>
          <w:bottom w:w="0" w:type="dxa"/>
          <w:right w:w="108" w:type="dxa"/>
        </w:tblCellMar>
      </w:tblPr>
      <w:tblGrid>
        <w:gridCol w:w="900"/>
        <w:gridCol w:w="912"/>
        <w:gridCol w:w="880"/>
        <w:gridCol w:w="1111"/>
        <w:gridCol w:w="1392"/>
        <w:gridCol w:w="1111"/>
        <w:gridCol w:w="1111"/>
        <w:gridCol w:w="1111"/>
      </w:tblGrid>
      <w:tr w14:paraId="2ACFB5A1">
        <w:tblPrEx>
          <w:tblCellMar>
            <w:top w:w="0" w:type="dxa"/>
            <w:left w:w="108" w:type="dxa"/>
            <w:bottom w:w="0" w:type="dxa"/>
            <w:right w:w="108" w:type="dxa"/>
          </w:tblCellMar>
        </w:tblPrEx>
        <w:trPr>
          <w:trHeight w:val="1095" w:hRule="atLeast"/>
          <w:jc w:val="center"/>
        </w:trPr>
        <w:tc>
          <w:tcPr>
            <w:tcW w:w="876" w:type="dxa"/>
            <w:tcBorders>
              <w:top w:val="single" w:color="000000" w:sz="8" w:space="0"/>
              <w:left w:val="single" w:color="000000" w:sz="8" w:space="0"/>
              <w:bottom w:val="single" w:color="000000" w:sz="8" w:space="0"/>
              <w:right w:val="single" w:color="000000" w:sz="8" w:space="0"/>
            </w:tcBorders>
            <w:vAlign w:val="center"/>
          </w:tcPr>
          <w:p w14:paraId="6848CA75">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项目</w:t>
            </w:r>
          </w:p>
        </w:tc>
        <w:tc>
          <w:tcPr>
            <w:tcW w:w="887" w:type="dxa"/>
            <w:tcBorders>
              <w:top w:val="single" w:color="000000" w:sz="8" w:space="0"/>
              <w:left w:val="nil"/>
              <w:bottom w:val="single" w:color="000000" w:sz="8" w:space="0"/>
              <w:right w:val="single" w:color="000000" w:sz="8" w:space="0"/>
            </w:tcBorders>
            <w:vAlign w:val="center"/>
          </w:tcPr>
          <w:p w14:paraId="4B8BCF22">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污染物</w:t>
            </w:r>
          </w:p>
        </w:tc>
        <w:tc>
          <w:tcPr>
            <w:tcW w:w="856" w:type="dxa"/>
            <w:tcBorders>
              <w:top w:val="single" w:color="000000" w:sz="8" w:space="0"/>
              <w:left w:val="nil"/>
              <w:bottom w:val="single" w:color="000000" w:sz="8" w:space="0"/>
              <w:right w:val="single" w:color="000000" w:sz="8" w:space="0"/>
            </w:tcBorders>
            <w:vAlign w:val="center"/>
          </w:tcPr>
          <w:p w14:paraId="4D962304">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单位</w:t>
            </w:r>
          </w:p>
        </w:tc>
        <w:tc>
          <w:tcPr>
            <w:tcW w:w="1080" w:type="dxa"/>
            <w:tcBorders>
              <w:top w:val="single" w:color="000000" w:sz="8" w:space="0"/>
              <w:left w:val="nil"/>
              <w:bottom w:val="single" w:color="000000" w:sz="8" w:space="0"/>
              <w:right w:val="single" w:color="000000" w:sz="8" w:space="0"/>
            </w:tcBorders>
            <w:vAlign w:val="center"/>
          </w:tcPr>
          <w:p w14:paraId="13CA3E3A">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现有工程排放量</w:t>
            </w:r>
          </w:p>
        </w:tc>
        <w:tc>
          <w:tcPr>
            <w:tcW w:w="1353" w:type="dxa"/>
            <w:tcBorders>
              <w:top w:val="single" w:color="000000" w:sz="8" w:space="0"/>
              <w:left w:val="nil"/>
              <w:bottom w:val="single" w:color="000000" w:sz="8" w:space="0"/>
              <w:right w:val="single" w:color="000000" w:sz="8" w:space="0"/>
            </w:tcBorders>
            <w:vAlign w:val="center"/>
          </w:tcPr>
          <w:p w14:paraId="50C1EE84">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扩建项目排放量</w:t>
            </w:r>
          </w:p>
        </w:tc>
        <w:tc>
          <w:tcPr>
            <w:tcW w:w="1080" w:type="dxa"/>
            <w:tcBorders>
              <w:top w:val="single" w:color="000000" w:sz="8" w:space="0"/>
              <w:left w:val="nil"/>
              <w:bottom w:val="single" w:color="000000" w:sz="8" w:space="0"/>
              <w:right w:val="single" w:color="000000" w:sz="8" w:space="0"/>
            </w:tcBorders>
            <w:vAlign w:val="center"/>
          </w:tcPr>
          <w:p w14:paraId="3AE827AD">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以新带老削减量</w:t>
            </w:r>
          </w:p>
        </w:tc>
        <w:tc>
          <w:tcPr>
            <w:tcW w:w="1080" w:type="dxa"/>
            <w:tcBorders>
              <w:top w:val="single" w:color="000000" w:sz="8" w:space="0"/>
              <w:left w:val="nil"/>
              <w:bottom w:val="single" w:color="000000" w:sz="8" w:space="0"/>
              <w:right w:val="single" w:color="000000" w:sz="8" w:space="0"/>
            </w:tcBorders>
            <w:vAlign w:val="center"/>
          </w:tcPr>
          <w:p w14:paraId="7746FCFF">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扩建项目建成后全厂排放量</w:t>
            </w:r>
          </w:p>
        </w:tc>
        <w:tc>
          <w:tcPr>
            <w:tcW w:w="1080" w:type="dxa"/>
            <w:tcBorders>
              <w:top w:val="single" w:color="000000" w:sz="8" w:space="0"/>
              <w:left w:val="nil"/>
              <w:bottom w:val="single" w:color="000000" w:sz="8" w:space="0"/>
              <w:right w:val="single" w:color="000000" w:sz="8" w:space="0"/>
            </w:tcBorders>
            <w:vAlign w:val="center"/>
          </w:tcPr>
          <w:p w14:paraId="7964CB14">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排放增减量</w:t>
            </w:r>
          </w:p>
        </w:tc>
      </w:tr>
      <w:tr w14:paraId="0FE1553F">
        <w:tblPrEx>
          <w:tblCellMar>
            <w:top w:w="0" w:type="dxa"/>
            <w:left w:w="108" w:type="dxa"/>
            <w:bottom w:w="0" w:type="dxa"/>
            <w:right w:w="108" w:type="dxa"/>
          </w:tblCellMar>
        </w:tblPrEx>
        <w:trPr>
          <w:trHeight w:val="330" w:hRule="atLeast"/>
          <w:jc w:val="center"/>
        </w:trPr>
        <w:tc>
          <w:tcPr>
            <w:tcW w:w="876" w:type="dxa"/>
            <w:vMerge w:val="restart"/>
            <w:tcBorders>
              <w:top w:val="nil"/>
              <w:left w:val="single" w:color="000000" w:sz="8" w:space="0"/>
              <w:bottom w:val="single" w:color="000000" w:sz="8" w:space="0"/>
              <w:right w:val="single" w:color="000000" w:sz="8" w:space="0"/>
            </w:tcBorders>
            <w:vAlign w:val="center"/>
          </w:tcPr>
          <w:p w14:paraId="7D77A299">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废气（有组织）</w:t>
            </w:r>
          </w:p>
        </w:tc>
        <w:tc>
          <w:tcPr>
            <w:tcW w:w="887" w:type="dxa"/>
            <w:tcBorders>
              <w:top w:val="nil"/>
              <w:left w:val="nil"/>
              <w:bottom w:val="single" w:color="000000" w:sz="8" w:space="0"/>
              <w:right w:val="single" w:color="000000" w:sz="8" w:space="0"/>
            </w:tcBorders>
            <w:vAlign w:val="center"/>
          </w:tcPr>
          <w:p w14:paraId="71A5C1DD">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废气量</w:t>
            </w:r>
          </w:p>
        </w:tc>
        <w:tc>
          <w:tcPr>
            <w:tcW w:w="856" w:type="dxa"/>
            <w:tcBorders>
              <w:top w:val="nil"/>
              <w:left w:val="nil"/>
              <w:bottom w:val="single" w:color="000000" w:sz="8" w:space="0"/>
              <w:right w:val="single" w:color="000000" w:sz="8" w:space="0"/>
            </w:tcBorders>
            <w:vAlign w:val="center"/>
          </w:tcPr>
          <w:p w14:paraId="7F0B25E8">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万</w:t>
            </w:r>
            <w:r>
              <w:rPr>
                <w:snapToGrid/>
                <w:color w:val="000000" w:themeColor="text1"/>
                <w:sz w:val="22"/>
                <w:szCs w:val="22"/>
                <w14:textFill>
                  <w14:solidFill>
                    <w14:schemeClr w14:val="tx1"/>
                  </w14:solidFill>
                </w14:textFill>
              </w:rPr>
              <w:t>m</w:t>
            </w:r>
            <w:r>
              <w:rPr>
                <w:snapToGrid/>
                <w:color w:val="000000" w:themeColor="text1"/>
                <w:sz w:val="22"/>
                <w:szCs w:val="22"/>
                <w:vertAlign w:val="superscript"/>
                <w14:textFill>
                  <w14:solidFill>
                    <w14:schemeClr w14:val="tx1"/>
                  </w14:solidFill>
                </w14:textFill>
              </w:rPr>
              <w:t>3</w:t>
            </w:r>
            <w:r>
              <w:rPr>
                <w:snapToGrid/>
                <w:color w:val="000000" w:themeColor="text1"/>
                <w:sz w:val="22"/>
                <w:szCs w:val="22"/>
                <w14:textFill>
                  <w14:solidFill>
                    <w14:schemeClr w14:val="tx1"/>
                  </w14:solidFill>
                </w14:textFill>
              </w:rPr>
              <w:t>/a</w:t>
            </w:r>
          </w:p>
        </w:tc>
        <w:tc>
          <w:tcPr>
            <w:tcW w:w="1080" w:type="dxa"/>
            <w:tcBorders>
              <w:top w:val="nil"/>
              <w:left w:val="nil"/>
              <w:bottom w:val="single" w:color="000000" w:sz="8" w:space="0"/>
              <w:right w:val="single" w:color="000000" w:sz="8" w:space="0"/>
            </w:tcBorders>
            <w:noWrap/>
            <w:vAlign w:val="center"/>
          </w:tcPr>
          <w:p w14:paraId="69BA2167">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72240</w:t>
            </w:r>
          </w:p>
        </w:tc>
        <w:tc>
          <w:tcPr>
            <w:tcW w:w="1353" w:type="dxa"/>
            <w:tcBorders>
              <w:top w:val="nil"/>
              <w:left w:val="nil"/>
              <w:bottom w:val="single" w:color="000000" w:sz="8" w:space="0"/>
              <w:right w:val="single" w:color="000000" w:sz="8" w:space="0"/>
            </w:tcBorders>
            <w:noWrap/>
            <w:vAlign w:val="center"/>
          </w:tcPr>
          <w:p w14:paraId="24A04A7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30240</w:t>
            </w:r>
          </w:p>
        </w:tc>
        <w:tc>
          <w:tcPr>
            <w:tcW w:w="1080" w:type="dxa"/>
            <w:tcBorders>
              <w:top w:val="nil"/>
              <w:left w:val="nil"/>
              <w:bottom w:val="single" w:color="000000" w:sz="8" w:space="0"/>
              <w:right w:val="single" w:color="000000" w:sz="8" w:space="0"/>
            </w:tcBorders>
            <w:noWrap/>
            <w:vAlign w:val="center"/>
          </w:tcPr>
          <w:p w14:paraId="34551C68">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402F9A9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102480</w:t>
            </w:r>
          </w:p>
        </w:tc>
        <w:tc>
          <w:tcPr>
            <w:tcW w:w="1080" w:type="dxa"/>
            <w:tcBorders>
              <w:top w:val="nil"/>
              <w:left w:val="nil"/>
              <w:bottom w:val="single" w:color="000000" w:sz="8" w:space="0"/>
              <w:right w:val="single" w:color="000000" w:sz="8" w:space="0"/>
            </w:tcBorders>
            <w:noWrap/>
            <w:vAlign w:val="center"/>
          </w:tcPr>
          <w:p w14:paraId="7D49B63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+30240</w:t>
            </w:r>
          </w:p>
        </w:tc>
      </w:tr>
      <w:tr w14:paraId="321BA0BE">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52901AF1">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7D666D35">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氟化物</w:t>
            </w:r>
          </w:p>
        </w:tc>
        <w:tc>
          <w:tcPr>
            <w:tcW w:w="856" w:type="dxa"/>
            <w:tcBorders>
              <w:top w:val="nil"/>
              <w:left w:val="nil"/>
              <w:bottom w:val="single" w:color="000000" w:sz="8" w:space="0"/>
              <w:right w:val="single" w:color="000000" w:sz="8" w:space="0"/>
            </w:tcBorders>
            <w:vAlign w:val="center"/>
          </w:tcPr>
          <w:p w14:paraId="5D788C67">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74AF38E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0.063</w:t>
            </w:r>
          </w:p>
        </w:tc>
        <w:tc>
          <w:tcPr>
            <w:tcW w:w="1353" w:type="dxa"/>
            <w:tcBorders>
              <w:top w:val="nil"/>
              <w:left w:val="nil"/>
              <w:bottom w:val="single" w:color="000000" w:sz="8" w:space="0"/>
              <w:right w:val="single" w:color="000000" w:sz="8" w:space="0"/>
            </w:tcBorders>
            <w:vAlign w:val="center"/>
          </w:tcPr>
          <w:p w14:paraId="012644C5">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0.002</w:t>
            </w:r>
          </w:p>
        </w:tc>
        <w:tc>
          <w:tcPr>
            <w:tcW w:w="1080" w:type="dxa"/>
            <w:tcBorders>
              <w:top w:val="nil"/>
              <w:left w:val="nil"/>
              <w:bottom w:val="single" w:color="000000" w:sz="8" w:space="0"/>
              <w:right w:val="single" w:color="000000" w:sz="8" w:space="0"/>
            </w:tcBorders>
            <w:noWrap/>
            <w:vAlign w:val="center"/>
          </w:tcPr>
          <w:p w14:paraId="3428E70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20349B0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w:t>
            </w:r>
            <w:r>
              <w:rPr>
                <w:rFonts w:hint="eastAsia"/>
                <w:color w:val="000000" w:themeColor="text1"/>
                <w:sz w:val="22"/>
                <w:szCs w:val="22"/>
                <w14:textFill>
                  <w14:solidFill>
                    <w14:schemeClr w14:val="tx1"/>
                  </w14:solidFill>
                </w14:textFill>
              </w:rPr>
              <w:t>65</w:t>
            </w:r>
          </w:p>
        </w:tc>
        <w:tc>
          <w:tcPr>
            <w:tcW w:w="1080" w:type="dxa"/>
            <w:tcBorders>
              <w:top w:val="nil"/>
              <w:left w:val="nil"/>
              <w:bottom w:val="single" w:color="000000" w:sz="8" w:space="0"/>
              <w:right w:val="single" w:color="000000" w:sz="8" w:space="0"/>
            </w:tcBorders>
            <w:noWrap/>
            <w:vAlign w:val="center"/>
          </w:tcPr>
          <w:p w14:paraId="1D2BBDC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+0.002</w:t>
            </w:r>
          </w:p>
        </w:tc>
      </w:tr>
      <w:tr w14:paraId="4D91D51D">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68F27260">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381AAACC">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氯化氢</w:t>
            </w:r>
          </w:p>
        </w:tc>
        <w:tc>
          <w:tcPr>
            <w:tcW w:w="856" w:type="dxa"/>
            <w:tcBorders>
              <w:top w:val="nil"/>
              <w:left w:val="nil"/>
              <w:bottom w:val="single" w:color="000000" w:sz="8" w:space="0"/>
              <w:right w:val="single" w:color="000000" w:sz="8" w:space="0"/>
            </w:tcBorders>
            <w:vAlign w:val="center"/>
          </w:tcPr>
          <w:p w14:paraId="7217351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7F5BA8A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0.816</w:t>
            </w:r>
          </w:p>
        </w:tc>
        <w:tc>
          <w:tcPr>
            <w:tcW w:w="1353" w:type="dxa"/>
            <w:tcBorders>
              <w:top w:val="nil"/>
              <w:left w:val="nil"/>
              <w:bottom w:val="single" w:color="000000" w:sz="8" w:space="0"/>
              <w:right w:val="single" w:color="000000" w:sz="8" w:space="0"/>
            </w:tcBorders>
            <w:vAlign w:val="center"/>
          </w:tcPr>
          <w:p w14:paraId="7A62535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0.004</w:t>
            </w:r>
          </w:p>
        </w:tc>
        <w:tc>
          <w:tcPr>
            <w:tcW w:w="1080" w:type="dxa"/>
            <w:tcBorders>
              <w:top w:val="nil"/>
              <w:left w:val="nil"/>
              <w:bottom w:val="single" w:color="000000" w:sz="8" w:space="0"/>
              <w:right w:val="single" w:color="000000" w:sz="8" w:space="0"/>
            </w:tcBorders>
            <w:noWrap/>
            <w:vAlign w:val="center"/>
          </w:tcPr>
          <w:p w14:paraId="29249C8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7C96CCF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0.82</w:t>
            </w:r>
            <w:r>
              <w:rPr>
                <w:rFonts w:hint="eastAsia"/>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4042610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+0.004</w:t>
            </w:r>
          </w:p>
        </w:tc>
      </w:tr>
      <w:tr w14:paraId="0E08D04E">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6EA98583">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7873D378">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硫酸雾</w:t>
            </w:r>
          </w:p>
        </w:tc>
        <w:tc>
          <w:tcPr>
            <w:tcW w:w="856" w:type="dxa"/>
            <w:tcBorders>
              <w:top w:val="nil"/>
              <w:left w:val="nil"/>
              <w:bottom w:val="single" w:color="000000" w:sz="8" w:space="0"/>
              <w:right w:val="single" w:color="000000" w:sz="8" w:space="0"/>
            </w:tcBorders>
            <w:vAlign w:val="center"/>
          </w:tcPr>
          <w:p w14:paraId="0E849D8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109D06E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0.094</w:t>
            </w:r>
          </w:p>
        </w:tc>
        <w:tc>
          <w:tcPr>
            <w:tcW w:w="1353" w:type="dxa"/>
            <w:tcBorders>
              <w:top w:val="nil"/>
              <w:left w:val="nil"/>
              <w:bottom w:val="single" w:color="000000" w:sz="8" w:space="0"/>
              <w:right w:val="single" w:color="000000" w:sz="8" w:space="0"/>
            </w:tcBorders>
            <w:vAlign w:val="center"/>
          </w:tcPr>
          <w:p w14:paraId="731EE691">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0380454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6AEEB7B1">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0.094</w:t>
            </w:r>
          </w:p>
        </w:tc>
        <w:tc>
          <w:tcPr>
            <w:tcW w:w="1080" w:type="dxa"/>
            <w:tcBorders>
              <w:top w:val="nil"/>
              <w:left w:val="nil"/>
              <w:bottom w:val="single" w:color="000000" w:sz="8" w:space="0"/>
              <w:right w:val="single" w:color="000000" w:sz="8" w:space="0"/>
            </w:tcBorders>
            <w:noWrap/>
            <w:vAlign w:val="center"/>
          </w:tcPr>
          <w:p w14:paraId="6309E7A7">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w:t>
            </w:r>
          </w:p>
        </w:tc>
      </w:tr>
      <w:tr w14:paraId="5CEA3DDB">
        <w:tblPrEx>
          <w:tblCellMar>
            <w:top w:w="0" w:type="dxa"/>
            <w:left w:w="108" w:type="dxa"/>
            <w:bottom w:w="0" w:type="dxa"/>
            <w:right w:w="108" w:type="dxa"/>
          </w:tblCellMar>
        </w:tblPrEx>
        <w:trPr>
          <w:trHeight w:val="55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032C03A0">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4A93C8F2">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颗粒物</w:t>
            </w:r>
          </w:p>
        </w:tc>
        <w:tc>
          <w:tcPr>
            <w:tcW w:w="856" w:type="dxa"/>
            <w:tcBorders>
              <w:top w:val="nil"/>
              <w:left w:val="nil"/>
              <w:bottom w:val="single" w:color="000000" w:sz="8" w:space="0"/>
              <w:right w:val="single" w:color="000000" w:sz="8" w:space="0"/>
            </w:tcBorders>
            <w:vAlign w:val="center"/>
          </w:tcPr>
          <w:p w14:paraId="2290D21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28D9B07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0.134</w:t>
            </w:r>
          </w:p>
        </w:tc>
        <w:tc>
          <w:tcPr>
            <w:tcW w:w="1353" w:type="dxa"/>
            <w:tcBorders>
              <w:top w:val="nil"/>
              <w:left w:val="nil"/>
              <w:bottom w:val="single" w:color="000000" w:sz="8" w:space="0"/>
              <w:right w:val="single" w:color="000000" w:sz="8" w:space="0"/>
            </w:tcBorders>
            <w:vAlign w:val="center"/>
          </w:tcPr>
          <w:p w14:paraId="425306A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0.064</w:t>
            </w:r>
          </w:p>
        </w:tc>
        <w:tc>
          <w:tcPr>
            <w:tcW w:w="1080" w:type="dxa"/>
            <w:tcBorders>
              <w:top w:val="nil"/>
              <w:left w:val="nil"/>
              <w:bottom w:val="single" w:color="000000" w:sz="8" w:space="0"/>
              <w:right w:val="single" w:color="000000" w:sz="8" w:space="0"/>
            </w:tcBorders>
            <w:noWrap/>
            <w:vAlign w:val="center"/>
          </w:tcPr>
          <w:p w14:paraId="06338E4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02E56667">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w:t>
            </w:r>
            <w:r>
              <w:rPr>
                <w:rFonts w:hint="eastAsia"/>
                <w:color w:val="000000" w:themeColor="text1"/>
                <w:sz w:val="22"/>
                <w:szCs w:val="22"/>
                <w14:textFill>
                  <w14:solidFill>
                    <w14:schemeClr w14:val="tx1"/>
                  </w14:solidFill>
                </w14:textFill>
              </w:rPr>
              <w:t>98</w:t>
            </w:r>
          </w:p>
        </w:tc>
        <w:tc>
          <w:tcPr>
            <w:tcW w:w="1080" w:type="dxa"/>
            <w:tcBorders>
              <w:top w:val="nil"/>
              <w:left w:val="nil"/>
              <w:bottom w:val="single" w:color="000000" w:sz="8" w:space="0"/>
              <w:right w:val="single" w:color="000000" w:sz="8" w:space="0"/>
            </w:tcBorders>
            <w:noWrap/>
            <w:vAlign w:val="center"/>
          </w:tcPr>
          <w:p w14:paraId="35962A87">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+0.064</w:t>
            </w:r>
          </w:p>
        </w:tc>
      </w:tr>
      <w:tr w14:paraId="55F9BE2C">
        <w:tblPrEx>
          <w:tblCellMar>
            <w:top w:w="0" w:type="dxa"/>
            <w:left w:w="108" w:type="dxa"/>
            <w:bottom w:w="0" w:type="dxa"/>
            <w:right w:w="108" w:type="dxa"/>
          </w:tblCellMar>
        </w:tblPrEx>
        <w:trPr>
          <w:trHeight w:val="55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2153EFF9">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2C29EF23">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非甲烷总烃</w:t>
            </w:r>
          </w:p>
        </w:tc>
        <w:tc>
          <w:tcPr>
            <w:tcW w:w="856" w:type="dxa"/>
            <w:tcBorders>
              <w:top w:val="nil"/>
              <w:left w:val="nil"/>
              <w:bottom w:val="single" w:color="000000" w:sz="8" w:space="0"/>
              <w:right w:val="single" w:color="000000" w:sz="8" w:space="0"/>
            </w:tcBorders>
            <w:vAlign w:val="center"/>
          </w:tcPr>
          <w:p w14:paraId="5FC7D6B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10855C37">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0.804</w:t>
            </w:r>
          </w:p>
        </w:tc>
        <w:tc>
          <w:tcPr>
            <w:tcW w:w="1353" w:type="dxa"/>
            <w:tcBorders>
              <w:top w:val="nil"/>
              <w:left w:val="nil"/>
              <w:bottom w:val="single" w:color="000000" w:sz="8" w:space="0"/>
              <w:right w:val="single" w:color="000000" w:sz="8" w:space="0"/>
            </w:tcBorders>
            <w:vAlign w:val="center"/>
          </w:tcPr>
          <w:p w14:paraId="672F57C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0.005</w:t>
            </w:r>
          </w:p>
        </w:tc>
        <w:tc>
          <w:tcPr>
            <w:tcW w:w="1080" w:type="dxa"/>
            <w:tcBorders>
              <w:top w:val="nil"/>
              <w:left w:val="nil"/>
              <w:bottom w:val="single" w:color="000000" w:sz="8" w:space="0"/>
              <w:right w:val="single" w:color="000000" w:sz="8" w:space="0"/>
            </w:tcBorders>
            <w:noWrap/>
            <w:vAlign w:val="center"/>
          </w:tcPr>
          <w:p w14:paraId="1E46AD0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1867DF0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0.809</w:t>
            </w:r>
          </w:p>
        </w:tc>
        <w:tc>
          <w:tcPr>
            <w:tcW w:w="1080" w:type="dxa"/>
            <w:tcBorders>
              <w:top w:val="nil"/>
              <w:left w:val="nil"/>
              <w:bottom w:val="single" w:color="000000" w:sz="8" w:space="0"/>
              <w:right w:val="single" w:color="000000" w:sz="8" w:space="0"/>
            </w:tcBorders>
            <w:noWrap/>
            <w:vAlign w:val="center"/>
          </w:tcPr>
          <w:p w14:paraId="63E4A77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+0.005</w:t>
            </w:r>
          </w:p>
        </w:tc>
      </w:tr>
      <w:tr w14:paraId="47B31AB0">
        <w:tblPrEx>
          <w:tblCellMar>
            <w:top w:w="0" w:type="dxa"/>
            <w:left w:w="108" w:type="dxa"/>
            <w:bottom w:w="0" w:type="dxa"/>
            <w:right w:w="108" w:type="dxa"/>
          </w:tblCellMar>
        </w:tblPrEx>
        <w:trPr>
          <w:trHeight w:val="55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6901896E">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7B022CEE">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hint="eastAsia" w:ascii="宋体" w:hAnsi="宋体" w:cs="宋体"/>
                <w:snapToGrid/>
                <w:color w:val="000000" w:themeColor="text1"/>
                <w:sz w:val="22"/>
                <w:szCs w:val="22"/>
                <w14:textFill>
                  <w14:solidFill>
                    <w14:schemeClr w14:val="tx1"/>
                  </w14:solidFill>
                </w14:textFill>
              </w:rPr>
              <w:t>甲苯</w:t>
            </w:r>
          </w:p>
        </w:tc>
        <w:tc>
          <w:tcPr>
            <w:tcW w:w="856" w:type="dxa"/>
            <w:tcBorders>
              <w:top w:val="nil"/>
              <w:left w:val="nil"/>
              <w:bottom w:val="single" w:color="000000" w:sz="8" w:space="0"/>
              <w:right w:val="single" w:color="000000" w:sz="8" w:space="0"/>
            </w:tcBorders>
            <w:vAlign w:val="center"/>
          </w:tcPr>
          <w:p w14:paraId="1D829CD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36C80A5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0.18</w:t>
            </w:r>
          </w:p>
        </w:tc>
        <w:tc>
          <w:tcPr>
            <w:tcW w:w="1353" w:type="dxa"/>
            <w:tcBorders>
              <w:top w:val="nil"/>
              <w:left w:val="nil"/>
              <w:bottom w:val="single" w:color="000000" w:sz="8" w:space="0"/>
              <w:right w:val="single" w:color="000000" w:sz="8" w:space="0"/>
            </w:tcBorders>
            <w:vAlign w:val="center"/>
          </w:tcPr>
          <w:p w14:paraId="3342BAA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2200425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7EFE9025">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0.18</w:t>
            </w:r>
          </w:p>
        </w:tc>
        <w:tc>
          <w:tcPr>
            <w:tcW w:w="1080" w:type="dxa"/>
            <w:tcBorders>
              <w:top w:val="nil"/>
              <w:left w:val="nil"/>
              <w:bottom w:val="single" w:color="000000" w:sz="8" w:space="0"/>
              <w:right w:val="single" w:color="000000" w:sz="8" w:space="0"/>
            </w:tcBorders>
            <w:noWrap/>
            <w:vAlign w:val="center"/>
          </w:tcPr>
          <w:p w14:paraId="06ECDBA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r>
      <w:tr w14:paraId="0FB36D66">
        <w:tblPrEx>
          <w:tblCellMar>
            <w:top w:w="0" w:type="dxa"/>
            <w:left w:w="108" w:type="dxa"/>
            <w:bottom w:w="0" w:type="dxa"/>
            <w:right w:w="108" w:type="dxa"/>
          </w:tblCellMar>
        </w:tblPrEx>
        <w:trPr>
          <w:trHeight w:val="330" w:hRule="atLeast"/>
          <w:jc w:val="center"/>
        </w:trPr>
        <w:tc>
          <w:tcPr>
            <w:tcW w:w="876" w:type="dxa"/>
            <w:vMerge w:val="restart"/>
            <w:tcBorders>
              <w:top w:val="nil"/>
              <w:left w:val="single" w:color="000000" w:sz="8" w:space="0"/>
              <w:bottom w:val="single" w:color="000000" w:sz="8" w:space="0"/>
              <w:right w:val="single" w:color="000000" w:sz="8" w:space="0"/>
            </w:tcBorders>
            <w:vAlign w:val="center"/>
          </w:tcPr>
          <w:p w14:paraId="3D13B24C">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废气（无组织）</w:t>
            </w:r>
          </w:p>
        </w:tc>
        <w:tc>
          <w:tcPr>
            <w:tcW w:w="887" w:type="dxa"/>
            <w:tcBorders>
              <w:top w:val="nil"/>
              <w:left w:val="nil"/>
              <w:bottom w:val="single" w:color="000000" w:sz="8" w:space="0"/>
              <w:right w:val="single" w:color="000000" w:sz="8" w:space="0"/>
            </w:tcBorders>
            <w:vAlign w:val="center"/>
          </w:tcPr>
          <w:p w14:paraId="37ABD7B7">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氟化物</w:t>
            </w:r>
          </w:p>
        </w:tc>
        <w:tc>
          <w:tcPr>
            <w:tcW w:w="856" w:type="dxa"/>
            <w:tcBorders>
              <w:top w:val="nil"/>
              <w:left w:val="nil"/>
              <w:bottom w:val="single" w:color="000000" w:sz="8" w:space="0"/>
              <w:right w:val="single" w:color="000000" w:sz="8" w:space="0"/>
            </w:tcBorders>
            <w:vAlign w:val="center"/>
          </w:tcPr>
          <w:p w14:paraId="567F539B">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6DB7502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0.063</w:t>
            </w:r>
          </w:p>
        </w:tc>
        <w:tc>
          <w:tcPr>
            <w:tcW w:w="1353" w:type="dxa"/>
            <w:tcBorders>
              <w:top w:val="nil"/>
              <w:left w:val="nil"/>
              <w:bottom w:val="single" w:color="000000" w:sz="8" w:space="0"/>
              <w:right w:val="single" w:color="000000" w:sz="8" w:space="0"/>
            </w:tcBorders>
            <w:vAlign w:val="center"/>
          </w:tcPr>
          <w:p w14:paraId="2C89CE4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0.004</w:t>
            </w:r>
          </w:p>
        </w:tc>
        <w:tc>
          <w:tcPr>
            <w:tcW w:w="1080" w:type="dxa"/>
            <w:tcBorders>
              <w:top w:val="nil"/>
              <w:left w:val="nil"/>
              <w:bottom w:val="single" w:color="000000" w:sz="8" w:space="0"/>
              <w:right w:val="single" w:color="000000" w:sz="8" w:space="0"/>
            </w:tcBorders>
            <w:noWrap/>
            <w:vAlign w:val="center"/>
          </w:tcPr>
          <w:p w14:paraId="3DBADD3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44C68BD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0.077</w:t>
            </w:r>
          </w:p>
        </w:tc>
        <w:tc>
          <w:tcPr>
            <w:tcW w:w="1080" w:type="dxa"/>
            <w:tcBorders>
              <w:top w:val="nil"/>
              <w:left w:val="nil"/>
              <w:bottom w:val="single" w:color="000000" w:sz="8" w:space="0"/>
              <w:right w:val="single" w:color="000000" w:sz="8" w:space="0"/>
            </w:tcBorders>
            <w:noWrap/>
            <w:vAlign w:val="center"/>
          </w:tcPr>
          <w:p w14:paraId="0FF045D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+0.004</w:t>
            </w:r>
          </w:p>
        </w:tc>
      </w:tr>
      <w:tr w14:paraId="7686413A">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717888F1">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382A69CE">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氯化氢</w:t>
            </w:r>
          </w:p>
        </w:tc>
        <w:tc>
          <w:tcPr>
            <w:tcW w:w="856" w:type="dxa"/>
            <w:tcBorders>
              <w:top w:val="nil"/>
              <w:left w:val="nil"/>
              <w:bottom w:val="single" w:color="000000" w:sz="8" w:space="0"/>
              <w:right w:val="single" w:color="000000" w:sz="8" w:space="0"/>
            </w:tcBorders>
            <w:vAlign w:val="center"/>
          </w:tcPr>
          <w:p w14:paraId="4E29DF2C">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376384E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0.247</w:t>
            </w:r>
          </w:p>
        </w:tc>
        <w:tc>
          <w:tcPr>
            <w:tcW w:w="1353" w:type="dxa"/>
            <w:tcBorders>
              <w:top w:val="nil"/>
              <w:left w:val="nil"/>
              <w:bottom w:val="single" w:color="000000" w:sz="8" w:space="0"/>
              <w:right w:val="single" w:color="000000" w:sz="8" w:space="0"/>
            </w:tcBorders>
            <w:vAlign w:val="center"/>
          </w:tcPr>
          <w:p w14:paraId="7FEF988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25BAFC0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1163B75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0.247</w:t>
            </w:r>
          </w:p>
        </w:tc>
        <w:tc>
          <w:tcPr>
            <w:tcW w:w="1080" w:type="dxa"/>
            <w:tcBorders>
              <w:top w:val="nil"/>
              <w:left w:val="nil"/>
              <w:bottom w:val="single" w:color="000000" w:sz="8" w:space="0"/>
              <w:right w:val="single" w:color="000000" w:sz="8" w:space="0"/>
            </w:tcBorders>
            <w:noWrap/>
            <w:vAlign w:val="center"/>
          </w:tcPr>
          <w:p w14:paraId="397C744B">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w:t>
            </w:r>
          </w:p>
        </w:tc>
      </w:tr>
      <w:tr w14:paraId="3C0B99B5">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17814210">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54D01A2E">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硫酸雾</w:t>
            </w:r>
          </w:p>
        </w:tc>
        <w:tc>
          <w:tcPr>
            <w:tcW w:w="856" w:type="dxa"/>
            <w:tcBorders>
              <w:top w:val="nil"/>
              <w:left w:val="nil"/>
              <w:bottom w:val="single" w:color="000000" w:sz="8" w:space="0"/>
              <w:right w:val="single" w:color="000000" w:sz="8" w:space="0"/>
            </w:tcBorders>
            <w:vAlign w:val="center"/>
          </w:tcPr>
          <w:p w14:paraId="4E8943A8">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02F561E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0.085</w:t>
            </w:r>
          </w:p>
        </w:tc>
        <w:tc>
          <w:tcPr>
            <w:tcW w:w="1353" w:type="dxa"/>
            <w:tcBorders>
              <w:top w:val="nil"/>
              <w:left w:val="nil"/>
              <w:bottom w:val="single" w:color="000000" w:sz="8" w:space="0"/>
              <w:right w:val="single" w:color="000000" w:sz="8" w:space="0"/>
            </w:tcBorders>
            <w:vAlign w:val="center"/>
          </w:tcPr>
          <w:p w14:paraId="1ABA3EB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76043A0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1B344AE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0.085</w:t>
            </w:r>
          </w:p>
        </w:tc>
        <w:tc>
          <w:tcPr>
            <w:tcW w:w="1080" w:type="dxa"/>
            <w:tcBorders>
              <w:top w:val="nil"/>
              <w:left w:val="nil"/>
              <w:bottom w:val="single" w:color="000000" w:sz="8" w:space="0"/>
              <w:right w:val="single" w:color="000000" w:sz="8" w:space="0"/>
            </w:tcBorders>
            <w:noWrap/>
            <w:vAlign w:val="center"/>
          </w:tcPr>
          <w:p w14:paraId="402A910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w:t>
            </w:r>
          </w:p>
        </w:tc>
      </w:tr>
      <w:tr w14:paraId="5C6BD7F0">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24148381">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4205C208">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颗粒物</w:t>
            </w:r>
          </w:p>
        </w:tc>
        <w:tc>
          <w:tcPr>
            <w:tcW w:w="856" w:type="dxa"/>
            <w:tcBorders>
              <w:top w:val="nil"/>
              <w:left w:val="nil"/>
              <w:bottom w:val="single" w:color="000000" w:sz="8" w:space="0"/>
              <w:right w:val="single" w:color="000000" w:sz="8" w:space="0"/>
            </w:tcBorders>
            <w:vAlign w:val="center"/>
          </w:tcPr>
          <w:p w14:paraId="71F1826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5924668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0.009</w:t>
            </w:r>
          </w:p>
        </w:tc>
        <w:tc>
          <w:tcPr>
            <w:tcW w:w="1353" w:type="dxa"/>
            <w:tcBorders>
              <w:top w:val="nil"/>
              <w:left w:val="nil"/>
              <w:bottom w:val="single" w:color="000000" w:sz="8" w:space="0"/>
              <w:right w:val="single" w:color="000000" w:sz="8" w:space="0"/>
            </w:tcBorders>
            <w:vAlign w:val="center"/>
          </w:tcPr>
          <w:p w14:paraId="647F5E2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0.00</w:t>
            </w:r>
            <w:r>
              <w:rPr>
                <w:rFonts w:hint="eastAsia"/>
                <w:snapToGrid/>
                <w:color w:val="000000" w:themeColor="text1"/>
                <w:sz w:val="22"/>
                <w:szCs w:val="22"/>
                <w14:textFill>
                  <w14:solidFill>
                    <w14:schemeClr w14:val="tx1"/>
                  </w14:solidFill>
                </w14:textFill>
              </w:rPr>
              <w:t>4</w:t>
            </w:r>
          </w:p>
        </w:tc>
        <w:tc>
          <w:tcPr>
            <w:tcW w:w="1080" w:type="dxa"/>
            <w:tcBorders>
              <w:top w:val="nil"/>
              <w:left w:val="nil"/>
              <w:bottom w:val="single" w:color="000000" w:sz="8" w:space="0"/>
              <w:right w:val="single" w:color="000000" w:sz="8" w:space="0"/>
            </w:tcBorders>
            <w:noWrap/>
            <w:vAlign w:val="center"/>
          </w:tcPr>
          <w:p w14:paraId="054CE99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72A95E3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0.01</w:t>
            </w:r>
            <w:r>
              <w:rPr>
                <w:rFonts w:hint="eastAsia"/>
                <w:color w:val="000000" w:themeColor="text1"/>
                <w:sz w:val="22"/>
                <w:szCs w:val="22"/>
                <w14:textFill>
                  <w14:solidFill>
                    <w14:schemeClr w14:val="tx1"/>
                  </w14:solidFill>
                </w14:textFill>
              </w:rPr>
              <w:t>3</w:t>
            </w:r>
          </w:p>
        </w:tc>
        <w:tc>
          <w:tcPr>
            <w:tcW w:w="1080" w:type="dxa"/>
            <w:tcBorders>
              <w:top w:val="nil"/>
              <w:left w:val="nil"/>
              <w:bottom w:val="single" w:color="000000" w:sz="8" w:space="0"/>
              <w:right w:val="single" w:color="000000" w:sz="8" w:space="0"/>
            </w:tcBorders>
            <w:noWrap/>
            <w:vAlign w:val="center"/>
          </w:tcPr>
          <w:p w14:paraId="6690CF41">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w:t>
            </w:r>
            <w:r>
              <w:rPr>
                <w:snapToGrid/>
                <w:color w:val="000000" w:themeColor="text1"/>
                <w:sz w:val="22"/>
                <w:szCs w:val="22"/>
                <w14:textFill>
                  <w14:solidFill>
                    <w14:schemeClr w14:val="tx1"/>
                  </w14:solidFill>
                </w14:textFill>
              </w:rPr>
              <w:t>0.00</w:t>
            </w:r>
            <w:r>
              <w:rPr>
                <w:rFonts w:hint="eastAsia"/>
                <w:snapToGrid/>
                <w:color w:val="000000" w:themeColor="text1"/>
                <w:sz w:val="22"/>
                <w:szCs w:val="22"/>
                <w14:textFill>
                  <w14:solidFill>
                    <w14:schemeClr w14:val="tx1"/>
                  </w14:solidFill>
                </w14:textFill>
              </w:rPr>
              <w:t>4</w:t>
            </w:r>
          </w:p>
        </w:tc>
      </w:tr>
      <w:tr w14:paraId="6A208C21">
        <w:tblPrEx>
          <w:tblCellMar>
            <w:top w:w="0" w:type="dxa"/>
            <w:left w:w="108" w:type="dxa"/>
            <w:bottom w:w="0" w:type="dxa"/>
            <w:right w:w="108" w:type="dxa"/>
          </w:tblCellMar>
        </w:tblPrEx>
        <w:trPr>
          <w:trHeight w:val="55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3047FE89">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54FC9A45">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非甲烷总烃</w:t>
            </w:r>
          </w:p>
        </w:tc>
        <w:tc>
          <w:tcPr>
            <w:tcW w:w="856" w:type="dxa"/>
            <w:tcBorders>
              <w:top w:val="nil"/>
              <w:left w:val="nil"/>
              <w:bottom w:val="single" w:color="000000" w:sz="8" w:space="0"/>
              <w:right w:val="single" w:color="000000" w:sz="8" w:space="0"/>
            </w:tcBorders>
            <w:vAlign w:val="center"/>
          </w:tcPr>
          <w:p w14:paraId="79B7345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0460B1D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0.001</w:t>
            </w:r>
          </w:p>
        </w:tc>
        <w:tc>
          <w:tcPr>
            <w:tcW w:w="1353" w:type="dxa"/>
            <w:tcBorders>
              <w:top w:val="nil"/>
              <w:left w:val="nil"/>
              <w:bottom w:val="single" w:color="000000" w:sz="8" w:space="0"/>
              <w:right w:val="single" w:color="000000" w:sz="8" w:space="0"/>
            </w:tcBorders>
            <w:vAlign w:val="center"/>
          </w:tcPr>
          <w:p w14:paraId="0C929DA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6FB6093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358D94F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0.001</w:t>
            </w:r>
          </w:p>
        </w:tc>
        <w:tc>
          <w:tcPr>
            <w:tcW w:w="1080" w:type="dxa"/>
            <w:tcBorders>
              <w:top w:val="nil"/>
              <w:left w:val="nil"/>
              <w:bottom w:val="single" w:color="000000" w:sz="8" w:space="0"/>
              <w:right w:val="single" w:color="000000" w:sz="8" w:space="0"/>
            </w:tcBorders>
            <w:noWrap/>
            <w:vAlign w:val="center"/>
          </w:tcPr>
          <w:p w14:paraId="1398DB4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w:t>
            </w:r>
          </w:p>
        </w:tc>
      </w:tr>
      <w:tr w14:paraId="72E65CC1">
        <w:tblPrEx>
          <w:tblCellMar>
            <w:top w:w="0" w:type="dxa"/>
            <w:left w:w="108" w:type="dxa"/>
            <w:bottom w:w="0" w:type="dxa"/>
            <w:right w:w="108" w:type="dxa"/>
          </w:tblCellMar>
        </w:tblPrEx>
        <w:trPr>
          <w:trHeight w:val="330" w:hRule="atLeast"/>
          <w:jc w:val="center"/>
        </w:trPr>
        <w:tc>
          <w:tcPr>
            <w:tcW w:w="876" w:type="dxa"/>
            <w:vMerge w:val="restart"/>
            <w:tcBorders>
              <w:top w:val="nil"/>
              <w:left w:val="single" w:color="000000" w:sz="8" w:space="0"/>
              <w:bottom w:val="single" w:color="000000" w:sz="8" w:space="0"/>
              <w:right w:val="single" w:color="000000" w:sz="8" w:space="0"/>
            </w:tcBorders>
            <w:vAlign w:val="center"/>
          </w:tcPr>
          <w:p w14:paraId="7DACB250">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废水</w:t>
            </w:r>
          </w:p>
        </w:tc>
        <w:tc>
          <w:tcPr>
            <w:tcW w:w="887" w:type="dxa"/>
            <w:tcBorders>
              <w:top w:val="nil"/>
              <w:left w:val="nil"/>
              <w:bottom w:val="single" w:color="000000" w:sz="8" w:space="0"/>
              <w:right w:val="single" w:color="000000" w:sz="8" w:space="0"/>
            </w:tcBorders>
            <w:vAlign w:val="center"/>
          </w:tcPr>
          <w:p w14:paraId="6541AF94">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废水</w:t>
            </w:r>
          </w:p>
        </w:tc>
        <w:tc>
          <w:tcPr>
            <w:tcW w:w="856" w:type="dxa"/>
            <w:tcBorders>
              <w:top w:val="nil"/>
              <w:left w:val="nil"/>
              <w:bottom w:val="single" w:color="000000" w:sz="8" w:space="0"/>
              <w:right w:val="single" w:color="000000" w:sz="8" w:space="0"/>
            </w:tcBorders>
            <w:vAlign w:val="center"/>
          </w:tcPr>
          <w:p w14:paraId="23F9BF2C">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万</w:t>
            </w:r>
            <w:r>
              <w:rPr>
                <w:snapToGrid/>
                <w:color w:val="000000" w:themeColor="text1"/>
                <w:sz w:val="22"/>
                <w:szCs w:val="22"/>
                <w14:textFill>
                  <w14:solidFill>
                    <w14:schemeClr w14:val="tx1"/>
                  </w14:solidFill>
                </w14:textFill>
              </w:rPr>
              <w:t>m</w:t>
            </w:r>
            <w:r>
              <w:rPr>
                <w:snapToGrid/>
                <w:color w:val="000000" w:themeColor="text1"/>
                <w:sz w:val="22"/>
                <w:szCs w:val="22"/>
                <w:vertAlign w:val="superscript"/>
                <w14:textFill>
                  <w14:solidFill>
                    <w14:schemeClr w14:val="tx1"/>
                  </w14:solidFill>
                </w14:textFill>
              </w:rPr>
              <w:t>3</w:t>
            </w:r>
            <w:r>
              <w:rPr>
                <w:snapToGrid/>
                <w:color w:val="000000" w:themeColor="text1"/>
                <w:sz w:val="22"/>
                <w:szCs w:val="22"/>
                <w14:textFill>
                  <w14:solidFill>
                    <w14:schemeClr w14:val="tx1"/>
                  </w14:solidFill>
                </w14:textFill>
              </w:rPr>
              <w:t>/a</w:t>
            </w:r>
          </w:p>
        </w:tc>
        <w:tc>
          <w:tcPr>
            <w:tcW w:w="1080" w:type="dxa"/>
            <w:tcBorders>
              <w:top w:val="nil"/>
              <w:left w:val="nil"/>
              <w:bottom w:val="single" w:color="000000" w:sz="8" w:space="0"/>
              <w:right w:val="single" w:color="000000" w:sz="8" w:space="0"/>
            </w:tcBorders>
            <w:noWrap/>
            <w:vAlign w:val="center"/>
          </w:tcPr>
          <w:p w14:paraId="3F27BED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7.265 </w:t>
            </w:r>
          </w:p>
        </w:tc>
        <w:tc>
          <w:tcPr>
            <w:tcW w:w="1353" w:type="dxa"/>
            <w:tcBorders>
              <w:top w:val="nil"/>
              <w:left w:val="nil"/>
              <w:bottom w:val="single" w:color="000000" w:sz="8" w:space="0"/>
              <w:right w:val="single" w:color="000000" w:sz="8" w:space="0"/>
            </w:tcBorders>
            <w:noWrap/>
            <w:vAlign w:val="center"/>
          </w:tcPr>
          <w:p w14:paraId="72D23A37">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0.28</w:t>
            </w:r>
          </w:p>
        </w:tc>
        <w:tc>
          <w:tcPr>
            <w:tcW w:w="1080" w:type="dxa"/>
            <w:tcBorders>
              <w:top w:val="nil"/>
              <w:left w:val="nil"/>
              <w:bottom w:val="single" w:color="000000" w:sz="8" w:space="0"/>
              <w:right w:val="single" w:color="000000" w:sz="8" w:space="0"/>
            </w:tcBorders>
            <w:noWrap/>
            <w:vAlign w:val="center"/>
          </w:tcPr>
          <w:p w14:paraId="06103B95">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37CA705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w:t>
            </w:r>
            <w:r>
              <w:rPr>
                <w:rFonts w:hint="eastAsia"/>
                <w:color w:val="000000" w:themeColor="text1"/>
                <w:sz w:val="22"/>
                <w:szCs w:val="22"/>
                <w14:textFill>
                  <w14:solidFill>
                    <w14:schemeClr w14:val="tx1"/>
                  </w14:solidFill>
                </w14:textFill>
              </w:rPr>
              <w:t>545</w:t>
            </w:r>
          </w:p>
        </w:tc>
        <w:tc>
          <w:tcPr>
            <w:tcW w:w="1080" w:type="dxa"/>
            <w:tcBorders>
              <w:top w:val="nil"/>
              <w:left w:val="nil"/>
              <w:bottom w:val="single" w:color="000000" w:sz="8" w:space="0"/>
              <w:right w:val="single" w:color="000000" w:sz="8" w:space="0"/>
            </w:tcBorders>
            <w:noWrap/>
            <w:vAlign w:val="center"/>
          </w:tcPr>
          <w:p w14:paraId="6C4374D7">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+0.28</w:t>
            </w:r>
          </w:p>
        </w:tc>
      </w:tr>
      <w:tr w14:paraId="01E716B8">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0A8153AC">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1E73B531">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COD</w:t>
            </w:r>
          </w:p>
        </w:tc>
        <w:tc>
          <w:tcPr>
            <w:tcW w:w="856" w:type="dxa"/>
            <w:tcBorders>
              <w:top w:val="nil"/>
              <w:left w:val="nil"/>
              <w:bottom w:val="single" w:color="000000" w:sz="8" w:space="0"/>
              <w:right w:val="single" w:color="000000" w:sz="8" w:space="0"/>
            </w:tcBorders>
            <w:vAlign w:val="center"/>
          </w:tcPr>
          <w:p w14:paraId="57FAEC1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50413A8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7.415 </w:t>
            </w:r>
          </w:p>
        </w:tc>
        <w:tc>
          <w:tcPr>
            <w:tcW w:w="1353" w:type="dxa"/>
            <w:tcBorders>
              <w:top w:val="nil"/>
              <w:left w:val="nil"/>
              <w:bottom w:val="single" w:color="000000" w:sz="8" w:space="0"/>
              <w:right w:val="single" w:color="000000" w:sz="8" w:space="0"/>
            </w:tcBorders>
            <w:noWrap/>
            <w:vAlign w:val="center"/>
          </w:tcPr>
          <w:p w14:paraId="716E272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0.105</w:t>
            </w:r>
          </w:p>
        </w:tc>
        <w:tc>
          <w:tcPr>
            <w:tcW w:w="1080" w:type="dxa"/>
            <w:tcBorders>
              <w:top w:val="nil"/>
              <w:left w:val="nil"/>
              <w:bottom w:val="single" w:color="000000" w:sz="8" w:space="0"/>
              <w:right w:val="single" w:color="000000" w:sz="8" w:space="0"/>
            </w:tcBorders>
            <w:noWrap/>
            <w:vAlign w:val="center"/>
          </w:tcPr>
          <w:p w14:paraId="29E0D72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31AB319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7.5</w:t>
            </w:r>
            <w:r>
              <w:rPr>
                <w:rFonts w:hint="eastAsia"/>
                <w:color w:val="000000" w:themeColor="text1"/>
                <w:sz w:val="22"/>
                <w:szCs w:val="22"/>
                <w14:textFill>
                  <w14:solidFill>
                    <w14:schemeClr w14:val="tx1"/>
                  </w14:solidFill>
                </w14:textFill>
              </w:rPr>
              <w:t>20</w:t>
            </w:r>
          </w:p>
        </w:tc>
        <w:tc>
          <w:tcPr>
            <w:tcW w:w="1080" w:type="dxa"/>
            <w:tcBorders>
              <w:top w:val="nil"/>
              <w:left w:val="nil"/>
              <w:bottom w:val="single" w:color="000000" w:sz="8" w:space="0"/>
              <w:right w:val="single" w:color="000000" w:sz="8" w:space="0"/>
            </w:tcBorders>
            <w:noWrap/>
            <w:vAlign w:val="center"/>
          </w:tcPr>
          <w:p w14:paraId="0F9929D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+0.105</w:t>
            </w:r>
          </w:p>
        </w:tc>
      </w:tr>
      <w:tr w14:paraId="38BDF4BD">
        <w:tblPrEx>
          <w:tblCellMar>
            <w:top w:w="0" w:type="dxa"/>
            <w:left w:w="108" w:type="dxa"/>
            <w:bottom w:w="0" w:type="dxa"/>
            <w:right w:w="108" w:type="dxa"/>
          </w:tblCellMar>
        </w:tblPrEx>
        <w:trPr>
          <w:trHeight w:val="55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195F3CC1">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75AA7C8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SS</w:t>
            </w:r>
          </w:p>
        </w:tc>
        <w:tc>
          <w:tcPr>
            <w:tcW w:w="856" w:type="dxa"/>
            <w:tcBorders>
              <w:top w:val="nil"/>
              <w:left w:val="nil"/>
              <w:bottom w:val="single" w:color="000000" w:sz="8" w:space="0"/>
              <w:right w:val="single" w:color="000000" w:sz="8" w:space="0"/>
            </w:tcBorders>
            <w:vAlign w:val="center"/>
          </w:tcPr>
          <w:p w14:paraId="28780B4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2056751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5.191 </w:t>
            </w:r>
          </w:p>
        </w:tc>
        <w:tc>
          <w:tcPr>
            <w:tcW w:w="1353" w:type="dxa"/>
            <w:tcBorders>
              <w:top w:val="nil"/>
              <w:left w:val="nil"/>
              <w:bottom w:val="single" w:color="000000" w:sz="8" w:space="0"/>
              <w:right w:val="single" w:color="000000" w:sz="8" w:space="0"/>
            </w:tcBorders>
            <w:noWrap/>
            <w:vAlign w:val="center"/>
          </w:tcPr>
          <w:p w14:paraId="2FD6F7A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0.187</w:t>
            </w:r>
          </w:p>
        </w:tc>
        <w:tc>
          <w:tcPr>
            <w:tcW w:w="1080" w:type="dxa"/>
            <w:tcBorders>
              <w:top w:val="nil"/>
              <w:left w:val="nil"/>
              <w:bottom w:val="single" w:color="000000" w:sz="8" w:space="0"/>
              <w:right w:val="single" w:color="000000" w:sz="8" w:space="0"/>
            </w:tcBorders>
            <w:noWrap/>
            <w:vAlign w:val="center"/>
          </w:tcPr>
          <w:p w14:paraId="64E89F8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4B3C1B2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5.3</w:t>
            </w:r>
            <w:r>
              <w:rPr>
                <w:rFonts w:hint="eastAsia"/>
                <w:color w:val="000000" w:themeColor="text1"/>
                <w:sz w:val="22"/>
                <w:szCs w:val="22"/>
                <w14:textFill>
                  <w14:solidFill>
                    <w14:schemeClr w14:val="tx1"/>
                  </w14:solidFill>
                </w14:textFill>
              </w:rPr>
              <w:t>78</w:t>
            </w:r>
          </w:p>
        </w:tc>
        <w:tc>
          <w:tcPr>
            <w:tcW w:w="1080" w:type="dxa"/>
            <w:tcBorders>
              <w:top w:val="nil"/>
              <w:left w:val="nil"/>
              <w:bottom w:val="single" w:color="000000" w:sz="8" w:space="0"/>
              <w:right w:val="single" w:color="000000" w:sz="8" w:space="0"/>
            </w:tcBorders>
            <w:noWrap/>
            <w:vAlign w:val="center"/>
          </w:tcPr>
          <w:p w14:paraId="5BE9F08B">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+0.187</w:t>
            </w:r>
          </w:p>
        </w:tc>
      </w:tr>
      <w:tr w14:paraId="3D2709B9">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6A62D43E">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6C7549B4">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石油类</w:t>
            </w:r>
          </w:p>
        </w:tc>
        <w:tc>
          <w:tcPr>
            <w:tcW w:w="856" w:type="dxa"/>
            <w:tcBorders>
              <w:top w:val="nil"/>
              <w:left w:val="nil"/>
              <w:bottom w:val="single" w:color="000000" w:sz="8" w:space="0"/>
              <w:right w:val="single" w:color="000000" w:sz="8" w:space="0"/>
            </w:tcBorders>
            <w:vAlign w:val="center"/>
          </w:tcPr>
          <w:p w14:paraId="6A996FE8">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1B66F851">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0.371 </w:t>
            </w:r>
          </w:p>
        </w:tc>
        <w:tc>
          <w:tcPr>
            <w:tcW w:w="1353" w:type="dxa"/>
            <w:tcBorders>
              <w:top w:val="nil"/>
              <w:left w:val="nil"/>
              <w:bottom w:val="single" w:color="000000" w:sz="8" w:space="0"/>
              <w:right w:val="single" w:color="000000" w:sz="8" w:space="0"/>
            </w:tcBorders>
            <w:noWrap/>
            <w:vAlign w:val="center"/>
          </w:tcPr>
          <w:p w14:paraId="5850F78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0.014</w:t>
            </w:r>
          </w:p>
        </w:tc>
        <w:tc>
          <w:tcPr>
            <w:tcW w:w="1080" w:type="dxa"/>
            <w:tcBorders>
              <w:top w:val="nil"/>
              <w:left w:val="nil"/>
              <w:bottom w:val="single" w:color="000000" w:sz="8" w:space="0"/>
              <w:right w:val="single" w:color="000000" w:sz="8" w:space="0"/>
            </w:tcBorders>
            <w:noWrap/>
            <w:vAlign w:val="center"/>
          </w:tcPr>
          <w:p w14:paraId="353476B8">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38BB3CA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w:t>
            </w:r>
            <w:r>
              <w:rPr>
                <w:rFonts w:hint="eastAsia"/>
                <w:color w:val="000000" w:themeColor="text1"/>
                <w:sz w:val="22"/>
                <w:szCs w:val="22"/>
                <w14:textFill>
                  <w14:solidFill>
                    <w14:schemeClr w14:val="tx1"/>
                  </w14:solidFill>
                </w14:textFill>
              </w:rPr>
              <w:t>85</w:t>
            </w:r>
          </w:p>
        </w:tc>
        <w:tc>
          <w:tcPr>
            <w:tcW w:w="1080" w:type="dxa"/>
            <w:tcBorders>
              <w:top w:val="nil"/>
              <w:left w:val="nil"/>
              <w:bottom w:val="single" w:color="000000" w:sz="8" w:space="0"/>
              <w:right w:val="single" w:color="000000" w:sz="8" w:space="0"/>
            </w:tcBorders>
            <w:noWrap/>
            <w:vAlign w:val="center"/>
          </w:tcPr>
          <w:p w14:paraId="0213656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+0.014</w:t>
            </w:r>
          </w:p>
        </w:tc>
      </w:tr>
      <w:tr w14:paraId="3A13A473">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1DACD31B">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0A2B7593">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氟化物</w:t>
            </w:r>
          </w:p>
        </w:tc>
        <w:tc>
          <w:tcPr>
            <w:tcW w:w="856" w:type="dxa"/>
            <w:tcBorders>
              <w:top w:val="nil"/>
              <w:left w:val="nil"/>
              <w:bottom w:val="single" w:color="000000" w:sz="8" w:space="0"/>
              <w:right w:val="single" w:color="000000" w:sz="8" w:space="0"/>
            </w:tcBorders>
            <w:vAlign w:val="center"/>
          </w:tcPr>
          <w:p w14:paraId="404A35C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79FF22E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0.716 </w:t>
            </w:r>
          </w:p>
        </w:tc>
        <w:tc>
          <w:tcPr>
            <w:tcW w:w="1353" w:type="dxa"/>
            <w:tcBorders>
              <w:top w:val="nil"/>
              <w:left w:val="nil"/>
              <w:bottom w:val="single" w:color="000000" w:sz="8" w:space="0"/>
              <w:right w:val="single" w:color="000000" w:sz="8" w:space="0"/>
            </w:tcBorders>
            <w:noWrap/>
            <w:vAlign w:val="center"/>
          </w:tcPr>
          <w:p w14:paraId="4BEA2C6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0.028</w:t>
            </w:r>
          </w:p>
        </w:tc>
        <w:tc>
          <w:tcPr>
            <w:tcW w:w="1080" w:type="dxa"/>
            <w:tcBorders>
              <w:top w:val="nil"/>
              <w:left w:val="nil"/>
              <w:bottom w:val="single" w:color="000000" w:sz="8" w:space="0"/>
              <w:right w:val="single" w:color="000000" w:sz="8" w:space="0"/>
            </w:tcBorders>
            <w:noWrap/>
            <w:vAlign w:val="center"/>
          </w:tcPr>
          <w:p w14:paraId="71B5CE91">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66C2938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0.7</w:t>
            </w:r>
            <w:r>
              <w:rPr>
                <w:rFonts w:hint="eastAsia"/>
                <w:color w:val="000000" w:themeColor="text1"/>
                <w:sz w:val="22"/>
                <w:szCs w:val="22"/>
                <w14:textFill>
                  <w14:solidFill>
                    <w14:schemeClr w14:val="tx1"/>
                  </w14:solidFill>
                </w14:textFill>
              </w:rPr>
              <w:t>44</w:t>
            </w:r>
          </w:p>
        </w:tc>
        <w:tc>
          <w:tcPr>
            <w:tcW w:w="1080" w:type="dxa"/>
            <w:tcBorders>
              <w:top w:val="nil"/>
              <w:left w:val="nil"/>
              <w:bottom w:val="single" w:color="000000" w:sz="8" w:space="0"/>
              <w:right w:val="single" w:color="000000" w:sz="8" w:space="0"/>
            </w:tcBorders>
            <w:noWrap/>
            <w:vAlign w:val="center"/>
          </w:tcPr>
          <w:p w14:paraId="51A17508">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+0.028</w:t>
            </w:r>
          </w:p>
        </w:tc>
      </w:tr>
      <w:tr w14:paraId="11B1A5BA">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1E98A2E0">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60AD2FB5">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氨氮</w:t>
            </w:r>
          </w:p>
        </w:tc>
        <w:tc>
          <w:tcPr>
            <w:tcW w:w="856" w:type="dxa"/>
            <w:tcBorders>
              <w:top w:val="nil"/>
              <w:left w:val="nil"/>
              <w:bottom w:val="single" w:color="000000" w:sz="8" w:space="0"/>
              <w:right w:val="single" w:color="000000" w:sz="8" w:space="0"/>
            </w:tcBorders>
            <w:vAlign w:val="center"/>
          </w:tcPr>
          <w:p w14:paraId="6F0C25C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4011C97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1.112 </w:t>
            </w:r>
          </w:p>
        </w:tc>
        <w:tc>
          <w:tcPr>
            <w:tcW w:w="1353" w:type="dxa"/>
            <w:tcBorders>
              <w:top w:val="nil"/>
              <w:left w:val="nil"/>
              <w:bottom w:val="single" w:color="000000" w:sz="8" w:space="0"/>
              <w:right w:val="single" w:color="000000" w:sz="8" w:space="0"/>
            </w:tcBorders>
            <w:noWrap/>
            <w:vAlign w:val="center"/>
          </w:tcPr>
          <w:p w14:paraId="0569A3A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0.009</w:t>
            </w:r>
          </w:p>
        </w:tc>
        <w:tc>
          <w:tcPr>
            <w:tcW w:w="1080" w:type="dxa"/>
            <w:tcBorders>
              <w:top w:val="nil"/>
              <w:left w:val="nil"/>
              <w:bottom w:val="single" w:color="000000" w:sz="8" w:space="0"/>
              <w:right w:val="single" w:color="000000" w:sz="8" w:space="0"/>
            </w:tcBorders>
            <w:noWrap/>
            <w:vAlign w:val="center"/>
          </w:tcPr>
          <w:p w14:paraId="40B73E71">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50E33E8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1.12</w:t>
            </w:r>
            <w:r>
              <w:rPr>
                <w:rFonts w:hint="eastAsia"/>
                <w:color w:val="000000" w:themeColor="text1"/>
                <w:sz w:val="22"/>
                <w:szCs w:val="22"/>
                <w14:textFill>
                  <w14:solidFill>
                    <w14:schemeClr w14:val="tx1"/>
                  </w14:solidFill>
                </w14:textFill>
              </w:rPr>
              <w:t>1</w:t>
            </w:r>
          </w:p>
        </w:tc>
        <w:tc>
          <w:tcPr>
            <w:tcW w:w="1080" w:type="dxa"/>
            <w:tcBorders>
              <w:top w:val="nil"/>
              <w:left w:val="nil"/>
              <w:bottom w:val="single" w:color="000000" w:sz="8" w:space="0"/>
              <w:right w:val="single" w:color="000000" w:sz="8" w:space="0"/>
            </w:tcBorders>
            <w:noWrap/>
            <w:vAlign w:val="center"/>
          </w:tcPr>
          <w:p w14:paraId="38E3AEB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+0.009</w:t>
            </w:r>
          </w:p>
        </w:tc>
      </w:tr>
      <w:tr w14:paraId="781C2736">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672F99D9">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282E0C66">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动植物油</w:t>
            </w:r>
          </w:p>
        </w:tc>
        <w:tc>
          <w:tcPr>
            <w:tcW w:w="856" w:type="dxa"/>
            <w:tcBorders>
              <w:top w:val="nil"/>
              <w:left w:val="nil"/>
              <w:bottom w:val="single" w:color="000000" w:sz="8" w:space="0"/>
              <w:right w:val="single" w:color="000000" w:sz="8" w:space="0"/>
            </w:tcBorders>
            <w:vAlign w:val="center"/>
          </w:tcPr>
          <w:p w14:paraId="099E747B">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1EE75AD8">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 xml:space="preserve">0.140 </w:t>
            </w:r>
          </w:p>
        </w:tc>
        <w:tc>
          <w:tcPr>
            <w:tcW w:w="1353" w:type="dxa"/>
            <w:tcBorders>
              <w:top w:val="nil"/>
              <w:left w:val="nil"/>
              <w:bottom w:val="single" w:color="000000" w:sz="8" w:space="0"/>
              <w:right w:val="single" w:color="000000" w:sz="8" w:space="0"/>
            </w:tcBorders>
            <w:noWrap/>
            <w:vAlign w:val="center"/>
          </w:tcPr>
          <w:p w14:paraId="2C94C0E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0.009</w:t>
            </w:r>
          </w:p>
        </w:tc>
        <w:tc>
          <w:tcPr>
            <w:tcW w:w="1080" w:type="dxa"/>
            <w:tcBorders>
              <w:top w:val="nil"/>
              <w:left w:val="nil"/>
              <w:bottom w:val="single" w:color="000000" w:sz="8" w:space="0"/>
              <w:right w:val="single" w:color="000000" w:sz="8" w:space="0"/>
            </w:tcBorders>
            <w:noWrap/>
            <w:vAlign w:val="center"/>
          </w:tcPr>
          <w:p w14:paraId="61B811E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6D931A5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0.149</w:t>
            </w:r>
          </w:p>
        </w:tc>
        <w:tc>
          <w:tcPr>
            <w:tcW w:w="1080" w:type="dxa"/>
            <w:tcBorders>
              <w:top w:val="nil"/>
              <w:left w:val="nil"/>
              <w:bottom w:val="single" w:color="000000" w:sz="8" w:space="0"/>
              <w:right w:val="single" w:color="000000" w:sz="8" w:space="0"/>
            </w:tcBorders>
            <w:noWrap/>
            <w:vAlign w:val="center"/>
          </w:tcPr>
          <w:p w14:paraId="3F674703">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+0.009</w:t>
            </w:r>
          </w:p>
        </w:tc>
      </w:tr>
      <w:tr w14:paraId="1E233EBF">
        <w:tblPrEx>
          <w:tblCellMar>
            <w:top w:w="0" w:type="dxa"/>
            <w:left w:w="108" w:type="dxa"/>
            <w:bottom w:w="0" w:type="dxa"/>
            <w:right w:w="108" w:type="dxa"/>
          </w:tblCellMar>
        </w:tblPrEx>
        <w:trPr>
          <w:trHeight w:val="315" w:hRule="atLeast"/>
          <w:jc w:val="center"/>
        </w:trPr>
        <w:tc>
          <w:tcPr>
            <w:tcW w:w="876" w:type="dxa"/>
            <w:vMerge w:val="restart"/>
            <w:tcBorders>
              <w:top w:val="nil"/>
              <w:left w:val="single" w:color="000000" w:sz="8" w:space="0"/>
              <w:bottom w:val="single" w:color="000000" w:sz="8" w:space="0"/>
              <w:right w:val="single" w:color="000000" w:sz="8" w:space="0"/>
            </w:tcBorders>
            <w:vAlign w:val="center"/>
          </w:tcPr>
          <w:p w14:paraId="6B193CBF">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固废（产生量）</w:t>
            </w:r>
          </w:p>
        </w:tc>
        <w:tc>
          <w:tcPr>
            <w:tcW w:w="887" w:type="dxa"/>
            <w:tcBorders>
              <w:top w:val="nil"/>
              <w:left w:val="nil"/>
              <w:bottom w:val="single" w:color="000000" w:sz="8" w:space="0"/>
              <w:right w:val="single" w:color="000000" w:sz="8" w:space="0"/>
            </w:tcBorders>
            <w:vAlign w:val="center"/>
          </w:tcPr>
          <w:p w14:paraId="423C6E96">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危险废物</w:t>
            </w:r>
          </w:p>
        </w:tc>
        <w:tc>
          <w:tcPr>
            <w:tcW w:w="856" w:type="dxa"/>
            <w:tcBorders>
              <w:top w:val="nil"/>
              <w:left w:val="nil"/>
              <w:bottom w:val="single" w:color="000000" w:sz="8" w:space="0"/>
              <w:right w:val="single" w:color="000000" w:sz="8" w:space="0"/>
            </w:tcBorders>
            <w:vAlign w:val="center"/>
          </w:tcPr>
          <w:p w14:paraId="236B4C6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665FECE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763.015</w:t>
            </w:r>
          </w:p>
        </w:tc>
        <w:tc>
          <w:tcPr>
            <w:tcW w:w="1353" w:type="dxa"/>
            <w:tcBorders>
              <w:top w:val="nil"/>
              <w:left w:val="nil"/>
              <w:bottom w:val="single" w:color="000000" w:sz="8" w:space="0"/>
              <w:right w:val="single" w:color="000000" w:sz="8" w:space="0"/>
            </w:tcBorders>
            <w:noWrap/>
            <w:vAlign w:val="center"/>
          </w:tcPr>
          <w:p w14:paraId="09113F8E">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3.80</w:t>
            </w:r>
          </w:p>
        </w:tc>
        <w:tc>
          <w:tcPr>
            <w:tcW w:w="1080" w:type="dxa"/>
            <w:tcBorders>
              <w:top w:val="nil"/>
              <w:left w:val="nil"/>
              <w:bottom w:val="single" w:color="000000" w:sz="8" w:space="0"/>
              <w:right w:val="single" w:color="000000" w:sz="8" w:space="0"/>
            </w:tcBorders>
            <w:noWrap/>
            <w:vAlign w:val="center"/>
          </w:tcPr>
          <w:p w14:paraId="75BFDCE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5C8BBF6C">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766.815</w:t>
            </w:r>
          </w:p>
        </w:tc>
        <w:tc>
          <w:tcPr>
            <w:tcW w:w="1080" w:type="dxa"/>
            <w:tcBorders>
              <w:top w:val="nil"/>
              <w:left w:val="nil"/>
              <w:bottom w:val="single" w:color="000000" w:sz="8" w:space="0"/>
              <w:right w:val="single" w:color="000000" w:sz="8" w:space="0"/>
            </w:tcBorders>
            <w:noWrap/>
            <w:vAlign w:val="center"/>
          </w:tcPr>
          <w:p w14:paraId="783B8326">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+3.80</w:t>
            </w:r>
          </w:p>
        </w:tc>
      </w:tr>
      <w:tr w14:paraId="2F619495">
        <w:tblPrEx>
          <w:tblCellMar>
            <w:top w:w="0" w:type="dxa"/>
            <w:left w:w="108" w:type="dxa"/>
            <w:bottom w:w="0" w:type="dxa"/>
            <w:right w:w="108" w:type="dxa"/>
          </w:tblCellMar>
        </w:tblPrEx>
        <w:trPr>
          <w:trHeight w:val="55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492AD544">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0B446E2B">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一般工业固体废物</w:t>
            </w:r>
          </w:p>
        </w:tc>
        <w:tc>
          <w:tcPr>
            <w:tcW w:w="856" w:type="dxa"/>
            <w:tcBorders>
              <w:top w:val="nil"/>
              <w:left w:val="nil"/>
              <w:bottom w:val="single" w:color="000000" w:sz="8" w:space="0"/>
              <w:right w:val="single" w:color="000000" w:sz="8" w:space="0"/>
            </w:tcBorders>
            <w:vAlign w:val="center"/>
          </w:tcPr>
          <w:p w14:paraId="5B4320A4">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3948162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79.908</w:t>
            </w:r>
          </w:p>
        </w:tc>
        <w:tc>
          <w:tcPr>
            <w:tcW w:w="1353" w:type="dxa"/>
            <w:tcBorders>
              <w:top w:val="nil"/>
              <w:left w:val="nil"/>
              <w:bottom w:val="single" w:color="000000" w:sz="8" w:space="0"/>
              <w:right w:val="single" w:color="000000" w:sz="8" w:space="0"/>
            </w:tcBorders>
            <w:noWrap/>
            <w:vAlign w:val="center"/>
          </w:tcPr>
          <w:p w14:paraId="1D87E46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8.62</w:t>
            </w:r>
          </w:p>
        </w:tc>
        <w:tc>
          <w:tcPr>
            <w:tcW w:w="1080" w:type="dxa"/>
            <w:tcBorders>
              <w:top w:val="nil"/>
              <w:left w:val="nil"/>
              <w:bottom w:val="single" w:color="000000" w:sz="8" w:space="0"/>
              <w:right w:val="single" w:color="000000" w:sz="8" w:space="0"/>
            </w:tcBorders>
            <w:noWrap/>
            <w:vAlign w:val="center"/>
          </w:tcPr>
          <w:p w14:paraId="01527A19">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5422BE6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88.528</w:t>
            </w:r>
          </w:p>
        </w:tc>
        <w:tc>
          <w:tcPr>
            <w:tcW w:w="1080" w:type="dxa"/>
            <w:tcBorders>
              <w:top w:val="nil"/>
              <w:left w:val="nil"/>
              <w:bottom w:val="single" w:color="000000" w:sz="8" w:space="0"/>
              <w:right w:val="single" w:color="000000" w:sz="8" w:space="0"/>
            </w:tcBorders>
            <w:noWrap/>
            <w:vAlign w:val="center"/>
          </w:tcPr>
          <w:p w14:paraId="53EFBE3A">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+8.62</w:t>
            </w:r>
          </w:p>
        </w:tc>
      </w:tr>
      <w:tr w14:paraId="65A191BD">
        <w:tblPrEx>
          <w:tblCellMar>
            <w:top w:w="0" w:type="dxa"/>
            <w:left w:w="108" w:type="dxa"/>
            <w:bottom w:w="0" w:type="dxa"/>
            <w:right w:w="108" w:type="dxa"/>
          </w:tblCellMar>
        </w:tblPrEx>
        <w:trPr>
          <w:trHeight w:val="315" w:hRule="atLeast"/>
          <w:jc w:val="center"/>
        </w:trPr>
        <w:tc>
          <w:tcPr>
            <w:tcW w:w="876" w:type="dxa"/>
            <w:vMerge w:val="continue"/>
            <w:tcBorders>
              <w:top w:val="nil"/>
              <w:left w:val="single" w:color="000000" w:sz="8" w:space="0"/>
              <w:bottom w:val="single" w:color="000000" w:sz="8" w:space="0"/>
              <w:right w:val="single" w:color="000000" w:sz="8" w:space="0"/>
            </w:tcBorders>
            <w:vAlign w:val="center"/>
          </w:tcPr>
          <w:p w14:paraId="4D8DE5FB">
            <w:pPr>
              <w:widowControl/>
              <w:adjustRightInd/>
              <w:snapToGrid/>
              <w:spacing w:line="240" w:lineRule="auto"/>
              <w:ind w:firstLine="0" w:firstLineChars="0"/>
              <w:jc w:val="left"/>
              <w:rPr>
                <w:rFonts w:hint="eastAsia" w:ascii="宋体" w:hAnsi="宋体" w:cs="宋体"/>
                <w:snapToGrid/>
                <w:color w:val="000000" w:themeColor="text1"/>
                <w:sz w:val="22"/>
                <w:szCs w:val="22"/>
                <w14:textFill>
                  <w14:solidFill>
                    <w14:schemeClr w14:val="tx1"/>
                  </w14:solidFill>
                </w14:textFill>
              </w:rPr>
            </w:pPr>
          </w:p>
        </w:tc>
        <w:tc>
          <w:tcPr>
            <w:tcW w:w="887" w:type="dxa"/>
            <w:tcBorders>
              <w:top w:val="nil"/>
              <w:left w:val="nil"/>
              <w:bottom w:val="single" w:color="000000" w:sz="8" w:space="0"/>
              <w:right w:val="single" w:color="000000" w:sz="8" w:space="0"/>
            </w:tcBorders>
            <w:vAlign w:val="center"/>
          </w:tcPr>
          <w:p w14:paraId="57BC9D75">
            <w:pPr>
              <w:widowControl/>
              <w:adjustRightInd/>
              <w:snapToGrid/>
              <w:spacing w:line="240" w:lineRule="auto"/>
              <w:ind w:firstLine="0" w:firstLineChars="0"/>
              <w:jc w:val="center"/>
              <w:rPr>
                <w:rFonts w:hint="eastAsia" w:ascii="宋体" w:hAnsi="宋体" w:cs="宋体"/>
                <w:snapToGrid/>
                <w:color w:val="000000" w:themeColor="text1"/>
                <w:sz w:val="22"/>
                <w:szCs w:val="22"/>
                <w14:textFill>
                  <w14:solidFill>
                    <w14:schemeClr w14:val="tx1"/>
                  </w14:solidFill>
                </w14:textFill>
              </w:rPr>
            </w:pPr>
            <w:r>
              <w:rPr>
                <w:rFonts w:ascii="宋体" w:hAnsi="宋体" w:cs="宋体"/>
                <w:snapToGrid/>
                <w:color w:val="000000" w:themeColor="text1"/>
                <w:sz w:val="22"/>
                <w:szCs w:val="22"/>
                <w14:textFill>
                  <w14:solidFill>
                    <w14:schemeClr w14:val="tx1"/>
                  </w14:solidFill>
                </w14:textFill>
              </w:rPr>
              <w:t>生活垃圾</w:t>
            </w:r>
          </w:p>
        </w:tc>
        <w:tc>
          <w:tcPr>
            <w:tcW w:w="856" w:type="dxa"/>
            <w:tcBorders>
              <w:top w:val="nil"/>
              <w:left w:val="nil"/>
              <w:bottom w:val="single" w:color="000000" w:sz="8" w:space="0"/>
              <w:right w:val="single" w:color="000000" w:sz="8" w:space="0"/>
            </w:tcBorders>
            <w:vAlign w:val="center"/>
          </w:tcPr>
          <w:p w14:paraId="79F17215">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t/a</w:t>
            </w:r>
          </w:p>
        </w:tc>
        <w:tc>
          <w:tcPr>
            <w:tcW w:w="1080" w:type="dxa"/>
            <w:tcBorders>
              <w:top w:val="nil"/>
              <w:left w:val="nil"/>
              <w:bottom w:val="single" w:color="000000" w:sz="8" w:space="0"/>
              <w:right w:val="single" w:color="000000" w:sz="8" w:space="0"/>
            </w:tcBorders>
            <w:noWrap/>
            <w:vAlign w:val="center"/>
          </w:tcPr>
          <w:p w14:paraId="3EB2950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675.6</w:t>
            </w:r>
          </w:p>
        </w:tc>
        <w:tc>
          <w:tcPr>
            <w:tcW w:w="1353" w:type="dxa"/>
            <w:tcBorders>
              <w:top w:val="nil"/>
              <w:left w:val="nil"/>
              <w:bottom w:val="single" w:color="000000" w:sz="8" w:space="0"/>
              <w:right w:val="single" w:color="000000" w:sz="8" w:space="0"/>
            </w:tcBorders>
            <w:noWrap/>
            <w:vAlign w:val="center"/>
          </w:tcPr>
          <w:p w14:paraId="640B0720">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2.25</w:t>
            </w:r>
          </w:p>
        </w:tc>
        <w:tc>
          <w:tcPr>
            <w:tcW w:w="1080" w:type="dxa"/>
            <w:tcBorders>
              <w:top w:val="nil"/>
              <w:left w:val="nil"/>
              <w:bottom w:val="single" w:color="000000" w:sz="8" w:space="0"/>
              <w:right w:val="single" w:color="000000" w:sz="8" w:space="0"/>
            </w:tcBorders>
            <w:noWrap/>
            <w:vAlign w:val="center"/>
          </w:tcPr>
          <w:p w14:paraId="161D4692">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snapToGrid/>
                <w:color w:val="000000" w:themeColor="text1"/>
                <w:sz w:val="22"/>
                <w:szCs w:val="22"/>
                <w14:textFill>
                  <w14:solidFill>
                    <w14:schemeClr w14:val="tx1"/>
                  </w14:solidFill>
                </w14:textFill>
              </w:rPr>
              <w:t>0</w:t>
            </w:r>
          </w:p>
        </w:tc>
        <w:tc>
          <w:tcPr>
            <w:tcW w:w="1080" w:type="dxa"/>
            <w:tcBorders>
              <w:top w:val="nil"/>
              <w:left w:val="nil"/>
              <w:bottom w:val="single" w:color="000000" w:sz="8" w:space="0"/>
              <w:right w:val="single" w:color="000000" w:sz="8" w:space="0"/>
            </w:tcBorders>
            <w:noWrap/>
            <w:vAlign w:val="center"/>
          </w:tcPr>
          <w:p w14:paraId="7C2910BF">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677.85</w:t>
            </w:r>
          </w:p>
        </w:tc>
        <w:tc>
          <w:tcPr>
            <w:tcW w:w="1080" w:type="dxa"/>
            <w:tcBorders>
              <w:top w:val="nil"/>
              <w:left w:val="nil"/>
              <w:bottom w:val="single" w:color="000000" w:sz="8" w:space="0"/>
              <w:right w:val="single" w:color="000000" w:sz="8" w:space="0"/>
            </w:tcBorders>
            <w:noWrap/>
            <w:vAlign w:val="center"/>
          </w:tcPr>
          <w:p w14:paraId="4E747B0D">
            <w:pPr>
              <w:widowControl/>
              <w:adjustRightInd/>
              <w:snapToGrid/>
              <w:spacing w:line="240" w:lineRule="auto"/>
              <w:ind w:firstLine="0" w:firstLineChars="0"/>
              <w:jc w:val="center"/>
              <w:rPr>
                <w:snapToGrid/>
                <w:color w:val="000000" w:themeColor="text1"/>
                <w:sz w:val="22"/>
                <w:szCs w:val="22"/>
                <w14:textFill>
                  <w14:solidFill>
                    <w14:schemeClr w14:val="tx1"/>
                  </w14:solidFill>
                </w14:textFill>
              </w:rPr>
            </w:pPr>
            <w:r>
              <w:rPr>
                <w:rFonts w:hint="eastAsia"/>
                <w:snapToGrid/>
                <w:color w:val="000000" w:themeColor="text1"/>
                <w:sz w:val="22"/>
                <w:szCs w:val="22"/>
                <w14:textFill>
                  <w14:solidFill>
                    <w14:schemeClr w14:val="tx1"/>
                  </w14:solidFill>
                </w14:textFill>
              </w:rPr>
              <w:t>+2.25</w:t>
            </w:r>
          </w:p>
        </w:tc>
      </w:tr>
    </w:tbl>
    <w:p w14:paraId="0260EEB5">
      <w:pPr>
        <w:pStyle w:val="4"/>
        <w:rPr>
          <w:color w:val="000000" w:themeColor="text1"/>
          <w14:textFill>
            <w14:solidFill>
              <w14:schemeClr w14:val="tx1"/>
            </w14:solidFill>
          </w14:textFill>
        </w:rPr>
      </w:pPr>
      <w:bookmarkStart w:id="179" w:name="_Toc18710"/>
      <w:r>
        <w:rPr>
          <w:color w:val="000000" w:themeColor="text1"/>
          <w14:textFill>
            <w14:solidFill>
              <w14:schemeClr w14:val="tx1"/>
            </w14:solidFill>
          </w14:textFill>
        </w:rPr>
        <w:t>非正常排放</w:t>
      </w:r>
      <w:bookmarkEnd w:id="179"/>
    </w:p>
    <w:p w14:paraId="5BB25092">
      <w:pPr>
        <w:ind w:firstLine="520"/>
        <w:rPr>
          <w:color w:val="000000" w:themeColor="text1"/>
          <w14:textFill>
            <w14:solidFill>
              <w14:schemeClr w14:val="tx1"/>
            </w14:solidFill>
          </w14:textFill>
        </w:rPr>
      </w:pPr>
      <w:r>
        <w:rPr>
          <w:color w:val="000000" w:themeColor="text1"/>
          <w14:textFill>
            <w14:solidFill>
              <w14:schemeClr w14:val="tx1"/>
            </w14:solidFill>
          </w14:textFill>
        </w:rPr>
        <w:t>从环境保护的角度，非正常工况主要是指环境污染物的非正常排放。对拟建工程而言，主要包括大气污染物和水污染物的非正常排放。</w:t>
      </w:r>
    </w:p>
    <w:p w14:paraId="62C9E16F">
      <w:pPr>
        <w:ind w:firstLine="520"/>
        <w:rPr>
          <w:color w:val="000000" w:themeColor="text1"/>
          <w14:textFill>
            <w14:solidFill>
              <w14:schemeClr w14:val="tx1"/>
            </w14:solidFill>
          </w14:textFill>
        </w:rPr>
      </w:pPr>
      <w:r>
        <w:rPr>
          <w:color w:val="000000" w:themeColor="text1"/>
          <w14:textFill>
            <w14:solidFill>
              <w14:schemeClr w14:val="tx1"/>
            </w14:solidFill>
          </w14:textFill>
        </w:rPr>
        <w:t>项目废水污染物较简单，以含有悬浮物的酸碱废水和生活污水为主，综合废水经处理达到《电子工业水污染物排放标准》（GB39731-2020）间接排放限值，生活污水经处理达《电子工业水污染物排放标准》（GB39731-2020）间接排放标准（动植物油执行《污水综合排放标准》（GB8978-1996）三级标准）后接园区市政污水管网，入西彭工业园区污水处理厂深度处理后排入桥头河，属于间接排放，不会直接进入地表水体，故不考虑非正常排放废水。</w:t>
      </w:r>
    </w:p>
    <w:p w14:paraId="75DA3B7C">
      <w:pPr>
        <w:ind w:firstLine="520"/>
        <w:rPr>
          <w:color w:val="000000" w:themeColor="text1"/>
          <w14:textFill>
            <w14:solidFill>
              <w14:schemeClr w14:val="tx1"/>
            </w14:solidFill>
          </w14:textFill>
        </w:rPr>
      </w:pPr>
      <w:r>
        <w:rPr>
          <w:color w:val="000000" w:themeColor="text1"/>
          <w14:textFill>
            <w14:solidFill>
              <w14:schemeClr w14:val="tx1"/>
            </w14:solidFill>
          </w14:textFill>
        </w:rPr>
        <w:t>废气非正常排放主要有酸雾喷淋塔，含尘废气的处理设施异常。考虑该装置部分设备出现故障，处理效率为0时，出现废气非正常排放，见下表。</w:t>
      </w:r>
    </w:p>
    <w:p w14:paraId="5028EDEB">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非正常排放源强</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1163"/>
        <w:gridCol w:w="1018"/>
        <w:gridCol w:w="2210"/>
        <w:gridCol w:w="1143"/>
        <w:gridCol w:w="1102"/>
      </w:tblGrid>
      <w:tr w14:paraId="1072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9" w:type="pct"/>
            <w:vAlign w:val="center"/>
          </w:tcPr>
          <w:p w14:paraId="4D3C4389">
            <w:pPr>
              <w:pStyle w:val="1535"/>
            </w:pPr>
            <w:r>
              <w:t>污染源</w:t>
            </w:r>
          </w:p>
        </w:tc>
        <w:tc>
          <w:tcPr>
            <w:tcW w:w="682" w:type="pct"/>
            <w:vAlign w:val="center"/>
          </w:tcPr>
          <w:p w14:paraId="1BF7BF94">
            <w:pPr>
              <w:pStyle w:val="1535"/>
            </w:pPr>
            <w:r>
              <w:t>废气量</w:t>
            </w:r>
            <w:r>
              <w:rPr>
                <w:rFonts w:hint="eastAsia"/>
              </w:rPr>
              <w:t>m</w:t>
            </w:r>
            <w:r>
              <w:rPr>
                <w:rFonts w:hint="eastAsia"/>
                <w:vertAlign w:val="superscript"/>
              </w:rPr>
              <w:t>3</w:t>
            </w:r>
            <w:r>
              <w:t>/h</w:t>
            </w:r>
          </w:p>
        </w:tc>
        <w:tc>
          <w:tcPr>
            <w:tcW w:w="597" w:type="pct"/>
            <w:vAlign w:val="center"/>
          </w:tcPr>
          <w:p w14:paraId="0A7D5E52">
            <w:pPr>
              <w:pStyle w:val="1535"/>
            </w:pPr>
            <w:r>
              <w:t>排气筒高度m</w:t>
            </w:r>
          </w:p>
        </w:tc>
        <w:tc>
          <w:tcPr>
            <w:tcW w:w="1296" w:type="pct"/>
            <w:vAlign w:val="center"/>
          </w:tcPr>
          <w:p w14:paraId="06982332">
            <w:pPr>
              <w:pStyle w:val="1535"/>
            </w:pPr>
            <w:r>
              <w:t>污染物</w:t>
            </w:r>
          </w:p>
        </w:tc>
        <w:tc>
          <w:tcPr>
            <w:tcW w:w="670" w:type="pct"/>
            <w:vAlign w:val="center"/>
          </w:tcPr>
          <w:p w14:paraId="158AD982">
            <w:pPr>
              <w:pStyle w:val="1535"/>
            </w:pPr>
            <w:r>
              <w:t>排放浓度mg/</w:t>
            </w:r>
            <w:r>
              <w:rPr>
                <w:rFonts w:hint="eastAsia"/>
              </w:rPr>
              <w:t xml:space="preserve"> m</w:t>
            </w:r>
            <w:r>
              <w:rPr>
                <w:rFonts w:hint="eastAsia"/>
                <w:vertAlign w:val="superscript"/>
              </w:rPr>
              <w:t>3</w:t>
            </w:r>
          </w:p>
        </w:tc>
        <w:tc>
          <w:tcPr>
            <w:tcW w:w="647" w:type="pct"/>
            <w:vAlign w:val="center"/>
          </w:tcPr>
          <w:p w14:paraId="0AC70761">
            <w:pPr>
              <w:pStyle w:val="1535"/>
            </w:pPr>
            <w:r>
              <w:t>排放</w:t>
            </w:r>
            <w:r>
              <w:rPr>
                <w:rFonts w:hint="eastAsia"/>
              </w:rPr>
              <w:t>量t/a</w:t>
            </w:r>
          </w:p>
        </w:tc>
      </w:tr>
      <w:tr w14:paraId="4DF6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9" w:type="pct"/>
            <w:vAlign w:val="center"/>
          </w:tcPr>
          <w:p w14:paraId="1C989DD9">
            <w:pPr>
              <w:pStyle w:val="1535"/>
            </w:pPr>
            <w:r>
              <w:rPr>
                <w:rFonts w:hint="eastAsia"/>
              </w:rPr>
              <w:t>石墨生产线废气</w:t>
            </w:r>
          </w:p>
        </w:tc>
        <w:tc>
          <w:tcPr>
            <w:tcW w:w="682" w:type="pct"/>
            <w:vAlign w:val="center"/>
          </w:tcPr>
          <w:p w14:paraId="25EC480E">
            <w:pPr>
              <w:pStyle w:val="1535"/>
            </w:pPr>
            <w:r>
              <w:rPr>
                <w:rFonts w:hint="eastAsia"/>
              </w:rPr>
              <w:t>3000</w:t>
            </w:r>
          </w:p>
        </w:tc>
        <w:tc>
          <w:tcPr>
            <w:tcW w:w="597" w:type="pct"/>
            <w:vAlign w:val="center"/>
          </w:tcPr>
          <w:p w14:paraId="7494F9BB">
            <w:pPr>
              <w:pStyle w:val="1535"/>
            </w:pPr>
            <w:r>
              <w:rPr>
                <w:rFonts w:hint="eastAsia"/>
              </w:rPr>
              <w:t>15</w:t>
            </w:r>
          </w:p>
        </w:tc>
        <w:tc>
          <w:tcPr>
            <w:tcW w:w="1296" w:type="pct"/>
            <w:vAlign w:val="center"/>
          </w:tcPr>
          <w:p w14:paraId="123D6110">
            <w:pPr>
              <w:pStyle w:val="1535"/>
            </w:pPr>
            <w:r>
              <w:rPr>
                <w:rFonts w:hint="eastAsia"/>
              </w:rPr>
              <w:t>碳黑尘</w:t>
            </w:r>
          </w:p>
        </w:tc>
        <w:tc>
          <w:tcPr>
            <w:tcW w:w="670" w:type="pct"/>
            <w:vAlign w:val="center"/>
          </w:tcPr>
          <w:p w14:paraId="57C16C77">
            <w:pPr>
              <w:pStyle w:val="1535"/>
            </w:pPr>
            <w:r>
              <w:rPr>
                <w:rFonts w:hint="eastAsia"/>
              </w:rPr>
              <w:t>1.10</w:t>
            </w:r>
          </w:p>
        </w:tc>
        <w:tc>
          <w:tcPr>
            <w:tcW w:w="647" w:type="pct"/>
            <w:vAlign w:val="center"/>
          </w:tcPr>
          <w:p w14:paraId="326B0046">
            <w:pPr>
              <w:pStyle w:val="1535"/>
            </w:pPr>
            <w:r>
              <w:rPr>
                <w:rFonts w:hint="eastAsia"/>
              </w:rPr>
              <w:t>0.015</w:t>
            </w:r>
          </w:p>
        </w:tc>
      </w:tr>
      <w:tr w14:paraId="3637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9" w:type="pct"/>
            <w:vMerge w:val="restart"/>
            <w:vAlign w:val="center"/>
          </w:tcPr>
          <w:p w14:paraId="7F987710">
            <w:pPr>
              <w:pStyle w:val="1535"/>
            </w:pPr>
            <w:r>
              <w:rPr>
                <w:rFonts w:hint="eastAsia"/>
                <w:snapToGrid/>
              </w:rPr>
              <w:t>石墨纯化废气+</w:t>
            </w:r>
            <w:r>
              <w:rPr>
                <w:snapToGrid/>
              </w:rPr>
              <w:t>碳化硅涂层废气</w:t>
            </w:r>
          </w:p>
        </w:tc>
        <w:tc>
          <w:tcPr>
            <w:tcW w:w="682" w:type="pct"/>
            <w:vMerge w:val="restart"/>
            <w:vAlign w:val="center"/>
          </w:tcPr>
          <w:p w14:paraId="171C8C56">
            <w:pPr>
              <w:pStyle w:val="1535"/>
            </w:pPr>
            <w:r>
              <w:rPr>
                <w:rFonts w:hint="eastAsia"/>
              </w:rPr>
              <w:t>20000</w:t>
            </w:r>
          </w:p>
        </w:tc>
        <w:tc>
          <w:tcPr>
            <w:tcW w:w="597" w:type="pct"/>
            <w:vMerge w:val="restart"/>
            <w:vAlign w:val="center"/>
          </w:tcPr>
          <w:p w14:paraId="3D408BE5">
            <w:pPr>
              <w:pStyle w:val="1535"/>
            </w:pPr>
            <w:r>
              <w:rPr>
                <w:rFonts w:hint="eastAsia"/>
              </w:rPr>
              <w:t>25</w:t>
            </w:r>
          </w:p>
        </w:tc>
        <w:tc>
          <w:tcPr>
            <w:tcW w:w="1296" w:type="pct"/>
            <w:vAlign w:val="center"/>
          </w:tcPr>
          <w:p w14:paraId="7043A30F">
            <w:pPr>
              <w:pStyle w:val="1535"/>
            </w:pPr>
            <w:r>
              <w:rPr>
                <w:rFonts w:hint="eastAsia"/>
                <w:snapToGrid/>
              </w:rPr>
              <w:t>碳黑尘</w:t>
            </w:r>
          </w:p>
        </w:tc>
        <w:tc>
          <w:tcPr>
            <w:tcW w:w="670" w:type="pct"/>
            <w:vAlign w:val="center"/>
          </w:tcPr>
          <w:p w14:paraId="6DD3729A">
            <w:pPr>
              <w:pStyle w:val="1535"/>
            </w:pPr>
            <w:r>
              <w:rPr>
                <w:rFonts w:hint="eastAsia"/>
                <w:snapToGrid/>
              </w:rPr>
              <w:t>0.64</w:t>
            </w:r>
          </w:p>
        </w:tc>
        <w:tc>
          <w:tcPr>
            <w:tcW w:w="647" w:type="pct"/>
            <w:vAlign w:val="center"/>
          </w:tcPr>
          <w:p w14:paraId="63E07D65">
            <w:pPr>
              <w:pStyle w:val="1535"/>
            </w:pPr>
            <w:r>
              <w:rPr>
                <w:snapToGrid/>
              </w:rPr>
              <w:t>0.0</w:t>
            </w:r>
            <w:r>
              <w:rPr>
                <w:rFonts w:hint="eastAsia"/>
                <w:snapToGrid/>
              </w:rPr>
              <w:t>62</w:t>
            </w:r>
          </w:p>
        </w:tc>
      </w:tr>
      <w:tr w14:paraId="754E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9" w:type="pct"/>
            <w:vMerge w:val="continue"/>
            <w:vAlign w:val="center"/>
          </w:tcPr>
          <w:p w14:paraId="0BD663AD">
            <w:pPr>
              <w:pStyle w:val="1535"/>
              <w:rPr>
                <w:snapToGrid/>
              </w:rPr>
            </w:pPr>
          </w:p>
        </w:tc>
        <w:tc>
          <w:tcPr>
            <w:tcW w:w="682" w:type="pct"/>
            <w:vMerge w:val="continue"/>
            <w:vAlign w:val="center"/>
          </w:tcPr>
          <w:p w14:paraId="3ABAAA35">
            <w:pPr>
              <w:pStyle w:val="1535"/>
            </w:pPr>
          </w:p>
        </w:tc>
        <w:tc>
          <w:tcPr>
            <w:tcW w:w="597" w:type="pct"/>
            <w:vMerge w:val="continue"/>
            <w:vAlign w:val="center"/>
          </w:tcPr>
          <w:p w14:paraId="26207C3C">
            <w:pPr>
              <w:pStyle w:val="1535"/>
            </w:pPr>
          </w:p>
        </w:tc>
        <w:tc>
          <w:tcPr>
            <w:tcW w:w="1296" w:type="pct"/>
            <w:vAlign w:val="center"/>
          </w:tcPr>
          <w:p w14:paraId="474AE07D">
            <w:pPr>
              <w:pStyle w:val="1535"/>
              <w:rPr>
                <w:snapToGrid/>
              </w:rPr>
            </w:pPr>
            <w:r>
              <w:rPr>
                <w:snapToGrid/>
              </w:rPr>
              <w:t>氯化氢</w:t>
            </w:r>
          </w:p>
        </w:tc>
        <w:tc>
          <w:tcPr>
            <w:tcW w:w="670" w:type="pct"/>
            <w:vAlign w:val="center"/>
          </w:tcPr>
          <w:p w14:paraId="1E92FB52">
            <w:pPr>
              <w:pStyle w:val="1535"/>
              <w:rPr>
                <w:snapToGrid/>
              </w:rPr>
            </w:pPr>
            <w:r>
              <w:rPr>
                <w:rFonts w:hint="eastAsia"/>
                <w:snapToGrid/>
              </w:rPr>
              <w:t>12.22</w:t>
            </w:r>
          </w:p>
        </w:tc>
        <w:tc>
          <w:tcPr>
            <w:tcW w:w="647" w:type="pct"/>
            <w:vAlign w:val="center"/>
          </w:tcPr>
          <w:p w14:paraId="07C03F73">
            <w:pPr>
              <w:pStyle w:val="1535"/>
              <w:rPr>
                <w:snapToGrid/>
              </w:rPr>
            </w:pPr>
            <w:r>
              <w:rPr>
                <w:rFonts w:hint="eastAsia"/>
                <w:snapToGrid/>
              </w:rPr>
              <w:t>1.76</w:t>
            </w:r>
          </w:p>
        </w:tc>
      </w:tr>
      <w:tr w14:paraId="3ED0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9" w:type="pct"/>
            <w:vMerge w:val="continue"/>
            <w:vAlign w:val="center"/>
          </w:tcPr>
          <w:p w14:paraId="6D8B6646">
            <w:pPr>
              <w:pStyle w:val="1535"/>
            </w:pPr>
          </w:p>
        </w:tc>
        <w:tc>
          <w:tcPr>
            <w:tcW w:w="682" w:type="pct"/>
            <w:vMerge w:val="continue"/>
            <w:vAlign w:val="center"/>
          </w:tcPr>
          <w:p w14:paraId="17DF6CEA">
            <w:pPr>
              <w:pStyle w:val="1535"/>
            </w:pPr>
          </w:p>
        </w:tc>
        <w:tc>
          <w:tcPr>
            <w:tcW w:w="597" w:type="pct"/>
            <w:vMerge w:val="continue"/>
            <w:vAlign w:val="center"/>
          </w:tcPr>
          <w:p w14:paraId="71620C9F">
            <w:pPr>
              <w:pStyle w:val="1535"/>
            </w:pPr>
          </w:p>
        </w:tc>
        <w:tc>
          <w:tcPr>
            <w:tcW w:w="1296" w:type="pct"/>
            <w:vAlign w:val="center"/>
          </w:tcPr>
          <w:p w14:paraId="598B11C4">
            <w:pPr>
              <w:pStyle w:val="1535"/>
            </w:pPr>
            <w:r>
              <w:rPr>
                <w:rFonts w:hint="eastAsia"/>
                <w:snapToGrid/>
              </w:rPr>
              <w:t>非甲烷总烃（未反应MTS以非甲烷总烃计）</w:t>
            </w:r>
          </w:p>
        </w:tc>
        <w:tc>
          <w:tcPr>
            <w:tcW w:w="670" w:type="pct"/>
            <w:vAlign w:val="center"/>
          </w:tcPr>
          <w:p w14:paraId="47357C85">
            <w:pPr>
              <w:pStyle w:val="1535"/>
            </w:pPr>
            <w:r>
              <w:rPr>
                <w:rFonts w:hint="eastAsia"/>
              </w:rPr>
              <w:t>16.67</w:t>
            </w:r>
          </w:p>
        </w:tc>
        <w:tc>
          <w:tcPr>
            <w:tcW w:w="647" w:type="pct"/>
            <w:vAlign w:val="center"/>
          </w:tcPr>
          <w:p w14:paraId="69F6DEDE">
            <w:pPr>
              <w:pStyle w:val="1535"/>
            </w:pPr>
            <w:r>
              <w:rPr>
                <w:rFonts w:hint="eastAsia"/>
              </w:rPr>
              <w:t>2.4</w:t>
            </w:r>
          </w:p>
        </w:tc>
      </w:tr>
    </w:tbl>
    <w:p w14:paraId="6E6FCEA4">
      <w:pPr>
        <w:spacing w:before="32"/>
        <w:ind w:firstLine="520"/>
        <w:rPr>
          <w:color w:val="000000" w:themeColor="text1"/>
          <w14:textFill>
            <w14:solidFill>
              <w14:schemeClr w14:val="tx1"/>
            </w14:solidFill>
          </w14:textFill>
        </w:rPr>
      </w:pPr>
    </w:p>
    <w:p w14:paraId="52576D60">
      <w:pPr>
        <w:spacing w:before="32"/>
        <w:ind w:firstLine="520"/>
        <w:rPr>
          <w:color w:val="000000" w:themeColor="text1"/>
          <w14:textFill>
            <w14:solidFill>
              <w14:schemeClr w14:val="tx1"/>
            </w14:solidFill>
          </w14:textFill>
        </w:rPr>
      </w:pPr>
    </w:p>
    <w:p w14:paraId="7F0BE931">
      <w:pPr>
        <w:spacing w:before="32"/>
        <w:ind w:firstLine="520"/>
        <w:rPr>
          <w:color w:val="000000" w:themeColor="text1"/>
          <w14:textFill>
            <w14:solidFill>
              <w14:schemeClr w14:val="tx1"/>
            </w14:solidFill>
          </w14:textFill>
        </w:rPr>
      </w:pPr>
    </w:p>
    <w:p w14:paraId="06FDFD88">
      <w:pPr>
        <w:spacing w:before="32"/>
        <w:ind w:firstLine="520"/>
        <w:rPr>
          <w:color w:val="000000" w:themeColor="text1"/>
          <w14:textFill>
            <w14:solidFill>
              <w14:schemeClr w14:val="tx1"/>
            </w14:solidFill>
          </w14:textFill>
        </w:rPr>
        <w:sectPr>
          <w:pgSz w:w="11906" w:h="16838"/>
          <w:pgMar w:top="1440" w:right="1797" w:bottom="1440" w:left="1797" w:header="851" w:footer="992" w:gutter="0"/>
          <w:cols w:space="720" w:num="1"/>
          <w:docGrid w:type="lines" w:linePitch="326" w:charSpace="0"/>
        </w:sectPr>
      </w:pPr>
      <w:bookmarkStart w:id="180" w:name="_Toc19233"/>
    </w:p>
    <w:p w14:paraId="58F40047">
      <w:pPr>
        <w:pStyle w:val="3"/>
        <w:spacing w:after="312"/>
        <w:rPr>
          <w:color w:val="000000" w:themeColor="text1"/>
          <w14:textFill>
            <w14:solidFill>
              <w14:schemeClr w14:val="tx1"/>
            </w14:solidFill>
          </w14:textFill>
        </w:rPr>
      </w:pPr>
      <w:bookmarkStart w:id="181" w:name="_Toc29277"/>
      <w:r>
        <w:rPr>
          <w:color w:val="000000" w:themeColor="text1"/>
          <w14:textFill>
            <w14:solidFill>
              <w14:schemeClr w14:val="tx1"/>
            </w14:solidFill>
          </w14:textFill>
        </w:rPr>
        <w:t>环境现状调查与评价</w:t>
      </w:r>
      <w:bookmarkEnd w:id="180"/>
      <w:bookmarkEnd w:id="181"/>
    </w:p>
    <w:p w14:paraId="23BB94A3">
      <w:pPr>
        <w:pStyle w:val="4"/>
        <w:rPr>
          <w:color w:val="000000" w:themeColor="text1"/>
          <w14:textFill>
            <w14:solidFill>
              <w14:schemeClr w14:val="tx1"/>
            </w14:solidFill>
          </w14:textFill>
        </w:rPr>
      </w:pPr>
      <w:bookmarkStart w:id="182" w:name="_Toc9555"/>
      <w:bookmarkStart w:id="183" w:name="_Toc54099933"/>
      <w:bookmarkStart w:id="184" w:name="_Toc55414307"/>
      <w:bookmarkStart w:id="185" w:name="_Toc11942554"/>
      <w:bookmarkStart w:id="186" w:name="_Toc55416150"/>
      <w:bookmarkStart w:id="187" w:name="_Toc55414831"/>
      <w:bookmarkStart w:id="188" w:name="_Toc55415885"/>
      <w:bookmarkStart w:id="189" w:name="_Toc55415090"/>
      <w:bookmarkStart w:id="190" w:name="_Toc9946883"/>
      <w:bookmarkStart w:id="191" w:name="_Toc6165"/>
      <w:r>
        <w:rPr>
          <w:color w:val="000000" w:themeColor="text1"/>
          <w14:textFill>
            <w14:solidFill>
              <w14:schemeClr w14:val="tx1"/>
            </w14:solidFill>
          </w14:textFill>
        </w:rPr>
        <w:t>自然环境</w:t>
      </w:r>
      <w:bookmarkEnd w:id="182"/>
      <w:bookmarkEnd w:id="183"/>
      <w:bookmarkEnd w:id="184"/>
      <w:bookmarkEnd w:id="185"/>
      <w:bookmarkEnd w:id="186"/>
      <w:bookmarkEnd w:id="187"/>
      <w:bookmarkEnd w:id="188"/>
      <w:bookmarkEnd w:id="189"/>
      <w:bookmarkEnd w:id="190"/>
      <w:bookmarkEnd w:id="191"/>
    </w:p>
    <w:p w14:paraId="6E41F9D1">
      <w:pPr>
        <w:pStyle w:val="5"/>
        <w:rPr>
          <w:color w:val="000000" w:themeColor="text1"/>
          <w14:textFill>
            <w14:solidFill>
              <w14:schemeClr w14:val="tx1"/>
            </w14:solidFill>
          </w14:textFill>
        </w:rPr>
      </w:pPr>
      <w:bookmarkStart w:id="192" w:name="_Toc534876511"/>
      <w:bookmarkStart w:id="193" w:name="_Toc487789007"/>
      <w:bookmarkStart w:id="194" w:name="_Toc11942565"/>
      <w:bookmarkStart w:id="195" w:name="_Hlk19006086"/>
      <w:r>
        <w:rPr>
          <w:color w:val="000000" w:themeColor="text1"/>
          <w14:textFill>
            <w14:solidFill>
              <w14:schemeClr w14:val="tx1"/>
            </w14:solidFill>
          </w14:textFill>
        </w:rPr>
        <w:t>地理位置</w:t>
      </w:r>
      <w:bookmarkEnd w:id="192"/>
      <w:bookmarkEnd w:id="193"/>
    </w:p>
    <w:p w14:paraId="7419C780">
      <w:pPr>
        <w:ind w:firstLine="520"/>
        <w:rPr>
          <w:color w:val="000000" w:themeColor="text1"/>
          <w14:textFill>
            <w14:solidFill>
              <w14:schemeClr w14:val="tx1"/>
            </w14:solidFill>
          </w14:textFill>
        </w:rPr>
      </w:pPr>
      <w:r>
        <w:rPr>
          <w:color w:val="000000" w:themeColor="text1"/>
          <w14:textFill>
            <w14:solidFill>
              <w14:schemeClr w14:val="tx1"/>
            </w14:solidFill>
          </w14:textFill>
        </w:rPr>
        <w:t>重庆市九龙坡区位于重庆市主城区西南部，地跨东经106°15'至106°35'，北纬29°15'至29°35'，幅员面积431.86km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，与渝中区、沙坪坝区、璧山区和江津区接壤，与南岸区、巴南区隔江相望。南北最长36.12km，东西最宽30.4km。</w:t>
      </w:r>
    </w:p>
    <w:p w14:paraId="1C076E04">
      <w:pPr>
        <w:ind w:firstLine="520"/>
        <w:rPr>
          <w:color w:val="000000" w:themeColor="text1"/>
          <w14:textFill>
            <w14:solidFill>
              <w14:schemeClr w14:val="tx1"/>
            </w14:solidFill>
          </w14:textFill>
        </w:rPr>
      </w:pPr>
      <w:r>
        <w:rPr>
          <w:color w:val="000000" w:themeColor="text1"/>
          <w14:textFill>
            <w14:solidFill>
              <w14:schemeClr w14:val="tx1"/>
            </w14:solidFill>
          </w14:textFill>
        </w:rPr>
        <w:t>西彭镇地处重庆市九龙坡区西部，距重庆市主城区35km，东面与铜罐驿镇相邻，北面与九龙坡区陶家镇、巴福镇相邻，西面与江津区接壤，南面紧靠长江，与江津区隔江相望。境内长江、成渝铁路穿境而过，重庆绕城高速（外环高速）、白彭公路、小湾立交、津马横线、西彭三环路四通八达，现有成渝铁路货运站和长江货运港、黄磏物流港区位于辖区。</w:t>
      </w:r>
    </w:p>
    <w:p w14:paraId="6414544F">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扩建项目位于重庆市九龙坡区西彭镇行政区域范围内，距现状九龙坡区中心杨家坪约30km，距重庆市中心区解放碑约40km，处于绕城高速公路围合的都市核心区半小时经济圈范围内。</w:t>
      </w:r>
    </w:p>
    <w:p w14:paraId="7AF35820">
      <w:pPr>
        <w:pStyle w:val="5"/>
        <w:rPr>
          <w:color w:val="000000" w:themeColor="text1"/>
          <w14:textFill>
            <w14:solidFill>
              <w14:schemeClr w14:val="tx1"/>
            </w14:solidFill>
          </w14:textFill>
        </w:rPr>
      </w:pPr>
      <w:bookmarkStart w:id="196" w:name="_Toc487789008"/>
      <w:bookmarkStart w:id="197" w:name="_Toc534876512"/>
      <w:r>
        <w:rPr>
          <w:color w:val="000000" w:themeColor="text1"/>
          <w14:textFill>
            <w14:solidFill>
              <w14:schemeClr w14:val="tx1"/>
            </w14:solidFill>
          </w14:textFill>
        </w:rPr>
        <w:t>地质地貌</w:t>
      </w:r>
      <w:bookmarkEnd w:id="196"/>
      <w:bookmarkEnd w:id="197"/>
    </w:p>
    <w:p w14:paraId="6488C65F">
      <w:pPr>
        <w:ind w:firstLine="520"/>
        <w:rPr>
          <w:color w:val="000000" w:themeColor="text1"/>
          <w14:textFill>
            <w14:solidFill>
              <w14:schemeClr w14:val="tx1"/>
            </w14:solidFill>
          </w14:textFill>
        </w:rPr>
      </w:pPr>
      <w:bookmarkStart w:id="198" w:name="_Toc534876513"/>
      <w:bookmarkStart w:id="199" w:name="_Toc487789009"/>
      <w:r>
        <w:rPr>
          <w:color w:val="000000" w:themeColor="text1"/>
          <w14:textFill>
            <w14:solidFill>
              <w14:schemeClr w14:val="tx1"/>
            </w14:solidFill>
          </w14:textFill>
        </w:rPr>
        <w:t>九龙坡区境内地貌为低山、丘陵及河谷相间，隶属川东南平行岭谷区。缙云山蜿蜒西部边境，中梁山脉横亘中部，将全区分成东、西两大部分。中梁山以东以浅丘为主，一般海拔250～450m，多为海拔300m以下的沿江河谷；中梁山以西地势呈西北高、东南低，一般海拔180～400m，多为浅丘平坝。南北最长36.12km，东西最宽30.4km。区内基本地形为“两山合一水”：由北向南走向的中梁山脉纵贯全区，缙云山脉掠过西部边境，长江西入东去，陆地占绝大部分，水域面积极小。海拔最高处为中梁山698.5m，海拔最低处是长江边小河口170m。丘陵约占全区土地面积的50%，以中、低丘为主，海拔高度在200～350m之间。</w:t>
      </w:r>
    </w:p>
    <w:p w14:paraId="6E2F295D">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所在区域位于川东平行岭谷与盆南缘山交接地带，以丘陵台地为主，侵蚀堆积地貌，丘陵海拔多在200～230m范围，北面较高，南面较低，总体看较为平坦。</w:t>
      </w:r>
    </w:p>
    <w:p w14:paraId="2252C27B">
      <w:pPr>
        <w:pStyle w:val="5"/>
        <w:rPr>
          <w:color w:val="000000" w:themeColor="text1"/>
          <w14:textFill>
            <w14:solidFill>
              <w14:schemeClr w14:val="tx1"/>
            </w14:solidFill>
          </w14:textFill>
        </w:rPr>
      </w:pPr>
      <w:r>
        <w:rPr>
          <w:color w:val="000000" w:themeColor="text1"/>
          <w14:textFill>
            <w14:solidFill>
              <w14:schemeClr w14:val="tx1"/>
            </w14:solidFill>
          </w14:textFill>
        </w:rPr>
        <w:t>气候气象</w:t>
      </w:r>
      <w:bookmarkEnd w:id="198"/>
      <w:bookmarkEnd w:id="199"/>
    </w:p>
    <w:p w14:paraId="5BFBBF86">
      <w:pPr>
        <w:ind w:firstLine="520"/>
        <w:rPr>
          <w:color w:val="000000" w:themeColor="text1"/>
          <w14:textFill>
            <w14:solidFill>
              <w14:schemeClr w14:val="tx1"/>
            </w14:solidFill>
          </w14:textFill>
        </w:rPr>
      </w:pPr>
      <w:bookmarkStart w:id="200" w:name="_Toc534876514"/>
      <w:bookmarkStart w:id="201" w:name="_Toc487789010"/>
      <w:r>
        <w:rPr>
          <w:color w:val="000000" w:themeColor="text1"/>
          <w14:textFill>
            <w14:solidFill>
              <w14:schemeClr w14:val="tx1"/>
            </w14:solidFill>
          </w14:textFill>
        </w:rPr>
        <w:t>九龙坡区属于四川盆地亚热带季风湿润气候区的盆地南部长江河谷区，从纬度位置看，是全球的副热带高压带，气候应干热少雨，但由于受东亚季风环境影响显著，因此具有明显的季风气候特点。其气候特征是：气候温和、雨量充沛、冬暖春早、秋短夏长、初夏多雨、盛夏炎热多伏旱、秋多阴雨、雨热同季、无霜期长、湿度大、风速小、云雾多、口照少的气候特点。</w:t>
      </w:r>
    </w:p>
    <w:p w14:paraId="63EF6586">
      <w:pPr>
        <w:ind w:firstLine="520"/>
        <w:rPr>
          <w:color w:val="000000" w:themeColor="text1"/>
          <w14:textFill>
            <w14:solidFill>
              <w14:schemeClr w14:val="tx1"/>
            </w14:solidFill>
          </w14:textFill>
        </w:rPr>
      </w:pPr>
      <w:r>
        <w:rPr>
          <w:color w:val="000000" w:themeColor="text1"/>
          <w14:textFill>
            <w14:solidFill>
              <w14:schemeClr w14:val="tx1"/>
            </w14:solidFill>
          </w14:textFill>
        </w:rPr>
        <w:t>西彭园区紧邻江津区，周围最近的气象站位于江津区气象台，同属长江重庆丘陵地区。根据江津区气象台多年的统计资料，常规气象参数如下：</w:t>
      </w:r>
    </w:p>
    <w:p w14:paraId="7216AA75">
      <w:pPr>
        <w:ind w:firstLine="520"/>
        <w:rPr>
          <w:color w:val="000000" w:themeColor="text1"/>
          <w14:textFill>
            <w14:solidFill>
              <w14:schemeClr w14:val="tx1"/>
            </w14:solidFill>
          </w14:textFill>
        </w:rPr>
      </w:pPr>
      <w:r>
        <w:rPr>
          <w:color w:val="000000" w:themeColor="text1"/>
          <w14:textFill>
            <w14:solidFill>
              <w14:schemeClr w14:val="tx1"/>
            </w14:solidFill>
          </w14:textFill>
        </w:rPr>
        <w:t>年平均气温18.93℃年平均相对湿度78.25%</w:t>
      </w:r>
    </w:p>
    <w:p w14:paraId="6A96301B">
      <w:pPr>
        <w:ind w:firstLine="520"/>
        <w:rPr>
          <w:color w:val="000000" w:themeColor="text1"/>
          <w14:textFill>
            <w14:solidFill>
              <w14:schemeClr w14:val="tx1"/>
            </w14:solidFill>
          </w14:textFill>
        </w:rPr>
      </w:pPr>
      <w:r>
        <w:rPr>
          <w:color w:val="000000" w:themeColor="text1"/>
          <w14:textFill>
            <w14:solidFill>
              <w14:schemeClr w14:val="tx1"/>
            </w14:solidFill>
          </w14:textFill>
        </w:rPr>
        <w:t>极端最高气温44.30℃主导风向及频率NE，12.59%</w:t>
      </w:r>
    </w:p>
    <w:p w14:paraId="1EC06157">
      <w:pPr>
        <w:ind w:firstLine="520"/>
        <w:rPr>
          <w:color w:val="000000" w:themeColor="text1"/>
          <w14:textFill>
            <w14:solidFill>
              <w14:schemeClr w14:val="tx1"/>
            </w14:solidFill>
          </w14:textFill>
        </w:rPr>
      </w:pPr>
      <w:r>
        <w:rPr>
          <w:color w:val="000000" w:themeColor="text1"/>
          <w14:textFill>
            <w14:solidFill>
              <w14:schemeClr w14:val="tx1"/>
            </w14:solidFill>
          </w14:textFill>
        </w:rPr>
        <w:t>极端最低气温0.20℃年均风速1.41m/s</w:t>
      </w:r>
    </w:p>
    <w:p w14:paraId="5562FECD">
      <w:pPr>
        <w:ind w:firstLine="520"/>
        <w:rPr>
          <w:color w:val="000000" w:themeColor="text1"/>
          <w14:textFill>
            <w14:solidFill>
              <w14:schemeClr w14:val="tx1"/>
            </w14:solidFill>
          </w14:textFill>
        </w:rPr>
      </w:pPr>
      <w:r>
        <w:rPr>
          <w:color w:val="000000" w:themeColor="text1"/>
          <w14:textFill>
            <w14:solidFill>
              <w14:schemeClr w14:val="tx1"/>
            </w14:solidFill>
          </w14:textFill>
        </w:rPr>
        <w:t>年均降水量1112.43mm静风频率10.68%</w:t>
      </w:r>
    </w:p>
    <w:p w14:paraId="51D5E127">
      <w:pPr>
        <w:pStyle w:val="5"/>
        <w:rPr>
          <w:color w:val="000000" w:themeColor="text1"/>
          <w14:textFill>
            <w14:solidFill>
              <w14:schemeClr w14:val="tx1"/>
            </w14:solidFill>
          </w14:textFill>
        </w:rPr>
      </w:pPr>
      <w:r>
        <w:rPr>
          <w:color w:val="000000" w:themeColor="text1"/>
          <w14:textFill>
            <w14:solidFill>
              <w14:schemeClr w14:val="tx1"/>
            </w14:solidFill>
          </w14:textFill>
        </w:rPr>
        <w:t>地表水</w:t>
      </w:r>
      <w:bookmarkEnd w:id="200"/>
    </w:p>
    <w:p w14:paraId="152B777A">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污废水通过废水处理系统处理达标后通过区域污水管排放进入西彭工业园区污水处理厂，排入桥头河后最后进入长江。桥头河发源于西彭镇流水岩水库，在西彭镇下塘坊处汇入长江，全长7.96km，流域面积14.27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，西彭工业园区工业污水处理厂、西彭镇城镇污水处理厂尾水及西南铝企业污水处理设施尾水均排入桥头河，最终汇入长江。</w:t>
      </w:r>
    </w:p>
    <w:p w14:paraId="3F9342C9">
      <w:pPr>
        <w:ind w:firstLine="520"/>
        <w:rPr>
          <w:color w:val="000000" w:themeColor="text1"/>
          <w14:textFill>
            <w14:solidFill>
              <w14:schemeClr w14:val="tx1"/>
            </w14:solidFill>
          </w14:textFill>
        </w:rPr>
      </w:pPr>
      <w:r>
        <w:rPr>
          <w:color w:val="000000" w:themeColor="text1"/>
          <w14:textFill>
            <w14:solidFill>
              <w14:schemeClr w14:val="tx1"/>
            </w14:solidFill>
          </w14:textFill>
        </w:rPr>
        <w:t>据水文站多年统计资料，长江在此地段1～3月处于枯水平稳期，从4月下旬起出现小峰并逐渐进入中高水期，7～9月多为洪水期，11月以后，呈缓慢降落状态。年最低水位常出现在2月中旬至3月下旬，历年最低枯水位156.00m，常年洪水位172.67m，最高洪水位193.03m（1981.7.16），最大流速3.5m/s。在此地段三峡建库正常蓄水位176.82m，三峡建库枯季消落低水位（设计最低水位）156.00m，三峡成库后20年一遇最高洪水位181.60m，50年一遇最高洪水位190.31m，百年一遇洪水位194.60m。</w:t>
      </w:r>
    </w:p>
    <w:bookmarkEnd w:id="201"/>
    <w:p w14:paraId="0F75ED18">
      <w:pPr>
        <w:pStyle w:val="5"/>
        <w:rPr>
          <w:color w:val="000000" w:themeColor="text1"/>
          <w14:textFill>
            <w14:solidFill>
              <w14:schemeClr w14:val="tx1"/>
            </w14:solidFill>
          </w14:textFill>
        </w:rPr>
      </w:pPr>
      <w:bookmarkStart w:id="202" w:name="_Toc534876515"/>
      <w:bookmarkStart w:id="203" w:name="_Toc487789012"/>
      <w:r>
        <w:rPr>
          <w:color w:val="000000" w:themeColor="text1"/>
          <w14:textFill>
            <w14:solidFill>
              <w14:schemeClr w14:val="tx1"/>
            </w14:solidFill>
          </w14:textFill>
        </w:rPr>
        <w:t>地下水</w:t>
      </w:r>
      <w:bookmarkEnd w:id="202"/>
    </w:p>
    <w:p w14:paraId="3A155D8D">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所在区域内主要出露基岩为侏罗系上沙溪庙组和中统遂宁组的砂岩及泥岩，以及零星、分散的第四系人工填土层、残坡积层和河流冲积层土层。依据地下水的赋存条件、水力性质，将扩建项目区域内地下水分为松散岩类孔隙水和基岩裂隙孔隙水和基岩网状风化裂隙水三个类。</w:t>
      </w:r>
    </w:p>
    <w:p w14:paraId="60B2CE07">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松散岩类孔隙水</w:t>
      </w:r>
    </w:p>
    <w:p w14:paraId="4696BA49">
      <w:pPr>
        <w:ind w:firstLine="520"/>
        <w:rPr>
          <w:color w:val="000000" w:themeColor="text1"/>
          <w14:textFill>
            <w14:solidFill>
              <w14:schemeClr w14:val="tx1"/>
            </w14:solidFill>
          </w14:textFill>
        </w:rPr>
      </w:pPr>
      <w:r>
        <w:rPr>
          <w:color w:val="000000" w:themeColor="text1"/>
          <w14:textFill>
            <w14:solidFill>
              <w14:schemeClr w14:val="tx1"/>
            </w14:solidFill>
          </w14:textFill>
        </w:rPr>
        <w:t>河流冲积层孔隙潜水：在滚子坝、糖房坝长江一级堆积阶地底部推移质粉砂、砂砾石层中富存孔隙潜水，存有统一的潜水面，并与河水互补，其上覆30余m厚悬移质黄色砂质粘土层不透水，隔断了地表水与地下水之二间的联系；高出长江江面70～80m附近丘顶的中更新统（Q</w:t>
      </w:r>
      <w:r>
        <w:rPr>
          <w:color w:val="000000" w:themeColor="text1"/>
          <w:vertAlign w:val="subscript"/>
          <w14:textFill>
            <w14:solidFill>
              <w14:schemeClr w14:val="tx1"/>
            </w14:solidFill>
          </w14:textFill>
        </w:rPr>
        <w:t>2al</w:t>
      </w:r>
      <w:r>
        <w:rPr>
          <w:color w:val="000000" w:themeColor="text1"/>
          <w14:textFill>
            <w14:solidFill>
              <w14:schemeClr w14:val="tx1"/>
            </w14:solidFill>
          </w14:textFill>
        </w:rPr>
        <w:t>）河流冲积层仅残数米砂砾石不利于地下水蓄存。</w:t>
      </w:r>
    </w:p>
    <w:p w14:paraId="1F7550E6">
      <w:pPr>
        <w:ind w:firstLine="520"/>
        <w:rPr>
          <w:color w:val="000000" w:themeColor="text1"/>
          <w14:textFill>
            <w14:solidFill>
              <w14:schemeClr w14:val="tx1"/>
            </w14:solidFill>
          </w14:textFill>
        </w:rPr>
      </w:pPr>
      <w:r>
        <w:rPr>
          <w:color w:val="000000" w:themeColor="text1"/>
          <w14:textFill>
            <w14:solidFill>
              <w14:schemeClr w14:val="tx1"/>
            </w14:solidFill>
          </w14:textFill>
        </w:rPr>
        <w:t>人工填土和残坡积孔隙水：扩建项目所在地形破碎、丘陵起伏，其赋存于第四系全新统残坡积层、人工填土层的孔隙水必然规模小，运动方向多变，分散不连续，它只是大气降雨渗入地下向基岩裂隙孔隙水和基岩网状风化裂隙水转移的一个过程，将它视为基岩网状风化裂隙水层组成部分，不单独立项论述。</w:t>
      </w:r>
    </w:p>
    <w:p w14:paraId="72AD3AE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一般碎屑岩裂隙孔隙水</w:t>
      </w:r>
    </w:p>
    <w:p w14:paraId="7AB8B3D5">
      <w:pPr>
        <w:ind w:firstLine="520"/>
        <w:rPr>
          <w:color w:val="000000" w:themeColor="text1"/>
          <w14:textFill>
            <w14:solidFill>
              <w14:schemeClr w14:val="tx1"/>
            </w14:solidFill>
          </w14:textFill>
        </w:rPr>
      </w:pPr>
      <w:r>
        <w:rPr>
          <w:color w:val="000000" w:themeColor="text1"/>
          <w14:textFill>
            <w14:solidFill>
              <w14:schemeClr w14:val="tx1"/>
            </w14:solidFill>
          </w14:textFill>
        </w:rPr>
        <w:t>基岩裂隙水主要赋存于侏罗系中统上沙溪庙组（J</w:t>
      </w:r>
      <w:r>
        <w:rPr>
          <w:color w:val="000000" w:themeColor="text1"/>
          <w:vertAlign w:val="subscript"/>
          <w14:textFill>
            <w14:solidFill>
              <w14:schemeClr w14:val="tx1"/>
            </w14:solidFill>
          </w14:textFill>
        </w:rPr>
        <w:t>2s</w:t>
      </w:r>
      <w:r>
        <w:rPr>
          <w:color w:val="000000" w:themeColor="text1"/>
          <w14:textFill>
            <w14:solidFill>
              <w14:schemeClr w14:val="tx1"/>
            </w14:solidFill>
          </w14:textFill>
        </w:rPr>
        <w:t>）砂岩裂隙中，该类地下水的含水岩组为一套以泥岩夹砂岩、或砂岩与泥岩不等厚互层的河、湖相沉积岩。砂岩中的裂隙是地下水储存、运移的主要通道，泥岩为相对隔水层。基岩裂隙水主要接受大气降水补给，储存于砂岩层中，当每个含水砂岩体均为不透水的泥岩所隔，使每个含水层构成了独立的含水单元，各自形成补给、径流、排泄系统。大气降水和地表水通过暴露地表部分所发育的纵、横张裂隙系统下渗，随地形由高向低处运移，直至裂隙不发育的岩层下限为止，在沟谷切至该含水层时就以泉的形式注入沟溪河。裂隙水多呈层状分布，局部具承压性。</w:t>
      </w:r>
    </w:p>
    <w:p w14:paraId="1AD7FA6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基岩风化带网状裂隙水(红层承压水)</w:t>
      </w:r>
    </w:p>
    <w:p w14:paraId="6AAD026C">
      <w:pPr>
        <w:ind w:firstLine="520"/>
        <w:rPr>
          <w:color w:val="000000" w:themeColor="text1"/>
          <w14:textFill>
            <w14:solidFill>
              <w14:schemeClr w14:val="tx1"/>
            </w14:solidFill>
          </w14:textFill>
        </w:rPr>
      </w:pPr>
      <w:r>
        <w:rPr>
          <w:color w:val="000000" w:themeColor="text1"/>
          <w14:textFill>
            <w14:solidFill>
              <w14:schemeClr w14:val="tx1"/>
            </w14:solidFill>
          </w14:textFill>
        </w:rPr>
        <w:t>基岩网状风化裂隙水主要赋存于泥岩、粉砂岩为主，偶夹细砂岩层侏罗系遂宁组中，也存在园区内侏罗系上沙溪庙组地表风化带中。大气降水是主要补给来源，补给区的范围与各含水岩组的出露范围一致。大气降水和地表水通过岩层露头孔隙、裂隙垂直下渗，随地形由高向低处运移，因园区丘陵起伏、地形破碎，坡面短小，其径流途径短，具就近补给、就地排泄特点。网状风化裂隙水均限制在一定的范围内，不具大范围的水力联系，以河流、河谷、缓坡、两侧连绵山体的山包和山与山之间相连的鞍部构成一个小小的相对独立的水文地质单元。一个丘陵、山地区流域，从分水岭至河口，存在着若干个即相对独立又存在水力联系的风化裂隙水单元，它们与地表水系共同构成一个具有独立的补、径、排系统的水文地质单元。风化裂隙发育泉流量小于0.05L/s。</w:t>
      </w:r>
    </w:p>
    <w:p w14:paraId="0A42E95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所在区域内地下水总体比较匮乏，地下水渗透系数小，地下水运移慢。水文地质条件简单，地下水流向基本与地形坡向一致，即由分水岭地段流向沟谷，最终汇入长江。由于赋存条件差异，地下水局部流向变化较大。总体而言，由于地形破碎，地势高低悬殊松散层地下水具有径流途径段，水循环交替较强烈，矿化作用弱的特点。</w:t>
      </w:r>
    </w:p>
    <w:p w14:paraId="43FF5F7D">
      <w:pPr>
        <w:pStyle w:val="5"/>
        <w:rPr>
          <w:color w:val="000000" w:themeColor="text1"/>
          <w14:textFill>
            <w14:solidFill>
              <w14:schemeClr w14:val="tx1"/>
            </w14:solidFill>
          </w14:textFill>
        </w:rPr>
      </w:pPr>
      <w:bookmarkStart w:id="204" w:name="_Toc534876516"/>
      <w:r>
        <w:rPr>
          <w:color w:val="000000" w:themeColor="text1"/>
          <w14:textFill>
            <w14:solidFill>
              <w14:schemeClr w14:val="tx1"/>
            </w14:solidFill>
          </w14:textFill>
        </w:rPr>
        <w:t>土壤</w:t>
      </w:r>
      <w:bookmarkEnd w:id="204"/>
    </w:p>
    <w:p w14:paraId="36FF1BE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所在区域土壤类型以紫色土、石灰岩土、黄壤土、冲击土和水稻土5个土类为主，8个亚类，47个土种。紫色土广泛分布于丘陵区，石炭岩土和黄壤土主要分布于中梁山低山区，冲击土主要分布在长江沿岸和内河两岸，水稻土则分布于各个地带。其中，水稻土和紫色土占九龙坡区土壤面积的81.7%，这类土壤适合耕种，有利农作物和森林植被的生长。</w:t>
      </w:r>
      <w:bookmarkStart w:id="205" w:name="_Toc534876517"/>
    </w:p>
    <w:p w14:paraId="73DEFA95">
      <w:pPr>
        <w:ind w:firstLine="520"/>
        <w:rPr>
          <w:color w:val="000000" w:themeColor="text1"/>
          <w14:textFill>
            <w14:solidFill>
              <w14:schemeClr w14:val="tx1"/>
            </w14:solidFill>
          </w14:textFill>
        </w:rPr>
      </w:pPr>
      <w:r>
        <w:rPr>
          <w:color w:val="000000" w:themeColor="text1"/>
          <w14:textFill>
            <w14:solidFill>
              <w14:schemeClr w14:val="tx1"/>
            </w14:solidFill>
          </w14:textFill>
        </w:rPr>
        <w:t>明显水土流失面积共计197.99km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，占幅员面积44.69%，平均土壤侵蚀模数2600t/km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年，全区平均土壤侵蚀总量78.82万t。其中：轻度流失32.28km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，占全区总流失面积的16.30%；中度流失110.2km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，占全区总流失面积的55.66%；强烈流失25.11km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，占全区总流失面积的12.68%；极强烈流失30.24km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，占全区总流失面积的15.27%。规划区大部分用地属于轻度流失区。</w:t>
      </w:r>
    </w:p>
    <w:p w14:paraId="4C401BC4">
      <w:pPr>
        <w:pStyle w:val="5"/>
        <w:rPr>
          <w:color w:val="000000" w:themeColor="text1"/>
          <w14:textFill>
            <w14:solidFill>
              <w14:schemeClr w14:val="tx1"/>
            </w14:solidFill>
          </w14:textFill>
        </w:rPr>
      </w:pPr>
      <w:r>
        <w:rPr>
          <w:color w:val="000000" w:themeColor="text1"/>
          <w14:textFill>
            <w14:solidFill>
              <w14:schemeClr w14:val="tx1"/>
            </w14:solidFill>
          </w14:textFill>
        </w:rPr>
        <w:t>生物多样性</w:t>
      </w:r>
      <w:bookmarkEnd w:id="203"/>
      <w:bookmarkEnd w:id="205"/>
    </w:p>
    <w:p w14:paraId="52760EEF">
      <w:pPr>
        <w:ind w:firstLine="520"/>
        <w:rPr>
          <w:color w:val="000000" w:themeColor="text1"/>
          <w14:textFill>
            <w14:solidFill>
              <w14:schemeClr w14:val="tx1"/>
            </w14:solidFill>
          </w14:textFill>
        </w:rPr>
      </w:pPr>
      <w:bookmarkStart w:id="206" w:name="_Toc280924154"/>
      <w:bookmarkStart w:id="207" w:name="_Toc272129107"/>
      <w:bookmarkStart w:id="208" w:name="_Toc417941511"/>
      <w:bookmarkStart w:id="209" w:name="_Toc345176148"/>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所在区域属川东平行岭谷植被小区，境内自然条件复杂，植被层次丰富，种类繁多。天然生长的森林植被有7个植被型。维管束植物有198科，776属，1422种。自然植被主要由马尾松林，柏木林和竹林组成，主要分布在中梁山低山区。由于人为活动等多种原因，自然植被大多遭破坏，现以人工植被为主，常见的木本植物有桉树、泡桐、柏树、香樟、林下灌木；草本植物为黄荆、马桑、南天竺、白茅、蜈蚣草等。区域内共记载</w:t>
      </w:r>
      <w:r>
        <w:fldChar w:fldCharType="begin"/>
      </w:r>
      <w:r>
        <w:instrText xml:space="preserve"> HYPERLINK "http://baike.baidu.com/view/486670.htm" \t "_blank" </w:instrText>
      </w:r>
      <w:r>
        <w:fldChar w:fldCharType="separate"/>
      </w:r>
      <w:r>
        <w:rPr>
          <w:color w:val="000000" w:themeColor="text1"/>
          <w14:textFill>
            <w14:solidFill>
              <w14:schemeClr w14:val="tx1"/>
            </w14:solidFill>
          </w14:textFill>
        </w:rPr>
        <w:t>陆生</w:t>
      </w:r>
      <w:r>
        <w:rPr>
          <w:color w:val="000000" w:themeColor="text1"/>
          <w14:textFill>
            <w14:solidFill>
              <w14:schemeClr w14:val="tx1"/>
            </w14:solidFill>
          </w14:textFill>
        </w:rPr>
        <w:fldChar w:fldCharType="end"/>
      </w:r>
      <w:r>
        <w:rPr>
          <w:color w:val="000000" w:themeColor="text1"/>
          <w14:textFill>
            <w14:solidFill>
              <w14:schemeClr w14:val="tx1"/>
            </w14:solidFill>
          </w14:textFill>
        </w:rPr>
        <w:t>野生动物234种，隶属于26目，63科，159属。其中，两栖类12种（1目，4科，8属）。爬行类24种（2目，8科，16属）。鸟类163种（16目，35科，106属），兽类35种（7目，15科，29属）。</w:t>
      </w:r>
    </w:p>
    <w:bookmarkEnd w:id="206"/>
    <w:bookmarkEnd w:id="207"/>
    <w:bookmarkEnd w:id="208"/>
    <w:bookmarkEnd w:id="209"/>
    <w:p w14:paraId="1627D3C6">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所在区域为工业园区，以城市生态系统为主，东侧</w:t>
      </w:r>
      <w:r>
        <w:rPr>
          <w:rFonts w:hint="eastAsia"/>
          <w:color w:val="000000" w:themeColor="text1"/>
          <w14:textFill>
            <w14:solidFill>
              <w14:schemeClr w14:val="tx1"/>
            </w14:solidFill>
          </w14:textFill>
        </w:rPr>
        <w:t>和北侧</w:t>
      </w:r>
      <w:r>
        <w:rPr>
          <w:color w:val="000000" w:themeColor="text1"/>
          <w14:textFill>
            <w14:solidFill>
              <w14:schemeClr w14:val="tx1"/>
            </w14:solidFill>
          </w14:textFill>
        </w:rPr>
        <w:t>有农田生态系统，零星村落等人工生态系统作为影响斑块。区域植被物种以行道树为主，未开发区域现有植被物种以农作物为主，植被覆盖率较低，未发现珍稀植物分布。人类活动频繁，动物栖息环境较差，动物群落类型为农田、林灌动物群。主要有褐家鼠、社鼠、野兔等小型哺乳类动物分布，更常见动物主要是适应于荒山灌丛、农耕区域和人居环境的鸟类，以及家畜，未发现国家珍稀保护动物分布。</w:t>
      </w:r>
      <w:bookmarkEnd w:id="194"/>
      <w:bookmarkEnd w:id="195"/>
      <w:bookmarkStart w:id="210" w:name="_Toc5246"/>
      <w:bookmarkStart w:id="211" w:name="_Toc11942566"/>
    </w:p>
    <w:p w14:paraId="10F40A74">
      <w:pPr>
        <w:pStyle w:val="4"/>
        <w:rPr>
          <w:color w:val="000000" w:themeColor="text1"/>
          <w14:textFill>
            <w14:solidFill>
              <w14:schemeClr w14:val="tx1"/>
            </w14:solidFill>
          </w14:textFill>
        </w:rPr>
      </w:pPr>
      <w:bookmarkStart w:id="212" w:name="_Toc18552"/>
      <w:r>
        <w:rPr>
          <w:color w:val="000000" w:themeColor="text1"/>
          <w14:textFill>
            <w14:solidFill>
              <w14:schemeClr w14:val="tx1"/>
            </w14:solidFill>
          </w14:textFill>
        </w:rPr>
        <w:t>环境质量现状评价</w:t>
      </w:r>
      <w:bookmarkEnd w:id="210"/>
      <w:bookmarkEnd w:id="211"/>
      <w:bookmarkEnd w:id="212"/>
    </w:p>
    <w:p w14:paraId="7D41CE77">
      <w:pPr>
        <w:pStyle w:val="5"/>
        <w:rPr>
          <w:color w:val="000000" w:themeColor="text1"/>
          <w14:textFill>
            <w14:solidFill>
              <w14:schemeClr w14:val="tx1"/>
            </w14:solidFill>
          </w14:textFill>
        </w:rPr>
      </w:pPr>
      <w:bookmarkStart w:id="213" w:name="_Toc11942567"/>
      <w:r>
        <w:rPr>
          <w:color w:val="000000" w:themeColor="text1"/>
          <w14:textFill>
            <w14:solidFill>
              <w14:schemeClr w14:val="tx1"/>
            </w14:solidFill>
          </w14:textFill>
        </w:rPr>
        <w:t>环境空气质量现状</w:t>
      </w:r>
      <w:bookmarkEnd w:id="213"/>
    </w:p>
    <w:p w14:paraId="609AB2A0">
      <w:pPr>
        <w:ind w:firstLine="520"/>
        <w:rPr>
          <w:color w:val="000000" w:themeColor="text1"/>
          <w14:textFill>
            <w14:solidFill>
              <w14:schemeClr w14:val="tx1"/>
            </w14:solidFill>
          </w14:textFill>
        </w:rPr>
      </w:pPr>
      <w:bookmarkStart w:id="214" w:name="_Hlk509566375"/>
      <w:r>
        <w:rPr>
          <w:color w:val="000000" w:themeColor="text1"/>
          <w14:textFill>
            <w14:solidFill>
              <w14:schemeClr w14:val="tx1"/>
            </w14:solidFill>
          </w14:textFill>
        </w:rPr>
        <w:t>（1）环境空气质量达标区判定</w:t>
      </w:r>
    </w:p>
    <w:p w14:paraId="29C386A8">
      <w:pPr>
        <w:tabs>
          <w:tab w:val="left" w:pos="4678"/>
        </w:tabs>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根据《重庆市人民政府关于印发重庆市环境空气质量功能区划分规定的通知》（渝府发[2016]19号）规定，扩建项目所在地为环境空气二类功能区，环境空气执行《环境空气质量标准》（GB3095-2012）二级标准。</w:t>
      </w:r>
    </w:p>
    <w:p w14:paraId="4D11AF66">
      <w:pPr>
        <w:tabs>
          <w:tab w:val="left" w:pos="4678"/>
        </w:tabs>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扩建项目位于九龙坡区，所在区域空气质量现状数据引用重庆市生态环境局公布的《2024年重庆市生态环境状况公报》中九龙坡区环境空气质量现状数据，区域空气质量现状评价</w:t>
      </w:r>
      <w:r>
        <w:rPr>
          <w:color w:val="000000" w:themeColor="text1"/>
          <w14:textFill>
            <w14:solidFill>
              <w14:schemeClr w14:val="tx1"/>
            </w14:solidFill>
          </w14:textFill>
        </w:rPr>
        <w:t>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_Ref160552276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A82CA20">
      <w:pPr>
        <w:ind w:firstLine="0" w:firstLineChars="0"/>
        <w:jc w:val="center"/>
        <w:rPr>
          <w:color w:val="000000" w:themeColor="text1"/>
          <w14:textFill>
            <w14:solidFill>
              <w14:schemeClr w14:val="tx1"/>
            </w14:solidFill>
          </w14:textFill>
        </w:rPr>
      </w:pPr>
      <w:bookmarkStart w:id="215" w:name="_Ref160552276"/>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215"/>
      <w:r>
        <w:rPr>
          <w:color w:val="000000" w:themeColor="text1"/>
          <w14:textFill>
            <w14:solidFill>
              <w14:schemeClr w14:val="tx1"/>
            </w14:solidFill>
          </w14:textFill>
        </w:rPr>
        <w:t xml:space="preserve">      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年环境空气质量状况</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2178"/>
        <w:gridCol w:w="1475"/>
        <w:gridCol w:w="1599"/>
        <w:gridCol w:w="1512"/>
        <w:gridCol w:w="1131"/>
      </w:tblGrid>
      <w:tr w14:paraId="46D3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469100F2">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污染物</w:t>
            </w:r>
          </w:p>
        </w:tc>
        <w:tc>
          <w:tcPr>
            <w:tcW w:w="2123" w:type="dxa"/>
            <w:vAlign w:val="center"/>
          </w:tcPr>
          <w:p w14:paraId="43DE1D27">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年评价指标</w:t>
            </w:r>
          </w:p>
        </w:tc>
        <w:tc>
          <w:tcPr>
            <w:tcW w:w="1438" w:type="dxa"/>
            <w:vAlign w:val="center"/>
          </w:tcPr>
          <w:p w14:paraId="3B1147D2">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现状浓度（</w:t>
            </w:r>
            <w:r>
              <w:rPr>
                <w:rFonts w:hint="eastAsia"/>
                <w:color w:val="000000" w:themeColor="text1"/>
                <w:sz w:val="22"/>
                <w:szCs w:val="22"/>
                <w14:textFill>
                  <w14:solidFill>
                    <w14:schemeClr w14:val="tx1"/>
                  </w14:solidFill>
                </w14:textFill>
              </w:rPr>
              <w:t>μg/m3</w:t>
            </w:r>
            <w:r>
              <w:rPr>
                <w:color w:val="000000" w:themeColor="text1"/>
                <w:sz w:val="22"/>
                <w:szCs w:val="22"/>
                <w14:textFill>
                  <w14:solidFill>
                    <w14:schemeClr w14:val="tx1"/>
                  </w14:solidFill>
                </w14:textFill>
              </w:rPr>
              <w:t>）</w:t>
            </w:r>
          </w:p>
        </w:tc>
        <w:tc>
          <w:tcPr>
            <w:tcW w:w="1559" w:type="dxa"/>
            <w:vAlign w:val="center"/>
          </w:tcPr>
          <w:p w14:paraId="20FD1749">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标准值（</w:t>
            </w:r>
            <w:r>
              <w:rPr>
                <w:rFonts w:hint="eastAsia"/>
                <w:color w:val="000000" w:themeColor="text1"/>
                <w:sz w:val="22"/>
                <w:szCs w:val="22"/>
                <w14:textFill>
                  <w14:solidFill>
                    <w14:schemeClr w14:val="tx1"/>
                  </w14:solidFill>
                </w14:textFill>
              </w:rPr>
              <w:t>μg/m3</w:t>
            </w:r>
            <w:r>
              <w:rPr>
                <w:color w:val="000000" w:themeColor="text1"/>
                <w:sz w:val="22"/>
                <w:szCs w:val="22"/>
                <w14:textFill>
                  <w14:solidFill>
                    <w14:schemeClr w14:val="tx1"/>
                  </w14:solidFill>
                </w14:textFill>
              </w:rPr>
              <w:t>）</w:t>
            </w:r>
          </w:p>
        </w:tc>
        <w:tc>
          <w:tcPr>
            <w:tcW w:w="1474" w:type="dxa"/>
            <w:vAlign w:val="center"/>
          </w:tcPr>
          <w:p w14:paraId="287316C0">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占标率（%）</w:t>
            </w:r>
          </w:p>
        </w:tc>
        <w:tc>
          <w:tcPr>
            <w:tcW w:w="1103" w:type="dxa"/>
            <w:vAlign w:val="center"/>
          </w:tcPr>
          <w:p w14:paraId="623C854F">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达标情况</w:t>
            </w:r>
          </w:p>
        </w:tc>
      </w:tr>
      <w:tr w14:paraId="749A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2D4FBEDC">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SO</w:t>
            </w:r>
            <w:r>
              <w:rPr>
                <w:color w:val="000000" w:themeColor="text1"/>
                <w:sz w:val="22"/>
                <w:szCs w:val="22"/>
                <w:vertAlign w:val="subscript"/>
                <w14:textFill>
                  <w14:solidFill>
                    <w14:schemeClr w14:val="tx1"/>
                  </w14:solidFill>
                </w14:textFill>
              </w:rPr>
              <w:t>2</w:t>
            </w:r>
          </w:p>
        </w:tc>
        <w:tc>
          <w:tcPr>
            <w:tcW w:w="2123" w:type="dxa"/>
            <w:vAlign w:val="center"/>
          </w:tcPr>
          <w:p w14:paraId="6759C5DA">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年平均质量浓度</w:t>
            </w:r>
          </w:p>
        </w:tc>
        <w:tc>
          <w:tcPr>
            <w:tcW w:w="1438" w:type="dxa"/>
            <w:vAlign w:val="center"/>
          </w:tcPr>
          <w:p w14:paraId="7A08246B">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8</w:t>
            </w:r>
          </w:p>
        </w:tc>
        <w:tc>
          <w:tcPr>
            <w:tcW w:w="1559" w:type="dxa"/>
            <w:vAlign w:val="center"/>
          </w:tcPr>
          <w:p w14:paraId="256A101D">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60</w:t>
            </w:r>
          </w:p>
        </w:tc>
        <w:tc>
          <w:tcPr>
            <w:tcW w:w="1474" w:type="dxa"/>
            <w:vAlign w:val="center"/>
          </w:tcPr>
          <w:p w14:paraId="70F8EA18">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13.3 </w:t>
            </w:r>
          </w:p>
        </w:tc>
        <w:tc>
          <w:tcPr>
            <w:tcW w:w="1103" w:type="dxa"/>
            <w:vAlign w:val="center"/>
          </w:tcPr>
          <w:p w14:paraId="18399874">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r w14:paraId="5731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5D758585">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NO</w:t>
            </w:r>
            <w:r>
              <w:rPr>
                <w:color w:val="000000" w:themeColor="text1"/>
                <w:sz w:val="22"/>
                <w:szCs w:val="22"/>
                <w:vertAlign w:val="subscript"/>
                <w14:textFill>
                  <w14:solidFill>
                    <w14:schemeClr w14:val="tx1"/>
                  </w14:solidFill>
                </w14:textFill>
              </w:rPr>
              <w:t>2</w:t>
            </w:r>
          </w:p>
        </w:tc>
        <w:tc>
          <w:tcPr>
            <w:tcW w:w="2123" w:type="dxa"/>
            <w:vAlign w:val="center"/>
          </w:tcPr>
          <w:p w14:paraId="00901F74">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年平均质量浓度</w:t>
            </w:r>
          </w:p>
        </w:tc>
        <w:tc>
          <w:tcPr>
            <w:tcW w:w="1438" w:type="dxa"/>
            <w:vAlign w:val="center"/>
          </w:tcPr>
          <w:p w14:paraId="34135A57">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34</w:t>
            </w:r>
          </w:p>
        </w:tc>
        <w:tc>
          <w:tcPr>
            <w:tcW w:w="1559" w:type="dxa"/>
            <w:vAlign w:val="center"/>
          </w:tcPr>
          <w:p w14:paraId="657D9418">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40</w:t>
            </w:r>
          </w:p>
        </w:tc>
        <w:tc>
          <w:tcPr>
            <w:tcW w:w="1474" w:type="dxa"/>
            <w:vAlign w:val="center"/>
          </w:tcPr>
          <w:p w14:paraId="1DA755EB">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85.0 </w:t>
            </w:r>
          </w:p>
        </w:tc>
        <w:tc>
          <w:tcPr>
            <w:tcW w:w="1103" w:type="dxa"/>
            <w:vAlign w:val="center"/>
          </w:tcPr>
          <w:p w14:paraId="3797D776">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r w14:paraId="5E31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260BEC4F">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PM</w:t>
            </w:r>
            <w:r>
              <w:rPr>
                <w:color w:val="000000" w:themeColor="text1"/>
                <w:sz w:val="22"/>
                <w:szCs w:val="22"/>
                <w:vertAlign w:val="subscript"/>
                <w14:textFill>
                  <w14:solidFill>
                    <w14:schemeClr w14:val="tx1"/>
                  </w14:solidFill>
                </w14:textFill>
              </w:rPr>
              <w:t>10</w:t>
            </w:r>
          </w:p>
        </w:tc>
        <w:tc>
          <w:tcPr>
            <w:tcW w:w="2123" w:type="dxa"/>
            <w:vAlign w:val="center"/>
          </w:tcPr>
          <w:p w14:paraId="32754E45">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年平均质量浓度</w:t>
            </w:r>
          </w:p>
        </w:tc>
        <w:tc>
          <w:tcPr>
            <w:tcW w:w="1438" w:type="dxa"/>
            <w:vAlign w:val="center"/>
          </w:tcPr>
          <w:p w14:paraId="5948700D">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51</w:t>
            </w:r>
          </w:p>
        </w:tc>
        <w:tc>
          <w:tcPr>
            <w:tcW w:w="1559" w:type="dxa"/>
            <w:vAlign w:val="center"/>
          </w:tcPr>
          <w:p w14:paraId="4AFF8B66">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70</w:t>
            </w:r>
          </w:p>
        </w:tc>
        <w:tc>
          <w:tcPr>
            <w:tcW w:w="1474" w:type="dxa"/>
            <w:vAlign w:val="center"/>
          </w:tcPr>
          <w:p w14:paraId="48939861">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72.9 </w:t>
            </w:r>
          </w:p>
        </w:tc>
        <w:tc>
          <w:tcPr>
            <w:tcW w:w="1103" w:type="dxa"/>
            <w:vAlign w:val="center"/>
          </w:tcPr>
          <w:p w14:paraId="61499049">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达标</w:t>
            </w:r>
          </w:p>
        </w:tc>
      </w:tr>
      <w:tr w14:paraId="59E0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206D8353">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PM</w:t>
            </w:r>
            <w:r>
              <w:rPr>
                <w:color w:val="000000" w:themeColor="text1"/>
                <w:sz w:val="22"/>
                <w:szCs w:val="22"/>
                <w:vertAlign w:val="subscript"/>
                <w14:textFill>
                  <w14:solidFill>
                    <w14:schemeClr w14:val="tx1"/>
                  </w14:solidFill>
                </w14:textFill>
              </w:rPr>
              <w:t>2.5</w:t>
            </w:r>
          </w:p>
        </w:tc>
        <w:tc>
          <w:tcPr>
            <w:tcW w:w="2123" w:type="dxa"/>
            <w:vAlign w:val="center"/>
          </w:tcPr>
          <w:p w14:paraId="2453C5CB">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年平均质量浓度</w:t>
            </w:r>
          </w:p>
        </w:tc>
        <w:tc>
          <w:tcPr>
            <w:tcW w:w="1438" w:type="dxa"/>
            <w:vAlign w:val="center"/>
          </w:tcPr>
          <w:p w14:paraId="3CD7D0E4">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32.3</w:t>
            </w:r>
          </w:p>
        </w:tc>
        <w:tc>
          <w:tcPr>
            <w:tcW w:w="1559" w:type="dxa"/>
            <w:vAlign w:val="center"/>
          </w:tcPr>
          <w:p w14:paraId="3E7593FE">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35</w:t>
            </w:r>
          </w:p>
        </w:tc>
        <w:tc>
          <w:tcPr>
            <w:tcW w:w="1474" w:type="dxa"/>
            <w:vAlign w:val="center"/>
          </w:tcPr>
          <w:p w14:paraId="3FBB56F5">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92.3 </w:t>
            </w:r>
          </w:p>
        </w:tc>
        <w:tc>
          <w:tcPr>
            <w:tcW w:w="1103" w:type="dxa"/>
            <w:vAlign w:val="center"/>
          </w:tcPr>
          <w:p w14:paraId="1103CD1F">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r w14:paraId="26FB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245BE8FC">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CO</w:t>
            </w:r>
          </w:p>
        </w:tc>
        <w:tc>
          <w:tcPr>
            <w:tcW w:w="2123" w:type="dxa"/>
            <w:vAlign w:val="center"/>
          </w:tcPr>
          <w:p w14:paraId="7505D127">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日</w:t>
            </w:r>
            <w:r>
              <w:rPr>
                <w:color w:val="000000" w:themeColor="text1"/>
                <w:sz w:val="22"/>
                <w:szCs w:val="22"/>
                <w14:textFill>
                  <w14:solidFill>
                    <w14:schemeClr w14:val="tx1"/>
                  </w14:solidFill>
                </w14:textFill>
              </w:rPr>
              <w:t>平均质量浓度</w:t>
            </w:r>
          </w:p>
        </w:tc>
        <w:tc>
          <w:tcPr>
            <w:tcW w:w="1438" w:type="dxa"/>
            <w:vAlign w:val="center"/>
          </w:tcPr>
          <w:p w14:paraId="7B35BB8D">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1.2mg/m</w:t>
            </w:r>
            <w:r>
              <w:rPr>
                <w:rFonts w:hint="eastAsia"/>
                <w:color w:val="000000" w:themeColor="text1"/>
                <w:sz w:val="22"/>
                <w:szCs w:val="22"/>
                <w:vertAlign w:val="superscript"/>
                <w14:textFill>
                  <w14:solidFill>
                    <w14:schemeClr w14:val="tx1"/>
                  </w14:solidFill>
                </w14:textFill>
              </w:rPr>
              <w:t>3</w:t>
            </w:r>
          </w:p>
        </w:tc>
        <w:tc>
          <w:tcPr>
            <w:tcW w:w="1559" w:type="dxa"/>
            <w:vAlign w:val="center"/>
          </w:tcPr>
          <w:p w14:paraId="57691020">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4mg/m</w:t>
            </w:r>
            <w:r>
              <w:rPr>
                <w:rFonts w:hint="eastAsia"/>
                <w:color w:val="000000" w:themeColor="text1"/>
                <w:sz w:val="22"/>
                <w:szCs w:val="22"/>
                <w:vertAlign w:val="superscript"/>
                <w14:textFill>
                  <w14:solidFill>
                    <w14:schemeClr w14:val="tx1"/>
                  </w14:solidFill>
                </w14:textFill>
              </w:rPr>
              <w:t>3</w:t>
            </w:r>
          </w:p>
        </w:tc>
        <w:tc>
          <w:tcPr>
            <w:tcW w:w="1474" w:type="dxa"/>
            <w:vAlign w:val="center"/>
          </w:tcPr>
          <w:p w14:paraId="749C77DC">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30.0 </w:t>
            </w:r>
          </w:p>
        </w:tc>
        <w:tc>
          <w:tcPr>
            <w:tcW w:w="1103" w:type="dxa"/>
            <w:vAlign w:val="center"/>
          </w:tcPr>
          <w:p w14:paraId="31AF23C4">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r w14:paraId="3A3E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27A54528">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O</w:t>
            </w:r>
            <w:r>
              <w:rPr>
                <w:color w:val="000000" w:themeColor="text1"/>
                <w:sz w:val="22"/>
                <w:szCs w:val="22"/>
                <w:vertAlign w:val="subscript"/>
                <w14:textFill>
                  <w14:solidFill>
                    <w14:schemeClr w14:val="tx1"/>
                  </w14:solidFill>
                </w14:textFill>
              </w:rPr>
              <w:t>3</w:t>
            </w:r>
          </w:p>
        </w:tc>
        <w:tc>
          <w:tcPr>
            <w:tcW w:w="2123" w:type="dxa"/>
            <w:vAlign w:val="center"/>
          </w:tcPr>
          <w:p w14:paraId="0A5AD571">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8h平均质量浓度</w:t>
            </w:r>
          </w:p>
        </w:tc>
        <w:tc>
          <w:tcPr>
            <w:tcW w:w="1438" w:type="dxa"/>
            <w:vAlign w:val="center"/>
          </w:tcPr>
          <w:p w14:paraId="59BB1595">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140</w:t>
            </w:r>
          </w:p>
        </w:tc>
        <w:tc>
          <w:tcPr>
            <w:tcW w:w="1559" w:type="dxa"/>
            <w:vAlign w:val="center"/>
          </w:tcPr>
          <w:p w14:paraId="7937E48B">
            <w:pPr>
              <w:pStyle w:val="1659"/>
              <w:spacing w:line="24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160</w:t>
            </w:r>
          </w:p>
        </w:tc>
        <w:tc>
          <w:tcPr>
            <w:tcW w:w="1474" w:type="dxa"/>
            <w:vAlign w:val="center"/>
          </w:tcPr>
          <w:p w14:paraId="7047AC84">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87.5 </w:t>
            </w:r>
          </w:p>
        </w:tc>
        <w:tc>
          <w:tcPr>
            <w:tcW w:w="1103" w:type="dxa"/>
            <w:vAlign w:val="center"/>
          </w:tcPr>
          <w:p w14:paraId="08B24642">
            <w:pPr>
              <w:pStyle w:val="1659"/>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bl>
    <w:p w14:paraId="77AC0D16">
      <w:pPr>
        <w:ind w:firstLine="520"/>
        <w:rPr>
          <w:color w:val="000000" w:themeColor="text1"/>
          <w14:textFill>
            <w14:solidFill>
              <w14:schemeClr w14:val="tx1"/>
            </w14:solidFill>
          </w14:textFill>
        </w:rPr>
      </w:pPr>
      <w:r>
        <w:rPr>
          <w:color w:val="000000" w:themeColor="text1"/>
          <w14:textFill>
            <w14:solidFill>
              <w14:schemeClr w14:val="tx1"/>
            </w14:solidFill>
          </w14:textFill>
        </w:rPr>
        <w:t>由</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_Ref160552276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可知，</w:t>
      </w:r>
      <w:r>
        <w:rPr>
          <w:rFonts w:hint="eastAsia"/>
          <w:color w:val="000000" w:themeColor="text1"/>
          <w:szCs w:val="26"/>
          <w14:textFill>
            <w14:solidFill>
              <w14:schemeClr w14:val="tx1"/>
            </w14:solidFill>
          </w14:textFill>
        </w:rPr>
        <w:t>项目所在九龙区大气环境各污染因子NO</w:t>
      </w:r>
      <w:r>
        <w:rPr>
          <w:rFonts w:hint="eastAsia"/>
          <w:color w:val="000000" w:themeColor="text1"/>
          <w:szCs w:val="26"/>
          <w:vertAlign w:val="subscript"/>
          <w14:textFill>
            <w14:solidFill>
              <w14:schemeClr w14:val="tx1"/>
            </w14:solidFill>
          </w14:textFill>
        </w:rPr>
        <w:t>2</w:t>
      </w:r>
      <w:r>
        <w:rPr>
          <w:rFonts w:hint="eastAsia"/>
          <w:color w:val="000000" w:themeColor="text1"/>
          <w:szCs w:val="26"/>
          <w14:textFill>
            <w14:solidFill>
              <w14:schemeClr w14:val="tx1"/>
            </w14:solidFill>
          </w14:textFill>
        </w:rPr>
        <w:t>、PM</w:t>
      </w:r>
      <w:r>
        <w:rPr>
          <w:rFonts w:hint="eastAsia"/>
          <w:color w:val="000000" w:themeColor="text1"/>
          <w:szCs w:val="26"/>
          <w:vertAlign w:val="subscript"/>
          <w14:textFill>
            <w14:solidFill>
              <w14:schemeClr w14:val="tx1"/>
            </w14:solidFill>
          </w14:textFill>
        </w:rPr>
        <w:t>2.5</w:t>
      </w:r>
      <w:r>
        <w:rPr>
          <w:rFonts w:hint="eastAsia"/>
          <w:color w:val="000000" w:themeColor="text1"/>
          <w:szCs w:val="26"/>
          <w14:textFill>
            <w14:solidFill>
              <w14:schemeClr w14:val="tx1"/>
            </w14:solidFill>
          </w14:textFill>
        </w:rPr>
        <w:t>、PM</w:t>
      </w:r>
      <w:r>
        <w:rPr>
          <w:rFonts w:hint="eastAsia"/>
          <w:color w:val="000000" w:themeColor="text1"/>
          <w:szCs w:val="26"/>
          <w:vertAlign w:val="subscript"/>
          <w14:textFill>
            <w14:solidFill>
              <w14:schemeClr w14:val="tx1"/>
            </w14:solidFill>
          </w14:textFill>
        </w:rPr>
        <w:t>10</w:t>
      </w:r>
      <w:r>
        <w:rPr>
          <w:rFonts w:hint="eastAsia"/>
          <w:color w:val="000000" w:themeColor="text1"/>
          <w:szCs w:val="26"/>
          <w14:textFill>
            <w14:solidFill>
              <w14:schemeClr w14:val="tx1"/>
            </w14:solidFill>
          </w14:textFill>
        </w:rPr>
        <w:t>、SO</w:t>
      </w:r>
      <w:r>
        <w:rPr>
          <w:rFonts w:hint="eastAsia"/>
          <w:color w:val="000000" w:themeColor="text1"/>
          <w:szCs w:val="26"/>
          <w:vertAlign w:val="subscript"/>
          <w14:textFill>
            <w14:solidFill>
              <w14:schemeClr w14:val="tx1"/>
            </w14:solidFill>
          </w14:textFill>
        </w:rPr>
        <w:t>2</w:t>
      </w:r>
      <w:r>
        <w:rPr>
          <w:rFonts w:hint="eastAsia"/>
          <w:color w:val="000000" w:themeColor="text1"/>
          <w:szCs w:val="26"/>
          <w14:textFill>
            <w14:solidFill>
              <w14:schemeClr w14:val="tx1"/>
            </w14:solidFill>
          </w14:textFill>
        </w:rPr>
        <w:t>、O</w:t>
      </w:r>
      <w:r>
        <w:rPr>
          <w:rFonts w:hint="eastAsia"/>
          <w:color w:val="000000" w:themeColor="text1"/>
          <w:szCs w:val="26"/>
          <w:vertAlign w:val="subscript"/>
          <w14:textFill>
            <w14:solidFill>
              <w14:schemeClr w14:val="tx1"/>
            </w14:solidFill>
          </w14:textFill>
        </w:rPr>
        <w:t>3</w:t>
      </w:r>
      <w:r>
        <w:rPr>
          <w:rFonts w:hint="eastAsia"/>
          <w:color w:val="000000" w:themeColor="text1"/>
          <w:szCs w:val="26"/>
          <w14:textFill>
            <w14:solidFill>
              <w14:schemeClr w14:val="tx1"/>
            </w14:solidFill>
          </w14:textFill>
        </w:rPr>
        <w:t>、CO均满足《环境空气质量标准》（GB3095－2012）二级标准，因此，九龙坡区属于达标区</w:t>
      </w:r>
      <w:r>
        <w:rPr>
          <w:color w:val="000000" w:themeColor="text1"/>
          <w14:textFill>
            <w14:solidFill>
              <w14:schemeClr w14:val="tx1"/>
            </w14:solidFill>
          </w14:textFill>
        </w:rPr>
        <w:t>。</w:t>
      </w:r>
    </w:p>
    <w:p w14:paraId="1E7EFFF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环境空气现状监测</w:t>
      </w:r>
    </w:p>
    <w:bookmarkEnd w:id="214"/>
    <w:p w14:paraId="092DE9F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排放非甲烷总烃、氯化氢、氟化物引用港庆（监）字[2024]第07003-1-HP号监测报告，监测时间2024年8月16日~8月22日，监测点规划区内规划居住用地，该监测点位于项目东南侧约2.2km，区域环境空气质量未有明显变化，且监测数据在三年有效期内，因此引用可行</w:t>
      </w:r>
      <w:r>
        <w:rPr>
          <w:color w:val="000000" w:themeColor="text1"/>
          <w14:textFill>
            <w14:solidFill>
              <w14:schemeClr w14:val="tx1"/>
            </w14:solidFill>
          </w14:textFill>
        </w:rPr>
        <w:t>。监测布点情况见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_Ref160552368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，具体位置见监测布点附图5。</w:t>
      </w:r>
    </w:p>
    <w:p w14:paraId="417576A8">
      <w:pPr>
        <w:spacing w:before="24"/>
        <w:ind w:firstLine="0" w:firstLineChars="0"/>
        <w:jc w:val="center"/>
        <w:rPr>
          <w:color w:val="000000" w:themeColor="text1"/>
          <w14:textFill>
            <w14:solidFill>
              <w14:schemeClr w14:val="tx1"/>
            </w14:solidFill>
          </w14:textFill>
        </w:rPr>
      </w:pPr>
      <w:bookmarkStart w:id="216" w:name="_Ref160552368"/>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bookmarkEnd w:id="216"/>
      <w:r>
        <w:rPr>
          <w:color w:val="000000" w:themeColor="text1"/>
          <w14:textFill>
            <w14:solidFill>
              <w14:schemeClr w14:val="tx1"/>
            </w14:solidFill>
          </w14:textFill>
        </w:rPr>
        <w:t xml:space="preserve">    项目空气监测布点一览表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246"/>
        <w:gridCol w:w="1756"/>
        <w:gridCol w:w="1697"/>
        <w:gridCol w:w="1880"/>
        <w:gridCol w:w="1880"/>
      </w:tblGrid>
      <w:tr w14:paraId="0822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02" w:type="pct"/>
            <w:vAlign w:val="center"/>
          </w:tcPr>
          <w:p w14:paraId="5255E146">
            <w:pPr>
              <w:pStyle w:val="1535"/>
            </w:pPr>
            <w:bookmarkStart w:id="217" w:name="_Hlk161992608"/>
            <w:r>
              <w:t>序号</w:t>
            </w:r>
          </w:p>
        </w:tc>
        <w:tc>
          <w:tcPr>
            <w:tcW w:w="692" w:type="pct"/>
            <w:vAlign w:val="center"/>
          </w:tcPr>
          <w:p w14:paraId="43B016E4">
            <w:pPr>
              <w:pStyle w:val="1535"/>
            </w:pPr>
            <w:r>
              <w:t>监测点位</w:t>
            </w:r>
          </w:p>
        </w:tc>
        <w:tc>
          <w:tcPr>
            <w:tcW w:w="975" w:type="pct"/>
            <w:vAlign w:val="center"/>
          </w:tcPr>
          <w:p w14:paraId="556B0836">
            <w:pPr>
              <w:pStyle w:val="1535"/>
            </w:pPr>
            <w:r>
              <w:t>监测时间</w:t>
            </w:r>
          </w:p>
        </w:tc>
        <w:tc>
          <w:tcPr>
            <w:tcW w:w="942" w:type="pct"/>
            <w:vAlign w:val="center"/>
          </w:tcPr>
          <w:p w14:paraId="0626E23A">
            <w:pPr>
              <w:pStyle w:val="1535"/>
            </w:pPr>
            <w:r>
              <w:t>监测因子</w:t>
            </w:r>
          </w:p>
        </w:tc>
        <w:tc>
          <w:tcPr>
            <w:tcW w:w="1044" w:type="pct"/>
            <w:vAlign w:val="center"/>
          </w:tcPr>
          <w:p w14:paraId="1CC1800C">
            <w:pPr>
              <w:pStyle w:val="1535"/>
            </w:pPr>
            <w:r>
              <w:t>监测频率及周期</w:t>
            </w:r>
          </w:p>
        </w:tc>
        <w:tc>
          <w:tcPr>
            <w:tcW w:w="1044" w:type="pct"/>
            <w:vAlign w:val="center"/>
          </w:tcPr>
          <w:p w14:paraId="465A0FF2">
            <w:pPr>
              <w:pStyle w:val="1535"/>
            </w:pPr>
            <w:r>
              <w:rPr>
                <w:rFonts w:hint="eastAsia"/>
              </w:rPr>
              <w:t>数据来源</w:t>
            </w:r>
          </w:p>
        </w:tc>
      </w:tr>
      <w:tr w14:paraId="6DEC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302C5864">
            <w:pPr>
              <w:pStyle w:val="1535"/>
            </w:pPr>
            <w:r>
              <w:t>1</w:t>
            </w:r>
          </w:p>
        </w:tc>
        <w:tc>
          <w:tcPr>
            <w:tcW w:w="692" w:type="pct"/>
            <w:vAlign w:val="center"/>
          </w:tcPr>
          <w:p w14:paraId="3047C660">
            <w:pPr>
              <w:pStyle w:val="1535"/>
            </w:pPr>
            <w:r>
              <w:rPr>
                <w:rFonts w:hint="eastAsia"/>
              </w:rPr>
              <w:t>规划区内规划居住用地</w:t>
            </w:r>
          </w:p>
        </w:tc>
        <w:tc>
          <w:tcPr>
            <w:tcW w:w="975" w:type="pct"/>
            <w:vAlign w:val="center"/>
          </w:tcPr>
          <w:p w14:paraId="4C9226BE">
            <w:pPr>
              <w:pStyle w:val="1535"/>
            </w:pPr>
            <w:r>
              <w:t>202</w:t>
            </w:r>
            <w:r>
              <w:rPr>
                <w:rFonts w:hint="eastAsia"/>
              </w:rPr>
              <w:t>4</w:t>
            </w:r>
            <w:r>
              <w:t>.</w:t>
            </w:r>
            <w:r>
              <w:rPr>
                <w:rFonts w:hint="eastAsia"/>
              </w:rPr>
              <w:t>8</w:t>
            </w:r>
            <w:r>
              <w:t>.</w:t>
            </w:r>
            <w:r>
              <w:rPr>
                <w:rFonts w:hint="eastAsia"/>
              </w:rPr>
              <w:t>16</w:t>
            </w:r>
            <w:r>
              <w:t>-202</w:t>
            </w:r>
            <w:r>
              <w:rPr>
                <w:rFonts w:hint="eastAsia"/>
              </w:rPr>
              <w:t>4</w:t>
            </w:r>
            <w:r>
              <w:t>.</w:t>
            </w:r>
            <w:r>
              <w:rPr>
                <w:rFonts w:hint="eastAsia"/>
              </w:rPr>
              <w:t>8</w:t>
            </w:r>
            <w:r>
              <w:t>.</w:t>
            </w:r>
            <w:r>
              <w:rPr>
                <w:rFonts w:hint="eastAsia"/>
              </w:rPr>
              <w:t>22</w:t>
            </w:r>
          </w:p>
        </w:tc>
        <w:tc>
          <w:tcPr>
            <w:tcW w:w="942" w:type="pct"/>
            <w:vAlign w:val="center"/>
          </w:tcPr>
          <w:p w14:paraId="1DE52702">
            <w:pPr>
              <w:pStyle w:val="1535"/>
            </w:pPr>
            <w:r>
              <w:t>非甲烷总烃</w:t>
            </w:r>
            <w:r>
              <w:rPr>
                <w:rFonts w:hint="eastAsia"/>
              </w:rPr>
              <w:t>、</w:t>
            </w:r>
            <w:r>
              <w:t>氯化氢、氟化物</w:t>
            </w:r>
          </w:p>
        </w:tc>
        <w:tc>
          <w:tcPr>
            <w:tcW w:w="1044" w:type="pct"/>
            <w:vAlign w:val="center"/>
          </w:tcPr>
          <w:p w14:paraId="7B164559">
            <w:pPr>
              <w:pStyle w:val="1535"/>
            </w:pPr>
            <w:r>
              <w:t>连续监测7天，4次/天</w:t>
            </w:r>
          </w:p>
        </w:tc>
        <w:tc>
          <w:tcPr>
            <w:tcW w:w="1044" w:type="pct"/>
            <w:vAlign w:val="center"/>
          </w:tcPr>
          <w:p w14:paraId="206F6E6E">
            <w:pPr>
              <w:pStyle w:val="1535"/>
            </w:pPr>
            <w:r>
              <w:rPr>
                <w:rFonts w:hint="eastAsia"/>
              </w:rPr>
              <w:t>港庆（监）字[2024]第07003-1-HP号</w:t>
            </w:r>
          </w:p>
        </w:tc>
      </w:tr>
      <w:bookmarkEnd w:id="217"/>
    </w:tbl>
    <w:p w14:paraId="1A44EA41">
      <w:pPr>
        <w:ind w:firstLine="520"/>
        <w:rPr>
          <w:color w:val="000000" w:themeColor="text1"/>
          <w14:textFill>
            <w14:solidFill>
              <w14:schemeClr w14:val="tx1"/>
            </w14:solidFill>
          </w14:textFill>
        </w:rPr>
      </w:pPr>
      <w:bookmarkStart w:id="218" w:name="_Hlk161992646"/>
      <w:r>
        <w:rPr>
          <w:color w:val="000000" w:themeColor="text1"/>
          <w14:textFill>
            <w14:solidFill>
              <w14:schemeClr w14:val="tx1"/>
            </w14:solidFill>
          </w14:textFill>
        </w:rPr>
        <w:t>评价方法：根据《环境影响评价技术导则大气环境》(HJ2.2-2018)采用占标率Pi计算方法如下：</w:t>
      </w:r>
    </w:p>
    <w:p w14:paraId="60DB85F8">
      <w:pPr>
        <w:spacing w:line="240" w:lineRule="auto"/>
        <w:ind w:firstLine="0" w:firstLineChars="0"/>
        <w:jc w:val="center"/>
        <w:rPr>
          <w:color w:val="000000" w:themeColor="text1"/>
          <w:vertAlign w:val="subscript"/>
          <w14:textFill>
            <w14:solidFill>
              <w14:schemeClr w14:val="tx1"/>
            </w14:solidFill>
          </w14:textFill>
        </w:rPr>
      </w:pPr>
      <w:r>
        <w:rPr>
          <w:color w:val="000000" w:themeColor="text1"/>
          <w:position w:val="-30"/>
          <w14:textFill>
            <w14:solidFill>
              <w14:schemeClr w14:val="tx1"/>
            </w14:solidFill>
          </w14:textFill>
        </w:rPr>
        <w:object>
          <v:shape id="_x0000_i1029" o:spt="75" type="#_x0000_t75" style="height:34.35pt;width:45.2pt;" o:ole="t" filled="f" o:preferrelative="t" stroked="f" coordsize="21600,21600">
            <v:path/>
            <v:fill on="f" focussize="0,0"/>
            <v:stroke on="f" joinstyle="miter"/>
            <v:imagedata r:id="rId54" o:title=""/>
            <o:lock v:ext="edit" aspectratio="t"/>
            <w10:wrap type="none"/>
            <w10:anchorlock/>
          </v:shape>
          <o:OLEObject Type="Embed" ProgID="Equation.3" ShapeID="_x0000_i1029" DrawAspect="Content" ObjectID="_1468075725" r:id="rId53">
            <o:LockedField>false</o:LockedField>
          </o:OLEObject>
        </w:object>
      </w:r>
    </w:p>
    <w:p w14:paraId="60AF6A6F">
      <w:pPr>
        <w:ind w:firstLine="520"/>
        <w:rPr>
          <w:color w:val="000000" w:themeColor="text1"/>
          <w14:textFill>
            <w14:solidFill>
              <w14:schemeClr w14:val="tx1"/>
            </w14:solidFill>
          </w14:textFill>
        </w:rPr>
      </w:pPr>
      <w:r>
        <w:rPr>
          <w:color w:val="000000" w:themeColor="text1"/>
          <w14:textFill>
            <w14:solidFill>
              <w14:schemeClr w14:val="tx1"/>
            </w14:solidFill>
          </w14:textFill>
        </w:rPr>
        <w:t>式中：</w:t>
      </w:r>
      <w:r>
        <w:rPr>
          <w:color w:val="000000" w:themeColor="text1"/>
          <w:position w:val="-12"/>
          <w14:textFill>
            <w14:solidFill>
              <w14:schemeClr w14:val="tx1"/>
            </w14:solidFill>
          </w14:textFill>
        </w:rPr>
        <w:object>
          <v:shape id="_x0000_i1030" o:spt="75" type="#_x0000_t75" style="height:15.05pt;width:15.05pt;" o:ole="t" filled="f" o:preferrelative="t" stroked="f" coordsize="21600,21600">
            <v:path/>
            <v:fill on="f" focussize="0,0"/>
            <v:stroke on="f" joinstyle="miter"/>
            <v:imagedata r:id="rId56" o:title=""/>
            <o:lock v:ext="edit" aspectratio="t"/>
            <w10:wrap type="none"/>
            <w10:anchorlock/>
          </v:shape>
          <o:OLEObject Type="Embed" ProgID="Equation.3" ShapeID="_x0000_i1030" DrawAspect="Content" ObjectID="_1468075726" r:id="rId55">
            <o:LockedField>false</o:LockedField>
          </o:OLEObject>
        </w:object>
      </w:r>
      <w:r>
        <w:rPr>
          <w:color w:val="000000" w:themeColor="text1"/>
          <w14:textFill>
            <w14:solidFill>
              <w14:schemeClr w14:val="tx1"/>
            </w14:solidFill>
          </w14:textFill>
        </w:rPr>
        <w:t>——第i个污染物最大地面浓度占标率，%；</w:t>
      </w:r>
    </w:p>
    <w:p w14:paraId="44932161">
      <w:pPr>
        <w:ind w:firstLine="52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1" o:spt="75" type="#_x0000_t75" style="height:15.05pt;width:15.05pt;" o:ole="t" filled="f" o:preferrelative="t" stroked="f" coordsize="21600,21600">
            <v:path/>
            <v:fill on="f" focussize="0,0"/>
            <v:stroke on="f" joinstyle="miter"/>
            <v:imagedata r:id="rId58" o:title=""/>
            <o:lock v:ext="edit" aspectratio="t"/>
            <w10:wrap type="none"/>
            <w10:anchorlock/>
          </v:shape>
          <o:OLEObject Type="Embed" ProgID="Equation.3" ShapeID="_x0000_i1031" DrawAspect="Content" ObjectID="_1468075727" r:id="rId57">
            <o:LockedField>false</o:LockedField>
          </o:OLEObject>
        </w:object>
      </w:r>
      <w:r>
        <w:rPr>
          <w:color w:val="000000" w:themeColor="text1"/>
          <w14:textFill>
            <w14:solidFill>
              <w14:schemeClr w14:val="tx1"/>
            </w14:solidFill>
          </w14:textFill>
        </w:rPr>
        <w:t>——污染物i的实测值，mg/m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5B746625">
      <w:pPr>
        <w:ind w:firstLine="52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2" o:spt="75" type="#_x0000_t75" style="height:15.05pt;width:15.05pt;" o:ole="t" filled="f" o:preferrelative="t" stroked="f" coordsize="21600,21600">
            <v:path/>
            <v:fill on="f" focussize="0,0"/>
            <v:stroke on="f" joinstyle="miter"/>
            <v:imagedata r:id="rId60" o:title=""/>
            <o:lock v:ext="edit" aspectratio="t"/>
            <w10:wrap type="none"/>
            <w10:anchorlock/>
          </v:shape>
          <o:OLEObject Type="Embed" ProgID="Equation.3" ShapeID="_x0000_i1032" DrawAspect="Content" ObjectID="_1468075728" r:id="rId59">
            <o:LockedField>false</o:LockedField>
          </o:OLEObject>
        </w:object>
      </w:r>
      <w:r>
        <w:rPr>
          <w:color w:val="000000" w:themeColor="text1"/>
          <w14:textFill>
            <w14:solidFill>
              <w14:schemeClr w14:val="tx1"/>
            </w14:solidFill>
          </w14:textFill>
        </w:rPr>
        <w:t>——污染物i环境质量标准，mg/m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1B7F8677">
      <w:pPr>
        <w:ind w:firstLine="520"/>
        <w:rPr>
          <w:color w:val="000000" w:themeColor="text1"/>
          <w14:textFill>
            <w14:solidFill>
              <w14:schemeClr w14:val="tx1"/>
            </w14:solidFill>
          </w14:textFill>
        </w:rPr>
      </w:pPr>
      <w:r>
        <w:rPr>
          <w:color w:val="000000" w:themeColor="text1"/>
          <w14:textFill>
            <w14:solidFill>
              <w14:schemeClr w14:val="tx1"/>
            </w14:solidFill>
          </w14:textFill>
        </w:rPr>
        <w:t>环境空气现状监测统计结果见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_Ref160552426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bookmarkEnd w:id="218"/>
    <w:p w14:paraId="065641B9">
      <w:pPr>
        <w:ind w:firstLine="0" w:firstLineChars="0"/>
        <w:jc w:val="center"/>
        <w:rPr>
          <w:color w:val="000000" w:themeColor="text1"/>
          <w14:textFill>
            <w14:solidFill>
              <w14:schemeClr w14:val="tx1"/>
            </w14:solidFill>
          </w14:textFill>
        </w:rPr>
      </w:pPr>
      <w:bookmarkStart w:id="219" w:name="_Ref160552426"/>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bookmarkEnd w:id="219"/>
      <w:r>
        <w:rPr>
          <w:color w:val="000000" w:themeColor="text1"/>
          <w14:textFill>
            <w14:solidFill>
              <w14:schemeClr w14:val="tx1"/>
            </w14:solidFill>
          </w14:textFill>
        </w:rPr>
        <w:t xml:space="preserve">    环境空气质量监测结果</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917"/>
        <w:gridCol w:w="1293"/>
        <w:gridCol w:w="1338"/>
        <w:gridCol w:w="1338"/>
        <w:gridCol w:w="1395"/>
        <w:gridCol w:w="927"/>
        <w:gridCol w:w="810"/>
      </w:tblGrid>
      <w:tr w14:paraId="3FBC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47" w:type="pct"/>
            <w:vMerge w:val="restart"/>
            <w:vAlign w:val="center"/>
          </w:tcPr>
          <w:p w14:paraId="36241C6A">
            <w:pPr>
              <w:pStyle w:val="1535"/>
            </w:pPr>
            <w:bookmarkStart w:id="220" w:name="_Hlk161992730"/>
            <w:bookmarkStart w:id="221" w:name="_Toc11942568"/>
            <w:r>
              <w:t>点位名称</w:t>
            </w:r>
          </w:p>
        </w:tc>
        <w:tc>
          <w:tcPr>
            <w:tcW w:w="509" w:type="pct"/>
            <w:vMerge w:val="restart"/>
            <w:vAlign w:val="center"/>
          </w:tcPr>
          <w:p w14:paraId="2262EFEB">
            <w:pPr>
              <w:pStyle w:val="1535"/>
            </w:pPr>
            <w:r>
              <w:t>污染物</w:t>
            </w:r>
          </w:p>
        </w:tc>
        <w:tc>
          <w:tcPr>
            <w:tcW w:w="718" w:type="pct"/>
            <w:vMerge w:val="restart"/>
            <w:vAlign w:val="center"/>
          </w:tcPr>
          <w:p w14:paraId="489AC2F1">
            <w:pPr>
              <w:pStyle w:val="1535"/>
            </w:pPr>
            <w:r>
              <w:t>平均时间</w:t>
            </w:r>
          </w:p>
        </w:tc>
        <w:tc>
          <w:tcPr>
            <w:tcW w:w="743" w:type="pct"/>
            <w:vMerge w:val="restart"/>
            <w:vAlign w:val="center"/>
          </w:tcPr>
          <w:p w14:paraId="743576B5">
            <w:pPr>
              <w:pStyle w:val="1535"/>
            </w:pPr>
            <w:r>
              <w:t>评价标准/（μg/</w:t>
            </w:r>
            <w:r>
              <w:rPr>
                <w:rFonts w:hint="eastAsia"/>
              </w:rPr>
              <w:t xml:space="preserve"> m</w:t>
            </w:r>
            <w:r>
              <w:rPr>
                <w:rFonts w:hint="eastAsia"/>
                <w:vertAlign w:val="superscript"/>
              </w:rPr>
              <w:t>3</w:t>
            </w:r>
            <w:r>
              <w:t>）</w:t>
            </w:r>
          </w:p>
        </w:tc>
        <w:tc>
          <w:tcPr>
            <w:tcW w:w="743" w:type="pct"/>
            <w:vMerge w:val="restart"/>
            <w:vAlign w:val="center"/>
          </w:tcPr>
          <w:p w14:paraId="4217F1D1">
            <w:pPr>
              <w:pStyle w:val="1535"/>
            </w:pPr>
            <w:r>
              <w:t>现状浓度/（μg/</w:t>
            </w:r>
            <w:r>
              <w:rPr>
                <w:rFonts w:hint="eastAsia"/>
              </w:rPr>
              <w:t xml:space="preserve"> m</w:t>
            </w:r>
            <w:r>
              <w:rPr>
                <w:rFonts w:hint="eastAsia"/>
                <w:vertAlign w:val="superscript"/>
              </w:rPr>
              <w:t>3</w:t>
            </w:r>
            <w:r>
              <w:t>）</w:t>
            </w:r>
          </w:p>
        </w:tc>
        <w:tc>
          <w:tcPr>
            <w:tcW w:w="775" w:type="pct"/>
            <w:vMerge w:val="restart"/>
            <w:vAlign w:val="center"/>
          </w:tcPr>
          <w:p w14:paraId="2BA4C6B4">
            <w:pPr>
              <w:pStyle w:val="1535"/>
            </w:pPr>
            <w:r>
              <w:t>最大浓度占标率/%</w:t>
            </w:r>
          </w:p>
        </w:tc>
        <w:tc>
          <w:tcPr>
            <w:tcW w:w="515" w:type="pct"/>
            <w:vMerge w:val="restart"/>
            <w:vAlign w:val="center"/>
          </w:tcPr>
          <w:p w14:paraId="6B67B0D1">
            <w:pPr>
              <w:pStyle w:val="1535"/>
            </w:pPr>
            <w:r>
              <w:t>超标率/%</w:t>
            </w:r>
          </w:p>
        </w:tc>
        <w:tc>
          <w:tcPr>
            <w:tcW w:w="450" w:type="pct"/>
            <w:vMerge w:val="restart"/>
            <w:vAlign w:val="center"/>
          </w:tcPr>
          <w:p w14:paraId="03F7426F">
            <w:pPr>
              <w:pStyle w:val="1535"/>
            </w:pPr>
            <w:r>
              <w:t>达标情况</w:t>
            </w:r>
          </w:p>
        </w:tc>
      </w:tr>
      <w:tr w14:paraId="4C13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47" w:type="pct"/>
            <w:vMerge w:val="continue"/>
            <w:vAlign w:val="center"/>
          </w:tcPr>
          <w:p w14:paraId="33855D38">
            <w:pPr>
              <w:pStyle w:val="1535"/>
            </w:pPr>
          </w:p>
        </w:tc>
        <w:tc>
          <w:tcPr>
            <w:tcW w:w="509" w:type="pct"/>
            <w:vMerge w:val="continue"/>
            <w:vAlign w:val="center"/>
          </w:tcPr>
          <w:p w14:paraId="1E55F8F3">
            <w:pPr>
              <w:pStyle w:val="1535"/>
            </w:pPr>
          </w:p>
        </w:tc>
        <w:tc>
          <w:tcPr>
            <w:tcW w:w="718" w:type="pct"/>
            <w:vMerge w:val="continue"/>
            <w:vAlign w:val="center"/>
          </w:tcPr>
          <w:p w14:paraId="633C4051">
            <w:pPr>
              <w:pStyle w:val="1535"/>
            </w:pPr>
          </w:p>
        </w:tc>
        <w:tc>
          <w:tcPr>
            <w:tcW w:w="743" w:type="pct"/>
            <w:vMerge w:val="continue"/>
            <w:vAlign w:val="center"/>
          </w:tcPr>
          <w:p w14:paraId="197C4C8E">
            <w:pPr>
              <w:pStyle w:val="1535"/>
            </w:pPr>
          </w:p>
        </w:tc>
        <w:tc>
          <w:tcPr>
            <w:tcW w:w="743" w:type="pct"/>
            <w:vMerge w:val="continue"/>
            <w:vAlign w:val="center"/>
          </w:tcPr>
          <w:p w14:paraId="509190FE">
            <w:pPr>
              <w:pStyle w:val="1535"/>
            </w:pPr>
          </w:p>
        </w:tc>
        <w:tc>
          <w:tcPr>
            <w:tcW w:w="775" w:type="pct"/>
            <w:vMerge w:val="continue"/>
            <w:vAlign w:val="center"/>
          </w:tcPr>
          <w:p w14:paraId="7B743CF5">
            <w:pPr>
              <w:pStyle w:val="1535"/>
            </w:pPr>
          </w:p>
        </w:tc>
        <w:tc>
          <w:tcPr>
            <w:tcW w:w="515" w:type="pct"/>
            <w:vMerge w:val="continue"/>
            <w:vAlign w:val="center"/>
          </w:tcPr>
          <w:p w14:paraId="3553774B">
            <w:pPr>
              <w:pStyle w:val="1535"/>
            </w:pPr>
          </w:p>
        </w:tc>
        <w:tc>
          <w:tcPr>
            <w:tcW w:w="450" w:type="pct"/>
            <w:vMerge w:val="continue"/>
            <w:vAlign w:val="center"/>
          </w:tcPr>
          <w:p w14:paraId="5E144E7D">
            <w:pPr>
              <w:pStyle w:val="1535"/>
            </w:pPr>
          </w:p>
        </w:tc>
      </w:tr>
      <w:tr w14:paraId="5A53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restart"/>
            <w:vAlign w:val="center"/>
          </w:tcPr>
          <w:p w14:paraId="33996366">
            <w:pPr>
              <w:pStyle w:val="1535"/>
            </w:pPr>
            <w:r>
              <w:rPr>
                <w:rFonts w:hint="eastAsia"/>
              </w:rPr>
              <w:t>规划区内规划居住用地</w:t>
            </w:r>
          </w:p>
        </w:tc>
        <w:tc>
          <w:tcPr>
            <w:tcW w:w="509" w:type="pct"/>
            <w:vAlign w:val="center"/>
          </w:tcPr>
          <w:p w14:paraId="1E86FC4D">
            <w:pPr>
              <w:pStyle w:val="1535"/>
            </w:pPr>
            <w:r>
              <w:rPr>
                <w:rFonts w:hint="eastAsia"/>
              </w:rPr>
              <w:t>非甲烷总烃</w:t>
            </w:r>
          </w:p>
        </w:tc>
        <w:tc>
          <w:tcPr>
            <w:tcW w:w="718" w:type="pct"/>
            <w:vMerge w:val="restart"/>
            <w:vAlign w:val="center"/>
          </w:tcPr>
          <w:p w14:paraId="3B89CAF3">
            <w:pPr>
              <w:pStyle w:val="1535"/>
            </w:pPr>
            <w:r>
              <w:t>1小时平均</w:t>
            </w:r>
          </w:p>
        </w:tc>
        <w:tc>
          <w:tcPr>
            <w:tcW w:w="743" w:type="pct"/>
            <w:vAlign w:val="center"/>
          </w:tcPr>
          <w:p w14:paraId="303B8FDD">
            <w:pPr>
              <w:pStyle w:val="1535"/>
            </w:pPr>
            <w:r>
              <w:rPr>
                <w:rFonts w:hint="eastAsia"/>
              </w:rPr>
              <w:t>2000</w:t>
            </w:r>
          </w:p>
        </w:tc>
        <w:tc>
          <w:tcPr>
            <w:tcW w:w="743" w:type="pct"/>
            <w:vAlign w:val="center"/>
          </w:tcPr>
          <w:p w14:paraId="780AE4FA">
            <w:pPr>
              <w:pStyle w:val="1535"/>
            </w:pPr>
            <w:r>
              <w:rPr>
                <w:rFonts w:hint="eastAsia"/>
              </w:rPr>
              <w:t>470</w:t>
            </w:r>
            <w:r>
              <w:t>~7</w:t>
            </w:r>
            <w:r>
              <w:rPr>
                <w:rFonts w:hint="eastAsia"/>
              </w:rPr>
              <w:t>20</w:t>
            </w:r>
          </w:p>
        </w:tc>
        <w:tc>
          <w:tcPr>
            <w:tcW w:w="775" w:type="pct"/>
            <w:vAlign w:val="center"/>
          </w:tcPr>
          <w:p w14:paraId="54FF46E7">
            <w:pPr>
              <w:pStyle w:val="1535"/>
            </w:pPr>
            <w:r>
              <w:rPr>
                <w:rFonts w:hint="eastAsia"/>
              </w:rPr>
              <w:t>36.0</w:t>
            </w:r>
            <w:r>
              <w:t>%</w:t>
            </w:r>
          </w:p>
        </w:tc>
        <w:tc>
          <w:tcPr>
            <w:tcW w:w="515" w:type="pct"/>
            <w:vAlign w:val="center"/>
          </w:tcPr>
          <w:p w14:paraId="604FDDF6">
            <w:pPr>
              <w:pStyle w:val="1535"/>
            </w:pPr>
            <w:r>
              <w:t>0</w:t>
            </w:r>
          </w:p>
        </w:tc>
        <w:tc>
          <w:tcPr>
            <w:tcW w:w="450" w:type="pct"/>
            <w:vAlign w:val="center"/>
          </w:tcPr>
          <w:p w14:paraId="73032298">
            <w:pPr>
              <w:pStyle w:val="1535"/>
            </w:pPr>
            <w:r>
              <w:t>达标</w:t>
            </w:r>
          </w:p>
        </w:tc>
      </w:tr>
      <w:tr w14:paraId="14F5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vAlign w:val="center"/>
          </w:tcPr>
          <w:p w14:paraId="4321B360">
            <w:pPr>
              <w:pStyle w:val="1535"/>
            </w:pPr>
          </w:p>
        </w:tc>
        <w:tc>
          <w:tcPr>
            <w:tcW w:w="509" w:type="pct"/>
            <w:vAlign w:val="center"/>
          </w:tcPr>
          <w:p w14:paraId="7EEB5192">
            <w:pPr>
              <w:pStyle w:val="1535"/>
            </w:pPr>
            <w:r>
              <w:t>氯化氢</w:t>
            </w:r>
          </w:p>
        </w:tc>
        <w:tc>
          <w:tcPr>
            <w:tcW w:w="718" w:type="pct"/>
            <w:vMerge w:val="continue"/>
            <w:vAlign w:val="center"/>
          </w:tcPr>
          <w:p w14:paraId="24A55D3B">
            <w:pPr>
              <w:pStyle w:val="1535"/>
            </w:pPr>
          </w:p>
        </w:tc>
        <w:tc>
          <w:tcPr>
            <w:tcW w:w="743" w:type="pct"/>
            <w:vAlign w:val="center"/>
          </w:tcPr>
          <w:p w14:paraId="76F65867">
            <w:pPr>
              <w:pStyle w:val="1535"/>
            </w:pPr>
            <w:r>
              <w:rPr>
                <w:rFonts w:hint="eastAsia"/>
              </w:rPr>
              <w:t>50</w:t>
            </w:r>
          </w:p>
        </w:tc>
        <w:tc>
          <w:tcPr>
            <w:tcW w:w="743" w:type="pct"/>
            <w:vAlign w:val="center"/>
          </w:tcPr>
          <w:p w14:paraId="63AA5B8E">
            <w:pPr>
              <w:pStyle w:val="1535"/>
            </w:pPr>
            <w:r>
              <w:rPr>
                <w:rFonts w:hint="eastAsia"/>
              </w:rPr>
              <w:t>27~37</w:t>
            </w:r>
          </w:p>
        </w:tc>
        <w:tc>
          <w:tcPr>
            <w:tcW w:w="775" w:type="pct"/>
            <w:vAlign w:val="center"/>
          </w:tcPr>
          <w:p w14:paraId="19874568">
            <w:pPr>
              <w:pStyle w:val="1535"/>
            </w:pPr>
            <w:r>
              <w:rPr>
                <w:rFonts w:hint="eastAsia"/>
              </w:rPr>
              <w:t>74.0%</w:t>
            </w:r>
          </w:p>
        </w:tc>
        <w:tc>
          <w:tcPr>
            <w:tcW w:w="515" w:type="pct"/>
            <w:vAlign w:val="center"/>
          </w:tcPr>
          <w:p w14:paraId="757E730E">
            <w:pPr>
              <w:pStyle w:val="1535"/>
            </w:pPr>
            <w:r>
              <w:rPr>
                <w:rFonts w:hint="eastAsia"/>
              </w:rPr>
              <w:t>0</w:t>
            </w:r>
          </w:p>
        </w:tc>
        <w:tc>
          <w:tcPr>
            <w:tcW w:w="450" w:type="pct"/>
            <w:vAlign w:val="center"/>
          </w:tcPr>
          <w:p w14:paraId="0F10DCD8">
            <w:pPr>
              <w:pStyle w:val="1535"/>
            </w:pPr>
            <w:r>
              <w:t>达标</w:t>
            </w:r>
          </w:p>
        </w:tc>
      </w:tr>
      <w:tr w14:paraId="516C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vAlign w:val="center"/>
          </w:tcPr>
          <w:p w14:paraId="183D21E1">
            <w:pPr>
              <w:pStyle w:val="1535"/>
            </w:pPr>
          </w:p>
        </w:tc>
        <w:tc>
          <w:tcPr>
            <w:tcW w:w="509" w:type="pct"/>
            <w:vAlign w:val="center"/>
          </w:tcPr>
          <w:p w14:paraId="7C496D9B">
            <w:pPr>
              <w:pStyle w:val="1535"/>
            </w:pPr>
            <w:r>
              <w:t>氟化物</w:t>
            </w:r>
          </w:p>
        </w:tc>
        <w:tc>
          <w:tcPr>
            <w:tcW w:w="718" w:type="pct"/>
            <w:vMerge w:val="continue"/>
            <w:vAlign w:val="center"/>
          </w:tcPr>
          <w:p w14:paraId="27FECE58">
            <w:pPr>
              <w:pStyle w:val="1535"/>
            </w:pPr>
          </w:p>
        </w:tc>
        <w:tc>
          <w:tcPr>
            <w:tcW w:w="743" w:type="pct"/>
            <w:vAlign w:val="center"/>
          </w:tcPr>
          <w:p w14:paraId="753EC355">
            <w:pPr>
              <w:pStyle w:val="1535"/>
            </w:pPr>
            <w:r>
              <w:t>20</w:t>
            </w:r>
          </w:p>
        </w:tc>
        <w:tc>
          <w:tcPr>
            <w:tcW w:w="743" w:type="pct"/>
            <w:vAlign w:val="center"/>
          </w:tcPr>
          <w:p w14:paraId="03D88B05">
            <w:pPr>
              <w:pStyle w:val="1535"/>
            </w:pPr>
            <w:r>
              <w:rPr>
                <w:rFonts w:hint="eastAsia"/>
              </w:rPr>
              <w:t>ND</w:t>
            </w:r>
          </w:p>
        </w:tc>
        <w:tc>
          <w:tcPr>
            <w:tcW w:w="775" w:type="pct"/>
            <w:vAlign w:val="center"/>
          </w:tcPr>
          <w:p w14:paraId="2559EB1A">
            <w:pPr>
              <w:pStyle w:val="1535"/>
            </w:pPr>
            <w:r>
              <w:rPr>
                <w:rFonts w:hint="eastAsia"/>
              </w:rPr>
              <w:t>/</w:t>
            </w:r>
          </w:p>
        </w:tc>
        <w:tc>
          <w:tcPr>
            <w:tcW w:w="515" w:type="pct"/>
            <w:vAlign w:val="center"/>
          </w:tcPr>
          <w:p w14:paraId="059D0556">
            <w:pPr>
              <w:pStyle w:val="1535"/>
            </w:pPr>
            <w:r>
              <w:t>0</w:t>
            </w:r>
          </w:p>
        </w:tc>
        <w:tc>
          <w:tcPr>
            <w:tcW w:w="450" w:type="pct"/>
            <w:vAlign w:val="center"/>
          </w:tcPr>
          <w:p w14:paraId="73E27341">
            <w:pPr>
              <w:pStyle w:val="1535"/>
            </w:pPr>
            <w:r>
              <w:t>达标</w:t>
            </w:r>
          </w:p>
        </w:tc>
      </w:tr>
      <w:bookmarkEnd w:id="220"/>
    </w:tbl>
    <w:p w14:paraId="49CE8781">
      <w:pPr>
        <w:spacing w:line="240" w:lineRule="auto"/>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注：“ND”表示未检出。</w:t>
      </w:r>
    </w:p>
    <w:p w14:paraId="1331416C">
      <w:pPr>
        <w:ind w:firstLine="520"/>
        <w:rPr>
          <w:bCs/>
          <w:color w:val="000000" w:themeColor="text1"/>
          <w14:textFill>
            <w14:solidFill>
              <w14:schemeClr w14:val="tx1"/>
            </w14:solidFill>
          </w14:textFill>
        </w:rPr>
      </w:pPr>
      <w:r>
        <w:rPr>
          <w:color w:val="000000" w:themeColor="text1"/>
          <w14:textFill>
            <w14:solidFill>
              <w14:schemeClr w14:val="tx1"/>
            </w14:solidFill>
          </w14:textFill>
        </w:rPr>
        <w:t>由</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_Ref160552426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可知，监测点环境空气中氯化氢、氟化物、非甲烷总烃的P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值均小于100%，其中氯化氢满足《环境影响评价技术导则大气环境》（HJ2.2-2018）“附录D其他污染物空气质量浓度参考限值”，非甲烷总烃满足</w:t>
      </w:r>
      <w:r>
        <w:rPr>
          <w:rFonts w:hint="eastAsia"/>
          <w:color w:val="000000" w:themeColor="text1"/>
          <w14:textFill>
            <w14:solidFill>
              <w14:schemeClr w14:val="tx1"/>
            </w14:solidFill>
          </w14:textFill>
        </w:rPr>
        <w:t>河北省</w:t>
      </w:r>
      <w:r>
        <w:rPr>
          <w:color w:val="000000" w:themeColor="text1"/>
          <w14:textFill>
            <w14:solidFill>
              <w14:schemeClr w14:val="tx1"/>
            </w14:solidFill>
          </w14:textFill>
        </w:rPr>
        <w:t>《环境空气质量非甲烷总烃限值》（DB13/1577-2012）表1中二级标准，</w:t>
      </w:r>
      <w:bookmarkStart w:id="222" w:name="_Hlk161996209"/>
      <w:r>
        <w:rPr>
          <w:color w:val="000000" w:themeColor="text1"/>
          <w14:textFill>
            <w14:solidFill>
              <w14:schemeClr w14:val="tx1"/>
            </w14:solidFill>
          </w14:textFill>
        </w:rPr>
        <w:t>氟化物满足《环境空气质量标准》（GB3095-2012）附录A二级标准。</w:t>
      </w:r>
      <w:bookmarkEnd w:id="222"/>
    </w:p>
    <w:p w14:paraId="63A792BD">
      <w:pPr>
        <w:pStyle w:val="5"/>
        <w:rPr>
          <w:color w:val="000000" w:themeColor="text1"/>
          <w14:textFill>
            <w14:solidFill>
              <w14:schemeClr w14:val="tx1"/>
            </w14:solidFill>
          </w14:textFill>
        </w:rPr>
      </w:pPr>
      <w:r>
        <w:rPr>
          <w:color w:val="000000" w:themeColor="text1"/>
          <w14:textFill>
            <w14:solidFill>
              <w14:schemeClr w14:val="tx1"/>
            </w14:solidFill>
          </w14:textFill>
        </w:rPr>
        <w:t>地表水环境质量现状</w:t>
      </w:r>
      <w:bookmarkEnd w:id="221"/>
    </w:p>
    <w:p w14:paraId="2EB559F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生活污水经生化池处理达《电子工业水污染物排放标准》（GB39731-2020）间接排放标准（动植物油执行《污水综合排放标准》（GB8978-1996）三级标准）。生产废水经厂区综合污水处理站处理，达《电子工业水污染物排放标准》（GB39731-2020）间接排放限值，综合废水和生活污水</w:t>
      </w:r>
      <w:r>
        <w:rPr>
          <w:rFonts w:hint="eastAsia"/>
          <w:color w:val="000000" w:themeColor="text1"/>
          <w14:textFill>
            <w14:solidFill>
              <w14:schemeClr w14:val="tx1"/>
            </w14:solidFill>
          </w14:textFill>
        </w:rPr>
        <w:t>一并</w:t>
      </w:r>
      <w:r>
        <w:rPr>
          <w:color w:val="000000" w:themeColor="text1"/>
          <w14:textFill>
            <w14:solidFill>
              <w14:schemeClr w14:val="tx1"/>
            </w14:solidFill>
          </w14:textFill>
        </w:rPr>
        <w:t>在厂区总排口排入园区管网，再经西彭工业园区污水处理厂处理达《污水综合排放标准》（GB8978-1996）一级标准后</w:t>
      </w:r>
      <w:r>
        <w:rPr>
          <w:color w:val="000000" w:themeColor="text1"/>
          <w:spacing w:val="-6"/>
          <w:szCs w:val="26"/>
          <w14:textFill>
            <w14:solidFill>
              <w14:schemeClr w14:val="tx1"/>
            </w14:solidFill>
          </w14:textFill>
        </w:rPr>
        <w:t>排入桥头河，约经2km最终汇入长</w:t>
      </w:r>
      <w:r>
        <w:rPr>
          <w:color w:val="000000" w:themeColor="text1"/>
          <w:szCs w:val="26"/>
          <w14:textFill>
            <w14:solidFill>
              <w14:schemeClr w14:val="tx1"/>
            </w14:solidFill>
          </w14:textFill>
        </w:rPr>
        <w:t>江。</w:t>
      </w:r>
      <w:bookmarkStart w:id="223" w:name="_Hlk161998037"/>
      <w:r>
        <w:rPr>
          <w:rFonts w:hint="eastAsia"/>
          <w:color w:val="000000" w:themeColor="text1"/>
          <w:szCs w:val="26"/>
          <w14:textFill>
            <w14:solidFill>
              <w14:schemeClr w14:val="tx1"/>
            </w14:solidFill>
          </w14:textFill>
        </w:rPr>
        <w:t>评价</w:t>
      </w:r>
      <w:r>
        <w:rPr>
          <w:color w:val="000000" w:themeColor="text1"/>
          <w14:textFill>
            <w14:solidFill>
              <w14:schemeClr w14:val="tx1"/>
            </w14:solidFill>
          </w14:textFill>
        </w:rPr>
        <w:t>引用</w:t>
      </w:r>
      <w:r>
        <w:rPr>
          <w:rFonts w:hint="eastAsia"/>
          <w:color w:val="000000" w:themeColor="text1"/>
          <w14:textFill>
            <w14:solidFill>
              <w14:schemeClr w14:val="tx1"/>
            </w14:solidFill>
          </w14:textFill>
        </w:rPr>
        <w:t>《西彭园区污水处理厂扩建及提标改造项目环境影响报告书》地表水环境质量监测数据（港庆（监）字[2022]第11008-HP号）进行评价，监测时间</w:t>
      </w:r>
      <w:r>
        <w:rPr>
          <w:rFonts w:hint="eastAsia"/>
          <w:color w:val="000000" w:themeColor="text1"/>
          <w:szCs w:val="26"/>
          <w14:textFill>
            <w14:solidFill>
              <w14:schemeClr w14:val="tx1"/>
            </w14:solidFill>
          </w14:textFill>
        </w:rPr>
        <w:t>2022年11月8日~10日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监测时间在有效期范围内，因此本次评价引用该</w:t>
      </w:r>
      <w:r>
        <w:rPr>
          <w:color w:val="000000" w:themeColor="text1"/>
          <w14:textFill>
            <w14:solidFill>
              <w14:schemeClr w14:val="tx1"/>
            </w14:solidFill>
          </w14:textFill>
        </w:rPr>
        <w:t>监测</w:t>
      </w:r>
      <w:r>
        <w:rPr>
          <w:rFonts w:hint="eastAsia"/>
          <w:color w:val="000000" w:themeColor="text1"/>
          <w14:textFill>
            <w14:solidFill>
              <w14:schemeClr w14:val="tx1"/>
            </w14:solidFill>
          </w14:textFill>
        </w:rPr>
        <w:t>数据是合理可行的</w:t>
      </w:r>
      <w:r>
        <w:rPr>
          <w:color w:val="000000" w:themeColor="text1"/>
          <w14:textFill>
            <w14:solidFill>
              <w14:schemeClr w14:val="tx1"/>
            </w14:solidFill>
          </w14:textFill>
        </w:rPr>
        <w:t>。</w:t>
      </w:r>
    </w:p>
    <w:bookmarkEnd w:id="223"/>
    <w:p w14:paraId="7E4840FF">
      <w:pPr>
        <w:ind w:firstLine="520"/>
        <w:rPr>
          <w:color w:val="000000" w:themeColor="text1"/>
          <w14:textFill>
            <w14:solidFill>
              <w14:schemeClr w14:val="tx1"/>
            </w14:solidFill>
          </w14:textFill>
        </w:rPr>
      </w:pPr>
      <w:r>
        <w:rPr>
          <w:color w:val="000000" w:themeColor="text1"/>
          <w14:textFill>
            <w14:solidFill>
              <w14:schemeClr w14:val="tx1"/>
            </w14:solidFill>
          </w14:textFill>
        </w:rPr>
        <w:t>（1）监测因子：pH、化学需氧量、石油类、氨氮、氟化物。</w:t>
      </w:r>
    </w:p>
    <w:p w14:paraId="34F27DA9">
      <w:pPr>
        <w:ind w:firstLine="520"/>
        <w:rPr>
          <w:color w:val="000000" w:themeColor="text1"/>
          <w:lang w:val="zh-CN"/>
          <w14:textFill>
            <w14:solidFill>
              <w14:schemeClr w14:val="tx1"/>
            </w14:solidFill>
          </w14:textFill>
        </w:rPr>
      </w:pPr>
      <w:bookmarkStart w:id="224" w:name="_Hlk161998182"/>
      <w:r>
        <w:rPr>
          <w:color w:val="000000" w:themeColor="text1"/>
          <w:lang w:val="zh-CN"/>
          <w14:textFill>
            <w14:solidFill>
              <w14:schemeClr w14:val="tx1"/>
            </w14:solidFill>
          </w14:textFill>
        </w:rPr>
        <w:t>（2）监测断面：</w:t>
      </w:r>
      <w:r>
        <w:rPr>
          <w:rFonts w:hint="eastAsia"/>
          <w:color w:val="000000" w:themeColor="text1"/>
          <w:lang w:val="zh-CN"/>
          <w14:textFill>
            <w14:solidFill>
              <w14:schemeClr w14:val="tx1"/>
            </w14:solidFill>
          </w14:textFill>
        </w:rPr>
        <w:t>桥头河西彭工业园区污水处理厂上游500m、桥头河汇入长江河口上游200m</w:t>
      </w:r>
      <w:r>
        <w:rPr>
          <w:color w:val="000000" w:themeColor="text1"/>
          <w:lang w:val="zh-CN"/>
          <w14:textFill>
            <w14:solidFill>
              <w14:schemeClr w14:val="tx1"/>
            </w14:solidFill>
          </w14:textFill>
        </w:rPr>
        <w:t>，具体见</w:t>
      </w:r>
      <w:r>
        <w:rPr>
          <w:color w:val="000000" w:themeColor="text1"/>
          <w:lang w:val="zh-CN"/>
          <w14:textFill>
            <w14:solidFill>
              <w14:schemeClr w14:val="tx1"/>
            </w14:solidFill>
          </w14:textFill>
        </w:rPr>
        <w:fldChar w:fldCharType="begin"/>
      </w:r>
      <w:r>
        <w:rPr>
          <w:color w:val="000000" w:themeColor="text1"/>
          <w:lang w:val="zh-CN"/>
          <w14:textFill>
            <w14:solidFill>
              <w14:schemeClr w14:val="tx1"/>
            </w14:solidFill>
          </w14:textFill>
        </w:rPr>
        <w:instrText xml:space="preserve"> REF _Ref160552538 \h </w:instrText>
      </w:r>
      <w:r>
        <w:rPr>
          <w:color w:val="000000" w:themeColor="text1"/>
          <w:lang w:val="zh-CN"/>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4</w:t>
      </w:r>
      <w:r>
        <w:rPr>
          <w:color w:val="000000" w:themeColor="text1"/>
          <w:lang w:val="zh-CN"/>
          <w14:textFill>
            <w14:solidFill>
              <w14:schemeClr w14:val="tx1"/>
            </w14:solidFill>
          </w14:textFill>
        </w:rPr>
        <w:fldChar w:fldCharType="end"/>
      </w:r>
      <w:r>
        <w:rPr>
          <w:color w:val="000000" w:themeColor="text1"/>
          <w:lang w:val="zh-CN"/>
          <w14:textFill>
            <w14:solidFill>
              <w14:schemeClr w14:val="tx1"/>
            </w14:solidFill>
          </w14:textFill>
        </w:rPr>
        <w:t>。</w:t>
      </w:r>
    </w:p>
    <w:p w14:paraId="55CB7C28">
      <w:pPr>
        <w:ind w:firstLine="0" w:firstLineChars="0"/>
        <w:jc w:val="center"/>
        <w:rPr>
          <w:color w:val="000000" w:themeColor="text1"/>
          <w14:textFill>
            <w14:solidFill>
              <w14:schemeClr w14:val="tx1"/>
            </w14:solidFill>
          </w14:textFill>
        </w:rPr>
      </w:pPr>
      <w:bookmarkStart w:id="225" w:name="_Ref160552538"/>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bookmarkEnd w:id="225"/>
      <w:r>
        <w:rPr>
          <w:color w:val="000000" w:themeColor="text1"/>
          <w14:textFill>
            <w14:solidFill>
              <w14:schemeClr w14:val="tx1"/>
            </w14:solidFill>
          </w14:textFill>
        </w:rPr>
        <w:t xml:space="preserve">    地表水环境监测断面布设</w:t>
      </w:r>
    </w:p>
    <w:bookmarkEnd w:id="224"/>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4647"/>
        <w:gridCol w:w="3234"/>
      </w:tblGrid>
      <w:tr w14:paraId="17DA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vAlign w:val="center"/>
          </w:tcPr>
          <w:p w14:paraId="7A66FA79">
            <w:pPr>
              <w:pStyle w:val="1535"/>
            </w:pPr>
            <w:bookmarkStart w:id="226" w:name="_Hlk161998274"/>
            <w:r>
              <w:t>断面编号</w:t>
            </w:r>
          </w:p>
        </w:tc>
        <w:tc>
          <w:tcPr>
            <w:tcW w:w="2581" w:type="pct"/>
            <w:vAlign w:val="center"/>
          </w:tcPr>
          <w:p w14:paraId="5BA3DC08">
            <w:pPr>
              <w:pStyle w:val="1535"/>
            </w:pPr>
            <w:r>
              <w:t>断面</w:t>
            </w:r>
          </w:p>
        </w:tc>
        <w:tc>
          <w:tcPr>
            <w:tcW w:w="1796" w:type="pct"/>
            <w:vAlign w:val="center"/>
          </w:tcPr>
          <w:p w14:paraId="383D0449">
            <w:pPr>
              <w:pStyle w:val="1535"/>
            </w:pPr>
            <w:r>
              <w:t>监测项目</w:t>
            </w:r>
          </w:p>
        </w:tc>
      </w:tr>
      <w:tr w14:paraId="52D0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vAlign w:val="center"/>
          </w:tcPr>
          <w:p w14:paraId="29359101">
            <w:pPr>
              <w:pStyle w:val="1535"/>
            </w:pPr>
            <w:r>
              <w:rPr>
                <w:rFonts w:hint="eastAsia"/>
              </w:rPr>
              <w:t>W1</w:t>
            </w:r>
          </w:p>
        </w:tc>
        <w:tc>
          <w:tcPr>
            <w:tcW w:w="2581" w:type="pct"/>
            <w:vAlign w:val="center"/>
          </w:tcPr>
          <w:p w14:paraId="07088E8F">
            <w:pPr>
              <w:pStyle w:val="1535"/>
            </w:pPr>
            <w:r>
              <w:rPr>
                <w:rFonts w:hint="eastAsia"/>
              </w:rPr>
              <w:t>桥头河西彭工业园区污水处理厂上游500m</w:t>
            </w:r>
          </w:p>
        </w:tc>
        <w:tc>
          <w:tcPr>
            <w:tcW w:w="1796" w:type="pct"/>
            <w:vMerge w:val="restart"/>
            <w:vAlign w:val="center"/>
          </w:tcPr>
          <w:p w14:paraId="6E51CA74">
            <w:pPr>
              <w:pStyle w:val="1535"/>
            </w:pPr>
            <w:r>
              <w:t>pH、化学需氧量、石油类、氨氮、氟化物。</w:t>
            </w:r>
          </w:p>
        </w:tc>
      </w:tr>
      <w:tr w14:paraId="3043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vAlign w:val="center"/>
          </w:tcPr>
          <w:p w14:paraId="2D991AB0">
            <w:pPr>
              <w:pStyle w:val="1535"/>
            </w:pPr>
            <w:r>
              <w:rPr>
                <w:rFonts w:hint="eastAsia"/>
              </w:rPr>
              <w:t>W2</w:t>
            </w:r>
          </w:p>
        </w:tc>
        <w:tc>
          <w:tcPr>
            <w:tcW w:w="2581" w:type="pct"/>
            <w:vAlign w:val="center"/>
          </w:tcPr>
          <w:p w14:paraId="65A18C3B">
            <w:pPr>
              <w:pStyle w:val="1535"/>
            </w:pPr>
            <w:r>
              <w:rPr>
                <w:rFonts w:hint="eastAsia"/>
              </w:rPr>
              <w:t>桥头河汇入长江河口上游200m</w:t>
            </w:r>
          </w:p>
        </w:tc>
        <w:tc>
          <w:tcPr>
            <w:tcW w:w="1796" w:type="pct"/>
            <w:vMerge w:val="continue"/>
            <w:vAlign w:val="center"/>
          </w:tcPr>
          <w:p w14:paraId="018D996A">
            <w:pPr>
              <w:pStyle w:val="1535"/>
            </w:pPr>
          </w:p>
        </w:tc>
      </w:tr>
      <w:bookmarkEnd w:id="226"/>
    </w:tbl>
    <w:p w14:paraId="1D0E2920">
      <w:pPr>
        <w:ind w:firstLine="520"/>
        <w:rPr>
          <w:color w:val="000000" w:themeColor="text1"/>
          <w:lang w:val="zh-CN"/>
          <w14:textFill>
            <w14:solidFill>
              <w14:schemeClr w14:val="tx1"/>
            </w14:solidFill>
          </w14:textFill>
        </w:rPr>
      </w:pPr>
      <w:bookmarkStart w:id="227" w:name="_Hlk161998310"/>
      <w:r>
        <w:rPr>
          <w:color w:val="000000" w:themeColor="text1"/>
          <w:lang w:val="zh-CN"/>
          <w14:textFill>
            <w14:solidFill>
              <w14:schemeClr w14:val="tx1"/>
            </w14:solidFill>
          </w14:textFill>
        </w:rPr>
        <w:t>（3）监测时间及频次：</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日</w:t>
      </w:r>
      <w:r>
        <w:rPr>
          <w:color w:val="000000" w:themeColor="text1"/>
          <w:lang w:val="zh-CN"/>
          <w14:textFill>
            <w14:solidFill>
              <w14:schemeClr w14:val="tx1"/>
            </w14:solidFill>
          </w14:textFill>
        </w:rPr>
        <w:t>连续3天，每天1次。</w:t>
      </w:r>
    </w:p>
    <w:p w14:paraId="434C7A51">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（4）评价方法：采用标准指数法对地表水质进行现状评价，计算公式如下：</w:t>
      </w:r>
    </w:p>
    <w:bookmarkEnd w:id="227"/>
    <w:p w14:paraId="67FD54C5">
      <w:pPr>
        <w:ind w:firstLine="520"/>
        <w:rPr>
          <w:color w:val="000000" w:themeColor="text1"/>
          <w14:textFill>
            <w14:solidFill>
              <w14:schemeClr w14:val="tx1"/>
            </w14:solidFill>
          </w14:textFill>
        </w:rPr>
      </w:pPr>
      <w:r>
        <w:rPr>
          <w:color w:val="000000" w:themeColor="text1"/>
          <w:lang w:val="zh-CN"/>
          <w14:textFill>
            <w14:solidFill>
              <w14:schemeClr w14:val="tx1"/>
            </w14:solidFill>
          </w14:textFill>
        </w:rPr>
        <w:t>一般因子</w:t>
      </w:r>
      <w:r>
        <w:rPr>
          <w:color w:val="000000" w:themeColor="text1"/>
          <w14:textFill>
            <w14:solidFill>
              <w14:schemeClr w14:val="tx1"/>
            </w14:solidFill>
          </w14:textFill>
        </w:rPr>
        <w:t>：</w:t>
      </w:r>
    </w:p>
    <w:p w14:paraId="7CA9FBE7">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S</w:t>
      </w:r>
      <w:r>
        <w:rPr>
          <w:color w:val="000000" w:themeColor="text1"/>
          <w:vertAlign w:val="subscript"/>
          <w14:textFill>
            <w14:solidFill>
              <w14:schemeClr w14:val="tx1"/>
            </w14:solidFill>
          </w14:textFill>
        </w:rPr>
        <w:t>ij</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ij</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s,i</w:t>
      </w:r>
    </w:p>
    <w:p w14:paraId="2031D42A">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式中：S</w:t>
      </w:r>
      <w:r>
        <w:rPr>
          <w:color w:val="000000" w:themeColor="text1"/>
          <w:vertAlign w:val="subscript"/>
          <w:lang w:val="zh-CN"/>
          <w14:textFill>
            <w14:solidFill>
              <w14:schemeClr w14:val="tx1"/>
            </w14:solidFill>
          </w14:textFill>
        </w:rPr>
        <w:t>ij</w:t>
      </w:r>
      <w:r>
        <w:rPr>
          <w:color w:val="000000" w:themeColor="text1"/>
          <w:lang w:val="zh-CN"/>
          <w14:textFill>
            <w14:solidFill>
              <w14:schemeClr w14:val="tx1"/>
            </w14:solidFill>
          </w14:textFill>
        </w:rPr>
        <w:t>—标准指数；</w:t>
      </w:r>
    </w:p>
    <w:p w14:paraId="32A523DA">
      <w:pPr>
        <w:ind w:firstLine="1300" w:firstLineChars="500"/>
        <w:rPr>
          <w:color w:val="000000" w:themeColor="text1"/>
          <w:lang w:val="zh-CN"/>
          <w14:textFill>
            <w14:solidFill>
              <w14:schemeClr w14:val="tx1"/>
            </w14:solidFill>
          </w14:textFill>
        </w:rPr>
      </w:pPr>
      <w:r>
        <w:rPr>
          <w:color w:val="000000" w:themeColor="text1"/>
          <w:lang w:val="zh-CN"/>
          <w14:textFill>
            <w14:solidFill>
              <w14:schemeClr w14:val="tx1"/>
            </w14:solidFill>
          </w14:textFill>
        </w:rPr>
        <w:t>C</w:t>
      </w:r>
      <w:r>
        <w:rPr>
          <w:color w:val="000000" w:themeColor="text1"/>
          <w:vertAlign w:val="subscript"/>
          <w:lang w:val="zh-CN"/>
          <w14:textFill>
            <w14:solidFill>
              <w14:schemeClr w14:val="tx1"/>
            </w14:solidFill>
          </w14:textFill>
        </w:rPr>
        <w:t>ij</w:t>
      </w:r>
      <w:r>
        <w:rPr>
          <w:color w:val="000000" w:themeColor="text1"/>
          <w:lang w:val="zh-CN"/>
          <w14:textFill>
            <w14:solidFill>
              <w14:schemeClr w14:val="tx1"/>
            </w14:solidFill>
          </w14:textFill>
        </w:rPr>
        <w:t>—评价因子i在j点的实测浓度值（mg/L）；</w:t>
      </w:r>
    </w:p>
    <w:p w14:paraId="045D3ED0">
      <w:pPr>
        <w:ind w:firstLine="1300" w:firstLineChars="500"/>
        <w:rPr>
          <w:color w:val="000000" w:themeColor="text1"/>
          <w:lang w:val="zh-CN"/>
          <w14:textFill>
            <w14:solidFill>
              <w14:schemeClr w14:val="tx1"/>
            </w14:solidFill>
          </w14:textFill>
        </w:rPr>
      </w:pPr>
      <w:r>
        <w:rPr>
          <w:color w:val="000000" w:themeColor="text1"/>
          <w:lang w:val="zh-CN"/>
          <w14:textFill>
            <w14:solidFill>
              <w14:schemeClr w14:val="tx1"/>
            </w14:solidFill>
          </w14:textFill>
        </w:rPr>
        <w:t>C</w:t>
      </w:r>
      <w:r>
        <w:rPr>
          <w:color w:val="000000" w:themeColor="text1"/>
          <w:vertAlign w:val="subscript"/>
          <w:lang w:val="zh-CN"/>
          <w14:textFill>
            <w14:solidFill>
              <w14:schemeClr w14:val="tx1"/>
            </w14:solidFill>
          </w14:textFill>
        </w:rPr>
        <w:t>s,i</w:t>
      </w:r>
      <w:r>
        <w:rPr>
          <w:color w:val="000000" w:themeColor="text1"/>
          <w:lang w:val="zh-CN"/>
          <w14:textFill>
            <w14:solidFill>
              <w14:schemeClr w14:val="tx1"/>
            </w14:solidFill>
          </w14:textFill>
        </w:rPr>
        <w:t>—评价因子i的评价标准限值（mg/L）。</w:t>
      </w:r>
    </w:p>
    <w:p w14:paraId="083F5229">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特殊水质因子：pH标准指数</w:t>
      </w:r>
    </w:p>
    <w:p w14:paraId="003FA2E6">
      <w:pPr>
        <w:ind w:firstLine="0" w:firstLineChars="0"/>
        <w:jc w:val="center"/>
        <w:rPr>
          <w:color w:val="000000" w:themeColor="text1"/>
          <w:lang w:val="zh-CN"/>
          <w14:textFill>
            <w14:solidFill>
              <w14:schemeClr w14:val="tx1"/>
            </w14:solidFill>
          </w14:textFill>
        </w:rPr>
      </w:pPr>
      <w:bookmarkStart w:id="228" w:name="_Hlk161998151"/>
      <w:r>
        <w:rPr>
          <w:color w:val="000000" w:themeColor="text1"/>
          <w:lang w:val="zh-CN"/>
          <w14:textFill>
            <w14:solidFill>
              <w14:schemeClr w14:val="tx1"/>
            </w14:solidFill>
          </w14:textFill>
        </w:rPr>
        <w:t>pH</w:t>
      </w:r>
      <w:r>
        <w:rPr>
          <w:color w:val="000000" w:themeColor="text1"/>
          <w:vertAlign w:val="subscript"/>
          <w:lang w:val="zh-CN"/>
          <w14:textFill>
            <w14:solidFill>
              <w14:schemeClr w14:val="tx1"/>
            </w14:solidFill>
          </w14:textFill>
        </w:rPr>
        <w:t>j</w:t>
      </w:r>
      <w:r>
        <w:rPr>
          <w:color w:val="000000" w:themeColor="text1"/>
          <w:lang w:val="zh-CN"/>
          <w14:textFill>
            <w14:solidFill>
              <w14:schemeClr w14:val="tx1"/>
            </w14:solidFill>
          </w14:textFill>
        </w:rPr>
        <w:t>≤7.0</w:t>
      </w:r>
      <w:r>
        <w:rPr>
          <w:rFonts w:hint="eastAsia"/>
          <w:color w:val="000000" w:themeColor="text1"/>
          <w:lang w:val="zh-CN"/>
          <w14:textFill>
            <w14:solidFill>
              <w14:schemeClr w14:val="tx1"/>
            </w14:solidFill>
          </w14:textFill>
        </w:rPr>
        <w:t xml:space="preserve">  </w:t>
      </w:r>
      <w:r>
        <w:rPr>
          <w:color w:val="000000" w:themeColor="text1"/>
          <w:lang w:val="zh-CN"/>
          <w14:textFill>
            <w14:solidFill>
              <w14:schemeClr w14:val="tx1"/>
            </w14:solidFill>
          </w14:textFill>
        </w:rPr>
        <w:t>SpH</w:t>
      </w:r>
      <w:r>
        <w:rPr>
          <w:color w:val="000000" w:themeColor="text1"/>
          <w:vertAlign w:val="subscript"/>
          <w:lang w:val="zh-CN"/>
          <w14:textFill>
            <w14:solidFill>
              <w14:schemeClr w14:val="tx1"/>
            </w14:solidFill>
          </w14:textFill>
        </w:rPr>
        <w:t>j</w:t>
      </w:r>
      <w:r>
        <w:rPr>
          <w:color w:val="000000" w:themeColor="text1"/>
          <w:lang w:val="zh-CN"/>
          <w14:textFill>
            <w14:solidFill>
              <w14:schemeClr w14:val="tx1"/>
            </w14:solidFill>
          </w14:textFill>
        </w:rPr>
        <w:t>=（7.0－pH</w:t>
      </w:r>
      <w:r>
        <w:rPr>
          <w:color w:val="000000" w:themeColor="text1"/>
          <w:vertAlign w:val="subscript"/>
          <w:lang w:val="zh-CN"/>
          <w14:textFill>
            <w14:solidFill>
              <w14:schemeClr w14:val="tx1"/>
            </w14:solidFill>
          </w14:textFill>
        </w:rPr>
        <w:t>j</w:t>
      </w:r>
      <w:r>
        <w:rPr>
          <w:color w:val="000000" w:themeColor="text1"/>
          <w:lang w:val="zh-CN"/>
          <w14:textFill>
            <w14:solidFill>
              <w14:schemeClr w14:val="tx1"/>
            </w14:solidFill>
          </w14:textFill>
        </w:rPr>
        <w:t>）/（7.0－pH</w:t>
      </w:r>
      <w:r>
        <w:rPr>
          <w:color w:val="000000" w:themeColor="text1"/>
          <w:vertAlign w:val="subscript"/>
          <w:lang w:val="zh-CN"/>
          <w14:textFill>
            <w14:solidFill>
              <w14:schemeClr w14:val="tx1"/>
            </w14:solidFill>
          </w14:textFill>
        </w:rPr>
        <w:t>sd</w:t>
      </w:r>
      <w:r>
        <w:rPr>
          <w:color w:val="000000" w:themeColor="text1"/>
          <w:lang w:val="zh-CN"/>
          <w14:textFill>
            <w14:solidFill>
              <w14:schemeClr w14:val="tx1"/>
            </w14:solidFill>
          </w14:textFill>
        </w:rPr>
        <w:t>）</w:t>
      </w:r>
    </w:p>
    <w:p w14:paraId="24590748">
      <w:pPr>
        <w:ind w:firstLine="0" w:firstLineChars="0"/>
        <w:jc w:val="center"/>
        <w:rPr>
          <w:color w:val="000000" w:themeColor="text1"/>
          <w:lang w:val="zh-CN"/>
          <w14:textFill>
            <w14:solidFill>
              <w14:schemeClr w14:val="tx1"/>
            </w14:solidFill>
          </w14:textFill>
        </w:rPr>
      </w:pPr>
      <w:r>
        <w:rPr>
          <w:color w:val="000000" w:themeColor="text1"/>
          <w:lang w:val="zh-CN"/>
          <w14:textFill>
            <w14:solidFill>
              <w14:schemeClr w14:val="tx1"/>
            </w14:solidFill>
          </w14:textFill>
        </w:rPr>
        <w:t>pH</w:t>
      </w:r>
      <w:r>
        <w:rPr>
          <w:color w:val="000000" w:themeColor="text1"/>
          <w:vertAlign w:val="subscript"/>
          <w:lang w:val="zh-CN"/>
          <w14:textFill>
            <w14:solidFill>
              <w14:schemeClr w14:val="tx1"/>
            </w14:solidFill>
          </w14:textFill>
        </w:rPr>
        <w:t>j</w:t>
      </w:r>
      <w:r>
        <w:rPr>
          <w:color w:val="000000" w:themeColor="text1"/>
          <w:lang w:val="zh-CN"/>
          <w14:textFill>
            <w14:solidFill>
              <w14:schemeClr w14:val="tx1"/>
            </w14:solidFill>
          </w14:textFill>
        </w:rPr>
        <w:t>＞7.0</w:t>
      </w:r>
      <w:r>
        <w:rPr>
          <w:rFonts w:hint="eastAsia"/>
          <w:color w:val="000000" w:themeColor="text1"/>
          <w:lang w:val="zh-CN"/>
          <w14:textFill>
            <w14:solidFill>
              <w14:schemeClr w14:val="tx1"/>
            </w14:solidFill>
          </w14:textFill>
        </w:rPr>
        <w:t xml:space="preserve">  </w:t>
      </w:r>
      <w:r>
        <w:rPr>
          <w:color w:val="000000" w:themeColor="text1"/>
          <w:lang w:val="zh-CN"/>
          <w14:textFill>
            <w14:solidFill>
              <w14:schemeClr w14:val="tx1"/>
            </w14:solidFill>
          </w14:textFill>
        </w:rPr>
        <w:t>SpH</w:t>
      </w:r>
      <w:r>
        <w:rPr>
          <w:color w:val="000000" w:themeColor="text1"/>
          <w:vertAlign w:val="subscript"/>
          <w:lang w:val="zh-CN"/>
          <w14:textFill>
            <w14:solidFill>
              <w14:schemeClr w14:val="tx1"/>
            </w14:solidFill>
          </w14:textFill>
        </w:rPr>
        <w:t>j</w:t>
      </w:r>
      <w:r>
        <w:rPr>
          <w:color w:val="000000" w:themeColor="text1"/>
          <w:lang w:val="zh-CN"/>
          <w14:textFill>
            <w14:solidFill>
              <w14:schemeClr w14:val="tx1"/>
            </w14:solidFill>
          </w14:textFill>
        </w:rPr>
        <w:t>=（pH</w:t>
      </w:r>
      <w:r>
        <w:rPr>
          <w:color w:val="000000" w:themeColor="text1"/>
          <w:vertAlign w:val="subscript"/>
          <w:lang w:val="zh-CN"/>
          <w14:textFill>
            <w14:solidFill>
              <w14:schemeClr w14:val="tx1"/>
            </w14:solidFill>
          </w14:textFill>
        </w:rPr>
        <w:t>j</w:t>
      </w:r>
      <w:r>
        <w:rPr>
          <w:color w:val="000000" w:themeColor="text1"/>
          <w:lang w:val="zh-CN"/>
          <w14:textFill>
            <w14:solidFill>
              <w14:schemeClr w14:val="tx1"/>
            </w14:solidFill>
          </w14:textFill>
        </w:rPr>
        <w:t>－7.0）/（pH</w:t>
      </w:r>
      <w:r>
        <w:rPr>
          <w:color w:val="000000" w:themeColor="text1"/>
          <w:vertAlign w:val="subscript"/>
          <w:lang w:val="zh-CN"/>
          <w14:textFill>
            <w14:solidFill>
              <w14:schemeClr w14:val="tx1"/>
            </w14:solidFill>
          </w14:textFill>
        </w:rPr>
        <w:t>su</w:t>
      </w:r>
      <w:r>
        <w:rPr>
          <w:color w:val="000000" w:themeColor="text1"/>
          <w:lang w:val="zh-CN"/>
          <w14:textFill>
            <w14:solidFill>
              <w14:schemeClr w14:val="tx1"/>
            </w14:solidFill>
          </w14:textFill>
        </w:rPr>
        <w:t>－7.0）</w:t>
      </w:r>
    </w:p>
    <w:bookmarkEnd w:id="228"/>
    <w:p w14:paraId="067911B4">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式中：SpH</w:t>
      </w:r>
      <w:r>
        <w:rPr>
          <w:color w:val="000000" w:themeColor="text1"/>
          <w:vertAlign w:val="subscript"/>
          <w:lang w:val="zh-CN"/>
          <w14:textFill>
            <w14:solidFill>
              <w14:schemeClr w14:val="tx1"/>
            </w14:solidFill>
          </w14:textFill>
        </w:rPr>
        <w:t>j</w:t>
      </w:r>
      <w:r>
        <w:rPr>
          <w:color w:val="000000" w:themeColor="text1"/>
          <w:lang w:val="zh-CN"/>
          <w14:textFill>
            <w14:solidFill>
              <w14:schemeClr w14:val="tx1"/>
            </w14:solidFill>
          </w14:textFill>
        </w:rPr>
        <w:t>—pH值的标准指数；</w:t>
      </w:r>
    </w:p>
    <w:p w14:paraId="6DA8DF42">
      <w:pPr>
        <w:ind w:firstLine="1300" w:firstLineChars="500"/>
        <w:rPr>
          <w:color w:val="000000" w:themeColor="text1"/>
          <w:lang w:val="zh-CN"/>
          <w14:textFill>
            <w14:solidFill>
              <w14:schemeClr w14:val="tx1"/>
            </w14:solidFill>
          </w14:textFill>
        </w:rPr>
      </w:pPr>
      <w:r>
        <w:rPr>
          <w:color w:val="000000" w:themeColor="text1"/>
          <w:lang w:val="zh-CN"/>
          <w14:textFill>
            <w14:solidFill>
              <w14:schemeClr w14:val="tx1"/>
            </w14:solidFill>
          </w14:textFill>
        </w:rPr>
        <w:t>pH</w:t>
      </w:r>
      <w:r>
        <w:rPr>
          <w:color w:val="000000" w:themeColor="text1"/>
          <w:vertAlign w:val="subscript"/>
          <w:lang w:val="zh-CN"/>
          <w14:textFill>
            <w14:solidFill>
              <w14:schemeClr w14:val="tx1"/>
            </w14:solidFill>
          </w14:textFill>
        </w:rPr>
        <w:t>j</w:t>
      </w:r>
      <w:r>
        <w:rPr>
          <w:color w:val="000000" w:themeColor="text1"/>
          <w:lang w:val="zh-CN"/>
          <w14:textFill>
            <w14:solidFill>
              <w14:schemeClr w14:val="tx1"/>
            </w14:solidFill>
          </w14:textFill>
        </w:rPr>
        <w:t>—pH实测值；</w:t>
      </w:r>
    </w:p>
    <w:p w14:paraId="0289E203">
      <w:pPr>
        <w:ind w:firstLine="1300" w:firstLineChars="500"/>
        <w:rPr>
          <w:color w:val="000000" w:themeColor="text1"/>
          <w:lang w:val="zh-CN"/>
          <w14:textFill>
            <w14:solidFill>
              <w14:schemeClr w14:val="tx1"/>
            </w14:solidFill>
          </w14:textFill>
        </w:rPr>
      </w:pPr>
      <w:r>
        <w:rPr>
          <w:color w:val="000000" w:themeColor="text1"/>
          <w:lang w:val="zh-CN"/>
          <w14:textFill>
            <w14:solidFill>
              <w14:schemeClr w14:val="tx1"/>
            </w14:solidFill>
          </w14:textFill>
        </w:rPr>
        <w:t>pH</w:t>
      </w:r>
      <w:r>
        <w:rPr>
          <w:color w:val="000000" w:themeColor="text1"/>
          <w:vertAlign w:val="subscript"/>
          <w:lang w:val="zh-CN"/>
          <w14:textFill>
            <w14:solidFill>
              <w14:schemeClr w14:val="tx1"/>
            </w14:solidFill>
          </w14:textFill>
        </w:rPr>
        <w:t>sd</w:t>
      </w:r>
      <w:r>
        <w:rPr>
          <w:color w:val="000000" w:themeColor="text1"/>
          <w:lang w:val="zh-CN"/>
          <w14:textFill>
            <w14:solidFill>
              <w14:schemeClr w14:val="tx1"/>
            </w14:solidFill>
          </w14:textFill>
        </w:rPr>
        <w:t>—评价标准中pH的下限值；</w:t>
      </w:r>
    </w:p>
    <w:p w14:paraId="7EB04A74">
      <w:pPr>
        <w:ind w:firstLine="1300" w:firstLineChars="500"/>
        <w:rPr>
          <w:color w:val="000000" w:themeColor="text1"/>
          <w:lang w:val="zh-CN"/>
          <w14:textFill>
            <w14:solidFill>
              <w14:schemeClr w14:val="tx1"/>
            </w14:solidFill>
          </w14:textFill>
        </w:rPr>
      </w:pPr>
      <w:r>
        <w:rPr>
          <w:color w:val="000000" w:themeColor="text1"/>
          <w:lang w:val="zh-CN"/>
          <w14:textFill>
            <w14:solidFill>
              <w14:schemeClr w14:val="tx1"/>
            </w14:solidFill>
          </w14:textFill>
        </w:rPr>
        <w:t>pH</w:t>
      </w:r>
      <w:r>
        <w:rPr>
          <w:color w:val="000000" w:themeColor="text1"/>
          <w:vertAlign w:val="subscript"/>
          <w:lang w:val="zh-CN"/>
          <w14:textFill>
            <w14:solidFill>
              <w14:schemeClr w14:val="tx1"/>
            </w14:solidFill>
          </w14:textFill>
        </w:rPr>
        <w:t>su</w:t>
      </w:r>
      <w:r>
        <w:rPr>
          <w:color w:val="000000" w:themeColor="text1"/>
          <w:lang w:val="zh-CN"/>
          <w14:textFill>
            <w14:solidFill>
              <w14:schemeClr w14:val="tx1"/>
            </w14:solidFill>
          </w14:textFill>
        </w:rPr>
        <w:t>—评价标准中pH的上限值；</w:t>
      </w:r>
    </w:p>
    <w:p w14:paraId="4C253B47">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（5）监测及评价结果</w:t>
      </w:r>
    </w:p>
    <w:p w14:paraId="4B5FFC5E">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按上述方法计算例行监测断面的水质指标标准指数及评价结果见</w:t>
      </w:r>
      <w:r>
        <w:rPr>
          <w:color w:val="000000" w:themeColor="text1"/>
          <w:lang w:val="zh-CN"/>
          <w14:textFill>
            <w14:solidFill>
              <w14:schemeClr w14:val="tx1"/>
            </w14:solidFill>
          </w14:textFill>
        </w:rPr>
        <w:fldChar w:fldCharType="begin"/>
      </w:r>
      <w:r>
        <w:rPr>
          <w:color w:val="000000" w:themeColor="text1"/>
          <w:lang w:val="zh-CN"/>
          <w14:textFill>
            <w14:solidFill>
              <w14:schemeClr w14:val="tx1"/>
            </w14:solidFill>
          </w14:textFill>
        </w:rPr>
        <w:instrText xml:space="preserve"> REF _Ref160552584 \h </w:instrText>
      </w:r>
      <w:r>
        <w:rPr>
          <w:color w:val="000000" w:themeColor="text1"/>
          <w:lang w:val="zh-CN"/>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5</w:t>
      </w:r>
      <w:r>
        <w:rPr>
          <w:color w:val="000000" w:themeColor="text1"/>
          <w:lang w:val="zh-CN"/>
          <w14:textFill>
            <w14:solidFill>
              <w14:schemeClr w14:val="tx1"/>
            </w14:solidFill>
          </w14:textFill>
        </w:rPr>
        <w:fldChar w:fldCharType="end"/>
      </w:r>
      <w:r>
        <w:rPr>
          <w:color w:val="000000" w:themeColor="text1"/>
          <w:lang w:val="zh-CN"/>
          <w14:textFill>
            <w14:solidFill>
              <w14:schemeClr w14:val="tx1"/>
            </w14:solidFill>
          </w14:textFill>
        </w:rPr>
        <w:t>。</w:t>
      </w:r>
    </w:p>
    <w:p w14:paraId="3C61795E">
      <w:pPr>
        <w:spacing w:before="24"/>
        <w:ind w:firstLine="0" w:firstLineChars="0"/>
        <w:jc w:val="center"/>
        <w:rPr>
          <w:color w:val="000000" w:themeColor="text1"/>
          <w14:textFill>
            <w14:solidFill>
              <w14:schemeClr w14:val="tx1"/>
            </w14:solidFill>
          </w14:textFill>
        </w:rPr>
      </w:pPr>
      <w:bookmarkStart w:id="229" w:name="_Ref160552584"/>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bookmarkEnd w:id="229"/>
      <w:r>
        <w:rPr>
          <w:color w:val="000000" w:themeColor="text1"/>
          <w14:textFill>
            <w14:solidFill>
              <w14:schemeClr w14:val="tx1"/>
            </w14:solidFill>
          </w14:textFill>
        </w:rPr>
        <w:t xml:space="preserve"> 地表水水质评价结果统计表单位：mg/L，pH无量纲</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363"/>
        <w:gridCol w:w="1320"/>
        <w:gridCol w:w="1320"/>
        <w:gridCol w:w="1642"/>
        <w:gridCol w:w="1309"/>
        <w:gridCol w:w="1306"/>
      </w:tblGrid>
      <w:tr w14:paraId="1269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Align w:val="center"/>
          </w:tcPr>
          <w:p w14:paraId="0279CF1D">
            <w:pPr>
              <w:pStyle w:val="1535"/>
            </w:pPr>
            <w:bookmarkStart w:id="230" w:name="_Hlk161998627"/>
            <w:r>
              <w:t>监测</w:t>
            </w:r>
          </w:p>
          <w:p w14:paraId="160B3559">
            <w:pPr>
              <w:pStyle w:val="1535"/>
            </w:pPr>
            <w:r>
              <w:t>断面</w:t>
            </w:r>
          </w:p>
        </w:tc>
        <w:tc>
          <w:tcPr>
            <w:tcW w:w="757" w:type="pct"/>
            <w:vAlign w:val="center"/>
          </w:tcPr>
          <w:p w14:paraId="470A5872">
            <w:pPr>
              <w:pStyle w:val="1535"/>
            </w:pPr>
            <w:r>
              <w:t>项目</w:t>
            </w:r>
          </w:p>
        </w:tc>
        <w:tc>
          <w:tcPr>
            <w:tcW w:w="733" w:type="pct"/>
            <w:vAlign w:val="center"/>
          </w:tcPr>
          <w:p w14:paraId="72EFF855">
            <w:pPr>
              <w:pStyle w:val="1535"/>
            </w:pPr>
            <w:r>
              <w:t>pH（无量纲）</w:t>
            </w:r>
          </w:p>
        </w:tc>
        <w:tc>
          <w:tcPr>
            <w:tcW w:w="733" w:type="pct"/>
            <w:vAlign w:val="center"/>
          </w:tcPr>
          <w:p w14:paraId="7B16DCCC">
            <w:pPr>
              <w:pStyle w:val="1535"/>
            </w:pPr>
            <w:r>
              <w:t>COD(mg/L)</w:t>
            </w:r>
          </w:p>
        </w:tc>
        <w:tc>
          <w:tcPr>
            <w:tcW w:w="912" w:type="pct"/>
            <w:vAlign w:val="center"/>
          </w:tcPr>
          <w:p w14:paraId="37216B22">
            <w:pPr>
              <w:pStyle w:val="1535"/>
            </w:pPr>
            <w:r>
              <w:t>氨氮(mg/L)</w:t>
            </w:r>
          </w:p>
        </w:tc>
        <w:tc>
          <w:tcPr>
            <w:tcW w:w="727" w:type="pct"/>
            <w:vAlign w:val="center"/>
          </w:tcPr>
          <w:p w14:paraId="1817B5EB">
            <w:pPr>
              <w:pStyle w:val="1535"/>
            </w:pPr>
            <w:r>
              <w:t>石油类(mg/L)</w:t>
            </w:r>
          </w:p>
        </w:tc>
        <w:tc>
          <w:tcPr>
            <w:tcW w:w="725" w:type="pct"/>
            <w:vAlign w:val="center"/>
          </w:tcPr>
          <w:p w14:paraId="60AAC58C">
            <w:pPr>
              <w:pStyle w:val="1535"/>
            </w:pPr>
            <w:r>
              <w:t>氟化物(mg/L)</w:t>
            </w:r>
          </w:p>
        </w:tc>
      </w:tr>
      <w:tr w14:paraId="2175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restart"/>
            <w:vAlign w:val="center"/>
          </w:tcPr>
          <w:p w14:paraId="70F38FBF">
            <w:pPr>
              <w:pStyle w:val="1535"/>
            </w:pPr>
            <w:r>
              <w:rPr>
                <w:rFonts w:hint="eastAsia"/>
              </w:rPr>
              <w:t>W1</w:t>
            </w:r>
          </w:p>
        </w:tc>
        <w:tc>
          <w:tcPr>
            <w:tcW w:w="757" w:type="pct"/>
            <w:vAlign w:val="center"/>
          </w:tcPr>
          <w:p w14:paraId="4ADE9463">
            <w:pPr>
              <w:pStyle w:val="1535"/>
            </w:pPr>
            <w:r>
              <w:t>最大值</w:t>
            </w:r>
          </w:p>
        </w:tc>
        <w:tc>
          <w:tcPr>
            <w:tcW w:w="733" w:type="pct"/>
            <w:vAlign w:val="center"/>
          </w:tcPr>
          <w:p w14:paraId="57EF797F">
            <w:pPr>
              <w:pStyle w:val="1535"/>
            </w:pPr>
            <w:r>
              <w:rPr>
                <w:rFonts w:hint="eastAsia"/>
              </w:rPr>
              <w:t>6.9</w:t>
            </w:r>
          </w:p>
        </w:tc>
        <w:tc>
          <w:tcPr>
            <w:tcW w:w="733" w:type="pct"/>
            <w:vAlign w:val="center"/>
          </w:tcPr>
          <w:p w14:paraId="1914EDAF">
            <w:pPr>
              <w:pStyle w:val="1535"/>
            </w:pPr>
            <w:r>
              <w:t>18</w:t>
            </w:r>
          </w:p>
        </w:tc>
        <w:tc>
          <w:tcPr>
            <w:tcW w:w="912" w:type="pct"/>
            <w:vAlign w:val="center"/>
          </w:tcPr>
          <w:p w14:paraId="52EEFF4E">
            <w:pPr>
              <w:pStyle w:val="1535"/>
            </w:pPr>
            <w:r>
              <w:rPr>
                <w:rFonts w:hint="eastAsia"/>
              </w:rPr>
              <w:t>0.455</w:t>
            </w:r>
          </w:p>
        </w:tc>
        <w:tc>
          <w:tcPr>
            <w:tcW w:w="727" w:type="pct"/>
            <w:vAlign w:val="center"/>
          </w:tcPr>
          <w:p w14:paraId="35C53E09">
            <w:pPr>
              <w:pStyle w:val="1535"/>
            </w:pPr>
            <w:r>
              <w:t>0.0</w:t>
            </w:r>
            <w:r>
              <w:rPr>
                <w:rFonts w:hint="eastAsia"/>
              </w:rPr>
              <w:t>2</w:t>
            </w:r>
          </w:p>
        </w:tc>
        <w:tc>
          <w:tcPr>
            <w:tcW w:w="725" w:type="pct"/>
            <w:vAlign w:val="center"/>
          </w:tcPr>
          <w:p w14:paraId="6AE9ABEB">
            <w:pPr>
              <w:pStyle w:val="1535"/>
            </w:pPr>
            <w:r>
              <w:rPr>
                <w:rFonts w:hint="eastAsia"/>
              </w:rPr>
              <w:t>0.19</w:t>
            </w:r>
          </w:p>
        </w:tc>
      </w:tr>
      <w:tr w14:paraId="1C62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2C7BC341">
            <w:pPr>
              <w:pStyle w:val="1535"/>
            </w:pPr>
          </w:p>
        </w:tc>
        <w:tc>
          <w:tcPr>
            <w:tcW w:w="757" w:type="pct"/>
            <w:vAlign w:val="center"/>
          </w:tcPr>
          <w:p w14:paraId="22FE5534">
            <w:pPr>
              <w:pStyle w:val="1535"/>
            </w:pPr>
            <w:r>
              <w:t>最小值</w:t>
            </w:r>
          </w:p>
        </w:tc>
        <w:tc>
          <w:tcPr>
            <w:tcW w:w="733" w:type="pct"/>
            <w:vAlign w:val="center"/>
          </w:tcPr>
          <w:p w14:paraId="12177566">
            <w:pPr>
              <w:pStyle w:val="1535"/>
            </w:pPr>
            <w:r>
              <w:rPr>
                <w:rFonts w:hint="eastAsia"/>
              </w:rPr>
              <w:t>6.7</w:t>
            </w:r>
          </w:p>
        </w:tc>
        <w:tc>
          <w:tcPr>
            <w:tcW w:w="733" w:type="pct"/>
            <w:vAlign w:val="center"/>
          </w:tcPr>
          <w:p w14:paraId="28FF84CD">
            <w:pPr>
              <w:pStyle w:val="1535"/>
            </w:pPr>
            <w:r>
              <w:rPr>
                <w:rFonts w:hint="eastAsia"/>
              </w:rPr>
              <w:t>15</w:t>
            </w:r>
          </w:p>
        </w:tc>
        <w:tc>
          <w:tcPr>
            <w:tcW w:w="912" w:type="pct"/>
            <w:vAlign w:val="center"/>
          </w:tcPr>
          <w:p w14:paraId="6D966F88">
            <w:pPr>
              <w:pStyle w:val="1535"/>
            </w:pPr>
            <w:r>
              <w:rPr>
                <w:rFonts w:hint="eastAsia"/>
              </w:rPr>
              <w:t>0.428</w:t>
            </w:r>
          </w:p>
        </w:tc>
        <w:tc>
          <w:tcPr>
            <w:tcW w:w="727" w:type="pct"/>
            <w:vAlign w:val="center"/>
          </w:tcPr>
          <w:p w14:paraId="3F41A40D">
            <w:pPr>
              <w:pStyle w:val="1535"/>
            </w:pPr>
            <w:r>
              <w:t>0.02</w:t>
            </w:r>
          </w:p>
        </w:tc>
        <w:tc>
          <w:tcPr>
            <w:tcW w:w="725" w:type="pct"/>
            <w:vAlign w:val="center"/>
          </w:tcPr>
          <w:p w14:paraId="543F5313">
            <w:pPr>
              <w:pStyle w:val="1535"/>
            </w:pPr>
            <w:r>
              <w:rPr>
                <w:rFonts w:hint="eastAsia"/>
              </w:rPr>
              <w:t>0.17</w:t>
            </w:r>
          </w:p>
        </w:tc>
      </w:tr>
      <w:tr w14:paraId="5E0A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17CF399F">
            <w:pPr>
              <w:pStyle w:val="1535"/>
            </w:pPr>
          </w:p>
        </w:tc>
        <w:tc>
          <w:tcPr>
            <w:tcW w:w="757" w:type="pct"/>
            <w:vAlign w:val="center"/>
          </w:tcPr>
          <w:p w14:paraId="03E239EB">
            <w:pPr>
              <w:pStyle w:val="1535"/>
            </w:pPr>
            <w:r>
              <w:t>Pi</w:t>
            </w:r>
          </w:p>
        </w:tc>
        <w:tc>
          <w:tcPr>
            <w:tcW w:w="733" w:type="pct"/>
            <w:vAlign w:val="center"/>
          </w:tcPr>
          <w:p w14:paraId="18D4A5D8">
            <w:pPr>
              <w:pStyle w:val="1535"/>
            </w:pPr>
            <w:r>
              <w:t>0.</w:t>
            </w:r>
            <w:r>
              <w:rPr>
                <w:rFonts w:hint="eastAsia"/>
              </w:rPr>
              <w:t>3</w:t>
            </w:r>
          </w:p>
        </w:tc>
        <w:tc>
          <w:tcPr>
            <w:tcW w:w="733" w:type="pct"/>
            <w:vAlign w:val="center"/>
          </w:tcPr>
          <w:p w14:paraId="30EB0F29">
            <w:pPr>
              <w:pStyle w:val="1535"/>
            </w:pPr>
            <w:r>
              <w:rPr>
                <w:rFonts w:hint="eastAsia"/>
              </w:rPr>
              <w:t>0.45</w:t>
            </w:r>
          </w:p>
        </w:tc>
        <w:tc>
          <w:tcPr>
            <w:tcW w:w="912" w:type="pct"/>
            <w:vAlign w:val="center"/>
          </w:tcPr>
          <w:p w14:paraId="44B15A81">
            <w:pPr>
              <w:pStyle w:val="1535"/>
            </w:pPr>
            <w:r>
              <w:t>0.</w:t>
            </w:r>
            <w:r>
              <w:rPr>
                <w:rFonts w:hint="eastAsia"/>
              </w:rPr>
              <w:t>23</w:t>
            </w:r>
          </w:p>
        </w:tc>
        <w:tc>
          <w:tcPr>
            <w:tcW w:w="727" w:type="pct"/>
            <w:vAlign w:val="center"/>
          </w:tcPr>
          <w:p w14:paraId="62E9F30F">
            <w:pPr>
              <w:pStyle w:val="1535"/>
            </w:pPr>
            <w:r>
              <w:rPr>
                <w:rFonts w:hint="eastAsia"/>
              </w:rPr>
              <w:t>0.02</w:t>
            </w:r>
          </w:p>
        </w:tc>
        <w:tc>
          <w:tcPr>
            <w:tcW w:w="725" w:type="pct"/>
            <w:vAlign w:val="center"/>
          </w:tcPr>
          <w:p w14:paraId="441E6B61">
            <w:pPr>
              <w:pStyle w:val="1535"/>
            </w:pPr>
            <w:r>
              <w:rPr>
                <w:rFonts w:hint="eastAsia"/>
              </w:rPr>
              <w:t>0.13</w:t>
            </w:r>
          </w:p>
        </w:tc>
      </w:tr>
      <w:tr w14:paraId="09DF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48B000CB">
            <w:pPr>
              <w:pStyle w:val="1535"/>
            </w:pPr>
          </w:p>
        </w:tc>
        <w:tc>
          <w:tcPr>
            <w:tcW w:w="757" w:type="pct"/>
            <w:vAlign w:val="center"/>
          </w:tcPr>
          <w:p w14:paraId="231B4B0F">
            <w:pPr>
              <w:pStyle w:val="1535"/>
            </w:pPr>
            <w:r>
              <w:t>超标率%</w:t>
            </w:r>
          </w:p>
        </w:tc>
        <w:tc>
          <w:tcPr>
            <w:tcW w:w="733" w:type="pct"/>
            <w:vAlign w:val="center"/>
          </w:tcPr>
          <w:p w14:paraId="691B33B9">
            <w:pPr>
              <w:pStyle w:val="1535"/>
            </w:pPr>
            <w:r>
              <w:t>0</w:t>
            </w:r>
          </w:p>
        </w:tc>
        <w:tc>
          <w:tcPr>
            <w:tcW w:w="733" w:type="pct"/>
            <w:vAlign w:val="center"/>
          </w:tcPr>
          <w:p w14:paraId="539C1FAA">
            <w:pPr>
              <w:pStyle w:val="1535"/>
            </w:pPr>
            <w:r>
              <w:t>0</w:t>
            </w:r>
          </w:p>
        </w:tc>
        <w:tc>
          <w:tcPr>
            <w:tcW w:w="912" w:type="pct"/>
            <w:vAlign w:val="center"/>
          </w:tcPr>
          <w:p w14:paraId="2777A655">
            <w:pPr>
              <w:pStyle w:val="1535"/>
            </w:pPr>
            <w:r>
              <w:rPr>
                <w:rFonts w:hint="eastAsia"/>
              </w:rPr>
              <w:t>0.23</w:t>
            </w:r>
          </w:p>
        </w:tc>
        <w:tc>
          <w:tcPr>
            <w:tcW w:w="727" w:type="pct"/>
            <w:vAlign w:val="center"/>
          </w:tcPr>
          <w:p w14:paraId="3434E219">
            <w:pPr>
              <w:pStyle w:val="1535"/>
            </w:pPr>
            <w:r>
              <w:t>0</w:t>
            </w:r>
          </w:p>
        </w:tc>
        <w:tc>
          <w:tcPr>
            <w:tcW w:w="725" w:type="pct"/>
            <w:vAlign w:val="center"/>
          </w:tcPr>
          <w:p w14:paraId="6BD29D0A">
            <w:pPr>
              <w:pStyle w:val="1535"/>
            </w:pPr>
            <w:r>
              <w:t>0</w:t>
            </w:r>
          </w:p>
        </w:tc>
      </w:tr>
      <w:tr w14:paraId="0AC9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restart"/>
            <w:vAlign w:val="center"/>
          </w:tcPr>
          <w:p w14:paraId="5E1E7C3F">
            <w:pPr>
              <w:pStyle w:val="1535"/>
            </w:pPr>
            <w:r>
              <w:rPr>
                <w:rFonts w:hint="eastAsia"/>
              </w:rPr>
              <w:t>W2</w:t>
            </w:r>
          </w:p>
        </w:tc>
        <w:tc>
          <w:tcPr>
            <w:tcW w:w="757" w:type="pct"/>
            <w:vAlign w:val="center"/>
          </w:tcPr>
          <w:p w14:paraId="52915EBE">
            <w:pPr>
              <w:pStyle w:val="1535"/>
            </w:pPr>
            <w:r>
              <w:t>最大值</w:t>
            </w:r>
          </w:p>
        </w:tc>
        <w:tc>
          <w:tcPr>
            <w:tcW w:w="733" w:type="pct"/>
            <w:vAlign w:val="center"/>
          </w:tcPr>
          <w:p w14:paraId="2DEC8168">
            <w:pPr>
              <w:pStyle w:val="1535"/>
            </w:pPr>
            <w:r>
              <w:rPr>
                <w:rFonts w:hint="eastAsia"/>
              </w:rPr>
              <w:t>7.0</w:t>
            </w:r>
          </w:p>
        </w:tc>
        <w:tc>
          <w:tcPr>
            <w:tcW w:w="733" w:type="pct"/>
            <w:vAlign w:val="center"/>
          </w:tcPr>
          <w:p w14:paraId="652D3936">
            <w:pPr>
              <w:pStyle w:val="1535"/>
            </w:pPr>
            <w:r>
              <w:rPr>
                <w:rFonts w:hint="eastAsia"/>
              </w:rPr>
              <w:t>23</w:t>
            </w:r>
          </w:p>
        </w:tc>
        <w:tc>
          <w:tcPr>
            <w:tcW w:w="912" w:type="pct"/>
            <w:vAlign w:val="center"/>
          </w:tcPr>
          <w:p w14:paraId="12F8C2EF">
            <w:pPr>
              <w:pStyle w:val="1535"/>
            </w:pPr>
            <w:r>
              <w:rPr>
                <w:rFonts w:hint="eastAsia"/>
              </w:rPr>
              <w:t>0.556</w:t>
            </w:r>
          </w:p>
        </w:tc>
        <w:tc>
          <w:tcPr>
            <w:tcW w:w="727" w:type="pct"/>
            <w:vAlign w:val="center"/>
          </w:tcPr>
          <w:p w14:paraId="6C5AF708">
            <w:pPr>
              <w:pStyle w:val="1535"/>
            </w:pPr>
            <w:r>
              <w:rPr>
                <w:rFonts w:hint="eastAsia"/>
              </w:rPr>
              <w:t>0.02</w:t>
            </w:r>
          </w:p>
        </w:tc>
        <w:tc>
          <w:tcPr>
            <w:tcW w:w="725" w:type="pct"/>
            <w:vAlign w:val="center"/>
          </w:tcPr>
          <w:p w14:paraId="78C3CE30">
            <w:pPr>
              <w:pStyle w:val="1535"/>
            </w:pPr>
            <w:r>
              <w:rPr>
                <w:rFonts w:hint="eastAsia"/>
              </w:rPr>
              <w:t>0.16</w:t>
            </w:r>
          </w:p>
        </w:tc>
      </w:tr>
      <w:tr w14:paraId="37AA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002FD763">
            <w:pPr>
              <w:pStyle w:val="1535"/>
            </w:pPr>
          </w:p>
        </w:tc>
        <w:tc>
          <w:tcPr>
            <w:tcW w:w="757" w:type="pct"/>
            <w:vAlign w:val="center"/>
          </w:tcPr>
          <w:p w14:paraId="46669588">
            <w:pPr>
              <w:pStyle w:val="1535"/>
            </w:pPr>
            <w:r>
              <w:t>最小值</w:t>
            </w:r>
          </w:p>
        </w:tc>
        <w:tc>
          <w:tcPr>
            <w:tcW w:w="733" w:type="pct"/>
            <w:vAlign w:val="center"/>
          </w:tcPr>
          <w:p w14:paraId="68834E75">
            <w:pPr>
              <w:pStyle w:val="1535"/>
            </w:pPr>
            <w:r>
              <w:rPr>
                <w:rFonts w:hint="eastAsia"/>
              </w:rPr>
              <w:t>6.5</w:t>
            </w:r>
          </w:p>
        </w:tc>
        <w:tc>
          <w:tcPr>
            <w:tcW w:w="733" w:type="pct"/>
            <w:vAlign w:val="center"/>
          </w:tcPr>
          <w:p w14:paraId="1065D4BE">
            <w:pPr>
              <w:pStyle w:val="1535"/>
            </w:pPr>
            <w:r>
              <w:rPr>
                <w:rFonts w:hint="eastAsia"/>
              </w:rPr>
              <w:t>21</w:t>
            </w:r>
          </w:p>
        </w:tc>
        <w:tc>
          <w:tcPr>
            <w:tcW w:w="912" w:type="pct"/>
            <w:vAlign w:val="center"/>
          </w:tcPr>
          <w:p w14:paraId="2D9F48A1">
            <w:pPr>
              <w:pStyle w:val="1535"/>
            </w:pPr>
            <w:r>
              <w:rPr>
                <w:rFonts w:hint="eastAsia"/>
              </w:rPr>
              <w:t>0.537</w:t>
            </w:r>
          </w:p>
        </w:tc>
        <w:tc>
          <w:tcPr>
            <w:tcW w:w="727" w:type="pct"/>
            <w:vAlign w:val="center"/>
          </w:tcPr>
          <w:p w14:paraId="52B20687">
            <w:pPr>
              <w:pStyle w:val="1535"/>
            </w:pPr>
            <w:r>
              <w:rPr>
                <w:rFonts w:hint="eastAsia"/>
              </w:rPr>
              <w:t>0.01</w:t>
            </w:r>
          </w:p>
        </w:tc>
        <w:tc>
          <w:tcPr>
            <w:tcW w:w="725" w:type="pct"/>
            <w:vAlign w:val="center"/>
          </w:tcPr>
          <w:p w14:paraId="12B1522C">
            <w:pPr>
              <w:pStyle w:val="1535"/>
            </w:pPr>
            <w:r>
              <w:rPr>
                <w:rFonts w:hint="eastAsia"/>
              </w:rPr>
              <w:t>0.14</w:t>
            </w:r>
          </w:p>
        </w:tc>
      </w:tr>
      <w:tr w14:paraId="035D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121D4C04">
            <w:pPr>
              <w:pStyle w:val="1535"/>
            </w:pPr>
          </w:p>
        </w:tc>
        <w:tc>
          <w:tcPr>
            <w:tcW w:w="757" w:type="pct"/>
            <w:vAlign w:val="center"/>
          </w:tcPr>
          <w:p w14:paraId="08FA0362">
            <w:pPr>
              <w:pStyle w:val="1535"/>
            </w:pPr>
            <w:r>
              <w:t>Pi</w:t>
            </w:r>
          </w:p>
        </w:tc>
        <w:tc>
          <w:tcPr>
            <w:tcW w:w="733" w:type="pct"/>
            <w:vAlign w:val="center"/>
          </w:tcPr>
          <w:p w14:paraId="7A60767A">
            <w:pPr>
              <w:pStyle w:val="1535"/>
            </w:pPr>
            <w:r>
              <w:rPr>
                <w:rFonts w:hint="eastAsia"/>
              </w:rPr>
              <w:t>0.5</w:t>
            </w:r>
          </w:p>
        </w:tc>
        <w:tc>
          <w:tcPr>
            <w:tcW w:w="733" w:type="pct"/>
            <w:vAlign w:val="center"/>
          </w:tcPr>
          <w:p w14:paraId="61AE2925">
            <w:pPr>
              <w:pStyle w:val="1535"/>
            </w:pPr>
            <w:r>
              <w:rPr>
                <w:rFonts w:hint="eastAsia"/>
              </w:rPr>
              <w:t>0.58</w:t>
            </w:r>
          </w:p>
        </w:tc>
        <w:tc>
          <w:tcPr>
            <w:tcW w:w="912" w:type="pct"/>
            <w:vAlign w:val="center"/>
          </w:tcPr>
          <w:p w14:paraId="716D4FF9">
            <w:pPr>
              <w:pStyle w:val="1535"/>
            </w:pPr>
            <w:r>
              <w:rPr>
                <w:rFonts w:hint="eastAsia"/>
              </w:rPr>
              <w:t>0.28</w:t>
            </w:r>
          </w:p>
        </w:tc>
        <w:tc>
          <w:tcPr>
            <w:tcW w:w="727" w:type="pct"/>
            <w:vAlign w:val="center"/>
          </w:tcPr>
          <w:p w14:paraId="09A1F401">
            <w:pPr>
              <w:pStyle w:val="1535"/>
            </w:pPr>
            <w:r>
              <w:rPr>
                <w:rFonts w:hint="eastAsia"/>
              </w:rPr>
              <w:t>0.02</w:t>
            </w:r>
          </w:p>
        </w:tc>
        <w:tc>
          <w:tcPr>
            <w:tcW w:w="725" w:type="pct"/>
            <w:vAlign w:val="center"/>
          </w:tcPr>
          <w:p w14:paraId="251A773F">
            <w:pPr>
              <w:pStyle w:val="1535"/>
            </w:pPr>
            <w:r>
              <w:rPr>
                <w:rFonts w:hint="eastAsia"/>
              </w:rPr>
              <w:t>0.11</w:t>
            </w:r>
          </w:p>
        </w:tc>
      </w:tr>
      <w:tr w14:paraId="6254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vAlign w:val="center"/>
          </w:tcPr>
          <w:p w14:paraId="34BDAF4E">
            <w:pPr>
              <w:pStyle w:val="1535"/>
            </w:pPr>
          </w:p>
        </w:tc>
        <w:tc>
          <w:tcPr>
            <w:tcW w:w="757" w:type="pct"/>
            <w:vAlign w:val="center"/>
          </w:tcPr>
          <w:p w14:paraId="6BFB16F4">
            <w:pPr>
              <w:pStyle w:val="1535"/>
            </w:pPr>
            <w:r>
              <w:t>超标率%</w:t>
            </w:r>
          </w:p>
        </w:tc>
        <w:tc>
          <w:tcPr>
            <w:tcW w:w="733" w:type="pct"/>
            <w:vAlign w:val="center"/>
          </w:tcPr>
          <w:p w14:paraId="1AAC83C2">
            <w:pPr>
              <w:pStyle w:val="1535"/>
            </w:pPr>
            <w:r>
              <w:rPr>
                <w:rFonts w:hint="eastAsia"/>
              </w:rPr>
              <w:t>0</w:t>
            </w:r>
          </w:p>
        </w:tc>
        <w:tc>
          <w:tcPr>
            <w:tcW w:w="733" w:type="pct"/>
            <w:vAlign w:val="center"/>
          </w:tcPr>
          <w:p w14:paraId="6747595B">
            <w:pPr>
              <w:pStyle w:val="1535"/>
            </w:pPr>
            <w:r>
              <w:rPr>
                <w:rFonts w:hint="eastAsia"/>
              </w:rPr>
              <w:t>0</w:t>
            </w:r>
          </w:p>
        </w:tc>
        <w:tc>
          <w:tcPr>
            <w:tcW w:w="912" w:type="pct"/>
            <w:vAlign w:val="center"/>
          </w:tcPr>
          <w:p w14:paraId="373BD485">
            <w:pPr>
              <w:pStyle w:val="1535"/>
            </w:pPr>
            <w:r>
              <w:rPr>
                <w:rFonts w:hint="eastAsia"/>
              </w:rPr>
              <w:t>0</w:t>
            </w:r>
          </w:p>
        </w:tc>
        <w:tc>
          <w:tcPr>
            <w:tcW w:w="727" w:type="pct"/>
            <w:vAlign w:val="center"/>
          </w:tcPr>
          <w:p w14:paraId="0D54D1B4">
            <w:pPr>
              <w:pStyle w:val="1535"/>
            </w:pPr>
            <w:r>
              <w:rPr>
                <w:rFonts w:hint="eastAsia"/>
              </w:rPr>
              <w:t>0</w:t>
            </w:r>
          </w:p>
        </w:tc>
        <w:tc>
          <w:tcPr>
            <w:tcW w:w="725" w:type="pct"/>
            <w:vAlign w:val="center"/>
          </w:tcPr>
          <w:p w14:paraId="09FDA2A3">
            <w:pPr>
              <w:pStyle w:val="1535"/>
            </w:pPr>
            <w:r>
              <w:rPr>
                <w:rFonts w:hint="eastAsia"/>
              </w:rPr>
              <w:t>0</w:t>
            </w:r>
          </w:p>
        </w:tc>
      </w:tr>
      <w:tr w14:paraId="399F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0" w:type="pct"/>
            <w:gridSpan w:val="2"/>
            <w:vAlign w:val="center"/>
          </w:tcPr>
          <w:p w14:paraId="715BA762">
            <w:pPr>
              <w:pStyle w:val="1535"/>
            </w:pPr>
            <w:r>
              <w:t>《地表水环境质量标准》</w:t>
            </w:r>
            <w:r>
              <w:rPr>
                <w:rFonts w:hint="eastAsia"/>
              </w:rPr>
              <w:t>V类</w:t>
            </w:r>
          </w:p>
        </w:tc>
        <w:tc>
          <w:tcPr>
            <w:tcW w:w="733" w:type="pct"/>
            <w:vAlign w:val="center"/>
          </w:tcPr>
          <w:p w14:paraId="643154A8">
            <w:pPr>
              <w:pStyle w:val="1535"/>
            </w:pPr>
            <w:r>
              <w:t>6~9</w:t>
            </w:r>
          </w:p>
        </w:tc>
        <w:tc>
          <w:tcPr>
            <w:tcW w:w="733" w:type="pct"/>
            <w:vAlign w:val="center"/>
          </w:tcPr>
          <w:p w14:paraId="5389AD30">
            <w:pPr>
              <w:pStyle w:val="1535"/>
            </w:pPr>
            <w:r>
              <w:rPr>
                <w:rFonts w:hint="eastAsia"/>
              </w:rPr>
              <w:t>40</w:t>
            </w:r>
          </w:p>
        </w:tc>
        <w:tc>
          <w:tcPr>
            <w:tcW w:w="912" w:type="pct"/>
            <w:vAlign w:val="center"/>
          </w:tcPr>
          <w:p w14:paraId="63C5E373">
            <w:pPr>
              <w:pStyle w:val="1535"/>
            </w:pPr>
            <w:r>
              <w:rPr>
                <w:rFonts w:hint="eastAsia"/>
              </w:rPr>
              <w:t>2.0</w:t>
            </w:r>
          </w:p>
        </w:tc>
        <w:tc>
          <w:tcPr>
            <w:tcW w:w="727" w:type="pct"/>
            <w:vAlign w:val="center"/>
          </w:tcPr>
          <w:p w14:paraId="39B3AAE3">
            <w:pPr>
              <w:pStyle w:val="1535"/>
            </w:pPr>
            <w:r>
              <w:rPr>
                <w:rFonts w:hint="eastAsia"/>
              </w:rPr>
              <w:t>1.0</w:t>
            </w:r>
          </w:p>
        </w:tc>
        <w:tc>
          <w:tcPr>
            <w:tcW w:w="725" w:type="pct"/>
            <w:vAlign w:val="center"/>
          </w:tcPr>
          <w:p w14:paraId="3CAFA6D3">
            <w:pPr>
              <w:pStyle w:val="1535"/>
            </w:pPr>
            <w:r>
              <w:rPr>
                <w:rFonts w:hint="eastAsia"/>
              </w:rPr>
              <w:t>1.5</w:t>
            </w:r>
          </w:p>
        </w:tc>
      </w:tr>
      <w:bookmarkEnd w:id="230"/>
    </w:tbl>
    <w:p w14:paraId="3F32FC9B">
      <w:pPr>
        <w:ind w:firstLine="520"/>
        <w:rPr>
          <w:color w:val="000000" w:themeColor="text1"/>
          <w14:textFill>
            <w14:solidFill>
              <w14:schemeClr w14:val="tx1"/>
            </w14:solidFill>
          </w14:textFill>
        </w:rPr>
      </w:pPr>
      <w:bookmarkStart w:id="231" w:name="_Hlk161999766"/>
      <w:r>
        <w:rPr>
          <w:color w:val="000000" w:themeColor="text1"/>
          <w14:textFill>
            <w14:solidFill>
              <w14:schemeClr w14:val="tx1"/>
            </w14:solidFill>
          </w14:textFill>
        </w:rPr>
        <w:t>地表水环境质量监测数据表明，</w:t>
      </w:r>
      <w:r>
        <w:rPr>
          <w:rFonts w:hint="eastAsia"/>
          <w:color w:val="000000" w:themeColor="text1"/>
          <w14:textFill>
            <w14:solidFill>
              <w14:schemeClr w14:val="tx1"/>
            </w14:solidFill>
          </w14:textFill>
        </w:rPr>
        <w:t>桥头河各</w:t>
      </w:r>
      <w:r>
        <w:rPr>
          <w:color w:val="000000" w:themeColor="text1"/>
          <w14:textFill>
            <w14:solidFill>
              <w14:schemeClr w14:val="tx1"/>
            </w14:solidFill>
          </w14:textFill>
        </w:rPr>
        <w:t>监测断面水体污染物的S</w:t>
      </w:r>
      <w:r>
        <w:rPr>
          <w:color w:val="000000" w:themeColor="text1"/>
          <w:vertAlign w:val="subscript"/>
          <w14:textFill>
            <w14:solidFill>
              <w14:schemeClr w14:val="tx1"/>
            </w14:solidFill>
          </w14:textFill>
        </w:rPr>
        <w:t>ij</w:t>
      </w:r>
      <w:r>
        <w:rPr>
          <w:color w:val="000000" w:themeColor="text1"/>
          <w14:textFill>
            <w14:solidFill>
              <w14:schemeClr w14:val="tx1"/>
            </w14:solidFill>
          </w14:textFill>
        </w:rPr>
        <w:t>均小于1，</w:t>
      </w:r>
      <w:bookmarkStart w:id="232" w:name="_Hlk12004024"/>
      <w:r>
        <w:rPr>
          <w:color w:val="000000" w:themeColor="text1"/>
          <w14:textFill>
            <w14:solidFill>
              <w14:schemeClr w14:val="tx1"/>
            </w14:solidFill>
          </w14:textFill>
        </w:rPr>
        <w:t>均能满足《地表水环境质量标准》（GB3838-2002）</w:t>
      </w:r>
      <w:r>
        <w:rPr>
          <w:rFonts w:hint="eastAsia" w:ascii="宋体" w:hAnsi="宋体"/>
          <w:color w:val="000000" w:themeColor="text1"/>
          <w14:textFill>
            <w14:solidFill>
              <w14:schemeClr w14:val="tx1"/>
            </w14:solidFill>
          </w14:textFill>
        </w:rPr>
        <w:t>V类</w:t>
      </w:r>
      <w:r>
        <w:rPr>
          <w:color w:val="000000" w:themeColor="text1"/>
          <w14:textFill>
            <w14:solidFill>
              <w14:schemeClr w14:val="tx1"/>
            </w14:solidFill>
          </w14:textFill>
        </w:rPr>
        <w:t>标准，水质较好，有一定的环境容量。</w:t>
      </w:r>
      <w:bookmarkEnd w:id="232"/>
    </w:p>
    <w:p w14:paraId="22118EC4">
      <w:pPr>
        <w:ind w:firstLine="520"/>
        <w:rPr>
          <w:color w:val="000000" w:themeColor="text1"/>
          <w14:textFill>
            <w14:solidFill>
              <w14:schemeClr w14:val="tx1"/>
            </w14:solidFill>
          </w14:textFill>
        </w:rPr>
      </w:pPr>
      <w:r>
        <w:rPr>
          <w:color w:val="000000" w:themeColor="text1"/>
          <w14:textFill>
            <w14:solidFill>
              <w14:schemeClr w14:val="tx1"/>
            </w14:solidFill>
          </w14:textFill>
        </w:rPr>
        <w:t>根据《202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年重庆市生态环境状况公报》可知，长江干流重庆段总体水质为优，20个监测断面水质均达</w:t>
      </w:r>
      <w:r>
        <w:rPr>
          <w:rFonts w:hint="eastAsia"/>
          <w:color w:val="000000" w:themeColor="text1"/>
          <w14:textFill>
            <w14:solidFill>
              <w14:schemeClr w14:val="tx1"/>
            </w14:solidFill>
          </w14:textFill>
        </w:rPr>
        <w:t>到Ⅱ类标准，优于Ⅲ</w:t>
      </w:r>
      <w:r>
        <w:rPr>
          <w:color w:val="000000" w:themeColor="text1"/>
          <w14:textFill>
            <w14:solidFill>
              <w14:schemeClr w14:val="tx1"/>
            </w14:solidFill>
          </w14:textFill>
        </w:rPr>
        <w:t>类水</w:t>
      </w:r>
      <w:r>
        <w:rPr>
          <w:rFonts w:hint="eastAsia"/>
          <w:color w:val="000000" w:themeColor="text1"/>
          <w14:textFill>
            <w14:solidFill>
              <w14:schemeClr w14:val="tx1"/>
            </w14:solidFill>
          </w14:textFill>
        </w:rPr>
        <w:t>质标准</w:t>
      </w:r>
      <w:r>
        <w:rPr>
          <w:color w:val="000000" w:themeColor="text1"/>
          <w14:textFill>
            <w14:solidFill>
              <w14:schemeClr w14:val="tx1"/>
            </w14:solidFill>
          </w14:textFill>
        </w:rPr>
        <w:t>。由此可知，项目所在地地表水环境质量现状良好。</w:t>
      </w:r>
    </w:p>
    <w:bookmarkEnd w:id="231"/>
    <w:p w14:paraId="169EC17C">
      <w:pPr>
        <w:pStyle w:val="5"/>
        <w:rPr>
          <w:color w:val="000000" w:themeColor="text1"/>
          <w14:textFill>
            <w14:solidFill>
              <w14:schemeClr w14:val="tx1"/>
            </w14:solidFill>
          </w14:textFill>
        </w:rPr>
      </w:pPr>
      <w:bookmarkStart w:id="233" w:name="_Toc11942570"/>
      <w:r>
        <w:rPr>
          <w:color w:val="000000" w:themeColor="text1"/>
          <w14:textFill>
            <w14:solidFill>
              <w14:schemeClr w14:val="tx1"/>
            </w14:solidFill>
          </w14:textFill>
        </w:rPr>
        <w:t>声环境质量现状</w:t>
      </w:r>
      <w:bookmarkEnd w:id="233"/>
    </w:p>
    <w:p w14:paraId="6371621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项目租赁臻宝科技公司厂房建设部分占地外围均为臻宝科技公司厂区，属于“厂中厂”，周边200m评价范围内无声环境保护目标。根据《环境影响评价技术导则 声环境》（HJ 2.4-2021）7.2三级评价要求“7.2.2 对评价范围内具有代表性的声环境保护目标的声环境质量现状进行调查，可利用已有的监测资料，无监测资料时可选择有代表性的声环境保护目标进行现场监测，并分析现状声源的构成。”故本次环评不对该区域声环境质量现状进行调查。针对臻宝半导体公司厂区，现有项目尚未运营，现有项目环评于</w:t>
      </w:r>
      <w:r>
        <w:rPr>
          <w:color w:val="000000" w:themeColor="text1"/>
          <w14:textFill>
            <w14:solidFill>
              <w14:schemeClr w14:val="tx1"/>
            </w14:solidFill>
          </w14:textFill>
        </w:rPr>
        <w:t>2023年3月31日-2023年4月1日</w:t>
      </w:r>
      <w:r>
        <w:rPr>
          <w:rFonts w:hint="eastAsia"/>
          <w:color w:val="000000" w:themeColor="text1"/>
          <w14:textFill>
            <w14:solidFill>
              <w14:schemeClr w14:val="tx1"/>
            </w14:solidFill>
          </w14:textFill>
        </w:rPr>
        <w:t>对声环境现状进行了监测（</w:t>
      </w:r>
      <w:r>
        <w:rPr>
          <w:b/>
          <w:color w:val="000000" w:themeColor="text1"/>
          <w14:textFill>
            <w14:solidFill>
              <w14:schemeClr w14:val="tx1"/>
            </w14:solidFill>
          </w14:textFill>
        </w:rPr>
        <w:t>港庆（监）字【2023】第03086-HP号</w:t>
      </w:r>
      <w:r>
        <w:rPr>
          <w:rFonts w:hint="eastAsia"/>
          <w:color w:val="000000" w:themeColor="text1"/>
          <w14:textFill>
            <w14:solidFill>
              <w14:schemeClr w14:val="tx1"/>
            </w14:solidFill>
          </w14:textFill>
        </w:rPr>
        <w:t>），声环境现状与现有项目环评阶段无变化，且在3年内，本次引用现有项目声环境质量现状监测数据进行评价是可行的</w:t>
      </w:r>
      <w:r>
        <w:rPr>
          <w:color w:val="000000" w:themeColor="text1"/>
          <w14:textFill>
            <w14:solidFill>
              <w14:schemeClr w14:val="tx1"/>
            </w14:solidFill>
          </w14:textFill>
        </w:rPr>
        <w:t>。</w:t>
      </w:r>
    </w:p>
    <w:p w14:paraId="0FCC5D4E">
      <w:pPr>
        <w:ind w:firstLine="520"/>
        <w:rPr>
          <w:color w:val="000000" w:themeColor="text1"/>
          <w14:textFill>
            <w14:solidFill>
              <w14:schemeClr w14:val="tx1"/>
            </w14:solidFill>
          </w14:textFill>
        </w:rPr>
      </w:pPr>
      <w:r>
        <w:rPr>
          <w:color w:val="000000" w:themeColor="text1"/>
          <w14:textFill>
            <w14:solidFill>
              <w14:schemeClr w14:val="tx1"/>
            </w14:solidFill>
          </w14:textFill>
        </w:rPr>
        <w:t>（1）监测布点</w:t>
      </w:r>
    </w:p>
    <w:p w14:paraId="2E242A1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个监测点：项目</w:t>
      </w:r>
      <w:r>
        <w:rPr>
          <w:rFonts w:hint="eastAsia"/>
          <w:color w:val="000000" w:themeColor="text1"/>
          <w14:textFill>
            <w14:solidFill>
              <w14:schemeClr w14:val="tx1"/>
            </w14:solidFill>
          </w14:textFill>
        </w:rPr>
        <w:t>东侧住户处</w:t>
      </w:r>
      <w:r>
        <w:rPr>
          <w:color w:val="000000" w:themeColor="text1"/>
          <w14:textFill>
            <w14:solidFill>
              <w14:schemeClr w14:val="tx1"/>
            </w14:solidFill>
          </w14:textFill>
        </w:rPr>
        <w:t>（N1）、项目南侧（N2）、项目西侧（N3）、项目北侧（N4）。</w:t>
      </w:r>
    </w:p>
    <w:p w14:paraId="3C707DE4">
      <w:pPr>
        <w:ind w:firstLine="520"/>
        <w:rPr>
          <w:color w:val="000000" w:themeColor="text1"/>
          <w14:textFill>
            <w14:solidFill>
              <w14:schemeClr w14:val="tx1"/>
            </w14:solidFill>
          </w14:textFill>
        </w:rPr>
      </w:pPr>
      <w:r>
        <w:rPr>
          <w:color w:val="000000" w:themeColor="text1"/>
          <w14:textFill>
            <w14:solidFill>
              <w14:schemeClr w14:val="tx1"/>
            </w14:solidFill>
          </w14:textFill>
        </w:rPr>
        <w:t>（2）监测内容：昼、夜等效连续A声级。</w:t>
      </w:r>
    </w:p>
    <w:p w14:paraId="429A681F">
      <w:pPr>
        <w:ind w:firstLine="520"/>
        <w:rPr>
          <w:color w:val="000000" w:themeColor="text1"/>
          <w14:textFill>
            <w14:solidFill>
              <w14:schemeClr w14:val="tx1"/>
            </w14:solidFill>
          </w14:textFill>
        </w:rPr>
      </w:pPr>
      <w:r>
        <w:rPr>
          <w:color w:val="000000" w:themeColor="text1"/>
          <w14:textFill>
            <w14:solidFill>
              <w14:schemeClr w14:val="tx1"/>
            </w14:solidFill>
          </w14:textFill>
        </w:rPr>
        <w:t>（3）监测频率：连续2天，每天昼、夜各一次。</w:t>
      </w:r>
    </w:p>
    <w:p w14:paraId="3899545D">
      <w:pPr>
        <w:ind w:firstLine="520"/>
        <w:rPr>
          <w:color w:val="000000" w:themeColor="text1"/>
          <w14:textFill>
            <w14:solidFill>
              <w14:schemeClr w14:val="tx1"/>
            </w14:solidFill>
          </w14:textFill>
        </w:rPr>
      </w:pPr>
      <w:r>
        <w:rPr>
          <w:color w:val="000000" w:themeColor="text1"/>
          <w14:textFill>
            <w14:solidFill>
              <w14:schemeClr w14:val="tx1"/>
            </w14:solidFill>
          </w14:textFill>
        </w:rPr>
        <w:t>（4）监测时间：2023年3月31日-2023年4月1日。</w:t>
      </w:r>
    </w:p>
    <w:p w14:paraId="6D464B39">
      <w:pPr>
        <w:ind w:firstLine="520"/>
        <w:rPr>
          <w:color w:val="000000" w:themeColor="text1"/>
          <w14:textFill>
            <w14:solidFill>
              <w14:schemeClr w14:val="tx1"/>
            </w14:solidFill>
          </w14:textFill>
        </w:rPr>
      </w:pPr>
      <w:r>
        <w:rPr>
          <w:color w:val="000000" w:themeColor="text1"/>
          <w14:textFill>
            <w14:solidFill>
              <w14:schemeClr w14:val="tx1"/>
            </w14:solidFill>
          </w14:textFill>
        </w:rPr>
        <w:t>噪声现状监测统计结果见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_Ref160552635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CC0C8F0">
      <w:pPr>
        <w:spacing w:before="24"/>
        <w:ind w:firstLine="0" w:firstLineChars="0"/>
        <w:jc w:val="center"/>
        <w:rPr>
          <w:color w:val="000000" w:themeColor="text1"/>
          <w14:textFill>
            <w14:solidFill>
              <w14:schemeClr w14:val="tx1"/>
            </w14:solidFill>
          </w14:textFill>
        </w:rPr>
      </w:pPr>
      <w:bookmarkStart w:id="234" w:name="_Ref160552635"/>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bookmarkEnd w:id="234"/>
      <w:r>
        <w:rPr>
          <w:color w:val="000000" w:themeColor="text1"/>
          <w14:textFill>
            <w14:solidFill>
              <w14:schemeClr w14:val="tx1"/>
            </w14:solidFill>
          </w14:textFill>
        </w:rPr>
        <w:t xml:space="preserve">     噪声监测结果一览表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1455"/>
        <w:gridCol w:w="1307"/>
        <w:gridCol w:w="1354"/>
        <w:gridCol w:w="3295"/>
      </w:tblGrid>
      <w:tr w14:paraId="758F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restart"/>
            <w:vAlign w:val="center"/>
          </w:tcPr>
          <w:p w14:paraId="4AE96326">
            <w:pPr>
              <w:pStyle w:val="1535"/>
            </w:pPr>
            <w:r>
              <w:t>检测时间</w:t>
            </w:r>
          </w:p>
        </w:tc>
        <w:tc>
          <w:tcPr>
            <w:tcW w:w="808" w:type="pct"/>
            <w:vMerge w:val="restart"/>
            <w:vAlign w:val="center"/>
          </w:tcPr>
          <w:p w14:paraId="768D78FA">
            <w:pPr>
              <w:pStyle w:val="1535"/>
            </w:pPr>
            <w:r>
              <w:t>测点位置</w:t>
            </w:r>
          </w:p>
        </w:tc>
        <w:tc>
          <w:tcPr>
            <w:tcW w:w="1478" w:type="pct"/>
            <w:gridSpan w:val="2"/>
            <w:vAlign w:val="center"/>
          </w:tcPr>
          <w:p w14:paraId="2C66F64C">
            <w:pPr>
              <w:pStyle w:val="1535"/>
            </w:pPr>
            <w:r>
              <w:t>检测结果dB(A)</w:t>
            </w:r>
          </w:p>
        </w:tc>
        <w:tc>
          <w:tcPr>
            <w:tcW w:w="1830" w:type="pct"/>
            <w:vMerge w:val="restart"/>
            <w:vAlign w:val="center"/>
          </w:tcPr>
          <w:p w14:paraId="0503959C">
            <w:pPr>
              <w:pStyle w:val="1535"/>
            </w:pPr>
            <w:r>
              <w:t>声环境质量标准</w:t>
            </w:r>
          </w:p>
        </w:tc>
      </w:tr>
      <w:tr w14:paraId="2C8E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continue"/>
            <w:vAlign w:val="center"/>
          </w:tcPr>
          <w:p w14:paraId="0FC63DB3">
            <w:pPr>
              <w:pStyle w:val="1535"/>
            </w:pPr>
          </w:p>
        </w:tc>
        <w:tc>
          <w:tcPr>
            <w:tcW w:w="808" w:type="pct"/>
            <w:vMerge w:val="continue"/>
            <w:vAlign w:val="center"/>
          </w:tcPr>
          <w:p w14:paraId="4339AD1B">
            <w:pPr>
              <w:pStyle w:val="1535"/>
            </w:pPr>
          </w:p>
        </w:tc>
        <w:tc>
          <w:tcPr>
            <w:tcW w:w="726" w:type="pct"/>
            <w:vAlign w:val="center"/>
          </w:tcPr>
          <w:p w14:paraId="16B2BDAD">
            <w:pPr>
              <w:pStyle w:val="1535"/>
            </w:pPr>
            <w:r>
              <w:t>昼间</w:t>
            </w:r>
          </w:p>
        </w:tc>
        <w:tc>
          <w:tcPr>
            <w:tcW w:w="752" w:type="pct"/>
            <w:vAlign w:val="center"/>
          </w:tcPr>
          <w:p w14:paraId="622359A8">
            <w:pPr>
              <w:pStyle w:val="1535"/>
            </w:pPr>
            <w:r>
              <w:t>夜间</w:t>
            </w:r>
          </w:p>
        </w:tc>
        <w:tc>
          <w:tcPr>
            <w:tcW w:w="1830" w:type="pct"/>
            <w:vMerge w:val="continue"/>
            <w:vAlign w:val="center"/>
          </w:tcPr>
          <w:p w14:paraId="01336AA3">
            <w:pPr>
              <w:pStyle w:val="1535"/>
            </w:pPr>
          </w:p>
        </w:tc>
      </w:tr>
      <w:tr w14:paraId="5ACC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restart"/>
            <w:vAlign w:val="center"/>
          </w:tcPr>
          <w:p w14:paraId="748BCE6C">
            <w:pPr>
              <w:pStyle w:val="1535"/>
            </w:pPr>
            <w:r>
              <w:t>2023年3月31日</w:t>
            </w:r>
          </w:p>
        </w:tc>
        <w:tc>
          <w:tcPr>
            <w:tcW w:w="808" w:type="pct"/>
            <w:vAlign w:val="center"/>
          </w:tcPr>
          <w:p w14:paraId="327B0267">
            <w:pPr>
              <w:pStyle w:val="1535"/>
            </w:pPr>
            <w:r>
              <w:t>N1</w:t>
            </w:r>
          </w:p>
        </w:tc>
        <w:tc>
          <w:tcPr>
            <w:tcW w:w="726" w:type="pct"/>
            <w:vAlign w:val="center"/>
          </w:tcPr>
          <w:p w14:paraId="341800B6">
            <w:pPr>
              <w:pStyle w:val="1535"/>
            </w:pPr>
            <w:r>
              <w:t>45</w:t>
            </w:r>
          </w:p>
        </w:tc>
        <w:tc>
          <w:tcPr>
            <w:tcW w:w="752" w:type="pct"/>
            <w:vAlign w:val="center"/>
          </w:tcPr>
          <w:p w14:paraId="17E0110C">
            <w:pPr>
              <w:pStyle w:val="1535"/>
            </w:pPr>
            <w:r>
              <w:t>42</w:t>
            </w:r>
          </w:p>
        </w:tc>
        <w:tc>
          <w:tcPr>
            <w:tcW w:w="1830" w:type="pct"/>
            <w:vMerge w:val="restart"/>
            <w:vAlign w:val="center"/>
          </w:tcPr>
          <w:p w14:paraId="09FAC56A">
            <w:pPr>
              <w:pStyle w:val="1535"/>
            </w:pPr>
            <w:r>
              <w:t>N1执行2类标准，</w:t>
            </w:r>
          </w:p>
          <w:p w14:paraId="747434FE">
            <w:pPr>
              <w:pStyle w:val="1535"/>
            </w:pPr>
            <w:r>
              <w:t>昼间≤60dB(A)，</w:t>
            </w:r>
          </w:p>
          <w:p w14:paraId="2921EB09">
            <w:pPr>
              <w:pStyle w:val="1535"/>
            </w:pPr>
            <w:r>
              <w:t>夜间≤50dB(A)；</w:t>
            </w:r>
          </w:p>
          <w:p w14:paraId="15428E5D">
            <w:pPr>
              <w:pStyle w:val="1535"/>
            </w:pPr>
            <w:r>
              <w:t>N2、N3、N4执行3类标准，</w:t>
            </w:r>
          </w:p>
          <w:p w14:paraId="355C5450">
            <w:pPr>
              <w:pStyle w:val="1535"/>
            </w:pPr>
            <w:r>
              <w:t>昼间≤65dB(A)，</w:t>
            </w:r>
          </w:p>
          <w:p w14:paraId="321B4254">
            <w:pPr>
              <w:pStyle w:val="1535"/>
            </w:pPr>
            <w:r>
              <w:t>夜间≤55dB(A)</w:t>
            </w:r>
          </w:p>
        </w:tc>
      </w:tr>
      <w:tr w14:paraId="2DA6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continue"/>
            <w:vAlign w:val="center"/>
          </w:tcPr>
          <w:p w14:paraId="6A8CCB1B">
            <w:pPr>
              <w:pStyle w:val="1535"/>
            </w:pPr>
          </w:p>
        </w:tc>
        <w:tc>
          <w:tcPr>
            <w:tcW w:w="808" w:type="pct"/>
            <w:vAlign w:val="center"/>
          </w:tcPr>
          <w:p w14:paraId="3658B79B">
            <w:pPr>
              <w:pStyle w:val="1535"/>
            </w:pPr>
            <w:r>
              <w:t>N2</w:t>
            </w:r>
          </w:p>
        </w:tc>
        <w:tc>
          <w:tcPr>
            <w:tcW w:w="726" w:type="pct"/>
            <w:vAlign w:val="center"/>
          </w:tcPr>
          <w:p w14:paraId="04888543">
            <w:pPr>
              <w:pStyle w:val="1535"/>
            </w:pPr>
            <w:r>
              <w:t>48</w:t>
            </w:r>
          </w:p>
        </w:tc>
        <w:tc>
          <w:tcPr>
            <w:tcW w:w="752" w:type="pct"/>
            <w:vAlign w:val="center"/>
          </w:tcPr>
          <w:p w14:paraId="046D078D">
            <w:pPr>
              <w:pStyle w:val="1535"/>
            </w:pPr>
            <w:r>
              <w:t>45</w:t>
            </w:r>
          </w:p>
        </w:tc>
        <w:tc>
          <w:tcPr>
            <w:tcW w:w="1830" w:type="pct"/>
            <w:vMerge w:val="continue"/>
            <w:vAlign w:val="center"/>
          </w:tcPr>
          <w:p w14:paraId="65C76624">
            <w:pPr>
              <w:pStyle w:val="1535"/>
            </w:pPr>
          </w:p>
        </w:tc>
      </w:tr>
      <w:tr w14:paraId="63DD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continue"/>
            <w:vAlign w:val="center"/>
          </w:tcPr>
          <w:p w14:paraId="623A6A03">
            <w:pPr>
              <w:pStyle w:val="1535"/>
            </w:pPr>
          </w:p>
        </w:tc>
        <w:tc>
          <w:tcPr>
            <w:tcW w:w="808" w:type="pct"/>
            <w:vAlign w:val="center"/>
          </w:tcPr>
          <w:p w14:paraId="7601E388">
            <w:pPr>
              <w:pStyle w:val="1535"/>
            </w:pPr>
            <w:r>
              <w:t>N3</w:t>
            </w:r>
          </w:p>
        </w:tc>
        <w:tc>
          <w:tcPr>
            <w:tcW w:w="726" w:type="pct"/>
            <w:vAlign w:val="center"/>
          </w:tcPr>
          <w:p w14:paraId="4182CE92">
            <w:pPr>
              <w:pStyle w:val="1535"/>
            </w:pPr>
            <w:r>
              <w:t>48</w:t>
            </w:r>
          </w:p>
        </w:tc>
        <w:tc>
          <w:tcPr>
            <w:tcW w:w="752" w:type="pct"/>
            <w:vAlign w:val="center"/>
          </w:tcPr>
          <w:p w14:paraId="523B7BBF">
            <w:pPr>
              <w:pStyle w:val="1535"/>
            </w:pPr>
            <w:r>
              <w:t>42</w:t>
            </w:r>
          </w:p>
        </w:tc>
        <w:tc>
          <w:tcPr>
            <w:tcW w:w="1830" w:type="pct"/>
            <w:vMerge w:val="continue"/>
            <w:vAlign w:val="center"/>
          </w:tcPr>
          <w:p w14:paraId="4F073DE1">
            <w:pPr>
              <w:pStyle w:val="1535"/>
            </w:pPr>
          </w:p>
        </w:tc>
      </w:tr>
      <w:tr w14:paraId="2EA2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continue"/>
            <w:vAlign w:val="center"/>
          </w:tcPr>
          <w:p w14:paraId="4DE97ED0">
            <w:pPr>
              <w:pStyle w:val="1535"/>
            </w:pPr>
          </w:p>
        </w:tc>
        <w:tc>
          <w:tcPr>
            <w:tcW w:w="808" w:type="pct"/>
            <w:vAlign w:val="center"/>
          </w:tcPr>
          <w:p w14:paraId="11B2DF56">
            <w:pPr>
              <w:pStyle w:val="1535"/>
            </w:pPr>
            <w:r>
              <w:t>N4</w:t>
            </w:r>
          </w:p>
        </w:tc>
        <w:tc>
          <w:tcPr>
            <w:tcW w:w="726" w:type="pct"/>
            <w:vAlign w:val="center"/>
          </w:tcPr>
          <w:p w14:paraId="162E9DB1">
            <w:pPr>
              <w:pStyle w:val="1535"/>
            </w:pPr>
            <w:r>
              <w:t>47</w:t>
            </w:r>
          </w:p>
        </w:tc>
        <w:tc>
          <w:tcPr>
            <w:tcW w:w="752" w:type="pct"/>
            <w:vAlign w:val="center"/>
          </w:tcPr>
          <w:p w14:paraId="156452AA">
            <w:pPr>
              <w:pStyle w:val="1535"/>
            </w:pPr>
            <w:r>
              <w:t>44</w:t>
            </w:r>
          </w:p>
        </w:tc>
        <w:tc>
          <w:tcPr>
            <w:tcW w:w="1830" w:type="pct"/>
            <w:vMerge w:val="continue"/>
            <w:vAlign w:val="center"/>
          </w:tcPr>
          <w:p w14:paraId="44C4028C">
            <w:pPr>
              <w:pStyle w:val="1535"/>
            </w:pPr>
          </w:p>
        </w:tc>
      </w:tr>
      <w:tr w14:paraId="778D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restart"/>
            <w:vAlign w:val="center"/>
          </w:tcPr>
          <w:p w14:paraId="2E856C7A">
            <w:pPr>
              <w:pStyle w:val="1535"/>
            </w:pPr>
            <w:r>
              <w:t>2023年4月1日</w:t>
            </w:r>
          </w:p>
        </w:tc>
        <w:tc>
          <w:tcPr>
            <w:tcW w:w="808" w:type="pct"/>
            <w:vAlign w:val="center"/>
          </w:tcPr>
          <w:p w14:paraId="4F9F3E64">
            <w:pPr>
              <w:pStyle w:val="1535"/>
            </w:pPr>
            <w:r>
              <w:t>N1</w:t>
            </w:r>
          </w:p>
        </w:tc>
        <w:tc>
          <w:tcPr>
            <w:tcW w:w="726" w:type="pct"/>
            <w:vAlign w:val="center"/>
          </w:tcPr>
          <w:p w14:paraId="2B295367">
            <w:pPr>
              <w:pStyle w:val="1535"/>
            </w:pPr>
            <w:r>
              <w:t>44</w:t>
            </w:r>
          </w:p>
        </w:tc>
        <w:tc>
          <w:tcPr>
            <w:tcW w:w="752" w:type="pct"/>
            <w:vAlign w:val="center"/>
          </w:tcPr>
          <w:p w14:paraId="6B715E6C">
            <w:pPr>
              <w:pStyle w:val="1535"/>
            </w:pPr>
            <w:r>
              <w:t>40</w:t>
            </w:r>
          </w:p>
        </w:tc>
        <w:tc>
          <w:tcPr>
            <w:tcW w:w="1830" w:type="pct"/>
            <w:vMerge w:val="continue"/>
            <w:vAlign w:val="center"/>
          </w:tcPr>
          <w:p w14:paraId="7740446D">
            <w:pPr>
              <w:pStyle w:val="1535"/>
            </w:pPr>
          </w:p>
        </w:tc>
      </w:tr>
      <w:tr w14:paraId="64B5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continue"/>
            <w:vAlign w:val="center"/>
          </w:tcPr>
          <w:p w14:paraId="1C8B6CB5">
            <w:pPr>
              <w:pStyle w:val="1535"/>
            </w:pPr>
          </w:p>
        </w:tc>
        <w:tc>
          <w:tcPr>
            <w:tcW w:w="808" w:type="pct"/>
            <w:vAlign w:val="center"/>
          </w:tcPr>
          <w:p w14:paraId="2BD628B5">
            <w:pPr>
              <w:pStyle w:val="1535"/>
            </w:pPr>
            <w:r>
              <w:t>N2</w:t>
            </w:r>
          </w:p>
        </w:tc>
        <w:tc>
          <w:tcPr>
            <w:tcW w:w="726" w:type="pct"/>
            <w:vAlign w:val="center"/>
          </w:tcPr>
          <w:p w14:paraId="51E47022">
            <w:pPr>
              <w:pStyle w:val="1535"/>
            </w:pPr>
            <w:r>
              <w:t>48</w:t>
            </w:r>
          </w:p>
        </w:tc>
        <w:tc>
          <w:tcPr>
            <w:tcW w:w="752" w:type="pct"/>
            <w:vAlign w:val="center"/>
          </w:tcPr>
          <w:p w14:paraId="43AEB406">
            <w:pPr>
              <w:pStyle w:val="1535"/>
            </w:pPr>
            <w:r>
              <w:t>42</w:t>
            </w:r>
          </w:p>
        </w:tc>
        <w:tc>
          <w:tcPr>
            <w:tcW w:w="1830" w:type="pct"/>
            <w:vMerge w:val="continue"/>
            <w:vAlign w:val="center"/>
          </w:tcPr>
          <w:p w14:paraId="203D24B2">
            <w:pPr>
              <w:pStyle w:val="1535"/>
            </w:pPr>
          </w:p>
        </w:tc>
      </w:tr>
      <w:tr w14:paraId="501E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continue"/>
            <w:vAlign w:val="center"/>
          </w:tcPr>
          <w:p w14:paraId="22A23ED1">
            <w:pPr>
              <w:pStyle w:val="1535"/>
            </w:pPr>
          </w:p>
        </w:tc>
        <w:tc>
          <w:tcPr>
            <w:tcW w:w="808" w:type="pct"/>
            <w:vAlign w:val="center"/>
          </w:tcPr>
          <w:p w14:paraId="4550A986">
            <w:pPr>
              <w:pStyle w:val="1535"/>
            </w:pPr>
            <w:r>
              <w:t>N3</w:t>
            </w:r>
          </w:p>
        </w:tc>
        <w:tc>
          <w:tcPr>
            <w:tcW w:w="726" w:type="pct"/>
            <w:vAlign w:val="center"/>
          </w:tcPr>
          <w:p w14:paraId="42844C1A">
            <w:pPr>
              <w:pStyle w:val="1535"/>
            </w:pPr>
            <w:r>
              <w:t>46</w:t>
            </w:r>
          </w:p>
        </w:tc>
        <w:tc>
          <w:tcPr>
            <w:tcW w:w="752" w:type="pct"/>
            <w:vAlign w:val="center"/>
          </w:tcPr>
          <w:p w14:paraId="686853CA">
            <w:pPr>
              <w:pStyle w:val="1535"/>
            </w:pPr>
            <w:r>
              <w:t>42</w:t>
            </w:r>
          </w:p>
        </w:tc>
        <w:tc>
          <w:tcPr>
            <w:tcW w:w="1830" w:type="pct"/>
            <w:vMerge w:val="continue"/>
            <w:vAlign w:val="center"/>
          </w:tcPr>
          <w:p w14:paraId="05635E21">
            <w:pPr>
              <w:pStyle w:val="1535"/>
            </w:pPr>
          </w:p>
        </w:tc>
      </w:tr>
      <w:tr w14:paraId="33CB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pct"/>
            <w:vMerge w:val="continue"/>
            <w:vAlign w:val="center"/>
          </w:tcPr>
          <w:p w14:paraId="46E3B7C0">
            <w:pPr>
              <w:pStyle w:val="1535"/>
            </w:pPr>
          </w:p>
        </w:tc>
        <w:tc>
          <w:tcPr>
            <w:tcW w:w="808" w:type="pct"/>
            <w:vAlign w:val="center"/>
          </w:tcPr>
          <w:p w14:paraId="290D1366">
            <w:pPr>
              <w:pStyle w:val="1535"/>
            </w:pPr>
            <w:r>
              <w:t>N4</w:t>
            </w:r>
          </w:p>
        </w:tc>
        <w:tc>
          <w:tcPr>
            <w:tcW w:w="726" w:type="pct"/>
            <w:vAlign w:val="center"/>
          </w:tcPr>
          <w:p w14:paraId="75ADF0F1">
            <w:pPr>
              <w:pStyle w:val="1535"/>
            </w:pPr>
            <w:r>
              <w:t>46</w:t>
            </w:r>
          </w:p>
        </w:tc>
        <w:tc>
          <w:tcPr>
            <w:tcW w:w="752" w:type="pct"/>
            <w:vAlign w:val="center"/>
          </w:tcPr>
          <w:p w14:paraId="2D0132EE">
            <w:pPr>
              <w:pStyle w:val="1535"/>
            </w:pPr>
            <w:r>
              <w:t>42</w:t>
            </w:r>
          </w:p>
        </w:tc>
        <w:tc>
          <w:tcPr>
            <w:tcW w:w="1830" w:type="pct"/>
            <w:vMerge w:val="continue"/>
            <w:vAlign w:val="center"/>
          </w:tcPr>
          <w:p w14:paraId="220BA529">
            <w:pPr>
              <w:pStyle w:val="1535"/>
            </w:pPr>
          </w:p>
        </w:tc>
      </w:tr>
    </w:tbl>
    <w:p w14:paraId="2F93C9AC">
      <w:pPr>
        <w:ind w:firstLine="520"/>
        <w:rPr>
          <w:color w:val="000000" w:themeColor="text1"/>
          <w14:textFill>
            <w14:solidFill>
              <w14:schemeClr w14:val="tx1"/>
            </w14:solidFill>
          </w14:textFill>
        </w:rPr>
      </w:pPr>
      <w:r>
        <w:rPr>
          <w:color w:val="000000" w:themeColor="text1"/>
          <w14:textFill>
            <w14:solidFill>
              <w14:schemeClr w14:val="tx1"/>
            </w14:solidFill>
          </w14:textFill>
        </w:rPr>
        <w:t>由</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_Ref160552635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可知，监测点N1昼间、夜间的环境噪声值均满足《声环境质量标准》（GB3096-2008）中2类标准，监测点N2、N3、N4昼间、夜间的环境噪声值均满足《声环境质量标准》（GB3096-2008）中3类标准，区域环境噪声满足相应功能区声环境质量标准要求。</w:t>
      </w:r>
    </w:p>
    <w:p w14:paraId="53AC925E">
      <w:pPr>
        <w:pStyle w:val="5"/>
        <w:rPr>
          <w:color w:val="000000" w:themeColor="text1"/>
          <w14:textFill>
            <w14:solidFill>
              <w14:schemeClr w14:val="tx1"/>
            </w14:solidFill>
          </w14:textFill>
        </w:rPr>
      </w:pPr>
      <w:r>
        <w:rPr>
          <w:color w:val="000000" w:themeColor="text1"/>
          <w14:textFill>
            <w14:solidFill>
              <w14:schemeClr w14:val="tx1"/>
            </w14:solidFill>
          </w14:textFill>
        </w:rPr>
        <w:t>土壤环境质量现状</w:t>
      </w:r>
    </w:p>
    <w:p w14:paraId="1E77F38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扩建项目与臻宝半导体公司现有项目处于同一占地范围内，本次引用现有项目土壤环境质量现状监测数据进行评价，监测时间</w:t>
      </w:r>
      <w:r>
        <w:rPr>
          <w:color w:val="000000" w:themeColor="text1"/>
          <w14:textFill>
            <w14:solidFill>
              <w14:schemeClr w14:val="tx1"/>
            </w14:solidFill>
          </w14:textFill>
        </w:rPr>
        <w:t>2023年3月31日（</w:t>
      </w:r>
      <w:r>
        <w:rPr>
          <w:b/>
          <w:color w:val="000000" w:themeColor="text1"/>
          <w14:textFill>
            <w14:solidFill>
              <w14:schemeClr w14:val="tx1"/>
            </w14:solidFill>
          </w14:textFill>
        </w:rPr>
        <w:t>港庆（监）字【2023】第03086-HP号</w:t>
      </w:r>
      <w:r>
        <w:rPr>
          <w:color w:val="000000" w:themeColor="text1"/>
          <w14:textFill>
            <w14:solidFill>
              <w14:schemeClr w14:val="tx1"/>
            </w14:solidFill>
          </w14:textFill>
        </w:rPr>
        <w:t>）。</w:t>
      </w:r>
    </w:p>
    <w:p w14:paraId="7AC6FBB3">
      <w:pPr>
        <w:ind w:firstLine="520"/>
        <w:rPr>
          <w:color w:val="000000" w:themeColor="text1"/>
          <w14:textFill>
            <w14:solidFill>
              <w14:schemeClr w14:val="tx1"/>
            </w14:solidFill>
          </w14:textFill>
        </w:rPr>
      </w:pPr>
      <w:r>
        <w:rPr>
          <w:color w:val="000000" w:themeColor="text1"/>
          <w14:textFill>
            <w14:solidFill>
              <w14:schemeClr w14:val="tx1"/>
            </w14:solidFill>
          </w14:textFill>
        </w:rPr>
        <w:t>（1）监测点位</w:t>
      </w:r>
    </w:p>
    <w:p w14:paraId="3EB30AEC">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扩建项目土壤环境影响属于污染影响型，评价工作等级为三级，根据《环境影响评价技术导则土壤环境（试行）》（HJ964-2018）中“7.4.3现状监测点数量要求”，在占地范围内设3个点进行监测</w:t>
      </w:r>
      <w:r>
        <w:rPr>
          <w:rFonts w:hint="eastAsia"/>
          <w:color w:val="000000" w:themeColor="text1"/>
          <w14:textFill>
            <w14:solidFill>
              <w14:schemeClr w14:val="tx1"/>
            </w14:solidFill>
          </w14:textFill>
        </w:rPr>
        <w:t>，本项目依托现有厂房建设，现有厂房地面已硬化，无法取样，根据部长信箱回复：“根据建设项目实际情况，如果项目场地已经做了防腐防渗（包括硬化）处理无法取样，可不取样监测，但需要详细说明无法取样原因。”</w:t>
      </w:r>
      <w:r>
        <w:rPr>
          <w:color w:val="000000" w:themeColor="text1"/>
          <w14:textFill>
            <w14:solidFill>
              <w14:schemeClr w14:val="tx1"/>
            </w14:solidFill>
          </w14:textFill>
        </w:rPr>
        <w:t xml:space="preserve"> 本次评价引用厂区已有土壤监测数据进行评价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现有工程尚未建成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监测时间为</w:t>
      </w:r>
      <w:r>
        <w:rPr>
          <w:rFonts w:hint="eastAsia"/>
          <w:color w:val="000000" w:themeColor="text1"/>
          <w14:textFill>
            <w14:solidFill>
              <w14:schemeClr w14:val="tx1"/>
            </w14:solidFill>
          </w14:textFill>
        </w:rPr>
        <w:t>2023年3月31日，</w:t>
      </w:r>
      <w:r>
        <w:rPr>
          <w:color w:val="000000" w:themeColor="text1"/>
          <w14:textFill>
            <w14:solidFill>
              <w14:schemeClr w14:val="tx1"/>
            </w14:solidFill>
          </w14:textFill>
        </w:rPr>
        <w:t>在有效期内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因此</w:t>
      </w:r>
      <w:r>
        <w:rPr>
          <w:rFonts w:hint="eastAsia"/>
          <w:color w:val="000000" w:themeColor="text1"/>
          <w14:textFill>
            <w14:solidFill>
              <w14:schemeClr w14:val="tx1"/>
            </w14:solidFill>
          </w14:textFill>
        </w:rPr>
        <w:t>本次引用现有项目土壤环境现状监测数据进行评价是合理。</w:t>
      </w:r>
      <w:r>
        <w:rPr>
          <w:color w:val="000000" w:themeColor="text1"/>
          <w:lang w:val="zh-CN"/>
          <w14:textFill>
            <w14:solidFill>
              <w14:schemeClr w14:val="tx1"/>
            </w14:solidFill>
          </w14:textFill>
        </w:rPr>
        <w:t>具体监测布点见</w:t>
      </w:r>
      <w:r>
        <w:rPr>
          <w:color w:val="000000" w:themeColor="text1"/>
          <w:lang w:val="zh-CN"/>
          <w14:textFill>
            <w14:solidFill>
              <w14:schemeClr w14:val="tx1"/>
            </w14:solidFill>
          </w14:textFill>
        </w:rPr>
        <w:fldChar w:fldCharType="begin"/>
      </w:r>
      <w:r>
        <w:rPr>
          <w:color w:val="000000" w:themeColor="text1"/>
          <w:lang w:val="zh-CN"/>
          <w14:textFill>
            <w14:solidFill>
              <w14:schemeClr w14:val="tx1"/>
            </w14:solidFill>
          </w14:textFill>
        </w:rPr>
        <w:instrText xml:space="preserve"> REF _Ref160552746 \h </w:instrText>
      </w:r>
      <w:r>
        <w:rPr>
          <w:color w:val="000000" w:themeColor="text1"/>
          <w:lang w:val="zh-CN"/>
          <w14:textFill>
            <w14:solidFill>
              <w14:schemeClr w14:val="tx1"/>
            </w14:solidFill>
          </w14:textFill>
        </w:rPr>
        <w:fldChar w:fldCharType="separate"/>
      </w:r>
      <w:r>
        <w:rPr>
          <w:color w:val="000000" w:themeColor="text1"/>
          <w14:textFill>
            <w14:solidFill>
              <w14:schemeClr w14:val="tx1"/>
            </w14:solidFill>
          </w14:textFill>
        </w:rPr>
        <w:t>表5.2</w:t>
      </w:r>
      <w:r>
        <w:rPr>
          <w:color w:val="000000" w:themeColor="text1"/>
          <w14:textFill>
            <w14:solidFill>
              <w14:schemeClr w14:val="tx1"/>
            </w14:solidFill>
          </w14:textFill>
        </w:rPr>
        <w:noBreakHyphen/>
      </w:r>
      <w:r>
        <w:rPr>
          <w:color w:val="000000" w:themeColor="text1"/>
          <w14:textFill>
            <w14:solidFill>
              <w14:schemeClr w14:val="tx1"/>
            </w14:solidFill>
          </w14:textFill>
        </w:rPr>
        <w:t>7</w:t>
      </w:r>
      <w:r>
        <w:rPr>
          <w:color w:val="000000" w:themeColor="text1"/>
          <w:lang w:val="zh-CN"/>
          <w14:textFill>
            <w14:solidFill>
              <w14:schemeClr w14:val="tx1"/>
            </w14:solidFill>
          </w14:textFill>
        </w:rPr>
        <w:fldChar w:fldCharType="end"/>
      </w:r>
      <w:r>
        <w:rPr>
          <w:color w:val="000000" w:themeColor="text1"/>
          <w:lang w:val="zh-CN"/>
          <w14:textFill>
            <w14:solidFill>
              <w14:schemeClr w14:val="tx1"/>
            </w14:solidFill>
          </w14:textFill>
        </w:rPr>
        <w:t>。</w:t>
      </w:r>
    </w:p>
    <w:p w14:paraId="75B6D42D">
      <w:pPr>
        <w:spacing w:before="24"/>
        <w:ind w:firstLine="0" w:firstLineChars="0"/>
        <w:jc w:val="center"/>
        <w:rPr>
          <w:color w:val="000000" w:themeColor="text1"/>
          <w14:textFill>
            <w14:solidFill>
              <w14:schemeClr w14:val="tx1"/>
            </w14:solidFill>
          </w14:textFill>
        </w:rPr>
      </w:pPr>
      <w:bookmarkStart w:id="235" w:name="_Ref160552746"/>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表格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bookmarkEnd w:id="235"/>
      <w:r>
        <w:rPr>
          <w:color w:val="000000" w:themeColor="text1"/>
          <w14:textFill>
            <w14:solidFill>
              <w14:schemeClr w14:val="tx1"/>
            </w14:solidFill>
          </w14:textFill>
        </w:rPr>
        <w:t xml:space="preserve">     土壤环境现状监测点</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758"/>
        <w:gridCol w:w="765"/>
        <w:gridCol w:w="2496"/>
        <w:gridCol w:w="1408"/>
        <w:gridCol w:w="2255"/>
        <w:gridCol w:w="838"/>
      </w:tblGrid>
      <w:tr w14:paraId="2FC8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Align w:val="center"/>
          </w:tcPr>
          <w:p w14:paraId="01F6B764">
            <w:pPr>
              <w:pStyle w:val="1535"/>
            </w:pPr>
            <w:r>
              <w:t>序号</w:t>
            </w:r>
          </w:p>
        </w:tc>
        <w:tc>
          <w:tcPr>
            <w:tcW w:w="846" w:type="pct"/>
            <w:gridSpan w:val="2"/>
            <w:vAlign w:val="center"/>
          </w:tcPr>
          <w:p w14:paraId="70E62050">
            <w:pPr>
              <w:pStyle w:val="1535"/>
            </w:pPr>
            <w:r>
              <w:t>监测点位</w:t>
            </w:r>
          </w:p>
        </w:tc>
        <w:tc>
          <w:tcPr>
            <w:tcW w:w="1386" w:type="pct"/>
            <w:vAlign w:val="center"/>
          </w:tcPr>
          <w:p w14:paraId="4772849E">
            <w:pPr>
              <w:pStyle w:val="1535"/>
            </w:pPr>
            <w:r>
              <w:t>位置</w:t>
            </w:r>
          </w:p>
        </w:tc>
        <w:tc>
          <w:tcPr>
            <w:tcW w:w="782" w:type="pct"/>
            <w:vAlign w:val="center"/>
          </w:tcPr>
          <w:p w14:paraId="0F566D01">
            <w:pPr>
              <w:pStyle w:val="1535"/>
            </w:pPr>
            <w:r>
              <w:t>点位说明</w:t>
            </w:r>
          </w:p>
        </w:tc>
        <w:tc>
          <w:tcPr>
            <w:tcW w:w="1252" w:type="pct"/>
            <w:vAlign w:val="center"/>
          </w:tcPr>
          <w:p w14:paraId="01A07D68">
            <w:pPr>
              <w:pStyle w:val="1535"/>
            </w:pPr>
            <w:r>
              <w:t>检测项目</w:t>
            </w:r>
          </w:p>
        </w:tc>
        <w:tc>
          <w:tcPr>
            <w:tcW w:w="465" w:type="pct"/>
            <w:vAlign w:val="center"/>
          </w:tcPr>
          <w:p w14:paraId="04F7C18C">
            <w:pPr>
              <w:pStyle w:val="1535"/>
            </w:pPr>
            <w:r>
              <w:t>采样时间</w:t>
            </w:r>
          </w:p>
        </w:tc>
      </w:tr>
      <w:tr w14:paraId="3652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Align w:val="center"/>
          </w:tcPr>
          <w:p w14:paraId="4444A9E3">
            <w:pPr>
              <w:pStyle w:val="1535"/>
            </w:pPr>
            <w:r>
              <w:t>1</w:t>
            </w:r>
          </w:p>
        </w:tc>
        <w:tc>
          <w:tcPr>
            <w:tcW w:w="421" w:type="pct"/>
            <w:vMerge w:val="restart"/>
            <w:vAlign w:val="center"/>
          </w:tcPr>
          <w:p w14:paraId="19363E66">
            <w:pPr>
              <w:pStyle w:val="1535"/>
            </w:pPr>
            <w:r>
              <w:rPr>
                <w:rFonts w:hint="eastAsia"/>
              </w:rPr>
              <w:t>厂区范围内</w:t>
            </w:r>
          </w:p>
        </w:tc>
        <w:tc>
          <w:tcPr>
            <w:tcW w:w="425" w:type="pct"/>
            <w:vAlign w:val="center"/>
          </w:tcPr>
          <w:p w14:paraId="51049171">
            <w:pPr>
              <w:pStyle w:val="1535"/>
            </w:pPr>
            <w:r>
              <w:t>S1#</w:t>
            </w:r>
          </w:p>
        </w:tc>
        <w:tc>
          <w:tcPr>
            <w:tcW w:w="1386" w:type="pct"/>
            <w:vAlign w:val="center"/>
          </w:tcPr>
          <w:p w14:paraId="374C7358">
            <w:pPr>
              <w:pStyle w:val="1535"/>
            </w:pPr>
            <w:r>
              <w:rPr>
                <w:rFonts w:hint="eastAsia"/>
              </w:rPr>
              <w:t>现有</w:t>
            </w:r>
            <w:r>
              <w:t>项目厂界内南侧</w:t>
            </w:r>
          </w:p>
        </w:tc>
        <w:tc>
          <w:tcPr>
            <w:tcW w:w="782" w:type="pct"/>
            <w:vAlign w:val="center"/>
          </w:tcPr>
          <w:p w14:paraId="0AF1C1E7">
            <w:pPr>
              <w:pStyle w:val="1535"/>
            </w:pPr>
            <w:r>
              <w:t>表层样</w:t>
            </w:r>
          </w:p>
        </w:tc>
        <w:tc>
          <w:tcPr>
            <w:tcW w:w="1252" w:type="pct"/>
            <w:vAlign w:val="center"/>
          </w:tcPr>
          <w:p w14:paraId="77A8609B">
            <w:pPr>
              <w:pStyle w:val="1535"/>
            </w:pPr>
            <w:r>
              <w:t>pH、45项、石油烃</w:t>
            </w:r>
          </w:p>
        </w:tc>
        <w:tc>
          <w:tcPr>
            <w:tcW w:w="465" w:type="pct"/>
            <w:vMerge w:val="restart"/>
            <w:vAlign w:val="center"/>
          </w:tcPr>
          <w:p w14:paraId="118F022A">
            <w:pPr>
              <w:pStyle w:val="1535"/>
            </w:pPr>
            <w:r>
              <w:t>2023年3月31日</w:t>
            </w:r>
          </w:p>
        </w:tc>
      </w:tr>
      <w:tr w14:paraId="491B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Align w:val="center"/>
          </w:tcPr>
          <w:p w14:paraId="1D216602">
            <w:pPr>
              <w:pStyle w:val="1535"/>
            </w:pPr>
            <w:r>
              <w:t>2</w:t>
            </w:r>
          </w:p>
        </w:tc>
        <w:tc>
          <w:tcPr>
            <w:tcW w:w="421" w:type="pct"/>
            <w:vMerge w:val="continue"/>
            <w:vAlign w:val="center"/>
          </w:tcPr>
          <w:p w14:paraId="25531A0B">
            <w:pPr>
              <w:pStyle w:val="1535"/>
            </w:pPr>
          </w:p>
        </w:tc>
        <w:tc>
          <w:tcPr>
            <w:tcW w:w="425" w:type="pct"/>
            <w:vAlign w:val="center"/>
          </w:tcPr>
          <w:p w14:paraId="001ADE22">
            <w:pPr>
              <w:pStyle w:val="1535"/>
            </w:pPr>
            <w:r>
              <w:t>S2#</w:t>
            </w:r>
          </w:p>
        </w:tc>
        <w:tc>
          <w:tcPr>
            <w:tcW w:w="1386" w:type="pct"/>
            <w:vAlign w:val="center"/>
          </w:tcPr>
          <w:p w14:paraId="21C8726E">
            <w:pPr>
              <w:pStyle w:val="1535"/>
            </w:pPr>
            <w:r>
              <w:rPr>
                <w:rFonts w:hint="eastAsia"/>
              </w:rPr>
              <w:t>现有</w:t>
            </w:r>
            <w:r>
              <w:t>项目厂界内东侧</w:t>
            </w:r>
          </w:p>
        </w:tc>
        <w:tc>
          <w:tcPr>
            <w:tcW w:w="782" w:type="pct"/>
            <w:vAlign w:val="center"/>
          </w:tcPr>
          <w:p w14:paraId="21DAA2A8">
            <w:pPr>
              <w:pStyle w:val="1535"/>
            </w:pPr>
            <w:r>
              <w:t>表层样</w:t>
            </w:r>
          </w:p>
        </w:tc>
        <w:tc>
          <w:tcPr>
            <w:tcW w:w="1252" w:type="pct"/>
            <w:vAlign w:val="center"/>
          </w:tcPr>
          <w:p w14:paraId="5B9ECDD6">
            <w:pPr>
              <w:pStyle w:val="1535"/>
            </w:pPr>
            <w:r>
              <w:t>pH、45项、石油烃</w:t>
            </w:r>
          </w:p>
        </w:tc>
        <w:tc>
          <w:tcPr>
            <w:tcW w:w="465" w:type="pct"/>
            <w:vMerge w:val="continue"/>
            <w:vAlign w:val="center"/>
          </w:tcPr>
          <w:p w14:paraId="764B7D88">
            <w:pPr>
              <w:pStyle w:val="1535"/>
            </w:pPr>
          </w:p>
        </w:tc>
      </w:tr>
      <w:tr w14:paraId="13C6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 w:type="pct"/>
            <w:vAlign w:val="center"/>
          </w:tcPr>
          <w:p w14:paraId="460B4487">
            <w:pPr>
              <w:pStyle w:val="1535"/>
            </w:pPr>
            <w:r>
              <w:t>3</w:t>
            </w:r>
          </w:p>
        </w:tc>
        <w:tc>
          <w:tcPr>
            <w:tcW w:w="421" w:type="pct"/>
            <w:vMerge w:val="continue"/>
            <w:vAlign w:val="center"/>
          </w:tcPr>
          <w:p w14:paraId="3950CDE7">
            <w:pPr>
              <w:pStyle w:val="1535"/>
            </w:pPr>
          </w:p>
        </w:tc>
        <w:tc>
          <w:tcPr>
            <w:tcW w:w="425" w:type="pct"/>
            <w:vAlign w:val="center"/>
          </w:tcPr>
          <w:p w14:paraId="6BF7EF1B">
            <w:pPr>
              <w:pStyle w:val="1535"/>
            </w:pPr>
            <w:r>
              <w:t>S3#</w:t>
            </w:r>
          </w:p>
        </w:tc>
        <w:tc>
          <w:tcPr>
            <w:tcW w:w="1386" w:type="pct"/>
            <w:vAlign w:val="center"/>
          </w:tcPr>
          <w:p w14:paraId="219CD6FF">
            <w:pPr>
              <w:pStyle w:val="1535"/>
            </w:pPr>
            <w:r>
              <w:rPr>
                <w:rFonts w:hint="eastAsia"/>
              </w:rPr>
              <w:t>现有</w:t>
            </w:r>
            <w:r>
              <w:t>项目厂界内西侧</w:t>
            </w:r>
          </w:p>
        </w:tc>
        <w:tc>
          <w:tcPr>
            <w:tcW w:w="782" w:type="pct"/>
            <w:vAlign w:val="center"/>
          </w:tcPr>
          <w:p w14:paraId="18F0B59A">
            <w:pPr>
              <w:pStyle w:val="1535"/>
            </w:pPr>
            <w:r>
              <w:t>表层样</w:t>
            </w:r>
          </w:p>
        </w:tc>
        <w:tc>
          <w:tcPr>
            <w:tcW w:w="1252" w:type="pct"/>
            <w:vAlign w:val="center"/>
          </w:tcPr>
          <w:p w14:paraId="65739AED">
            <w:pPr>
              <w:pStyle w:val="1535"/>
            </w:pPr>
            <w:r>
              <w:t>pH、45项、石油烃</w:t>
            </w:r>
          </w:p>
        </w:tc>
        <w:tc>
          <w:tcPr>
            <w:tcW w:w="465" w:type="pct"/>
            <w:vMerge w:val="continue"/>
            <w:vAlign w:val="center"/>
          </w:tcPr>
          <w:p w14:paraId="1F0B68F7">
            <w:pPr>
              <w:pStyle w:val="1535"/>
            </w:pPr>
          </w:p>
        </w:tc>
      </w:tr>
    </w:tbl>
    <w:p w14:paraId="43A8A7CB">
      <w:pPr>
        <w:ind w:firstLine="520"/>
        <w:rPr>
          <w:color w:val="000000" w:themeColor="text1"/>
          <w14:textFill>
            <w14:solidFill>
              <w14:schemeClr w14:val="tx1"/>
            </w14:solidFill>
          </w14:textFill>
        </w:rPr>
      </w:pPr>
      <w:r>
        <w:rPr>
          <w:color w:val="000000" w:themeColor="text1"/>
          <w14:textFill>
            <w14:solidFill>
              <w14:schemeClr w14:val="tx1"/>
            </w14:solidFill>
          </w14:textFill>
        </w:rPr>
        <w:t>（2）监测因子</w:t>
      </w:r>
    </w:p>
    <w:p w14:paraId="3839EF03">
      <w:pPr>
        <w:ind w:firstLine="520"/>
        <w:rPr>
          <w:color w:val="000000" w:themeColor="text1"/>
          <w14:textFill>
            <w14:solidFill>
              <w14:schemeClr w14:val="tx1"/>
            </w14:solidFill>
          </w14:textFill>
        </w:rPr>
      </w:pPr>
      <w:r>
        <w:rPr>
          <w:color w:val="000000" w:themeColor="text1"/>
          <w14:textFill>
            <w14:solidFill>
              <w14:schemeClr w14:val="tx1"/>
            </w14:solidFill>
          </w14:textFill>
        </w:rPr>
        <w:t>pH值、石油烃、基本项目45项：</w:t>
      </w:r>
    </w:p>
    <w:p w14:paraId="21931EE2">
      <w:pPr>
        <w:ind w:firstLine="520"/>
        <w:rPr>
          <w:color w:val="000000" w:themeColor="text1"/>
          <w14:textFill>
            <w14:solidFill>
              <w14:schemeClr w14:val="tx1"/>
            </w14:solidFill>
          </w14:textFill>
        </w:rPr>
      </w:pPr>
      <w:r>
        <w:rPr>
          <w:color w:val="000000" w:themeColor="text1"/>
          <w14:textFill>
            <w14:solidFill>
              <w14:schemeClr w14:val="tx1"/>
            </w14:solidFill>
          </w14:textFill>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p w14:paraId="241480F2">
      <w:pPr>
        <w:ind w:firstLine="520"/>
        <w:rPr>
          <w:color w:val="000000" w:themeColor="text1"/>
          <w14:textFill>
            <w14:solidFill>
              <w14:schemeClr w14:val="tx1"/>
            </w14:solidFill>
          </w14:textFill>
        </w:rPr>
      </w:pPr>
      <w:r>
        <w:rPr>
          <w:color w:val="000000" w:themeColor="text1"/>
          <w14:textFill>
            <w14:solidFill>
              <w14:schemeClr w14:val="tx1"/>
            </w14:solidFill>
          </w14:textFill>
        </w:rPr>
        <w:t>（3）监测时间及频率</w:t>
      </w:r>
    </w:p>
    <w:p w14:paraId="41A38A46">
      <w:pPr>
        <w:ind w:firstLine="520"/>
        <w:rPr>
          <w:color w:val="000000" w:themeColor="text1"/>
          <w14:textFill>
            <w14:solidFill>
              <w14:schemeClr w14:val="tx1"/>
            </w14:solidFill>
          </w14:textFill>
        </w:rPr>
      </w:pPr>
      <w:r>
        <w:rPr>
          <w:color w:val="000000" w:themeColor="text1"/>
          <w14:textFill>
            <w14:solidFill>
              <w14:schemeClr w14:val="tx1"/>
            </w14:solidFill>
          </w14:textFill>
        </w:rPr>
        <w:t>监测时间1天，每天1次。</w:t>
      </w:r>
    </w:p>
    <w:p w14:paraId="39FC6869">
      <w:pPr>
        <w:ind w:firstLine="520"/>
        <w:rPr>
          <w:color w:val="000000" w:themeColor="text1"/>
          <w14:textFill>
            <w14:solidFill>
              <w14:schemeClr w14:val="tx1"/>
            </w14:solidFill>
          </w14:textFill>
        </w:rPr>
      </w:pPr>
      <w:r>
        <w:rPr>
          <w:color w:val="000000" w:themeColor="text1"/>
          <w14:textFill>
            <w14:solidFill>
              <w14:schemeClr w14:val="tx1"/>
            </w14:solidFill>
          </w14:textFill>
        </w:rPr>
        <w:t>（4）监测结果</w:t>
      </w:r>
    </w:p>
    <w:p w14:paraId="233E5AD7">
      <w:pPr>
        <w:ind w:firstLine="520"/>
        <w:rPr>
          <w:color w:val="000000" w:themeColor="text1"/>
          <w14:textFill>
            <w14:solidFill>
              <w14:schemeClr w14:val="tx1"/>
            </w14:solidFill>
          </w14:textFill>
        </w:rPr>
      </w:pPr>
      <w:r>
        <w:rPr>
          <w:color w:val="000000" w:themeColor="text1"/>
          <w14:textFill>
            <w14:solidFill>
              <w14:schemeClr w14:val="tx1"/>
            </w14:solidFill>
          </w14:textFill>
        </w:rPr>
        <w:t>监测结果见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_Ref160552846 \h  \* MERGEFORMAT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表5.2</w:t>
      </w:r>
      <w:r>
        <w:rPr>
          <w:color w:val="000000" w:themeColor="text1"/>
          <w:sz w:val="24"/>
          <w14:textFill>
            <w14:solidFill>
              <w14:schemeClr w14:val="tx1"/>
            </w14:solidFill>
          </w14:textFill>
        </w:rPr>
        <w:noBreakHyphen/>
      </w:r>
      <w:r>
        <w:rPr>
          <w:color w:val="000000" w:themeColor="text1"/>
          <w:sz w:val="24"/>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2A2FA3A7">
      <w:pPr>
        <w:spacing w:before="24"/>
        <w:ind w:firstLine="0" w:firstLineChars="0"/>
        <w:rPr>
          <w:color w:val="000000" w:themeColor="text1"/>
          <w:sz w:val="24"/>
          <w14:textFill>
            <w14:solidFill>
              <w14:schemeClr w14:val="tx1"/>
            </w14:solidFill>
          </w14:textFill>
        </w:rPr>
      </w:pPr>
      <w:bookmarkStart w:id="236" w:name="_Ref160552846"/>
      <w:r>
        <w:rPr>
          <w:color w:val="000000" w:themeColor="text1"/>
          <w:sz w:val="24"/>
          <w14:textFill>
            <w14:solidFill>
              <w14:schemeClr w14:val="tx1"/>
            </w14:solidFill>
          </w14:textFill>
        </w:rPr>
        <w:t>表</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STYLEREF 2 \s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5.2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noBreakHyphen/>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SEQ 表格 \* ARABIC \s 2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8</w:t>
      </w:r>
      <w:r>
        <w:rPr>
          <w:color w:val="000000" w:themeColor="text1"/>
          <w:sz w:val="24"/>
          <w14:textFill>
            <w14:solidFill>
              <w14:schemeClr w14:val="tx1"/>
            </w14:solidFill>
          </w14:textFill>
        </w:rPr>
        <w:fldChar w:fldCharType="end"/>
      </w:r>
      <w:bookmarkEnd w:id="236"/>
      <w:r>
        <w:rPr>
          <w:color w:val="000000" w:themeColor="text1"/>
          <w:sz w:val="24"/>
          <w14:textFill>
            <w14:solidFill>
              <w14:schemeClr w14:val="tx1"/>
            </w14:solidFill>
          </w14:textFill>
        </w:rPr>
        <w:t>土壤环境现状监测与评价结果（建设用地土壤污染风险筛选值）单位：mg/kg</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471"/>
        <w:gridCol w:w="1104"/>
        <w:gridCol w:w="1374"/>
        <w:gridCol w:w="1374"/>
        <w:gridCol w:w="1374"/>
        <w:gridCol w:w="1370"/>
      </w:tblGrid>
      <w:tr w14:paraId="4B1E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20" w:type="pct"/>
            <w:vMerge w:val="restart"/>
            <w:vAlign w:val="center"/>
          </w:tcPr>
          <w:p w14:paraId="00A60454">
            <w:pPr>
              <w:pStyle w:val="1535"/>
            </w:pPr>
            <w:r>
              <w:t>类别</w:t>
            </w:r>
          </w:p>
        </w:tc>
        <w:tc>
          <w:tcPr>
            <w:tcW w:w="817" w:type="pct"/>
            <w:vMerge w:val="restart"/>
            <w:vAlign w:val="center"/>
          </w:tcPr>
          <w:p w14:paraId="7C00C901">
            <w:pPr>
              <w:pStyle w:val="1535"/>
            </w:pPr>
            <w:r>
              <w:t>检测项目</w:t>
            </w:r>
          </w:p>
        </w:tc>
        <w:tc>
          <w:tcPr>
            <w:tcW w:w="613" w:type="pct"/>
            <w:vMerge w:val="restart"/>
            <w:vAlign w:val="center"/>
          </w:tcPr>
          <w:p w14:paraId="452C17F0">
            <w:pPr>
              <w:pStyle w:val="1535"/>
            </w:pPr>
            <w:r>
              <w:t>单位</w:t>
            </w:r>
          </w:p>
        </w:tc>
        <w:tc>
          <w:tcPr>
            <w:tcW w:w="2288" w:type="pct"/>
            <w:gridSpan w:val="3"/>
            <w:vAlign w:val="center"/>
          </w:tcPr>
          <w:p w14:paraId="479F18D8">
            <w:pPr>
              <w:pStyle w:val="1535"/>
            </w:pPr>
            <w:r>
              <w:t>样品编号（采样时间）及结果</w:t>
            </w:r>
          </w:p>
        </w:tc>
        <w:tc>
          <w:tcPr>
            <w:tcW w:w="763" w:type="pct"/>
            <w:vMerge w:val="restart"/>
          </w:tcPr>
          <w:p w14:paraId="3D88FB53">
            <w:pPr>
              <w:pStyle w:val="1535"/>
            </w:pPr>
            <w:r>
              <w:t>第二类用地筛选值</w:t>
            </w:r>
          </w:p>
        </w:tc>
      </w:tr>
      <w:tr w14:paraId="10D4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20" w:type="pct"/>
            <w:vMerge w:val="continue"/>
            <w:vAlign w:val="center"/>
          </w:tcPr>
          <w:p w14:paraId="68235BD4">
            <w:pPr>
              <w:pStyle w:val="1535"/>
            </w:pPr>
          </w:p>
        </w:tc>
        <w:tc>
          <w:tcPr>
            <w:tcW w:w="817" w:type="pct"/>
            <w:vMerge w:val="continue"/>
            <w:vAlign w:val="center"/>
          </w:tcPr>
          <w:p w14:paraId="2F86B2F3">
            <w:pPr>
              <w:pStyle w:val="1535"/>
            </w:pPr>
          </w:p>
        </w:tc>
        <w:tc>
          <w:tcPr>
            <w:tcW w:w="613" w:type="pct"/>
            <w:vMerge w:val="continue"/>
            <w:vAlign w:val="center"/>
          </w:tcPr>
          <w:p w14:paraId="5D8BF36F">
            <w:pPr>
              <w:pStyle w:val="1535"/>
            </w:pPr>
          </w:p>
        </w:tc>
        <w:tc>
          <w:tcPr>
            <w:tcW w:w="2288" w:type="pct"/>
            <w:gridSpan w:val="3"/>
            <w:vAlign w:val="center"/>
          </w:tcPr>
          <w:p w14:paraId="5D06DD63">
            <w:pPr>
              <w:pStyle w:val="1535"/>
            </w:pPr>
            <w:r>
              <w:t>2023.03.31</w:t>
            </w:r>
          </w:p>
        </w:tc>
        <w:tc>
          <w:tcPr>
            <w:tcW w:w="763" w:type="pct"/>
            <w:vMerge w:val="continue"/>
          </w:tcPr>
          <w:p w14:paraId="6B6806AA">
            <w:pPr>
              <w:pStyle w:val="1535"/>
            </w:pPr>
          </w:p>
        </w:tc>
      </w:tr>
      <w:tr w14:paraId="39DD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20" w:type="pct"/>
            <w:vMerge w:val="continue"/>
            <w:vAlign w:val="center"/>
          </w:tcPr>
          <w:p w14:paraId="45BB8277">
            <w:pPr>
              <w:pStyle w:val="1535"/>
            </w:pPr>
          </w:p>
        </w:tc>
        <w:tc>
          <w:tcPr>
            <w:tcW w:w="817" w:type="pct"/>
            <w:vMerge w:val="continue"/>
            <w:vAlign w:val="center"/>
          </w:tcPr>
          <w:p w14:paraId="4588DD02">
            <w:pPr>
              <w:pStyle w:val="1535"/>
            </w:pPr>
          </w:p>
        </w:tc>
        <w:tc>
          <w:tcPr>
            <w:tcW w:w="613" w:type="pct"/>
            <w:vMerge w:val="continue"/>
            <w:vAlign w:val="center"/>
          </w:tcPr>
          <w:p w14:paraId="2E935E09">
            <w:pPr>
              <w:pStyle w:val="1535"/>
            </w:pPr>
          </w:p>
        </w:tc>
        <w:tc>
          <w:tcPr>
            <w:tcW w:w="763" w:type="pct"/>
            <w:vAlign w:val="center"/>
          </w:tcPr>
          <w:p w14:paraId="668B3D9C">
            <w:pPr>
              <w:pStyle w:val="1535"/>
            </w:pPr>
            <w:r>
              <w:t>S1</w:t>
            </w:r>
          </w:p>
        </w:tc>
        <w:tc>
          <w:tcPr>
            <w:tcW w:w="763" w:type="pct"/>
            <w:vAlign w:val="center"/>
          </w:tcPr>
          <w:p w14:paraId="06C7684F">
            <w:pPr>
              <w:pStyle w:val="1535"/>
            </w:pPr>
            <w:r>
              <w:t>S1</w:t>
            </w:r>
          </w:p>
        </w:tc>
        <w:tc>
          <w:tcPr>
            <w:tcW w:w="763" w:type="pct"/>
            <w:vAlign w:val="center"/>
          </w:tcPr>
          <w:p w14:paraId="2AF961FD">
            <w:pPr>
              <w:pStyle w:val="1535"/>
            </w:pPr>
            <w:r>
              <w:t>S1</w:t>
            </w:r>
          </w:p>
        </w:tc>
        <w:tc>
          <w:tcPr>
            <w:tcW w:w="763" w:type="pct"/>
            <w:vMerge w:val="continue"/>
          </w:tcPr>
          <w:p w14:paraId="3C30DEBB">
            <w:pPr>
              <w:pStyle w:val="1535"/>
            </w:pPr>
          </w:p>
        </w:tc>
      </w:tr>
      <w:tr w14:paraId="593A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Align w:val="center"/>
          </w:tcPr>
          <w:p w14:paraId="043C1944">
            <w:pPr>
              <w:pStyle w:val="1535"/>
            </w:pPr>
            <w:r>
              <w:t>理化特性</w:t>
            </w:r>
          </w:p>
        </w:tc>
        <w:tc>
          <w:tcPr>
            <w:tcW w:w="817" w:type="pct"/>
            <w:vAlign w:val="center"/>
          </w:tcPr>
          <w:p w14:paraId="10A2034C">
            <w:pPr>
              <w:pStyle w:val="1535"/>
            </w:pPr>
            <w:r>
              <w:t>pH</w:t>
            </w:r>
          </w:p>
        </w:tc>
        <w:tc>
          <w:tcPr>
            <w:tcW w:w="613" w:type="pct"/>
            <w:vAlign w:val="center"/>
          </w:tcPr>
          <w:p w14:paraId="326539ED">
            <w:pPr>
              <w:pStyle w:val="1535"/>
            </w:pPr>
            <w:r>
              <w:t>无量纲</w:t>
            </w:r>
          </w:p>
        </w:tc>
        <w:tc>
          <w:tcPr>
            <w:tcW w:w="763" w:type="pct"/>
            <w:vAlign w:val="center"/>
          </w:tcPr>
          <w:p w14:paraId="706BFF3A">
            <w:pPr>
              <w:pStyle w:val="1535"/>
            </w:pPr>
            <w:r>
              <w:t>8.14</w:t>
            </w:r>
          </w:p>
        </w:tc>
        <w:tc>
          <w:tcPr>
            <w:tcW w:w="763" w:type="pct"/>
            <w:vAlign w:val="center"/>
          </w:tcPr>
          <w:p w14:paraId="7A2B54DE">
            <w:pPr>
              <w:pStyle w:val="1535"/>
            </w:pPr>
            <w:r>
              <w:t>8.12</w:t>
            </w:r>
          </w:p>
        </w:tc>
        <w:tc>
          <w:tcPr>
            <w:tcW w:w="763" w:type="pct"/>
            <w:vAlign w:val="center"/>
          </w:tcPr>
          <w:p w14:paraId="6B63D224">
            <w:pPr>
              <w:pStyle w:val="1535"/>
            </w:pPr>
            <w:r>
              <w:t>8.29</w:t>
            </w:r>
          </w:p>
        </w:tc>
        <w:tc>
          <w:tcPr>
            <w:tcW w:w="763" w:type="pct"/>
          </w:tcPr>
          <w:p w14:paraId="6F8194E7">
            <w:pPr>
              <w:pStyle w:val="1535"/>
            </w:pPr>
          </w:p>
        </w:tc>
      </w:tr>
      <w:tr w14:paraId="3BD4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Align w:val="center"/>
          </w:tcPr>
          <w:p w14:paraId="2EF89AD7">
            <w:pPr>
              <w:pStyle w:val="1535"/>
            </w:pPr>
            <w:r>
              <w:t>石油烃类</w:t>
            </w:r>
          </w:p>
        </w:tc>
        <w:tc>
          <w:tcPr>
            <w:tcW w:w="817" w:type="pct"/>
            <w:vAlign w:val="center"/>
          </w:tcPr>
          <w:p w14:paraId="1258EA66">
            <w:pPr>
              <w:pStyle w:val="1535"/>
            </w:pPr>
            <w:r>
              <w:t>石油烃（C10-C40）</w:t>
            </w:r>
          </w:p>
        </w:tc>
        <w:tc>
          <w:tcPr>
            <w:tcW w:w="613" w:type="pct"/>
            <w:vAlign w:val="center"/>
          </w:tcPr>
          <w:p w14:paraId="7824F8AF">
            <w:pPr>
              <w:pStyle w:val="1535"/>
            </w:pPr>
            <w:r>
              <w:t>mg/kg</w:t>
            </w:r>
          </w:p>
        </w:tc>
        <w:tc>
          <w:tcPr>
            <w:tcW w:w="763" w:type="pct"/>
            <w:vAlign w:val="center"/>
          </w:tcPr>
          <w:p w14:paraId="3D65432A">
            <w:pPr>
              <w:pStyle w:val="1535"/>
            </w:pPr>
            <w:r>
              <w:t>278</w:t>
            </w:r>
          </w:p>
        </w:tc>
        <w:tc>
          <w:tcPr>
            <w:tcW w:w="763" w:type="pct"/>
            <w:vAlign w:val="center"/>
          </w:tcPr>
          <w:p w14:paraId="70CE8A2E">
            <w:pPr>
              <w:pStyle w:val="1535"/>
            </w:pPr>
            <w:r>
              <w:t>254</w:t>
            </w:r>
          </w:p>
        </w:tc>
        <w:tc>
          <w:tcPr>
            <w:tcW w:w="763" w:type="pct"/>
            <w:vAlign w:val="center"/>
          </w:tcPr>
          <w:p w14:paraId="3E980471">
            <w:pPr>
              <w:pStyle w:val="1535"/>
            </w:pPr>
            <w:r>
              <w:t>284</w:t>
            </w:r>
          </w:p>
        </w:tc>
        <w:tc>
          <w:tcPr>
            <w:tcW w:w="763" w:type="pct"/>
          </w:tcPr>
          <w:p w14:paraId="68EF3518">
            <w:pPr>
              <w:pStyle w:val="1535"/>
            </w:pPr>
            <w:r>
              <w:t>4500</w:t>
            </w:r>
          </w:p>
        </w:tc>
      </w:tr>
      <w:tr w14:paraId="7297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restart"/>
            <w:vAlign w:val="center"/>
          </w:tcPr>
          <w:p w14:paraId="6F20AB42">
            <w:pPr>
              <w:pStyle w:val="1535"/>
            </w:pPr>
            <w:r>
              <w:t>重金属和无机物</w:t>
            </w:r>
          </w:p>
        </w:tc>
        <w:tc>
          <w:tcPr>
            <w:tcW w:w="817" w:type="pct"/>
            <w:vAlign w:val="center"/>
          </w:tcPr>
          <w:p w14:paraId="5356F6F7">
            <w:pPr>
              <w:pStyle w:val="1535"/>
            </w:pPr>
            <w:r>
              <w:t>砷</w:t>
            </w:r>
          </w:p>
        </w:tc>
        <w:tc>
          <w:tcPr>
            <w:tcW w:w="613" w:type="pct"/>
            <w:vAlign w:val="center"/>
          </w:tcPr>
          <w:p w14:paraId="4A4D4276">
            <w:pPr>
              <w:pStyle w:val="1535"/>
            </w:pPr>
            <w:r>
              <w:t>mg/kg</w:t>
            </w:r>
          </w:p>
        </w:tc>
        <w:tc>
          <w:tcPr>
            <w:tcW w:w="763" w:type="pct"/>
            <w:vAlign w:val="center"/>
          </w:tcPr>
          <w:p w14:paraId="10FB95D1">
            <w:pPr>
              <w:pStyle w:val="1535"/>
            </w:pPr>
            <w:r>
              <w:t>3.75</w:t>
            </w:r>
          </w:p>
        </w:tc>
        <w:tc>
          <w:tcPr>
            <w:tcW w:w="763" w:type="pct"/>
            <w:vAlign w:val="center"/>
          </w:tcPr>
          <w:p w14:paraId="1EAF2A73">
            <w:pPr>
              <w:pStyle w:val="1535"/>
            </w:pPr>
            <w:r>
              <w:t>3.03</w:t>
            </w:r>
          </w:p>
        </w:tc>
        <w:tc>
          <w:tcPr>
            <w:tcW w:w="763" w:type="pct"/>
            <w:vAlign w:val="center"/>
          </w:tcPr>
          <w:p w14:paraId="40FC481B">
            <w:pPr>
              <w:pStyle w:val="1535"/>
            </w:pPr>
            <w:r>
              <w:t>3.58</w:t>
            </w:r>
          </w:p>
        </w:tc>
        <w:tc>
          <w:tcPr>
            <w:tcW w:w="763" w:type="pct"/>
          </w:tcPr>
          <w:p w14:paraId="296714D8">
            <w:pPr>
              <w:pStyle w:val="1535"/>
            </w:pPr>
            <w:r>
              <w:t>60</w:t>
            </w:r>
          </w:p>
        </w:tc>
      </w:tr>
      <w:tr w14:paraId="4F00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341387B7">
            <w:pPr>
              <w:pStyle w:val="1535"/>
            </w:pPr>
          </w:p>
        </w:tc>
        <w:tc>
          <w:tcPr>
            <w:tcW w:w="817" w:type="pct"/>
            <w:vAlign w:val="center"/>
          </w:tcPr>
          <w:p w14:paraId="6C4A4361">
            <w:pPr>
              <w:pStyle w:val="1535"/>
            </w:pPr>
            <w:r>
              <w:t>镉</w:t>
            </w:r>
          </w:p>
        </w:tc>
        <w:tc>
          <w:tcPr>
            <w:tcW w:w="613" w:type="pct"/>
            <w:vAlign w:val="center"/>
          </w:tcPr>
          <w:p w14:paraId="7807E083">
            <w:pPr>
              <w:pStyle w:val="1535"/>
            </w:pPr>
            <w:r>
              <w:t>mg/kg</w:t>
            </w:r>
          </w:p>
        </w:tc>
        <w:tc>
          <w:tcPr>
            <w:tcW w:w="763" w:type="pct"/>
            <w:vAlign w:val="center"/>
          </w:tcPr>
          <w:p w14:paraId="613D0097">
            <w:pPr>
              <w:pStyle w:val="1535"/>
            </w:pPr>
            <w:r>
              <w:t>0.04</w:t>
            </w:r>
          </w:p>
        </w:tc>
        <w:tc>
          <w:tcPr>
            <w:tcW w:w="763" w:type="pct"/>
            <w:vAlign w:val="center"/>
          </w:tcPr>
          <w:p w14:paraId="7C4C9C8F">
            <w:pPr>
              <w:pStyle w:val="1535"/>
            </w:pPr>
            <w:r>
              <w:t>0.04</w:t>
            </w:r>
          </w:p>
        </w:tc>
        <w:tc>
          <w:tcPr>
            <w:tcW w:w="763" w:type="pct"/>
            <w:vAlign w:val="center"/>
          </w:tcPr>
          <w:p w14:paraId="221F15E2">
            <w:pPr>
              <w:pStyle w:val="1535"/>
            </w:pPr>
            <w:r>
              <w:t>0.03</w:t>
            </w:r>
          </w:p>
        </w:tc>
        <w:tc>
          <w:tcPr>
            <w:tcW w:w="763" w:type="pct"/>
          </w:tcPr>
          <w:p w14:paraId="1D97435D">
            <w:pPr>
              <w:pStyle w:val="1535"/>
            </w:pPr>
            <w:r>
              <w:t>65</w:t>
            </w:r>
          </w:p>
        </w:tc>
      </w:tr>
      <w:tr w14:paraId="56A8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4FEB2E96">
            <w:pPr>
              <w:pStyle w:val="1535"/>
            </w:pPr>
          </w:p>
        </w:tc>
        <w:tc>
          <w:tcPr>
            <w:tcW w:w="817" w:type="pct"/>
            <w:vAlign w:val="center"/>
          </w:tcPr>
          <w:p w14:paraId="0C6705EA">
            <w:pPr>
              <w:pStyle w:val="1535"/>
            </w:pPr>
            <w:r>
              <w:t>铜</w:t>
            </w:r>
          </w:p>
        </w:tc>
        <w:tc>
          <w:tcPr>
            <w:tcW w:w="613" w:type="pct"/>
            <w:vAlign w:val="center"/>
          </w:tcPr>
          <w:p w14:paraId="675A982E">
            <w:pPr>
              <w:pStyle w:val="1535"/>
            </w:pPr>
            <w:r>
              <w:t>mg/kg</w:t>
            </w:r>
          </w:p>
        </w:tc>
        <w:tc>
          <w:tcPr>
            <w:tcW w:w="763" w:type="pct"/>
            <w:vAlign w:val="center"/>
          </w:tcPr>
          <w:p w14:paraId="198D0311">
            <w:pPr>
              <w:pStyle w:val="1535"/>
            </w:pPr>
            <w:r>
              <w:t>20</w:t>
            </w:r>
          </w:p>
        </w:tc>
        <w:tc>
          <w:tcPr>
            <w:tcW w:w="763" w:type="pct"/>
            <w:vAlign w:val="center"/>
          </w:tcPr>
          <w:p w14:paraId="51BB5B4C">
            <w:pPr>
              <w:pStyle w:val="1535"/>
            </w:pPr>
            <w:r>
              <w:t>16</w:t>
            </w:r>
          </w:p>
        </w:tc>
        <w:tc>
          <w:tcPr>
            <w:tcW w:w="763" w:type="pct"/>
            <w:vAlign w:val="center"/>
          </w:tcPr>
          <w:p w14:paraId="1BAA4E53">
            <w:pPr>
              <w:pStyle w:val="1535"/>
            </w:pPr>
            <w:r>
              <w:t>18</w:t>
            </w:r>
          </w:p>
        </w:tc>
        <w:tc>
          <w:tcPr>
            <w:tcW w:w="763" w:type="pct"/>
          </w:tcPr>
          <w:p w14:paraId="6F8B8637">
            <w:pPr>
              <w:pStyle w:val="1535"/>
            </w:pPr>
            <w:r>
              <w:t>18000</w:t>
            </w:r>
          </w:p>
        </w:tc>
      </w:tr>
      <w:tr w14:paraId="6619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25776711">
            <w:pPr>
              <w:pStyle w:val="1535"/>
            </w:pPr>
          </w:p>
        </w:tc>
        <w:tc>
          <w:tcPr>
            <w:tcW w:w="817" w:type="pct"/>
            <w:vAlign w:val="center"/>
          </w:tcPr>
          <w:p w14:paraId="70B9C58C">
            <w:pPr>
              <w:pStyle w:val="1535"/>
            </w:pPr>
            <w:r>
              <w:t>铅</w:t>
            </w:r>
          </w:p>
        </w:tc>
        <w:tc>
          <w:tcPr>
            <w:tcW w:w="613" w:type="pct"/>
            <w:vAlign w:val="center"/>
          </w:tcPr>
          <w:p w14:paraId="21DC8BEA">
            <w:pPr>
              <w:pStyle w:val="1535"/>
            </w:pPr>
            <w:r>
              <w:t>mg/kg</w:t>
            </w:r>
          </w:p>
        </w:tc>
        <w:tc>
          <w:tcPr>
            <w:tcW w:w="763" w:type="pct"/>
            <w:vAlign w:val="center"/>
          </w:tcPr>
          <w:p w14:paraId="24F053D2">
            <w:pPr>
              <w:pStyle w:val="1535"/>
            </w:pPr>
            <w:r>
              <w:t>24</w:t>
            </w:r>
          </w:p>
        </w:tc>
        <w:tc>
          <w:tcPr>
            <w:tcW w:w="763" w:type="pct"/>
            <w:vAlign w:val="center"/>
          </w:tcPr>
          <w:p w14:paraId="32CC6187">
            <w:pPr>
              <w:pStyle w:val="1535"/>
            </w:pPr>
            <w:r>
              <w:t>29</w:t>
            </w:r>
          </w:p>
        </w:tc>
        <w:tc>
          <w:tcPr>
            <w:tcW w:w="763" w:type="pct"/>
            <w:vAlign w:val="center"/>
          </w:tcPr>
          <w:p w14:paraId="65C64165">
            <w:pPr>
              <w:pStyle w:val="1535"/>
            </w:pPr>
            <w:r>
              <w:t>30</w:t>
            </w:r>
          </w:p>
        </w:tc>
        <w:tc>
          <w:tcPr>
            <w:tcW w:w="763" w:type="pct"/>
          </w:tcPr>
          <w:p w14:paraId="01C7B93B">
            <w:pPr>
              <w:pStyle w:val="1535"/>
            </w:pPr>
            <w:r>
              <w:t>800</w:t>
            </w:r>
          </w:p>
        </w:tc>
      </w:tr>
      <w:tr w14:paraId="638B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02B67869">
            <w:pPr>
              <w:pStyle w:val="1535"/>
            </w:pPr>
          </w:p>
        </w:tc>
        <w:tc>
          <w:tcPr>
            <w:tcW w:w="817" w:type="pct"/>
            <w:vAlign w:val="center"/>
          </w:tcPr>
          <w:p w14:paraId="2D361808">
            <w:pPr>
              <w:pStyle w:val="1535"/>
            </w:pPr>
            <w:r>
              <w:t>汞</w:t>
            </w:r>
          </w:p>
        </w:tc>
        <w:tc>
          <w:tcPr>
            <w:tcW w:w="613" w:type="pct"/>
            <w:vAlign w:val="center"/>
          </w:tcPr>
          <w:p w14:paraId="0F44B41E">
            <w:pPr>
              <w:pStyle w:val="1535"/>
            </w:pPr>
            <w:r>
              <w:t>mg/kg</w:t>
            </w:r>
          </w:p>
        </w:tc>
        <w:tc>
          <w:tcPr>
            <w:tcW w:w="763" w:type="pct"/>
            <w:vAlign w:val="center"/>
          </w:tcPr>
          <w:p w14:paraId="59BE98C5">
            <w:pPr>
              <w:pStyle w:val="1535"/>
            </w:pPr>
            <w:r>
              <w:t>0.021</w:t>
            </w:r>
          </w:p>
        </w:tc>
        <w:tc>
          <w:tcPr>
            <w:tcW w:w="763" w:type="pct"/>
            <w:vAlign w:val="center"/>
          </w:tcPr>
          <w:p w14:paraId="7FF7AE68">
            <w:pPr>
              <w:pStyle w:val="1535"/>
            </w:pPr>
            <w:r>
              <w:t>0.032</w:t>
            </w:r>
          </w:p>
        </w:tc>
        <w:tc>
          <w:tcPr>
            <w:tcW w:w="763" w:type="pct"/>
            <w:vAlign w:val="center"/>
          </w:tcPr>
          <w:p w14:paraId="5BEABAC0">
            <w:pPr>
              <w:pStyle w:val="1535"/>
            </w:pPr>
            <w:r>
              <w:t>0.010</w:t>
            </w:r>
          </w:p>
        </w:tc>
        <w:tc>
          <w:tcPr>
            <w:tcW w:w="763" w:type="pct"/>
          </w:tcPr>
          <w:p w14:paraId="570B320A">
            <w:pPr>
              <w:pStyle w:val="1535"/>
            </w:pPr>
            <w:r>
              <w:t>38</w:t>
            </w:r>
          </w:p>
        </w:tc>
      </w:tr>
      <w:tr w14:paraId="3450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798A72C6">
            <w:pPr>
              <w:pStyle w:val="1535"/>
            </w:pPr>
          </w:p>
        </w:tc>
        <w:tc>
          <w:tcPr>
            <w:tcW w:w="817" w:type="pct"/>
            <w:vAlign w:val="center"/>
          </w:tcPr>
          <w:p w14:paraId="4F620CC4">
            <w:pPr>
              <w:pStyle w:val="1535"/>
            </w:pPr>
            <w:r>
              <w:t>镍</w:t>
            </w:r>
          </w:p>
        </w:tc>
        <w:tc>
          <w:tcPr>
            <w:tcW w:w="613" w:type="pct"/>
            <w:vAlign w:val="center"/>
          </w:tcPr>
          <w:p w14:paraId="7F909856">
            <w:pPr>
              <w:pStyle w:val="1535"/>
            </w:pPr>
            <w:r>
              <w:t>mg/kg</w:t>
            </w:r>
          </w:p>
        </w:tc>
        <w:tc>
          <w:tcPr>
            <w:tcW w:w="763" w:type="pct"/>
            <w:vAlign w:val="center"/>
          </w:tcPr>
          <w:p w14:paraId="693112FA">
            <w:pPr>
              <w:pStyle w:val="1535"/>
            </w:pPr>
            <w:r>
              <w:t>20</w:t>
            </w:r>
          </w:p>
        </w:tc>
        <w:tc>
          <w:tcPr>
            <w:tcW w:w="763" w:type="pct"/>
            <w:vAlign w:val="center"/>
          </w:tcPr>
          <w:p w14:paraId="1AB1E4DA">
            <w:pPr>
              <w:pStyle w:val="1535"/>
            </w:pPr>
            <w:r>
              <w:t>22</w:t>
            </w:r>
          </w:p>
        </w:tc>
        <w:tc>
          <w:tcPr>
            <w:tcW w:w="763" w:type="pct"/>
            <w:vAlign w:val="center"/>
          </w:tcPr>
          <w:p w14:paraId="35A5457B">
            <w:pPr>
              <w:pStyle w:val="1535"/>
            </w:pPr>
            <w:r>
              <w:t>28</w:t>
            </w:r>
          </w:p>
        </w:tc>
        <w:tc>
          <w:tcPr>
            <w:tcW w:w="763" w:type="pct"/>
          </w:tcPr>
          <w:p w14:paraId="206741B3">
            <w:pPr>
              <w:pStyle w:val="1535"/>
            </w:pPr>
            <w:r>
              <w:t>900</w:t>
            </w:r>
          </w:p>
        </w:tc>
      </w:tr>
      <w:tr w14:paraId="610D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01943BDC">
            <w:pPr>
              <w:pStyle w:val="1535"/>
            </w:pPr>
          </w:p>
        </w:tc>
        <w:tc>
          <w:tcPr>
            <w:tcW w:w="817" w:type="pct"/>
            <w:vAlign w:val="center"/>
          </w:tcPr>
          <w:p w14:paraId="2EC90ABD">
            <w:pPr>
              <w:pStyle w:val="1535"/>
            </w:pPr>
            <w:r>
              <w:t>六价铬</w:t>
            </w:r>
          </w:p>
        </w:tc>
        <w:tc>
          <w:tcPr>
            <w:tcW w:w="613" w:type="pct"/>
            <w:vAlign w:val="center"/>
          </w:tcPr>
          <w:p w14:paraId="71ADC7C1">
            <w:pPr>
              <w:pStyle w:val="1535"/>
            </w:pPr>
            <w:r>
              <w:t>mg/kg</w:t>
            </w:r>
          </w:p>
        </w:tc>
        <w:tc>
          <w:tcPr>
            <w:tcW w:w="763" w:type="pct"/>
            <w:vAlign w:val="center"/>
          </w:tcPr>
          <w:p w14:paraId="32D52D50">
            <w:pPr>
              <w:pStyle w:val="1535"/>
            </w:pPr>
            <w:r>
              <w:t>ND</w:t>
            </w:r>
          </w:p>
        </w:tc>
        <w:tc>
          <w:tcPr>
            <w:tcW w:w="763" w:type="pct"/>
            <w:vAlign w:val="center"/>
          </w:tcPr>
          <w:p w14:paraId="37383167">
            <w:pPr>
              <w:pStyle w:val="1535"/>
            </w:pPr>
            <w:r>
              <w:t>ND</w:t>
            </w:r>
          </w:p>
        </w:tc>
        <w:tc>
          <w:tcPr>
            <w:tcW w:w="763" w:type="pct"/>
            <w:vAlign w:val="center"/>
          </w:tcPr>
          <w:p w14:paraId="01CC0002">
            <w:pPr>
              <w:pStyle w:val="1535"/>
            </w:pPr>
            <w:r>
              <w:t>ND</w:t>
            </w:r>
          </w:p>
        </w:tc>
        <w:tc>
          <w:tcPr>
            <w:tcW w:w="763" w:type="pct"/>
          </w:tcPr>
          <w:p w14:paraId="0A28FA10">
            <w:pPr>
              <w:pStyle w:val="1535"/>
            </w:pPr>
            <w:r>
              <w:t>5.7</w:t>
            </w:r>
          </w:p>
        </w:tc>
      </w:tr>
      <w:tr w14:paraId="2532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restart"/>
            <w:vAlign w:val="center"/>
          </w:tcPr>
          <w:p w14:paraId="6D6A45A9">
            <w:pPr>
              <w:pStyle w:val="1535"/>
            </w:pPr>
            <w:r>
              <w:t>挥发性有机物</w:t>
            </w:r>
          </w:p>
        </w:tc>
        <w:tc>
          <w:tcPr>
            <w:tcW w:w="817" w:type="pct"/>
            <w:vAlign w:val="center"/>
          </w:tcPr>
          <w:p w14:paraId="20FF4847">
            <w:pPr>
              <w:pStyle w:val="1535"/>
            </w:pPr>
            <w:r>
              <w:t>四氯化碳</w:t>
            </w:r>
          </w:p>
        </w:tc>
        <w:tc>
          <w:tcPr>
            <w:tcW w:w="613" w:type="pct"/>
            <w:vAlign w:val="center"/>
          </w:tcPr>
          <w:p w14:paraId="7C848436">
            <w:pPr>
              <w:pStyle w:val="1535"/>
            </w:pPr>
            <w:r>
              <w:t>µg/kg</w:t>
            </w:r>
          </w:p>
        </w:tc>
        <w:tc>
          <w:tcPr>
            <w:tcW w:w="763" w:type="pct"/>
            <w:vAlign w:val="center"/>
          </w:tcPr>
          <w:p w14:paraId="02D10335">
            <w:pPr>
              <w:pStyle w:val="1535"/>
            </w:pPr>
            <w:r>
              <w:t>ND</w:t>
            </w:r>
          </w:p>
        </w:tc>
        <w:tc>
          <w:tcPr>
            <w:tcW w:w="763" w:type="pct"/>
            <w:vAlign w:val="center"/>
          </w:tcPr>
          <w:p w14:paraId="2774B7D6">
            <w:pPr>
              <w:pStyle w:val="1535"/>
            </w:pPr>
            <w:r>
              <w:t>ND</w:t>
            </w:r>
          </w:p>
        </w:tc>
        <w:tc>
          <w:tcPr>
            <w:tcW w:w="763" w:type="pct"/>
            <w:vAlign w:val="center"/>
          </w:tcPr>
          <w:p w14:paraId="43BD4D55">
            <w:pPr>
              <w:pStyle w:val="1535"/>
            </w:pPr>
            <w:r>
              <w:t>ND</w:t>
            </w:r>
          </w:p>
        </w:tc>
        <w:tc>
          <w:tcPr>
            <w:tcW w:w="763" w:type="pct"/>
            <w:vAlign w:val="center"/>
          </w:tcPr>
          <w:p w14:paraId="504C9663">
            <w:pPr>
              <w:pStyle w:val="1535"/>
            </w:pPr>
            <w:r>
              <w:t>900</w:t>
            </w:r>
          </w:p>
        </w:tc>
      </w:tr>
      <w:tr w14:paraId="414F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10CF0C9D">
            <w:pPr>
              <w:pStyle w:val="1535"/>
            </w:pPr>
          </w:p>
        </w:tc>
        <w:tc>
          <w:tcPr>
            <w:tcW w:w="817" w:type="pct"/>
            <w:vAlign w:val="center"/>
          </w:tcPr>
          <w:p w14:paraId="7223AC3D">
            <w:pPr>
              <w:pStyle w:val="1535"/>
            </w:pPr>
            <w:r>
              <w:t>氯仿</w:t>
            </w:r>
          </w:p>
        </w:tc>
        <w:tc>
          <w:tcPr>
            <w:tcW w:w="613" w:type="pct"/>
            <w:vAlign w:val="center"/>
          </w:tcPr>
          <w:p w14:paraId="5D938BC1">
            <w:pPr>
              <w:pStyle w:val="1535"/>
            </w:pPr>
            <w:r>
              <w:t>µg/kg</w:t>
            </w:r>
          </w:p>
        </w:tc>
        <w:tc>
          <w:tcPr>
            <w:tcW w:w="763" w:type="pct"/>
            <w:vAlign w:val="center"/>
          </w:tcPr>
          <w:p w14:paraId="00656507">
            <w:pPr>
              <w:pStyle w:val="1535"/>
            </w:pPr>
            <w:r>
              <w:t>ND</w:t>
            </w:r>
          </w:p>
        </w:tc>
        <w:tc>
          <w:tcPr>
            <w:tcW w:w="763" w:type="pct"/>
            <w:vAlign w:val="center"/>
          </w:tcPr>
          <w:p w14:paraId="4CE15EF6">
            <w:pPr>
              <w:pStyle w:val="1535"/>
            </w:pPr>
            <w:r>
              <w:t>ND</w:t>
            </w:r>
          </w:p>
        </w:tc>
        <w:tc>
          <w:tcPr>
            <w:tcW w:w="763" w:type="pct"/>
            <w:vAlign w:val="center"/>
          </w:tcPr>
          <w:p w14:paraId="7D04DDA7">
            <w:pPr>
              <w:pStyle w:val="1535"/>
            </w:pPr>
            <w:r>
              <w:t>ND</w:t>
            </w:r>
          </w:p>
        </w:tc>
        <w:tc>
          <w:tcPr>
            <w:tcW w:w="763" w:type="pct"/>
            <w:vAlign w:val="center"/>
          </w:tcPr>
          <w:p w14:paraId="3EB85989">
            <w:pPr>
              <w:pStyle w:val="1535"/>
            </w:pPr>
            <w:r>
              <w:t>37000</w:t>
            </w:r>
          </w:p>
        </w:tc>
      </w:tr>
      <w:tr w14:paraId="0664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restart"/>
            <w:vAlign w:val="center"/>
          </w:tcPr>
          <w:p w14:paraId="2B5F41DC">
            <w:pPr>
              <w:pStyle w:val="1535"/>
            </w:pPr>
            <w:r>
              <w:t>挥发性有机物</w:t>
            </w:r>
          </w:p>
        </w:tc>
        <w:tc>
          <w:tcPr>
            <w:tcW w:w="817" w:type="pct"/>
            <w:vAlign w:val="center"/>
          </w:tcPr>
          <w:p w14:paraId="006E6D1E">
            <w:pPr>
              <w:pStyle w:val="1535"/>
            </w:pPr>
            <w:r>
              <w:t>氯甲烷</w:t>
            </w:r>
          </w:p>
        </w:tc>
        <w:tc>
          <w:tcPr>
            <w:tcW w:w="613" w:type="pct"/>
            <w:vAlign w:val="center"/>
          </w:tcPr>
          <w:p w14:paraId="275CC35C">
            <w:pPr>
              <w:pStyle w:val="1535"/>
            </w:pPr>
            <w:r>
              <w:t>µg/kg</w:t>
            </w:r>
          </w:p>
        </w:tc>
        <w:tc>
          <w:tcPr>
            <w:tcW w:w="763" w:type="pct"/>
            <w:vAlign w:val="center"/>
          </w:tcPr>
          <w:p w14:paraId="2CBF6163">
            <w:pPr>
              <w:pStyle w:val="1535"/>
            </w:pPr>
            <w:r>
              <w:t>ND</w:t>
            </w:r>
          </w:p>
        </w:tc>
        <w:tc>
          <w:tcPr>
            <w:tcW w:w="763" w:type="pct"/>
            <w:vAlign w:val="center"/>
          </w:tcPr>
          <w:p w14:paraId="4507E473">
            <w:pPr>
              <w:pStyle w:val="1535"/>
            </w:pPr>
            <w:r>
              <w:t>ND</w:t>
            </w:r>
          </w:p>
        </w:tc>
        <w:tc>
          <w:tcPr>
            <w:tcW w:w="763" w:type="pct"/>
            <w:vAlign w:val="center"/>
          </w:tcPr>
          <w:p w14:paraId="5AD3EAED">
            <w:pPr>
              <w:pStyle w:val="1535"/>
            </w:pPr>
            <w:r>
              <w:t>ND</w:t>
            </w:r>
          </w:p>
        </w:tc>
        <w:tc>
          <w:tcPr>
            <w:tcW w:w="763" w:type="pct"/>
            <w:vAlign w:val="center"/>
          </w:tcPr>
          <w:p w14:paraId="0EE871D9">
            <w:pPr>
              <w:pStyle w:val="1535"/>
            </w:pPr>
            <w:r>
              <w:t>37000</w:t>
            </w:r>
          </w:p>
        </w:tc>
      </w:tr>
      <w:tr w14:paraId="6F5B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50E8EC2E">
            <w:pPr>
              <w:pStyle w:val="1535"/>
            </w:pPr>
          </w:p>
        </w:tc>
        <w:tc>
          <w:tcPr>
            <w:tcW w:w="817" w:type="pct"/>
            <w:vAlign w:val="center"/>
          </w:tcPr>
          <w:p w14:paraId="12B97BC0">
            <w:pPr>
              <w:pStyle w:val="1535"/>
            </w:pPr>
            <w:r>
              <w:t>1,1-二氯乙烷</w:t>
            </w:r>
          </w:p>
        </w:tc>
        <w:tc>
          <w:tcPr>
            <w:tcW w:w="613" w:type="pct"/>
            <w:vAlign w:val="center"/>
          </w:tcPr>
          <w:p w14:paraId="70CD42D3">
            <w:pPr>
              <w:pStyle w:val="1535"/>
            </w:pPr>
            <w:r>
              <w:t>µg/kg</w:t>
            </w:r>
          </w:p>
        </w:tc>
        <w:tc>
          <w:tcPr>
            <w:tcW w:w="763" w:type="pct"/>
            <w:vAlign w:val="center"/>
          </w:tcPr>
          <w:p w14:paraId="0D897CD6">
            <w:pPr>
              <w:pStyle w:val="1535"/>
            </w:pPr>
            <w:r>
              <w:t>ND</w:t>
            </w:r>
          </w:p>
        </w:tc>
        <w:tc>
          <w:tcPr>
            <w:tcW w:w="763" w:type="pct"/>
            <w:vAlign w:val="center"/>
          </w:tcPr>
          <w:p w14:paraId="6E86CBAC">
            <w:pPr>
              <w:pStyle w:val="1535"/>
            </w:pPr>
            <w:r>
              <w:t>ND</w:t>
            </w:r>
          </w:p>
        </w:tc>
        <w:tc>
          <w:tcPr>
            <w:tcW w:w="763" w:type="pct"/>
            <w:vAlign w:val="center"/>
          </w:tcPr>
          <w:p w14:paraId="44406C96">
            <w:pPr>
              <w:pStyle w:val="1535"/>
            </w:pPr>
            <w:r>
              <w:t>ND</w:t>
            </w:r>
          </w:p>
        </w:tc>
        <w:tc>
          <w:tcPr>
            <w:tcW w:w="763" w:type="pct"/>
            <w:vAlign w:val="center"/>
          </w:tcPr>
          <w:p w14:paraId="76928DEE">
            <w:pPr>
              <w:pStyle w:val="1535"/>
            </w:pPr>
            <w:r>
              <w:t>9000</w:t>
            </w:r>
          </w:p>
        </w:tc>
      </w:tr>
      <w:tr w14:paraId="0F82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33146443">
            <w:pPr>
              <w:pStyle w:val="1535"/>
            </w:pPr>
          </w:p>
        </w:tc>
        <w:tc>
          <w:tcPr>
            <w:tcW w:w="817" w:type="pct"/>
            <w:vAlign w:val="center"/>
          </w:tcPr>
          <w:p w14:paraId="30572E97">
            <w:pPr>
              <w:pStyle w:val="1535"/>
            </w:pPr>
            <w:r>
              <w:t>1,2-二氯乙烷</w:t>
            </w:r>
          </w:p>
        </w:tc>
        <w:tc>
          <w:tcPr>
            <w:tcW w:w="613" w:type="pct"/>
            <w:vAlign w:val="center"/>
          </w:tcPr>
          <w:p w14:paraId="1BA31EF0">
            <w:pPr>
              <w:pStyle w:val="1535"/>
            </w:pPr>
            <w:r>
              <w:t>µg/kg</w:t>
            </w:r>
          </w:p>
        </w:tc>
        <w:tc>
          <w:tcPr>
            <w:tcW w:w="763" w:type="pct"/>
            <w:vAlign w:val="center"/>
          </w:tcPr>
          <w:p w14:paraId="5BE6ACFC">
            <w:pPr>
              <w:pStyle w:val="1535"/>
            </w:pPr>
            <w:r>
              <w:t>ND</w:t>
            </w:r>
          </w:p>
        </w:tc>
        <w:tc>
          <w:tcPr>
            <w:tcW w:w="763" w:type="pct"/>
            <w:vAlign w:val="center"/>
          </w:tcPr>
          <w:p w14:paraId="3B872A8C">
            <w:pPr>
              <w:pStyle w:val="1535"/>
            </w:pPr>
            <w:r>
              <w:t>ND</w:t>
            </w:r>
          </w:p>
        </w:tc>
        <w:tc>
          <w:tcPr>
            <w:tcW w:w="763" w:type="pct"/>
            <w:vAlign w:val="center"/>
          </w:tcPr>
          <w:p w14:paraId="4B77FF05">
            <w:pPr>
              <w:pStyle w:val="1535"/>
            </w:pPr>
            <w:r>
              <w:t>ND</w:t>
            </w:r>
          </w:p>
        </w:tc>
        <w:tc>
          <w:tcPr>
            <w:tcW w:w="763" w:type="pct"/>
            <w:vAlign w:val="center"/>
          </w:tcPr>
          <w:p w14:paraId="557F4B91">
            <w:pPr>
              <w:pStyle w:val="1535"/>
            </w:pPr>
            <w:r>
              <w:t>5000</w:t>
            </w:r>
          </w:p>
        </w:tc>
      </w:tr>
      <w:tr w14:paraId="5DA2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28978506">
            <w:pPr>
              <w:pStyle w:val="1535"/>
            </w:pPr>
          </w:p>
        </w:tc>
        <w:tc>
          <w:tcPr>
            <w:tcW w:w="817" w:type="pct"/>
            <w:vAlign w:val="center"/>
          </w:tcPr>
          <w:p w14:paraId="57D7033B">
            <w:pPr>
              <w:pStyle w:val="1535"/>
            </w:pPr>
            <w:r>
              <w:t>1,1-二氯乙烯</w:t>
            </w:r>
          </w:p>
        </w:tc>
        <w:tc>
          <w:tcPr>
            <w:tcW w:w="613" w:type="pct"/>
            <w:vAlign w:val="center"/>
          </w:tcPr>
          <w:p w14:paraId="6EA3D648">
            <w:pPr>
              <w:pStyle w:val="1535"/>
            </w:pPr>
            <w:r>
              <w:t>µg/kg</w:t>
            </w:r>
          </w:p>
        </w:tc>
        <w:tc>
          <w:tcPr>
            <w:tcW w:w="763" w:type="pct"/>
            <w:vAlign w:val="center"/>
          </w:tcPr>
          <w:p w14:paraId="1E607EEC">
            <w:pPr>
              <w:pStyle w:val="1535"/>
            </w:pPr>
            <w:r>
              <w:t>ND</w:t>
            </w:r>
          </w:p>
        </w:tc>
        <w:tc>
          <w:tcPr>
            <w:tcW w:w="763" w:type="pct"/>
            <w:vAlign w:val="center"/>
          </w:tcPr>
          <w:p w14:paraId="76F1D376">
            <w:pPr>
              <w:pStyle w:val="1535"/>
            </w:pPr>
            <w:r>
              <w:t>ND</w:t>
            </w:r>
          </w:p>
        </w:tc>
        <w:tc>
          <w:tcPr>
            <w:tcW w:w="763" w:type="pct"/>
            <w:vAlign w:val="center"/>
          </w:tcPr>
          <w:p w14:paraId="364A4AC2">
            <w:pPr>
              <w:pStyle w:val="1535"/>
            </w:pPr>
            <w:r>
              <w:t>ND</w:t>
            </w:r>
          </w:p>
        </w:tc>
        <w:tc>
          <w:tcPr>
            <w:tcW w:w="763" w:type="pct"/>
            <w:vAlign w:val="center"/>
          </w:tcPr>
          <w:p w14:paraId="5B22B5BD">
            <w:pPr>
              <w:pStyle w:val="1535"/>
            </w:pPr>
            <w:r>
              <w:t>37000</w:t>
            </w:r>
          </w:p>
        </w:tc>
      </w:tr>
      <w:tr w14:paraId="10DB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4FB1AB55">
            <w:pPr>
              <w:pStyle w:val="1535"/>
            </w:pPr>
          </w:p>
        </w:tc>
        <w:tc>
          <w:tcPr>
            <w:tcW w:w="817" w:type="pct"/>
            <w:vAlign w:val="center"/>
          </w:tcPr>
          <w:p w14:paraId="6E06C8AC">
            <w:pPr>
              <w:pStyle w:val="1535"/>
            </w:pPr>
            <w:r>
              <w:t>顺式-1,2-二氯乙烯</w:t>
            </w:r>
          </w:p>
        </w:tc>
        <w:tc>
          <w:tcPr>
            <w:tcW w:w="613" w:type="pct"/>
            <w:vAlign w:val="center"/>
          </w:tcPr>
          <w:p w14:paraId="154D64CD">
            <w:pPr>
              <w:pStyle w:val="1535"/>
            </w:pPr>
            <w:r>
              <w:t>µg/kg</w:t>
            </w:r>
          </w:p>
        </w:tc>
        <w:tc>
          <w:tcPr>
            <w:tcW w:w="763" w:type="pct"/>
            <w:vAlign w:val="center"/>
          </w:tcPr>
          <w:p w14:paraId="5520B8C1">
            <w:pPr>
              <w:pStyle w:val="1535"/>
            </w:pPr>
            <w:r>
              <w:t>ND</w:t>
            </w:r>
          </w:p>
        </w:tc>
        <w:tc>
          <w:tcPr>
            <w:tcW w:w="763" w:type="pct"/>
            <w:vAlign w:val="center"/>
          </w:tcPr>
          <w:p w14:paraId="635CAB5D">
            <w:pPr>
              <w:pStyle w:val="1535"/>
            </w:pPr>
            <w:r>
              <w:t>ND</w:t>
            </w:r>
          </w:p>
        </w:tc>
        <w:tc>
          <w:tcPr>
            <w:tcW w:w="763" w:type="pct"/>
            <w:vAlign w:val="center"/>
          </w:tcPr>
          <w:p w14:paraId="7526F429">
            <w:pPr>
              <w:pStyle w:val="1535"/>
            </w:pPr>
            <w:r>
              <w:t>ND</w:t>
            </w:r>
          </w:p>
        </w:tc>
        <w:tc>
          <w:tcPr>
            <w:tcW w:w="763" w:type="pct"/>
            <w:vAlign w:val="center"/>
          </w:tcPr>
          <w:p w14:paraId="7271BFE1">
            <w:pPr>
              <w:pStyle w:val="1535"/>
            </w:pPr>
            <w:r>
              <w:t>9000</w:t>
            </w:r>
          </w:p>
        </w:tc>
      </w:tr>
      <w:tr w14:paraId="375B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3D750607">
            <w:pPr>
              <w:pStyle w:val="1535"/>
            </w:pPr>
          </w:p>
        </w:tc>
        <w:tc>
          <w:tcPr>
            <w:tcW w:w="817" w:type="pct"/>
            <w:vAlign w:val="center"/>
          </w:tcPr>
          <w:p w14:paraId="4D750805">
            <w:pPr>
              <w:pStyle w:val="1535"/>
            </w:pPr>
            <w:r>
              <w:t>反式-1,2-二氯乙烯</w:t>
            </w:r>
          </w:p>
        </w:tc>
        <w:tc>
          <w:tcPr>
            <w:tcW w:w="613" w:type="pct"/>
            <w:vAlign w:val="center"/>
          </w:tcPr>
          <w:p w14:paraId="1DC17A9D">
            <w:pPr>
              <w:pStyle w:val="1535"/>
            </w:pPr>
            <w:r>
              <w:t>µg/kg</w:t>
            </w:r>
          </w:p>
        </w:tc>
        <w:tc>
          <w:tcPr>
            <w:tcW w:w="763" w:type="pct"/>
            <w:vAlign w:val="center"/>
          </w:tcPr>
          <w:p w14:paraId="2289A7DD">
            <w:pPr>
              <w:pStyle w:val="1535"/>
            </w:pPr>
            <w:r>
              <w:t>ND</w:t>
            </w:r>
          </w:p>
        </w:tc>
        <w:tc>
          <w:tcPr>
            <w:tcW w:w="763" w:type="pct"/>
            <w:vAlign w:val="center"/>
          </w:tcPr>
          <w:p w14:paraId="15F98010">
            <w:pPr>
              <w:pStyle w:val="1535"/>
            </w:pPr>
            <w:r>
              <w:t>ND</w:t>
            </w:r>
          </w:p>
        </w:tc>
        <w:tc>
          <w:tcPr>
            <w:tcW w:w="763" w:type="pct"/>
            <w:vAlign w:val="center"/>
          </w:tcPr>
          <w:p w14:paraId="1FB290D3">
            <w:pPr>
              <w:pStyle w:val="1535"/>
            </w:pPr>
            <w:r>
              <w:t>ND</w:t>
            </w:r>
          </w:p>
        </w:tc>
        <w:tc>
          <w:tcPr>
            <w:tcW w:w="763" w:type="pct"/>
            <w:vAlign w:val="center"/>
          </w:tcPr>
          <w:p w14:paraId="206AAC2C">
            <w:pPr>
              <w:pStyle w:val="1535"/>
            </w:pPr>
            <w:r>
              <w:t>5000</w:t>
            </w:r>
          </w:p>
        </w:tc>
      </w:tr>
      <w:tr w14:paraId="00B0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57BAA322">
            <w:pPr>
              <w:pStyle w:val="1535"/>
            </w:pPr>
          </w:p>
        </w:tc>
        <w:tc>
          <w:tcPr>
            <w:tcW w:w="817" w:type="pct"/>
            <w:vAlign w:val="center"/>
          </w:tcPr>
          <w:p w14:paraId="2E11296B">
            <w:pPr>
              <w:pStyle w:val="1535"/>
            </w:pPr>
            <w:r>
              <w:t>二氯甲烷</w:t>
            </w:r>
          </w:p>
        </w:tc>
        <w:tc>
          <w:tcPr>
            <w:tcW w:w="613" w:type="pct"/>
            <w:vAlign w:val="center"/>
          </w:tcPr>
          <w:p w14:paraId="636EAE15">
            <w:pPr>
              <w:pStyle w:val="1535"/>
            </w:pPr>
            <w:r>
              <w:t>µg/kg</w:t>
            </w:r>
          </w:p>
        </w:tc>
        <w:tc>
          <w:tcPr>
            <w:tcW w:w="763" w:type="pct"/>
            <w:vAlign w:val="center"/>
          </w:tcPr>
          <w:p w14:paraId="28194F05">
            <w:pPr>
              <w:pStyle w:val="1535"/>
            </w:pPr>
            <w:r>
              <w:t>ND</w:t>
            </w:r>
          </w:p>
        </w:tc>
        <w:tc>
          <w:tcPr>
            <w:tcW w:w="763" w:type="pct"/>
            <w:vAlign w:val="center"/>
          </w:tcPr>
          <w:p w14:paraId="6DF9422A">
            <w:pPr>
              <w:pStyle w:val="1535"/>
            </w:pPr>
            <w:r>
              <w:t>ND</w:t>
            </w:r>
          </w:p>
        </w:tc>
        <w:tc>
          <w:tcPr>
            <w:tcW w:w="763" w:type="pct"/>
            <w:vAlign w:val="center"/>
          </w:tcPr>
          <w:p w14:paraId="0E6C2CD0">
            <w:pPr>
              <w:pStyle w:val="1535"/>
            </w:pPr>
            <w:r>
              <w:t>ND</w:t>
            </w:r>
          </w:p>
        </w:tc>
        <w:tc>
          <w:tcPr>
            <w:tcW w:w="763" w:type="pct"/>
            <w:vAlign w:val="center"/>
          </w:tcPr>
          <w:p w14:paraId="66FFDC3C">
            <w:pPr>
              <w:pStyle w:val="1535"/>
            </w:pPr>
            <w:r>
              <w:t>616000</w:t>
            </w:r>
          </w:p>
        </w:tc>
      </w:tr>
      <w:tr w14:paraId="7F07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1C4A87FA">
            <w:pPr>
              <w:pStyle w:val="1535"/>
            </w:pPr>
          </w:p>
        </w:tc>
        <w:tc>
          <w:tcPr>
            <w:tcW w:w="817" w:type="pct"/>
            <w:vAlign w:val="center"/>
          </w:tcPr>
          <w:p w14:paraId="724F560A">
            <w:pPr>
              <w:pStyle w:val="1535"/>
            </w:pPr>
            <w:r>
              <w:t>1,2-二氯丙烷</w:t>
            </w:r>
          </w:p>
        </w:tc>
        <w:tc>
          <w:tcPr>
            <w:tcW w:w="613" w:type="pct"/>
            <w:vAlign w:val="center"/>
          </w:tcPr>
          <w:p w14:paraId="68A4A944">
            <w:pPr>
              <w:pStyle w:val="1535"/>
            </w:pPr>
            <w:r>
              <w:t>µg/kg</w:t>
            </w:r>
          </w:p>
        </w:tc>
        <w:tc>
          <w:tcPr>
            <w:tcW w:w="763" w:type="pct"/>
            <w:vAlign w:val="center"/>
          </w:tcPr>
          <w:p w14:paraId="0FFE8008">
            <w:pPr>
              <w:pStyle w:val="1535"/>
            </w:pPr>
            <w:r>
              <w:t>ND</w:t>
            </w:r>
          </w:p>
        </w:tc>
        <w:tc>
          <w:tcPr>
            <w:tcW w:w="763" w:type="pct"/>
            <w:vAlign w:val="center"/>
          </w:tcPr>
          <w:p w14:paraId="31825CB8">
            <w:pPr>
              <w:pStyle w:val="1535"/>
            </w:pPr>
            <w:r>
              <w:t>ND</w:t>
            </w:r>
          </w:p>
        </w:tc>
        <w:tc>
          <w:tcPr>
            <w:tcW w:w="763" w:type="pct"/>
            <w:vAlign w:val="center"/>
          </w:tcPr>
          <w:p w14:paraId="712BBFF4">
            <w:pPr>
              <w:pStyle w:val="1535"/>
            </w:pPr>
            <w:r>
              <w:t>ND</w:t>
            </w:r>
          </w:p>
        </w:tc>
        <w:tc>
          <w:tcPr>
            <w:tcW w:w="763" w:type="pct"/>
            <w:vAlign w:val="center"/>
          </w:tcPr>
          <w:p w14:paraId="366FEDED">
            <w:pPr>
              <w:pStyle w:val="1535"/>
            </w:pPr>
            <w:r>
              <w:t>5000</w:t>
            </w:r>
          </w:p>
        </w:tc>
      </w:tr>
      <w:tr w14:paraId="226F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592ECC1B">
            <w:pPr>
              <w:pStyle w:val="1535"/>
            </w:pPr>
          </w:p>
        </w:tc>
        <w:tc>
          <w:tcPr>
            <w:tcW w:w="817" w:type="pct"/>
            <w:vAlign w:val="center"/>
          </w:tcPr>
          <w:p w14:paraId="7358FEF3">
            <w:pPr>
              <w:pStyle w:val="1535"/>
            </w:pPr>
            <w:r>
              <w:t>1,1,1,2-四氯乙烷</w:t>
            </w:r>
          </w:p>
        </w:tc>
        <w:tc>
          <w:tcPr>
            <w:tcW w:w="613" w:type="pct"/>
            <w:vAlign w:val="center"/>
          </w:tcPr>
          <w:p w14:paraId="383993A2">
            <w:pPr>
              <w:pStyle w:val="1535"/>
            </w:pPr>
            <w:r>
              <w:t>µg/kg</w:t>
            </w:r>
          </w:p>
        </w:tc>
        <w:tc>
          <w:tcPr>
            <w:tcW w:w="763" w:type="pct"/>
            <w:vAlign w:val="center"/>
          </w:tcPr>
          <w:p w14:paraId="13E1824C">
            <w:pPr>
              <w:pStyle w:val="1535"/>
            </w:pPr>
            <w:r>
              <w:t>ND</w:t>
            </w:r>
          </w:p>
        </w:tc>
        <w:tc>
          <w:tcPr>
            <w:tcW w:w="763" w:type="pct"/>
            <w:vAlign w:val="center"/>
          </w:tcPr>
          <w:p w14:paraId="4D506C49">
            <w:pPr>
              <w:pStyle w:val="1535"/>
            </w:pPr>
            <w:r>
              <w:t>ND</w:t>
            </w:r>
          </w:p>
        </w:tc>
        <w:tc>
          <w:tcPr>
            <w:tcW w:w="763" w:type="pct"/>
            <w:vAlign w:val="center"/>
          </w:tcPr>
          <w:p w14:paraId="2156FBB9">
            <w:pPr>
              <w:pStyle w:val="1535"/>
            </w:pPr>
            <w:r>
              <w:t>ND</w:t>
            </w:r>
          </w:p>
        </w:tc>
        <w:tc>
          <w:tcPr>
            <w:tcW w:w="763" w:type="pct"/>
            <w:vAlign w:val="center"/>
          </w:tcPr>
          <w:p w14:paraId="21039B76">
            <w:pPr>
              <w:pStyle w:val="1535"/>
            </w:pPr>
            <w:r>
              <w:t>10000</w:t>
            </w:r>
          </w:p>
        </w:tc>
      </w:tr>
      <w:tr w14:paraId="4D0F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3357BE9B">
            <w:pPr>
              <w:pStyle w:val="1535"/>
            </w:pPr>
          </w:p>
        </w:tc>
        <w:tc>
          <w:tcPr>
            <w:tcW w:w="817" w:type="pct"/>
            <w:vAlign w:val="center"/>
          </w:tcPr>
          <w:p w14:paraId="48380D69">
            <w:pPr>
              <w:pStyle w:val="1535"/>
            </w:pPr>
            <w:r>
              <w:t>1,1,2,2-四氯乙烷</w:t>
            </w:r>
          </w:p>
        </w:tc>
        <w:tc>
          <w:tcPr>
            <w:tcW w:w="613" w:type="pct"/>
            <w:vAlign w:val="center"/>
          </w:tcPr>
          <w:p w14:paraId="29674B77">
            <w:pPr>
              <w:pStyle w:val="1535"/>
            </w:pPr>
            <w:r>
              <w:t>µg/kg</w:t>
            </w:r>
          </w:p>
        </w:tc>
        <w:tc>
          <w:tcPr>
            <w:tcW w:w="763" w:type="pct"/>
            <w:vAlign w:val="center"/>
          </w:tcPr>
          <w:p w14:paraId="7AC6D14B">
            <w:pPr>
              <w:pStyle w:val="1535"/>
            </w:pPr>
            <w:r>
              <w:t>ND</w:t>
            </w:r>
          </w:p>
        </w:tc>
        <w:tc>
          <w:tcPr>
            <w:tcW w:w="763" w:type="pct"/>
            <w:vAlign w:val="center"/>
          </w:tcPr>
          <w:p w14:paraId="38582BDF">
            <w:pPr>
              <w:pStyle w:val="1535"/>
            </w:pPr>
            <w:r>
              <w:t>ND</w:t>
            </w:r>
          </w:p>
        </w:tc>
        <w:tc>
          <w:tcPr>
            <w:tcW w:w="763" w:type="pct"/>
            <w:vAlign w:val="center"/>
          </w:tcPr>
          <w:p w14:paraId="2997ED25">
            <w:pPr>
              <w:pStyle w:val="1535"/>
            </w:pPr>
            <w:r>
              <w:t>ND</w:t>
            </w:r>
          </w:p>
        </w:tc>
        <w:tc>
          <w:tcPr>
            <w:tcW w:w="763" w:type="pct"/>
            <w:vAlign w:val="center"/>
          </w:tcPr>
          <w:p w14:paraId="447163D5">
            <w:pPr>
              <w:pStyle w:val="1535"/>
            </w:pPr>
            <w:r>
              <w:t>6800</w:t>
            </w:r>
          </w:p>
        </w:tc>
      </w:tr>
      <w:tr w14:paraId="7DED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6DCBD800">
            <w:pPr>
              <w:pStyle w:val="1535"/>
            </w:pPr>
          </w:p>
        </w:tc>
        <w:tc>
          <w:tcPr>
            <w:tcW w:w="817" w:type="pct"/>
            <w:vAlign w:val="center"/>
          </w:tcPr>
          <w:p w14:paraId="402A5B6E">
            <w:pPr>
              <w:pStyle w:val="1535"/>
            </w:pPr>
            <w:r>
              <w:t>四氯乙烯</w:t>
            </w:r>
          </w:p>
        </w:tc>
        <w:tc>
          <w:tcPr>
            <w:tcW w:w="613" w:type="pct"/>
            <w:vAlign w:val="center"/>
          </w:tcPr>
          <w:p w14:paraId="3402664D">
            <w:pPr>
              <w:pStyle w:val="1535"/>
            </w:pPr>
            <w:r>
              <w:t>µg/kg</w:t>
            </w:r>
          </w:p>
        </w:tc>
        <w:tc>
          <w:tcPr>
            <w:tcW w:w="763" w:type="pct"/>
            <w:vAlign w:val="center"/>
          </w:tcPr>
          <w:p w14:paraId="5B1B5B8F">
            <w:pPr>
              <w:pStyle w:val="1535"/>
            </w:pPr>
            <w:r>
              <w:t>ND</w:t>
            </w:r>
          </w:p>
        </w:tc>
        <w:tc>
          <w:tcPr>
            <w:tcW w:w="763" w:type="pct"/>
            <w:vAlign w:val="center"/>
          </w:tcPr>
          <w:p w14:paraId="439450A5">
            <w:pPr>
              <w:pStyle w:val="1535"/>
            </w:pPr>
            <w:r>
              <w:t>ND</w:t>
            </w:r>
          </w:p>
        </w:tc>
        <w:tc>
          <w:tcPr>
            <w:tcW w:w="763" w:type="pct"/>
            <w:vAlign w:val="center"/>
          </w:tcPr>
          <w:p w14:paraId="2BE69FA9">
            <w:pPr>
              <w:pStyle w:val="1535"/>
            </w:pPr>
            <w:r>
              <w:t>ND</w:t>
            </w:r>
          </w:p>
        </w:tc>
        <w:tc>
          <w:tcPr>
            <w:tcW w:w="763" w:type="pct"/>
            <w:vAlign w:val="center"/>
          </w:tcPr>
          <w:p w14:paraId="4987E871">
            <w:pPr>
              <w:pStyle w:val="1535"/>
            </w:pPr>
            <w:r>
              <w:t>53000</w:t>
            </w:r>
          </w:p>
        </w:tc>
      </w:tr>
      <w:tr w14:paraId="14D2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0A15735C">
            <w:pPr>
              <w:pStyle w:val="1535"/>
            </w:pPr>
          </w:p>
        </w:tc>
        <w:tc>
          <w:tcPr>
            <w:tcW w:w="817" w:type="pct"/>
            <w:vAlign w:val="center"/>
          </w:tcPr>
          <w:p w14:paraId="73F737C2">
            <w:pPr>
              <w:pStyle w:val="1535"/>
            </w:pPr>
            <w:r>
              <w:t>1,1,1-三氯乙烷</w:t>
            </w:r>
          </w:p>
        </w:tc>
        <w:tc>
          <w:tcPr>
            <w:tcW w:w="613" w:type="pct"/>
            <w:vAlign w:val="center"/>
          </w:tcPr>
          <w:p w14:paraId="6E22F52D">
            <w:pPr>
              <w:pStyle w:val="1535"/>
            </w:pPr>
            <w:r>
              <w:t>µg/kg</w:t>
            </w:r>
          </w:p>
        </w:tc>
        <w:tc>
          <w:tcPr>
            <w:tcW w:w="763" w:type="pct"/>
            <w:vAlign w:val="center"/>
          </w:tcPr>
          <w:p w14:paraId="4E24A82C">
            <w:pPr>
              <w:pStyle w:val="1535"/>
            </w:pPr>
            <w:r>
              <w:t>ND</w:t>
            </w:r>
          </w:p>
        </w:tc>
        <w:tc>
          <w:tcPr>
            <w:tcW w:w="763" w:type="pct"/>
            <w:vAlign w:val="center"/>
          </w:tcPr>
          <w:p w14:paraId="6F547E51">
            <w:pPr>
              <w:pStyle w:val="1535"/>
            </w:pPr>
            <w:r>
              <w:t>ND</w:t>
            </w:r>
          </w:p>
        </w:tc>
        <w:tc>
          <w:tcPr>
            <w:tcW w:w="763" w:type="pct"/>
            <w:vAlign w:val="center"/>
          </w:tcPr>
          <w:p w14:paraId="177EDD91">
            <w:pPr>
              <w:pStyle w:val="1535"/>
            </w:pPr>
            <w:r>
              <w:t>ND</w:t>
            </w:r>
          </w:p>
        </w:tc>
        <w:tc>
          <w:tcPr>
            <w:tcW w:w="763" w:type="pct"/>
            <w:vAlign w:val="center"/>
          </w:tcPr>
          <w:p w14:paraId="7906CC21">
            <w:pPr>
              <w:pStyle w:val="1535"/>
            </w:pPr>
            <w:r>
              <w:t>840000</w:t>
            </w:r>
          </w:p>
        </w:tc>
      </w:tr>
      <w:tr w14:paraId="6ADF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576EF708">
            <w:pPr>
              <w:pStyle w:val="1535"/>
            </w:pPr>
          </w:p>
        </w:tc>
        <w:tc>
          <w:tcPr>
            <w:tcW w:w="817" w:type="pct"/>
            <w:vAlign w:val="center"/>
          </w:tcPr>
          <w:p w14:paraId="5707BFE0">
            <w:pPr>
              <w:pStyle w:val="1535"/>
            </w:pPr>
            <w:r>
              <w:t>1,1,2-三氯乙烷</w:t>
            </w:r>
          </w:p>
        </w:tc>
        <w:tc>
          <w:tcPr>
            <w:tcW w:w="613" w:type="pct"/>
            <w:vAlign w:val="center"/>
          </w:tcPr>
          <w:p w14:paraId="5F58E9A3">
            <w:pPr>
              <w:pStyle w:val="1535"/>
            </w:pPr>
            <w:r>
              <w:t>µg/kg</w:t>
            </w:r>
          </w:p>
        </w:tc>
        <w:tc>
          <w:tcPr>
            <w:tcW w:w="763" w:type="pct"/>
            <w:vAlign w:val="center"/>
          </w:tcPr>
          <w:p w14:paraId="7107F651">
            <w:pPr>
              <w:pStyle w:val="1535"/>
            </w:pPr>
            <w:r>
              <w:t>ND</w:t>
            </w:r>
          </w:p>
        </w:tc>
        <w:tc>
          <w:tcPr>
            <w:tcW w:w="763" w:type="pct"/>
            <w:vAlign w:val="center"/>
          </w:tcPr>
          <w:p w14:paraId="5981750A">
            <w:pPr>
              <w:pStyle w:val="1535"/>
            </w:pPr>
            <w:r>
              <w:t>ND</w:t>
            </w:r>
          </w:p>
        </w:tc>
        <w:tc>
          <w:tcPr>
            <w:tcW w:w="763" w:type="pct"/>
            <w:vAlign w:val="center"/>
          </w:tcPr>
          <w:p w14:paraId="5673E4F6">
            <w:pPr>
              <w:pStyle w:val="1535"/>
            </w:pPr>
            <w:r>
              <w:t>ND</w:t>
            </w:r>
          </w:p>
        </w:tc>
        <w:tc>
          <w:tcPr>
            <w:tcW w:w="763" w:type="pct"/>
            <w:vAlign w:val="center"/>
          </w:tcPr>
          <w:p w14:paraId="37239386">
            <w:pPr>
              <w:pStyle w:val="1535"/>
            </w:pPr>
            <w:r>
              <w:t>2800</w:t>
            </w:r>
          </w:p>
        </w:tc>
      </w:tr>
      <w:tr w14:paraId="7175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1495E45B">
            <w:pPr>
              <w:pStyle w:val="1535"/>
            </w:pPr>
          </w:p>
        </w:tc>
        <w:tc>
          <w:tcPr>
            <w:tcW w:w="817" w:type="pct"/>
            <w:vAlign w:val="center"/>
          </w:tcPr>
          <w:p w14:paraId="55662224">
            <w:pPr>
              <w:pStyle w:val="1535"/>
            </w:pPr>
            <w:r>
              <w:t>三氯乙烯</w:t>
            </w:r>
          </w:p>
        </w:tc>
        <w:tc>
          <w:tcPr>
            <w:tcW w:w="613" w:type="pct"/>
            <w:vAlign w:val="center"/>
          </w:tcPr>
          <w:p w14:paraId="4A38A9ED">
            <w:pPr>
              <w:pStyle w:val="1535"/>
            </w:pPr>
            <w:r>
              <w:t>µg/kg</w:t>
            </w:r>
          </w:p>
        </w:tc>
        <w:tc>
          <w:tcPr>
            <w:tcW w:w="763" w:type="pct"/>
            <w:vAlign w:val="center"/>
          </w:tcPr>
          <w:p w14:paraId="7ADBC3AF">
            <w:pPr>
              <w:pStyle w:val="1535"/>
            </w:pPr>
            <w:r>
              <w:t>ND</w:t>
            </w:r>
          </w:p>
        </w:tc>
        <w:tc>
          <w:tcPr>
            <w:tcW w:w="763" w:type="pct"/>
            <w:vAlign w:val="center"/>
          </w:tcPr>
          <w:p w14:paraId="5BEF0191">
            <w:pPr>
              <w:pStyle w:val="1535"/>
            </w:pPr>
            <w:r>
              <w:t>ND</w:t>
            </w:r>
          </w:p>
        </w:tc>
        <w:tc>
          <w:tcPr>
            <w:tcW w:w="763" w:type="pct"/>
            <w:vAlign w:val="center"/>
          </w:tcPr>
          <w:p w14:paraId="7B1BEE37">
            <w:pPr>
              <w:pStyle w:val="1535"/>
            </w:pPr>
            <w:r>
              <w:t>ND</w:t>
            </w:r>
          </w:p>
        </w:tc>
        <w:tc>
          <w:tcPr>
            <w:tcW w:w="763" w:type="pct"/>
            <w:vAlign w:val="center"/>
          </w:tcPr>
          <w:p w14:paraId="798EAC50">
            <w:pPr>
              <w:pStyle w:val="1535"/>
            </w:pPr>
            <w:r>
              <w:t>2800</w:t>
            </w:r>
          </w:p>
        </w:tc>
      </w:tr>
      <w:tr w14:paraId="6B06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411C0A13">
            <w:pPr>
              <w:pStyle w:val="1535"/>
            </w:pPr>
          </w:p>
        </w:tc>
        <w:tc>
          <w:tcPr>
            <w:tcW w:w="817" w:type="pct"/>
            <w:vAlign w:val="center"/>
          </w:tcPr>
          <w:p w14:paraId="6BBB46F4">
            <w:pPr>
              <w:pStyle w:val="1535"/>
            </w:pPr>
            <w:r>
              <w:t>1,2,3-三氯丙烷</w:t>
            </w:r>
          </w:p>
        </w:tc>
        <w:tc>
          <w:tcPr>
            <w:tcW w:w="613" w:type="pct"/>
            <w:vAlign w:val="center"/>
          </w:tcPr>
          <w:p w14:paraId="0A9DE67F">
            <w:pPr>
              <w:pStyle w:val="1535"/>
            </w:pPr>
            <w:r>
              <w:t>µg/kg</w:t>
            </w:r>
          </w:p>
        </w:tc>
        <w:tc>
          <w:tcPr>
            <w:tcW w:w="763" w:type="pct"/>
            <w:vAlign w:val="center"/>
          </w:tcPr>
          <w:p w14:paraId="66A04052">
            <w:pPr>
              <w:pStyle w:val="1535"/>
            </w:pPr>
            <w:r>
              <w:t>ND</w:t>
            </w:r>
          </w:p>
        </w:tc>
        <w:tc>
          <w:tcPr>
            <w:tcW w:w="763" w:type="pct"/>
            <w:vAlign w:val="center"/>
          </w:tcPr>
          <w:p w14:paraId="2CD06DBF">
            <w:pPr>
              <w:pStyle w:val="1535"/>
            </w:pPr>
            <w:r>
              <w:t>ND</w:t>
            </w:r>
          </w:p>
        </w:tc>
        <w:tc>
          <w:tcPr>
            <w:tcW w:w="763" w:type="pct"/>
            <w:vAlign w:val="center"/>
          </w:tcPr>
          <w:p w14:paraId="530EF7B3">
            <w:pPr>
              <w:pStyle w:val="1535"/>
            </w:pPr>
            <w:r>
              <w:t>ND</w:t>
            </w:r>
          </w:p>
        </w:tc>
        <w:tc>
          <w:tcPr>
            <w:tcW w:w="763" w:type="pct"/>
            <w:vAlign w:val="center"/>
          </w:tcPr>
          <w:p w14:paraId="00417A87">
            <w:pPr>
              <w:pStyle w:val="1535"/>
            </w:pPr>
            <w:r>
              <w:t>500</w:t>
            </w:r>
          </w:p>
        </w:tc>
      </w:tr>
      <w:tr w14:paraId="1F1D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69FCFEF4">
            <w:pPr>
              <w:pStyle w:val="1535"/>
            </w:pPr>
          </w:p>
        </w:tc>
        <w:tc>
          <w:tcPr>
            <w:tcW w:w="817" w:type="pct"/>
            <w:vAlign w:val="center"/>
          </w:tcPr>
          <w:p w14:paraId="29CDC3D0">
            <w:pPr>
              <w:pStyle w:val="1535"/>
            </w:pPr>
            <w:r>
              <w:t>氯乙烯</w:t>
            </w:r>
          </w:p>
        </w:tc>
        <w:tc>
          <w:tcPr>
            <w:tcW w:w="613" w:type="pct"/>
            <w:vAlign w:val="center"/>
          </w:tcPr>
          <w:p w14:paraId="55DDCEFD">
            <w:pPr>
              <w:pStyle w:val="1535"/>
            </w:pPr>
            <w:r>
              <w:t>µg/kg</w:t>
            </w:r>
          </w:p>
        </w:tc>
        <w:tc>
          <w:tcPr>
            <w:tcW w:w="763" w:type="pct"/>
            <w:vAlign w:val="center"/>
          </w:tcPr>
          <w:p w14:paraId="395AA43D">
            <w:pPr>
              <w:pStyle w:val="1535"/>
            </w:pPr>
            <w:r>
              <w:t>ND</w:t>
            </w:r>
          </w:p>
        </w:tc>
        <w:tc>
          <w:tcPr>
            <w:tcW w:w="763" w:type="pct"/>
            <w:vAlign w:val="center"/>
          </w:tcPr>
          <w:p w14:paraId="655B9A50">
            <w:pPr>
              <w:pStyle w:val="1535"/>
            </w:pPr>
            <w:r>
              <w:t>ND</w:t>
            </w:r>
          </w:p>
        </w:tc>
        <w:tc>
          <w:tcPr>
            <w:tcW w:w="763" w:type="pct"/>
            <w:vAlign w:val="center"/>
          </w:tcPr>
          <w:p w14:paraId="063BED52">
            <w:pPr>
              <w:pStyle w:val="1535"/>
            </w:pPr>
            <w:r>
              <w:t>ND</w:t>
            </w:r>
          </w:p>
        </w:tc>
        <w:tc>
          <w:tcPr>
            <w:tcW w:w="763" w:type="pct"/>
            <w:vAlign w:val="center"/>
          </w:tcPr>
          <w:p w14:paraId="440C18BD">
            <w:pPr>
              <w:pStyle w:val="1535"/>
            </w:pPr>
            <w:r>
              <w:t>430</w:t>
            </w:r>
          </w:p>
        </w:tc>
      </w:tr>
      <w:tr w14:paraId="5D0B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5791E2A8">
            <w:pPr>
              <w:pStyle w:val="1535"/>
            </w:pPr>
          </w:p>
        </w:tc>
        <w:tc>
          <w:tcPr>
            <w:tcW w:w="817" w:type="pct"/>
            <w:vAlign w:val="center"/>
          </w:tcPr>
          <w:p w14:paraId="12B1219F">
            <w:pPr>
              <w:pStyle w:val="1535"/>
            </w:pPr>
            <w:r>
              <w:t>苯</w:t>
            </w:r>
          </w:p>
        </w:tc>
        <w:tc>
          <w:tcPr>
            <w:tcW w:w="613" w:type="pct"/>
            <w:vAlign w:val="center"/>
          </w:tcPr>
          <w:p w14:paraId="30639B64">
            <w:pPr>
              <w:pStyle w:val="1535"/>
            </w:pPr>
            <w:r>
              <w:t>µg/kg</w:t>
            </w:r>
          </w:p>
        </w:tc>
        <w:tc>
          <w:tcPr>
            <w:tcW w:w="763" w:type="pct"/>
            <w:vAlign w:val="center"/>
          </w:tcPr>
          <w:p w14:paraId="784D21DE">
            <w:pPr>
              <w:pStyle w:val="1535"/>
            </w:pPr>
            <w:r>
              <w:t>ND</w:t>
            </w:r>
          </w:p>
        </w:tc>
        <w:tc>
          <w:tcPr>
            <w:tcW w:w="763" w:type="pct"/>
            <w:vAlign w:val="center"/>
          </w:tcPr>
          <w:p w14:paraId="421939FC">
            <w:pPr>
              <w:pStyle w:val="1535"/>
            </w:pPr>
            <w:r>
              <w:t>ND</w:t>
            </w:r>
          </w:p>
        </w:tc>
        <w:tc>
          <w:tcPr>
            <w:tcW w:w="763" w:type="pct"/>
            <w:vAlign w:val="center"/>
          </w:tcPr>
          <w:p w14:paraId="5CD24798">
            <w:pPr>
              <w:pStyle w:val="1535"/>
            </w:pPr>
            <w:r>
              <w:t>ND</w:t>
            </w:r>
          </w:p>
        </w:tc>
        <w:tc>
          <w:tcPr>
            <w:tcW w:w="763" w:type="pct"/>
            <w:vAlign w:val="center"/>
          </w:tcPr>
          <w:p w14:paraId="0A118443">
            <w:pPr>
              <w:pStyle w:val="1535"/>
            </w:pPr>
            <w:r>
              <w:t>4000</w:t>
            </w:r>
          </w:p>
        </w:tc>
      </w:tr>
      <w:tr w14:paraId="3600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27521256">
            <w:pPr>
              <w:pStyle w:val="1535"/>
            </w:pPr>
          </w:p>
        </w:tc>
        <w:tc>
          <w:tcPr>
            <w:tcW w:w="817" w:type="pct"/>
            <w:vAlign w:val="center"/>
          </w:tcPr>
          <w:p w14:paraId="12964164">
            <w:pPr>
              <w:pStyle w:val="1535"/>
            </w:pPr>
            <w:r>
              <w:t>氯苯</w:t>
            </w:r>
          </w:p>
        </w:tc>
        <w:tc>
          <w:tcPr>
            <w:tcW w:w="613" w:type="pct"/>
            <w:vAlign w:val="center"/>
          </w:tcPr>
          <w:p w14:paraId="29574C22">
            <w:pPr>
              <w:pStyle w:val="1535"/>
            </w:pPr>
            <w:r>
              <w:t>µg/kg</w:t>
            </w:r>
          </w:p>
        </w:tc>
        <w:tc>
          <w:tcPr>
            <w:tcW w:w="763" w:type="pct"/>
            <w:vAlign w:val="center"/>
          </w:tcPr>
          <w:p w14:paraId="15106DAD">
            <w:pPr>
              <w:pStyle w:val="1535"/>
            </w:pPr>
            <w:r>
              <w:t>ND</w:t>
            </w:r>
          </w:p>
        </w:tc>
        <w:tc>
          <w:tcPr>
            <w:tcW w:w="763" w:type="pct"/>
            <w:vAlign w:val="center"/>
          </w:tcPr>
          <w:p w14:paraId="324C379A">
            <w:pPr>
              <w:pStyle w:val="1535"/>
            </w:pPr>
            <w:r>
              <w:t>ND</w:t>
            </w:r>
          </w:p>
        </w:tc>
        <w:tc>
          <w:tcPr>
            <w:tcW w:w="763" w:type="pct"/>
            <w:vAlign w:val="center"/>
          </w:tcPr>
          <w:p w14:paraId="30FDD9CD">
            <w:pPr>
              <w:pStyle w:val="1535"/>
            </w:pPr>
            <w:r>
              <w:t>ND</w:t>
            </w:r>
          </w:p>
        </w:tc>
        <w:tc>
          <w:tcPr>
            <w:tcW w:w="763" w:type="pct"/>
            <w:vAlign w:val="center"/>
          </w:tcPr>
          <w:p w14:paraId="1599528F">
            <w:pPr>
              <w:pStyle w:val="1535"/>
            </w:pPr>
            <w:r>
              <w:t>270000</w:t>
            </w:r>
          </w:p>
        </w:tc>
      </w:tr>
      <w:tr w14:paraId="4C3A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5F0C26F9">
            <w:pPr>
              <w:pStyle w:val="1535"/>
            </w:pPr>
          </w:p>
        </w:tc>
        <w:tc>
          <w:tcPr>
            <w:tcW w:w="817" w:type="pct"/>
            <w:vAlign w:val="center"/>
          </w:tcPr>
          <w:p w14:paraId="703FF7FE">
            <w:pPr>
              <w:pStyle w:val="1535"/>
            </w:pPr>
            <w:r>
              <w:t>1,2-二氯苯</w:t>
            </w:r>
          </w:p>
        </w:tc>
        <w:tc>
          <w:tcPr>
            <w:tcW w:w="613" w:type="pct"/>
            <w:vAlign w:val="center"/>
          </w:tcPr>
          <w:p w14:paraId="6119CDCC">
            <w:pPr>
              <w:pStyle w:val="1535"/>
            </w:pPr>
            <w:r>
              <w:t>µg/kg</w:t>
            </w:r>
          </w:p>
        </w:tc>
        <w:tc>
          <w:tcPr>
            <w:tcW w:w="763" w:type="pct"/>
            <w:vAlign w:val="center"/>
          </w:tcPr>
          <w:p w14:paraId="35F8F522">
            <w:pPr>
              <w:pStyle w:val="1535"/>
            </w:pPr>
            <w:r>
              <w:t>ND</w:t>
            </w:r>
          </w:p>
        </w:tc>
        <w:tc>
          <w:tcPr>
            <w:tcW w:w="763" w:type="pct"/>
            <w:vAlign w:val="center"/>
          </w:tcPr>
          <w:p w14:paraId="2AE0F404">
            <w:pPr>
              <w:pStyle w:val="1535"/>
            </w:pPr>
            <w:r>
              <w:t>ND</w:t>
            </w:r>
          </w:p>
        </w:tc>
        <w:tc>
          <w:tcPr>
            <w:tcW w:w="763" w:type="pct"/>
            <w:vAlign w:val="center"/>
          </w:tcPr>
          <w:p w14:paraId="12FE0F0E">
            <w:pPr>
              <w:pStyle w:val="1535"/>
            </w:pPr>
            <w:r>
              <w:t>ND</w:t>
            </w:r>
          </w:p>
        </w:tc>
        <w:tc>
          <w:tcPr>
            <w:tcW w:w="763" w:type="pct"/>
            <w:vAlign w:val="center"/>
          </w:tcPr>
          <w:p w14:paraId="37943825">
            <w:pPr>
              <w:pStyle w:val="1535"/>
            </w:pPr>
            <w:r>
              <w:t>560000</w:t>
            </w:r>
          </w:p>
        </w:tc>
      </w:tr>
      <w:tr w14:paraId="4CFB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035CD1C4">
            <w:pPr>
              <w:pStyle w:val="1535"/>
            </w:pPr>
          </w:p>
        </w:tc>
        <w:tc>
          <w:tcPr>
            <w:tcW w:w="817" w:type="pct"/>
            <w:vAlign w:val="center"/>
          </w:tcPr>
          <w:p w14:paraId="1AE7F557">
            <w:pPr>
              <w:pStyle w:val="1535"/>
            </w:pPr>
            <w:r>
              <w:t>1,4-二氯苯</w:t>
            </w:r>
          </w:p>
        </w:tc>
        <w:tc>
          <w:tcPr>
            <w:tcW w:w="613" w:type="pct"/>
            <w:vAlign w:val="center"/>
          </w:tcPr>
          <w:p w14:paraId="4FBBD9BB">
            <w:pPr>
              <w:pStyle w:val="1535"/>
            </w:pPr>
            <w:r>
              <w:t>µg/kg</w:t>
            </w:r>
          </w:p>
        </w:tc>
        <w:tc>
          <w:tcPr>
            <w:tcW w:w="763" w:type="pct"/>
            <w:vAlign w:val="center"/>
          </w:tcPr>
          <w:p w14:paraId="749CAD94">
            <w:pPr>
              <w:pStyle w:val="1535"/>
            </w:pPr>
            <w:r>
              <w:t>ND</w:t>
            </w:r>
          </w:p>
        </w:tc>
        <w:tc>
          <w:tcPr>
            <w:tcW w:w="763" w:type="pct"/>
            <w:vAlign w:val="center"/>
          </w:tcPr>
          <w:p w14:paraId="39BBEE04">
            <w:pPr>
              <w:pStyle w:val="1535"/>
            </w:pPr>
            <w:r>
              <w:t>ND</w:t>
            </w:r>
          </w:p>
        </w:tc>
        <w:tc>
          <w:tcPr>
            <w:tcW w:w="763" w:type="pct"/>
            <w:vAlign w:val="center"/>
          </w:tcPr>
          <w:p w14:paraId="79A6F4FA">
            <w:pPr>
              <w:pStyle w:val="1535"/>
            </w:pPr>
            <w:r>
              <w:t>ND</w:t>
            </w:r>
          </w:p>
        </w:tc>
        <w:tc>
          <w:tcPr>
            <w:tcW w:w="763" w:type="pct"/>
            <w:vAlign w:val="center"/>
          </w:tcPr>
          <w:p w14:paraId="15111FBF">
            <w:pPr>
              <w:pStyle w:val="1535"/>
            </w:pPr>
            <w:r>
              <w:t>20000</w:t>
            </w:r>
          </w:p>
        </w:tc>
      </w:tr>
      <w:tr w14:paraId="2F7D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6C0A016F">
            <w:pPr>
              <w:pStyle w:val="1535"/>
            </w:pPr>
          </w:p>
        </w:tc>
        <w:tc>
          <w:tcPr>
            <w:tcW w:w="817" w:type="pct"/>
            <w:vAlign w:val="center"/>
          </w:tcPr>
          <w:p w14:paraId="56E60346">
            <w:pPr>
              <w:pStyle w:val="1535"/>
            </w:pPr>
            <w:r>
              <w:t>乙苯</w:t>
            </w:r>
          </w:p>
        </w:tc>
        <w:tc>
          <w:tcPr>
            <w:tcW w:w="613" w:type="pct"/>
            <w:vAlign w:val="center"/>
          </w:tcPr>
          <w:p w14:paraId="51186953">
            <w:pPr>
              <w:pStyle w:val="1535"/>
            </w:pPr>
            <w:r>
              <w:t>µg/kg</w:t>
            </w:r>
          </w:p>
        </w:tc>
        <w:tc>
          <w:tcPr>
            <w:tcW w:w="763" w:type="pct"/>
            <w:vAlign w:val="center"/>
          </w:tcPr>
          <w:p w14:paraId="308D6746">
            <w:pPr>
              <w:pStyle w:val="1535"/>
            </w:pPr>
            <w:r>
              <w:t>ND</w:t>
            </w:r>
          </w:p>
        </w:tc>
        <w:tc>
          <w:tcPr>
            <w:tcW w:w="763" w:type="pct"/>
            <w:vAlign w:val="center"/>
          </w:tcPr>
          <w:p w14:paraId="3BBFC544">
            <w:pPr>
              <w:pStyle w:val="1535"/>
            </w:pPr>
            <w:r>
              <w:t>ND</w:t>
            </w:r>
          </w:p>
        </w:tc>
        <w:tc>
          <w:tcPr>
            <w:tcW w:w="763" w:type="pct"/>
            <w:vAlign w:val="center"/>
          </w:tcPr>
          <w:p w14:paraId="46FF9D91">
            <w:pPr>
              <w:pStyle w:val="1535"/>
            </w:pPr>
            <w:r>
              <w:t>ND</w:t>
            </w:r>
          </w:p>
        </w:tc>
        <w:tc>
          <w:tcPr>
            <w:tcW w:w="763" w:type="pct"/>
            <w:vAlign w:val="center"/>
          </w:tcPr>
          <w:p w14:paraId="574C91AD">
            <w:pPr>
              <w:pStyle w:val="1535"/>
            </w:pPr>
            <w:r>
              <w:t>28000</w:t>
            </w:r>
          </w:p>
        </w:tc>
      </w:tr>
      <w:tr w14:paraId="0D76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7B4D52C9">
            <w:pPr>
              <w:pStyle w:val="1535"/>
            </w:pPr>
          </w:p>
        </w:tc>
        <w:tc>
          <w:tcPr>
            <w:tcW w:w="817" w:type="pct"/>
            <w:vAlign w:val="center"/>
          </w:tcPr>
          <w:p w14:paraId="606DEF24">
            <w:pPr>
              <w:pStyle w:val="1535"/>
            </w:pPr>
            <w:r>
              <w:t>苯乙烯</w:t>
            </w:r>
          </w:p>
        </w:tc>
        <w:tc>
          <w:tcPr>
            <w:tcW w:w="613" w:type="pct"/>
            <w:vAlign w:val="center"/>
          </w:tcPr>
          <w:p w14:paraId="747C174F">
            <w:pPr>
              <w:pStyle w:val="1535"/>
            </w:pPr>
            <w:r>
              <w:t>µg/kg</w:t>
            </w:r>
          </w:p>
        </w:tc>
        <w:tc>
          <w:tcPr>
            <w:tcW w:w="763" w:type="pct"/>
            <w:vAlign w:val="center"/>
          </w:tcPr>
          <w:p w14:paraId="57972CBB">
            <w:pPr>
              <w:pStyle w:val="1535"/>
            </w:pPr>
            <w:r>
              <w:t>ND</w:t>
            </w:r>
          </w:p>
        </w:tc>
        <w:tc>
          <w:tcPr>
            <w:tcW w:w="763" w:type="pct"/>
            <w:vAlign w:val="center"/>
          </w:tcPr>
          <w:p w14:paraId="5D9BE5A9">
            <w:pPr>
              <w:pStyle w:val="1535"/>
            </w:pPr>
            <w:r>
              <w:t>ND</w:t>
            </w:r>
          </w:p>
        </w:tc>
        <w:tc>
          <w:tcPr>
            <w:tcW w:w="763" w:type="pct"/>
            <w:vAlign w:val="center"/>
          </w:tcPr>
          <w:p w14:paraId="40C67B88">
            <w:pPr>
              <w:pStyle w:val="1535"/>
            </w:pPr>
            <w:r>
              <w:t>ND</w:t>
            </w:r>
          </w:p>
        </w:tc>
        <w:tc>
          <w:tcPr>
            <w:tcW w:w="763" w:type="pct"/>
            <w:vAlign w:val="center"/>
          </w:tcPr>
          <w:p w14:paraId="197DE2E8">
            <w:pPr>
              <w:pStyle w:val="1535"/>
            </w:pPr>
            <w:r>
              <w:t>1290000</w:t>
            </w:r>
          </w:p>
        </w:tc>
      </w:tr>
      <w:tr w14:paraId="7720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restart"/>
            <w:vAlign w:val="center"/>
          </w:tcPr>
          <w:p w14:paraId="18AE720E">
            <w:pPr>
              <w:pStyle w:val="1535"/>
            </w:pPr>
            <w:r>
              <w:t>挥发性有机物</w:t>
            </w:r>
          </w:p>
        </w:tc>
        <w:tc>
          <w:tcPr>
            <w:tcW w:w="817" w:type="pct"/>
            <w:vAlign w:val="center"/>
          </w:tcPr>
          <w:p w14:paraId="775A52F5">
            <w:pPr>
              <w:pStyle w:val="1535"/>
            </w:pPr>
            <w:r>
              <w:t>甲苯</w:t>
            </w:r>
          </w:p>
        </w:tc>
        <w:tc>
          <w:tcPr>
            <w:tcW w:w="613" w:type="pct"/>
            <w:vAlign w:val="center"/>
          </w:tcPr>
          <w:p w14:paraId="5F2D72F8">
            <w:pPr>
              <w:pStyle w:val="1535"/>
            </w:pPr>
            <w:r>
              <w:t>µg/kg</w:t>
            </w:r>
          </w:p>
        </w:tc>
        <w:tc>
          <w:tcPr>
            <w:tcW w:w="763" w:type="pct"/>
            <w:vAlign w:val="center"/>
          </w:tcPr>
          <w:p w14:paraId="6DA07892">
            <w:pPr>
              <w:pStyle w:val="1535"/>
            </w:pPr>
            <w:r>
              <w:t>ND</w:t>
            </w:r>
          </w:p>
        </w:tc>
        <w:tc>
          <w:tcPr>
            <w:tcW w:w="763" w:type="pct"/>
            <w:vAlign w:val="center"/>
          </w:tcPr>
          <w:p w14:paraId="403E6922">
            <w:pPr>
              <w:pStyle w:val="1535"/>
            </w:pPr>
            <w:r>
              <w:t>ND</w:t>
            </w:r>
          </w:p>
        </w:tc>
        <w:tc>
          <w:tcPr>
            <w:tcW w:w="763" w:type="pct"/>
            <w:vAlign w:val="center"/>
          </w:tcPr>
          <w:p w14:paraId="35540D00">
            <w:pPr>
              <w:pStyle w:val="1535"/>
            </w:pPr>
            <w:r>
              <w:t>ND</w:t>
            </w:r>
          </w:p>
        </w:tc>
        <w:tc>
          <w:tcPr>
            <w:tcW w:w="763" w:type="pct"/>
            <w:vAlign w:val="center"/>
          </w:tcPr>
          <w:p w14:paraId="7483960F">
            <w:pPr>
              <w:pStyle w:val="1535"/>
            </w:pPr>
            <w:r>
              <w:t>1200000</w:t>
            </w:r>
          </w:p>
        </w:tc>
      </w:tr>
      <w:tr w14:paraId="4D19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3BC85C0E">
            <w:pPr>
              <w:pStyle w:val="1535"/>
            </w:pPr>
          </w:p>
        </w:tc>
        <w:tc>
          <w:tcPr>
            <w:tcW w:w="817" w:type="pct"/>
            <w:vAlign w:val="center"/>
          </w:tcPr>
          <w:p w14:paraId="10806A78">
            <w:pPr>
              <w:pStyle w:val="1535"/>
            </w:pPr>
            <w:r>
              <w:t>间二甲苯+对二甲苯</w:t>
            </w:r>
          </w:p>
        </w:tc>
        <w:tc>
          <w:tcPr>
            <w:tcW w:w="613" w:type="pct"/>
            <w:vAlign w:val="center"/>
          </w:tcPr>
          <w:p w14:paraId="298127DB">
            <w:pPr>
              <w:pStyle w:val="1535"/>
            </w:pPr>
            <w:r>
              <w:t>µg/kg</w:t>
            </w:r>
          </w:p>
        </w:tc>
        <w:tc>
          <w:tcPr>
            <w:tcW w:w="763" w:type="pct"/>
            <w:vAlign w:val="center"/>
          </w:tcPr>
          <w:p w14:paraId="5AE2C11E">
            <w:pPr>
              <w:pStyle w:val="1535"/>
            </w:pPr>
            <w:r>
              <w:t>ND</w:t>
            </w:r>
          </w:p>
        </w:tc>
        <w:tc>
          <w:tcPr>
            <w:tcW w:w="763" w:type="pct"/>
            <w:vAlign w:val="center"/>
          </w:tcPr>
          <w:p w14:paraId="48177D74">
            <w:pPr>
              <w:pStyle w:val="1535"/>
            </w:pPr>
            <w:r>
              <w:t>ND</w:t>
            </w:r>
          </w:p>
        </w:tc>
        <w:tc>
          <w:tcPr>
            <w:tcW w:w="763" w:type="pct"/>
            <w:vAlign w:val="center"/>
          </w:tcPr>
          <w:p w14:paraId="4834B803">
            <w:pPr>
              <w:pStyle w:val="1535"/>
            </w:pPr>
            <w:r>
              <w:t>ND</w:t>
            </w:r>
          </w:p>
        </w:tc>
        <w:tc>
          <w:tcPr>
            <w:tcW w:w="763" w:type="pct"/>
            <w:vAlign w:val="center"/>
          </w:tcPr>
          <w:p w14:paraId="29842202">
            <w:pPr>
              <w:pStyle w:val="1535"/>
            </w:pPr>
            <w:r>
              <w:t>570000</w:t>
            </w:r>
          </w:p>
        </w:tc>
      </w:tr>
      <w:tr w14:paraId="39CF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64B12001">
            <w:pPr>
              <w:pStyle w:val="1535"/>
            </w:pPr>
          </w:p>
        </w:tc>
        <w:tc>
          <w:tcPr>
            <w:tcW w:w="817" w:type="pct"/>
            <w:vAlign w:val="center"/>
          </w:tcPr>
          <w:p w14:paraId="7A25AC56">
            <w:pPr>
              <w:pStyle w:val="1535"/>
            </w:pPr>
            <w:r>
              <w:t>邻二甲苯</w:t>
            </w:r>
          </w:p>
        </w:tc>
        <w:tc>
          <w:tcPr>
            <w:tcW w:w="613" w:type="pct"/>
            <w:vAlign w:val="center"/>
          </w:tcPr>
          <w:p w14:paraId="1251679D">
            <w:pPr>
              <w:pStyle w:val="1535"/>
            </w:pPr>
            <w:r>
              <w:t>µg/kg</w:t>
            </w:r>
          </w:p>
        </w:tc>
        <w:tc>
          <w:tcPr>
            <w:tcW w:w="763" w:type="pct"/>
            <w:vAlign w:val="center"/>
          </w:tcPr>
          <w:p w14:paraId="5800BBFD">
            <w:pPr>
              <w:pStyle w:val="1535"/>
            </w:pPr>
            <w:r>
              <w:t>ND</w:t>
            </w:r>
          </w:p>
        </w:tc>
        <w:tc>
          <w:tcPr>
            <w:tcW w:w="763" w:type="pct"/>
            <w:vAlign w:val="center"/>
          </w:tcPr>
          <w:p w14:paraId="2F38BD77">
            <w:pPr>
              <w:pStyle w:val="1535"/>
            </w:pPr>
            <w:r>
              <w:t>ND</w:t>
            </w:r>
          </w:p>
        </w:tc>
        <w:tc>
          <w:tcPr>
            <w:tcW w:w="763" w:type="pct"/>
            <w:vAlign w:val="center"/>
          </w:tcPr>
          <w:p w14:paraId="2EC94EEE">
            <w:pPr>
              <w:pStyle w:val="1535"/>
            </w:pPr>
            <w:r>
              <w:t>ND</w:t>
            </w:r>
          </w:p>
        </w:tc>
        <w:tc>
          <w:tcPr>
            <w:tcW w:w="763" w:type="pct"/>
            <w:vAlign w:val="center"/>
          </w:tcPr>
          <w:p w14:paraId="7BE5CBFC">
            <w:pPr>
              <w:pStyle w:val="1535"/>
            </w:pPr>
            <w:r>
              <w:t>640000</w:t>
            </w:r>
          </w:p>
        </w:tc>
      </w:tr>
      <w:tr w14:paraId="711E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restart"/>
            <w:vAlign w:val="center"/>
          </w:tcPr>
          <w:p w14:paraId="6961CB49">
            <w:pPr>
              <w:pStyle w:val="1535"/>
            </w:pPr>
            <w:r>
              <w:t>半挥发性有机物</w:t>
            </w:r>
          </w:p>
        </w:tc>
        <w:tc>
          <w:tcPr>
            <w:tcW w:w="817" w:type="pct"/>
            <w:vAlign w:val="center"/>
          </w:tcPr>
          <w:p w14:paraId="67C0B03F">
            <w:pPr>
              <w:pStyle w:val="1535"/>
            </w:pPr>
            <w:r>
              <w:t>硝基苯</w:t>
            </w:r>
          </w:p>
        </w:tc>
        <w:tc>
          <w:tcPr>
            <w:tcW w:w="613" w:type="pct"/>
            <w:vAlign w:val="center"/>
          </w:tcPr>
          <w:p w14:paraId="66363CF9">
            <w:pPr>
              <w:pStyle w:val="1535"/>
            </w:pPr>
            <w:r>
              <w:t>mg/kg</w:t>
            </w:r>
          </w:p>
        </w:tc>
        <w:tc>
          <w:tcPr>
            <w:tcW w:w="763" w:type="pct"/>
            <w:vAlign w:val="center"/>
          </w:tcPr>
          <w:p w14:paraId="49CDFF5D">
            <w:pPr>
              <w:pStyle w:val="1535"/>
            </w:pPr>
            <w:r>
              <w:t>ND</w:t>
            </w:r>
          </w:p>
        </w:tc>
        <w:tc>
          <w:tcPr>
            <w:tcW w:w="763" w:type="pct"/>
            <w:vAlign w:val="center"/>
          </w:tcPr>
          <w:p w14:paraId="7ECA63A1">
            <w:pPr>
              <w:pStyle w:val="1535"/>
            </w:pPr>
            <w:r>
              <w:t>ND</w:t>
            </w:r>
          </w:p>
        </w:tc>
        <w:tc>
          <w:tcPr>
            <w:tcW w:w="763" w:type="pct"/>
            <w:vAlign w:val="center"/>
          </w:tcPr>
          <w:p w14:paraId="355D1751">
            <w:pPr>
              <w:pStyle w:val="1535"/>
            </w:pPr>
            <w:r>
              <w:t>ND</w:t>
            </w:r>
          </w:p>
        </w:tc>
        <w:tc>
          <w:tcPr>
            <w:tcW w:w="763" w:type="pct"/>
            <w:vAlign w:val="center"/>
          </w:tcPr>
          <w:p w14:paraId="4F5453C5">
            <w:pPr>
              <w:pStyle w:val="1535"/>
            </w:pPr>
            <w:r>
              <w:t>76</w:t>
            </w:r>
          </w:p>
        </w:tc>
      </w:tr>
      <w:tr w14:paraId="10BF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3A733CD3">
            <w:pPr>
              <w:pStyle w:val="1535"/>
            </w:pPr>
          </w:p>
        </w:tc>
        <w:tc>
          <w:tcPr>
            <w:tcW w:w="817" w:type="pct"/>
            <w:vAlign w:val="center"/>
          </w:tcPr>
          <w:p w14:paraId="71F148D6">
            <w:pPr>
              <w:pStyle w:val="1535"/>
            </w:pPr>
            <w:r>
              <w:t>苯胺</w:t>
            </w:r>
          </w:p>
        </w:tc>
        <w:tc>
          <w:tcPr>
            <w:tcW w:w="613" w:type="pct"/>
            <w:vAlign w:val="center"/>
          </w:tcPr>
          <w:p w14:paraId="50841FF2">
            <w:pPr>
              <w:pStyle w:val="1535"/>
            </w:pPr>
            <w:r>
              <w:t>mg/kg</w:t>
            </w:r>
          </w:p>
        </w:tc>
        <w:tc>
          <w:tcPr>
            <w:tcW w:w="763" w:type="pct"/>
            <w:vAlign w:val="center"/>
          </w:tcPr>
          <w:p w14:paraId="77CA5775">
            <w:pPr>
              <w:pStyle w:val="1535"/>
            </w:pPr>
            <w:r>
              <w:t>ND</w:t>
            </w:r>
          </w:p>
        </w:tc>
        <w:tc>
          <w:tcPr>
            <w:tcW w:w="763" w:type="pct"/>
            <w:vAlign w:val="center"/>
          </w:tcPr>
          <w:p w14:paraId="288A2DD3">
            <w:pPr>
              <w:pStyle w:val="1535"/>
            </w:pPr>
            <w:r>
              <w:t>ND</w:t>
            </w:r>
          </w:p>
        </w:tc>
        <w:tc>
          <w:tcPr>
            <w:tcW w:w="763" w:type="pct"/>
            <w:vAlign w:val="center"/>
          </w:tcPr>
          <w:p w14:paraId="580CB71E">
            <w:pPr>
              <w:pStyle w:val="1535"/>
            </w:pPr>
            <w:r>
              <w:t>ND</w:t>
            </w:r>
          </w:p>
        </w:tc>
        <w:tc>
          <w:tcPr>
            <w:tcW w:w="763" w:type="pct"/>
            <w:vAlign w:val="center"/>
          </w:tcPr>
          <w:p w14:paraId="7AD9CDF7">
            <w:pPr>
              <w:pStyle w:val="1535"/>
            </w:pPr>
            <w:r>
              <w:t>260</w:t>
            </w:r>
          </w:p>
        </w:tc>
      </w:tr>
      <w:tr w14:paraId="7E05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1C037BC4">
            <w:pPr>
              <w:pStyle w:val="1535"/>
            </w:pPr>
          </w:p>
        </w:tc>
        <w:tc>
          <w:tcPr>
            <w:tcW w:w="817" w:type="pct"/>
            <w:vAlign w:val="center"/>
          </w:tcPr>
          <w:p w14:paraId="4CAFC68C">
            <w:pPr>
              <w:pStyle w:val="1535"/>
            </w:pPr>
            <w:r>
              <w:t>2-氯酚</w:t>
            </w:r>
          </w:p>
        </w:tc>
        <w:tc>
          <w:tcPr>
            <w:tcW w:w="613" w:type="pct"/>
            <w:vAlign w:val="center"/>
          </w:tcPr>
          <w:p w14:paraId="0E60D97B">
            <w:pPr>
              <w:pStyle w:val="1535"/>
            </w:pPr>
            <w:r>
              <w:t>mg/kg</w:t>
            </w:r>
          </w:p>
        </w:tc>
        <w:tc>
          <w:tcPr>
            <w:tcW w:w="763" w:type="pct"/>
            <w:vAlign w:val="center"/>
          </w:tcPr>
          <w:p w14:paraId="3483F763">
            <w:pPr>
              <w:pStyle w:val="1535"/>
            </w:pPr>
            <w:r>
              <w:t>ND</w:t>
            </w:r>
          </w:p>
        </w:tc>
        <w:tc>
          <w:tcPr>
            <w:tcW w:w="763" w:type="pct"/>
            <w:vAlign w:val="center"/>
          </w:tcPr>
          <w:p w14:paraId="45B6512E">
            <w:pPr>
              <w:pStyle w:val="1535"/>
            </w:pPr>
            <w:r>
              <w:t>ND</w:t>
            </w:r>
          </w:p>
        </w:tc>
        <w:tc>
          <w:tcPr>
            <w:tcW w:w="763" w:type="pct"/>
            <w:vAlign w:val="center"/>
          </w:tcPr>
          <w:p w14:paraId="7E551EBC">
            <w:pPr>
              <w:pStyle w:val="1535"/>
            </w:pPr>
            <w:r>
              <w:t>ND</w:t>
            </w:r>
          </w:p>
        </w:tc>
        <w:tc>
          <w:tcPr>
            <w:tcW w:w="763" w:type="pct"/>
            <w:vAlign w:val="center"/>
          </w:tcPr>
          <w:p w14:paraId="22890803">
            <w:pPr>
              <w:pStyle w:val="1535"/>
            </w:pPr>
            <w:r>
              <w:t>2256</w:t>
            </w:r>
          </w:p>
        </w:tc>
      </w:tr>
      <w:tr w14:paraId="1C68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251D8A8E">
            <w:pPr>
              <w:pStyle w:val="1535"/>
            </w:pPr>
          </w:p>
        </w:tc>
        <w:tc>
          <w:tcPr>
            <w:tcW w:w="817" w:type="pct"/>
            <w:vAlign w:val="center"/>
          </w:tcPr>
          <w:p w14:paraId="795925C0">
            <w:pPr>
              <w:pStyle w:val="1535"/>
            </w:pPr>
            <w:r>
              <w:t>苯并[a]蒽</w:t>
            </w:r>
          </w:p>
        </w:tc>
        <w:tc>
          <w:tcPr>
            <w:tcW w:w="613" w:type="pct"/>
            <w:vAlign w:val="center"/>
          </w:tcPr>
          <w:p w14:paraId="6C0A317B">
            <w:pPr>
              <w:pStyle w:val="1535"/>
            </w:pPr>
            <w:r>
              <w:t>mg/kg</w:t>
            </w:r>
          </w:p>
        </w:tc>
        <w:tc>
          <w:tcPr>
            <w:tcW w:w="763" w:type="pct"/>
            <w:vAlign w:val="center"/>
          </w:tcPr>
          <w:p w14:paraId="5E1929E7">
            <w:pPr>
              <w:pStyle w:val="1535"/>
            </w:pPr>
            <w:r>
              <w:t>ND</w:t>
            </w:r>
          </w:p>
        </w:tc>
        <w:tc>
          <w:tcPr>
            <w:tcW w:w="763" w:type="pct"/>
            <w:vAlign w:val="center"/>
          </w:tcPr>
          <w:p w14:paraId="06696441">
            <w:pPr>
              <w:pStyle w:val="1535"/>
            </w:pPr>
            <w:r>
              <w:t>ND</w:t>
            </w:r>
          </w:p>
        </w:tc>
        <w:tc>
          <w:tcPr>
            <w:tcW w:w="763" w:type="pct"/>
            <w:vAlign w:val="center"/>
          </w:tcPr>
          <w:p w14:paraId="1437C338">
            <w:pPr>
              <w:pStyle w:val="1535"/>
            </w:pPr>
            <w:r>
              <w:t>ND</w:t>
            </w:r>
          </w:p>
        </w:tc>
        <w:tc>
          <w:tcPr>
            <w:tcW w:w="763" w:type="pct"/>
            <w:vAlign w:val="center"/>
          </w:tcPr>
          <w:p w14:paraId="3A48F843">
            <w:pPr>
              <w:pStyle w:val="1535"/>
            </w:pPr>
            <w:r>
              <w:t>15</w:t>
            </w:r>
          </w:p>
        </w:tc>
      </w:tr>
      <w:tr w14:paraId="305C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00BF37FC">
            <w:pPr>
              <w:pStyle w:val="1535"/>
            </w:pPr>
          </w:p>
        </w:tc>
        <w:tc>
          <w:tcPr>
            <w:tcW w:w="817" w:type="pct"/>
            <w:vAlign w:val="center"/>
          </w:tcPr>
          <w:p w14:paraId="42D36F40">
            <w:pPr>
              <w:pStyle w:val="1535"/>
            </w:pPr>
            <w:r>
              <w:t>苯并[a]芘</w:t>
            </w:r>
          </w:p>
        </w:tc>
        <w:tc>
          <w:tcPr>
            <w:tcW w:w="613" w:type="pct"/>
            <w:vAlign w:val="center"/>
          </w:tcPr>
          <w:p w14:paraId="445FC6A3">
            <w:pPr>
              <w:pStyle w:val="1535"/>
            </w:pPr>
            <w:r>
              <w:t>mg/kg</w:t>
            </w:r>
          </w:p>
        </w:tc>
        <w:tc>
          <w:tcPr>
            <w:tcW w:w="763" w:type="pct"/>
            <w:vAlign w:val="center"/>
          </w:tcPr>
          <w:p w14:paraId="29543F19">
            <w:pPr>
              <w:pStyle w:val="1535"/>
            </w:pPr>
            <w:r>
              <w:t>ND</w:t>
            </w:r>
          </w:p>
        </w:tc>
        <w:tc>
          <w:tcPr>
            <w:tcW w:w="763" w:type="pct"/>
            <w:vAlign w:val="center"/>
          </w:tcPr>
          <w:p w14:paraId="20055A6E">
            <w:pPr>
              <w:pStyle w:val="1535"/>
            </w:pPr>
            <w:r>
              <w:t>ND</w:t>
            </w:r>
          </w:p>
        </w:tc>
        <w:tc>
          <w:tcPr>
            <w:tcW w:w="763" w:type="pct"/>
            <w:vAlign w:val="center"/>
          </w:tcPr>
          <w:p w14:paraId="086AF838">
            <w:pPr>
              <w:pStyle w:val="1535"/>
            </w:pPr>
            <w:r>
              <w:t>ND</w:t>
            </w:r>
          </w:p>
        </w:tc>
        <w:tc>
          <w:tcPr>
            <w:tcW w:w="763" w:type="pct"/>
            <w:vAlign w:val="center"/>
          </w:tcPr>
          <w:p w14:paraId="0AC1300C">
            <w:pPr>
              <w:pStyle w:val="1535"/>
            </w:pPr>
            <w:r>
              <w:t>1.5</w:t>
            </w:r>
          </w:p>
        </w:tc>
      </w:tr>
      <w:tr w14:paraId="0457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7A52606D">
            <w:pPr>
              <w:pStyle w:val="1535"/>
            </w:pPr>
          </w:p>
        </w:tc>
        <w:tc>
          <w:tcPr>
            <w:tcW w:w="817" w:type="pct"/>
            <w:vAlign w:val="center"/>
          </w:tcPr>
          <w:p w14:paraId="454A2B4F">
            <w:pPr>
              <w:pStyle w:val="1535"/>
            </w:pPr>
            <w:r>
              <w:t>苯并[b]荧蒽</w:t>
            </w:r>
          </w:p>
        </w:tc>
        <w:tc>
          <w:tcPr>
            <w:tcW w:w="613" w:type="pct"/>
            <w:vAlign w:val="center"/>
          </w:tcPr>
          <w:p w14:paraId="496C5D53">
            <w:pPr>
              <w:pStyle w:val="1535"/>
            </w:pPr>
            <w:r>
              <w:t>mg/kg</w:t>
            </w:r>
          </w:p>
        </w:tc>
        <w:tc>
          <w:tcPr>
            <w:tcW w:w="763" w:type="pct"/>
            <w:vAlign w:val="center"/>
          </w:tcPr>
          <w:p w14:paraId="5D451B02">
            <w:pPr>
              <w:pStyle w:val="1535"/>
            </w:pPr>
            <w:r>
              <w:t>ND</w:t>
            </w:r>
          </w:p>
        </w:tc>
        <w:tc>
          <w:tcPr>
            <w:tcW w:w="763" w:type="pct"/>
            <w:vAlign w:val="center"/>
          </w:tcPr>
          <w:p w14:paraId="3F29FE1C">
            <w:pPr>
              <w:pStyle w:val="1535"/>
            </w:pPr>
            <w:r>
              <w:t>ND</w:t>
            </w:r>
          </w:p>
        </w:tc>
        <w:tc>
          <w:tcPr>
            <w:tcW w:w="763" w:type="pct"/>
            <w:vAlign w:val="center"/>
          </w:tcPr>
          <w:p w14:paraId="49063E9B">
            <w:pPr>
              <w:pStyle w:val="1535"/>
            </w:pPr>
            <w:r>
              <w:t>ND</w:t>
            </w:r>
          </w:p>
        </w:tc>
        <w:tc>
          <w:tcPr>
            <w:tcW w:w="763" w:type="pct"/>
            <w:vAlign w:val="center"/>
          </w:tcPr>
          <w:p w14:paraId="0F9C9043">
            <w:pPr>
              <w:pStyle w:val="1535"/>
            </w:pPr>
            <w:r>
              <w:t>15</w:t>
            </w:r>
          </w:p>
        </w:tc>
      </w:tr>
      <w:tr w14:paraId="7DE8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19A30925">
            <w:pPr>
              <w:pStyle w:val="1535"/>
            </w:pPr>
          </w:p>
        </w:tc>
        <w:tc>
          <w:tcPr>
            <w:tcW w:w="817" w:type="pct"/>
            <w:vAlign w:val="center"/>
          </w:tcPr>
          <w:p w14:paraId="1EA29394">
            <w:pPr>
              <w:pStyle w:val="1535"/>
            </w:pPr>
            <w:r>
              <w:t>苯并[k]荧蒽</w:t>
            </w:r>
          </w:p>
        </w:tc>
        <w:tc>
          <w:tcPr>
            <w:tcW w:w="613" w:type="pct"/>
            <w:vAlign w:val="center"/>
          </w:tcPr>
          <w:p w14:paraId="5E046503">
            <w:pPr>
              <w:pStyle w:val="1535"/>
            </w:pPr>
            <w:r>
              <w:t>mg/kg</w:t>
            </w:r>
          </w:p>
        </w:tc>
        <w:tc>
          <w:tcPr>
            <w:tcW w:w="763" w:type="pct"/>
            <w:vAlign w:val="center"/>
          </w:tcPr>
          <w:p w14:paraId="69A41288">
            <w:pPr>
              <w:pStyle w:val="1535"/>
            </w:pPr>
            <w:r>
              <w:t>ND</w:t>
            </w:r>
          </w:p>
        </w:tc>
        <w:tc>
          <w:tcPr>
            <w:tcW w:w="763" w:type="pct"/>
            <w:vAlign w:val="center"/>
          </w:tcPr>
          <w:p w14:paraId="5667E191">
            <w:pPr>
              <w:pStyle w:val="1535"/>
            </w:pPr>
            <w:r>
              <w:t>ND</w:t>
            </w:r>
          </w:p>
        </w:tc>
        <w:tc>
          <w:tcPr>
            <w:tcW w:w="763" w:type="pct"/>
            <w:vAlign w:val="center"/>
          </w:tcPr>
          <w:p w14:paraId="6A4562AC">
            <w:pPr>
              <w:pStyle w:val="1535"/>
            </w:pPr>
            <w:r>
              <w:t>ND</w:t>
            </w:r>
          </w:p>
        </w:tc>
        <w:tc>
          <w:tcPr>
            <w:tcW w:w="763" w:type="pct"/>
            <w:vAlign w:val="center"/>
          </w:tcPr>
          <w:p w14:paraId="02E74903">
            <w:pPr>
              <w:pStyle w:val="1535"/>
            </w:pPr>
            <w:r>
              <w:t>151</w:t>
            </w:r>
          </w:p>
        </w:tc>
      </w:tr>
      <w:tr w14:paraId="2CA5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6446B19D">
            <w:pPr>
              <w:pStyle w:val="1535"/>
            </w:pPr>
          </w:p>
        </w:tc>
        <w:tc>
          <w:tcPr>
            <w:tcW w:w="817" w:type="pct"/>
            <w:vAlign w:val="center"/>
          </w:tcPr>
          <w:p w14:paraId="0718B5F8">
            <w:pPr>
              <w:pStyle w:val="1535"/>
            </w:pPr>
            <w:r>
              <w:t>䓛</w:t>
            </w:r>
          </w:p>
        </w:tc>
        <w:tc>
          <w:tcPr>
            <w:tcW w:w="613" w:type="pct"/>
            <w:vAlign w:val="center"/>
          </w:tcPr>
          <w:p w14:paraId="5A09AE14">
            <w:pPr>
              <w:pStyle w:val="1535"/>
            </w:pPr>
            <w:r>
              <w:t>mg/kg</w:t>
            </w:r>
          </w:p>
        </w:tc>
        <w:tc>
          <w:tcPr>
            <w:tcW w:w="763" w:type="pct"/>
            <w:vAlign w:val="center"/>
          </w:tcPr>
          <w:p w14:paraId="40681DF1">
            <w:pPr>
              <w:pStyle w:val="1535"/>
            </w:pPr>
            <w:r>
              <w:t>ND</w:t>
            </w:r>
          </w:p>
        </w:tc>
        <w:tc>
          <w:tcPr>
            <w:tcW w:w="763" w:type="pct"/>
            <w:vAlign w:val="center"/>
          </w:tcPr>
          <w:p w14:paraId="755176DF">
            <w:pPr>
              <w:pStyle w:val="1535"/>
            </w:pPr>
            <w:r>
              <w:t>ND</w:t>
            </w:r>
          </w:p>
        </w:tc>
        <w:tc>
          <w:tcPr>
            <w:tcW w:w="763" w:type="pct"/>
            <w:vAlign w:val="center"/>
          </w:tcPr>
          <w:p w14:paraId="514A3E6C">
            <w:pPr>
              <w:pStyle w:val="1535"/>
            </w:pPr>
            <w:r>
              <w:t>ND</w:t>
            </w:r>
          </w:p>
        </w:tc>
        <w:tc>
          <w:tcPr>
            <w:tcW w:w="763" w:type="pct"/>
            <w:vAlign w:val="center"/>
          </w:tcPr>
          <w:p w14:paraId="2849A75A">
            <w:pPr>
              <w:pStyle w:val="1535"/>
            </w:pPr>
            <w:r>
              <w:t>1293</w:t>
            </w:r>
          </w:p>
        </w:tc>
      </w:tr>
      <w:tr w14:paraId="183C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7581EE5D">
            <w:pPr>
              <w:pStyle w:val="1535"/>
            </w:pPr>
          </w:p>
        </w:tc>
        <w:tc>
          <w:tcPr>
            <w:tcW w:w="817" w:type="pct"/>
            <w:vAlign w:val="center"/>
          </w:tcPr>
          <w:p w14:paraId="14A260AC">
            <w:pPr>
              <w:pStyle w:val="1535"/>
            </w:pPr>
            <w:r>
              <w:t>二苯并[a,h]蒽</w:t>
            </w:r>
          </w:p>
        </w:tc>
        <w:tc>
          <w:tcPr>
            <w:tcW w:w="613" w:type="pct"/>
            <w:vAlign w:val="center"/>
          </w:tcPr>
          <w:p w14:paraId="346355C4">
            <w:pPr>
              <w:pStyle w:val="1535"/>
            </w:pPr>
            <w:r>
              <w:t>mg/kg</w:t>
            </w:r>
          </w:p>
        </w:tc>
        <w:tc>
          <w:tcPr>
            <w:tcW w:w="763" w:type="pct"/>
            <w:vAlign w:val="center"/>
          </w:tcPr>
          <w:p w14:paraId="61DE0B48">
            <w:pPr>
              <w:pStyle w:val="1535"/>
            </w:pPr>
            <w:r>
              <w:t>ND</w:t>
            </w:r>
          </w:p>
        </w:tc>
        <w:tc>
          <w:tcPr>
            <w:tcW w:w="763" w:type="pct"/>
            <w:vAlign w:val="center"/>
          </w:tcPr>
          <w:p w14:paraId="1E63A326">
            <w:pPr>
              <w:pStyle w:val="1535"/>
            </w:pPr>
            <w:r>
              <w:t>ND</w:t>
            </w:r>
          </w:p>
        </w:tc>
        <w:tc>
          <w:tcPr>
            <w:tcW w:w="763" w:type="pct"/>
            <w:vAlign w:val="center"/>
          </w:tcPr>
          <w:p w14:paraId="6F76A20C">
            <w:pPr>
              <w:pStyle w:val="1535"/>
            </w:pPr>
            <w:r>
              <w:t>ND</w:t>
            </w:r>
          </w:p>
        </w:tc>
        <w:tc>
          <w:tcPr>
            <w:tcW w:w="763" w:type="pct"/>
            <w:vAlign w:val="center"/>
          </w:tcPr>
          <w:p w14:paraId="35339DDF">
            <w:pPr>
              <w:pStyle w:val="1535"/>
            </w:pPr>
            <w:r>
              <w:t>1.5</w:t>
            </w:r>
          </w:p>
        </w:tc>
      </w:tr>
      <w:tr w14:paraId="537C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5AE5887D">
            <w:pPr>
              <w:pStyle w:val="1535"/>
            </w:pPr>
          </w:p>
        </w:tc>
        <w:tc>
          <w:tcPr>
            <w:tcW w:w="817" w:type="pct"/>
            <w:vAlign w:val="center"/>
          </w:tcPr>
          <w:p w14:paraId="32B20EC9">
            <w:pPr>
              <w:pStyle w:val="1535"/>
            </w:pPr>
            <w:r>
              <w:t>茚并[1,2,3-cd]芘</w:t>
            </w:r>
          </w:p>
        </w:tc>
        <w:tc>
          <w:tcPr>
            <w:tcW w:w="613" w:type="pct"/>
            <w:vAlign w:val="center"/>
          </w:tcPr>
          <w:p w14:paraId="73EDF3A8">
            <w:pPr>
              <w:pStyle w:val="1535"/>
            </w:pPr>
            <w:r>
              <w:t>mg/kg</w:t>
            </w:r>
          </w:p>
        </w:tc>
        <w:tc>
          <w:tcPr>
            <w:tcW w:w="763" w:type="pct"/>
            <w:vAlign w:val="center"/>
          </w:tcPr>
          <w:p w14:paraId="0AA96E8B">
            <w:pPr>
              <w:pStyle w:val="1535"/>
            </w:pPr>
            <w:r>
              <w:t>ND</w:t>
            </w:r>
          </w:p>
        </w:tc>
        <w:tc>
          <w:tcPr>
            <w:tcW w:w="763" w:type="pct"/>
            <w:vAlign w:val="center"/>
          </w:tcPr>
          <w:p w14:paraId="21027D60">
            <w:pPr>
              <w:pStyle w:val="1535"/>
            </w:pPr>
            <w:r>
              <w:t>ND</w:t>
            </w:r>
          </w:p>
        </w:tc>
        <w:tc>
          <w:tcPr>
            <w:tcW w:w="763" w:type="pct"/>
            <w:vAlign w:val="center"/>
          </w:tcPr>
          <w:p w14:paraId="77908C29">
            <w:pPr>
              <w:pStyle w:val="1535"/>
            </w:pPr>
            <w:r>
              <w:t>ND</w:t>
            </w:r>
          </w:p>
        </w:tc>
        <w:tc>
          <w:tcPr>
            <w:tcW w:w="763" w:type="pct"/>
            <w:vAlign w:val="center"/>
          </w:tcPr>
          <w:p w14:paraId="7F5DFB40">
            <w:pPr>
              <w:pStyle w:val="1535"/>
            </w:pPr>
            <w:r>
              <w:t>15</w:t>
            </w:r>
          </w:p>
        </w:tc>
      </w:tr>
      <w:tr w14:paraId="15F2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vAlign w:val="center"/>
          </w:tcPr>
          <w:p w14:paraId="72A87AF9">
            <w:pPr>
              <w:pStyle w:val="1535"/>
            </w:pPr>
          </w:p>
        </w:tc>
        <w:tc>
          <w:tcPr>
            <w:tcW w:w="817" w:type="pct"/>
            <w:vAlign w:val="center"/>
          </w:tcPr>
          <w:p w14:paraId="4482A309">
            <w:pPr>
              <w:pStyle w:val="1535"/>
            </w:pPr>
            <w:r>
              <w:t>萘</w:t>
            </w:r>
          </w:p>
        </w:tc>
        <w:tc>
          <w:tcPr>
            <w:tcW w:w="613" w:type="pct"/>
            <w:vAlign w:val="center"/>
          </w:tcPr>
          <w:p w14:paraId="62B55E6B">
            <w:pPr>
              <w:pStyle w:val="1535"/>
            </w:pPr>
            <w:r>
              <w:t>mg/kg</w:t>
            </w:r>
          </w:p>
        </w:tc>
        <w:tc>
          <w:tcPr>
            <w:tcW w:w="763" w:type="pct"/>
            <w:vAlign w:val="center"/>
          </w:tcPr>
          <w:p w14:paraId="62F41A04">
            <w:pPr>
              <w:pStyle w:val="1535"/>
            </w:pPr>
            <w:r>
              <w:t>ND</w:t>
            </w:r>
          </w:p>
        </w:tc>
        <w:tc>
          <w:tcPr>
            <w:tcW w:w="763" w:type="pct"/>
            <w:vAlign w:val="center"/>
          </w:tcPr>
          <w:p w14:paraId="499701EA">
            <w:pPr>
              <w:pStyle w:val="1535"/>
            </w:pPr>
            <w:r>
              <w:t>ND</w:t>
            </w:r>
          </w:p>
        </w:tc>
        <w:tc>
          <w:tcPr>
            <w:tcW w:w="763" w:type="pct"/>
            <w:vAlign w:val="center"/>
          </w:tcPr>
          <w:p w14:paraId="41314E84">
            <w:pPr>
              <w:pStyle w:val="1535"/>
            </w:pPr>
            <w:r>
              <w:t>ND</w:t>
            </w:r>
          </w:p>
        </w:tc>
        <w:tc>
          <w:tcPr>
            <w:tcW w:w="763" w:type="pct"/>
            <w:vAlign w:val="center"/>
          </w:tcPr>
          <w:p w14:paraId="1B9DF5FF">
            <w:pPr>
              <w:pStyle w:val="1535"/>
            </w:pPr>
            <w:r>
              <w:t>70</w:t>
            </w:r>
          </w:p>
        </w:tc>
      </w:tr>
      <w:tr w14:paraId="02CA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Align w:val="center"/>
          </w:tcPr>
          <w:p w14:paraId="25A80CE3">
            <w:pPr>
              <w:pStyle w:val="1535"/>
            </w:pPr>
            <w:r>
              <w:t>备注</w:t>
            </w:r>
          </w:p>
        </w:tc>
        <w:tc>
          <w:tcPr>
            <w:tcW w:w="4480" w:type="pct"/>
            <w:gridSpan w:val="6"/>
            <w:vAlign w:val="center"/>
          </w:tcPr>
          <w:p w14:paraId="3B0325B3">
            <w:pPr>
              <w:pStyle w:val="1535"/>
            </w:pPr>
            <w:r>
              <w:t>“ND”表示未检出。</w:t>
            </w:r>
          </w:p>
        </w:tc>
      </w:tr>
    </w:tbl>
    <w:p w14:paraId="1DF72A30">
      <w:pPr>
        <w:ind w:firstLine="520"/>
        <w:rPr>
          <w:color w:val="000000" w:themeColor="text1"/>
          <w14:textFill>
            <w14:solidFill>
              <w14:schemeClr w14:val="tx1"/>
            </w14:solidFill>
          </w14:textFill>
        </w:rPr>
      </w:pPr>
      <w:r>
        <w:rPr>
          <w:color w:val="000000" w:themeColor="text1"/>
          <w14:textFill>
            <w14:solidFill>
              <w14:schemeClr w14:val="tx1"/>
            </w14:solidFill>
          </w14:textFill>
        </w:rPr>
        <w:t>由土壤环境现状监测结果可知，区域土壤环境现状较好，满足《土壤环境质量建设用地土壤污染风险管控标准（试行）》（GB36600-2018）第二类用地土壤污风险筛选值标准要求。</w:t>
      </w:r>
    </w:p>
    <w:p w14:paraId="2E1A275E">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地下水环境质量现状</w:t>
      </w:r>
    </w:p>
    <w:p w14:paraId="3C6506E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本次地下水质量现状监测</w:t>
      </w:r>
      <w:r>
        <w:rPr>
          <w:color w:val="000000" w:themeColor="text1"/>
          <w14:textFill>
            <w14:solidFill>
              <w14:schemeClr w14:val="tx1"/>
            </w14:solidFill>
          </w14:textFill>
        </w:rPr>
        <w:t>引用</w:t>
      </w:r>
      <w:r>
        <w:rPr>
          <w:rFonts w:hint="eastAsia"/>
          <w:color w:val="000000" w:themeColor="text1"/>
          <w14:textFill>
            <w14:solidFill>
              <w14:schemeClr w14:val="tx1"/>
            </w14:solidFill>
          </w14:textFill>
        </w:rPr>
        <w:t>2024年8月31日（港庆（监）字【2024】第07003-1-HP号）</w:t>
      </w:r>
      <w:r>
        <w:rPr>
          <w:color w:val="000000" w:themeColor="text1"/>
          <w14:textFill>
            <w14:solidFill>
              <w14:schemeClr w14:val="tx1"/>
            </w14:solidFill>
          </w14:textFill>
        </w:rPr>
        <w:t>中</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个地下水水质现状监测点数据（S1-S</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0AC6D03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监测至今区域污染源未发生较大变化，且与项目处于同一水文地质单元，监测时间2024年8月20日~21日，在有限期内，因此引用监测数据有效。</w:t>
      </w:r>
    </w:p>
    <w:p w14:paraId="082FABD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（1）监测项目</w:t>
      </w:r>
    </w:p>
    <w:p w14:paraId="27DF743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pH、K</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、Na</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、Ca</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、Mg</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3</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、HCO</w:t>
      </w:r>
      <w:r>
        <w:rPr>
          <w:rFonts w:hint="eastAsia"/>
          <w:color w:val="000000" w:themeColor="text1"/>
          <w:vertAlign w:val="subscript"/>
          <w14:textFill>
            <w14:solidFill>
              <w14:schemeClr w14:val="tx1"/>
            </w14:solidFill>
          </w14:textFill>
        </w:rPr>
        <w:t>3</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、氨氮、硝酸盐氮、亚硝酸盐氮、挥发酚、砷、汞、六价铬、总硬度、氟化物、铁、锰、溶解性总固体、耗氧量、硫酸盐、总大肠菌群、细菌总数、铝。</w:t>
      </w:r>
    </w:p>
    <w:p w14:paraId="4279AB5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（2）评价方法</w:t>
      </w:r>
    </w:p>
    <w:p w14:paraId="50AFB24D">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地下水环境》（HJ610-2016），采用标准指数法进行评价。标准指数＞1，表明该水质因子已超标，标准指数越大，超标越严重。</w:t>
      </w:r>
    </w:p>
    <w:p w14:paraId="7F58118E">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（3）监测与评价结果</w:t>
      </w:r>
    </w:p>
    <w:p w14:paraId="70A66FC4">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地下水水位情况详见</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w:instrText>
      </w:r>
      <w:r>
        <w:rPr>
          <w:rFonts w:hint="eastAsia"/>
          <w:color w:val="000000" w:themeColor="text1"/>
          <w:szCs w:val="26"/>
          <w14:textFill>
            <w14:solidFill>
              <w14:schemeClr w14:val="tx1"/>
            </w14:solidFill>
          </w14:textFill>
        </w:rPr>
        <w:instrText xml:space="preserve">REF _Ref162514703 \h</w:instrText>
      </w:r>
      <w:r>
        <w:rPr>
          <w:color w:val="000000" w:themeColor="text1"/>
          <w:szCs w:val="26"/>
          <w14:textFill>
            <w14:solidFill>
              <w14:schemeClr w14:val="tx1"/>
            </w14:solidFill>
          </w14:textFill>
        </w:rPr>
        <w:instrText xml:space="preserve"> </w:instrText>
      </w:r>
      <w:r>
        <w:rPr>
          <w:color w:val="000000" w:themeColor="text1"/>
          <w:szCs w:val="26"/>
          <w14:textFill>
            <w14:solidFill>
              <w14:schemeClr w14:val="tx1"/>
            </w14:solidFill>
          </w14:textFill>
        </w:rPr>
        <w:fldChar w:fldCharType="separate"/>
      </w:r>
      <w:r>
        <w:rPr>
          <w:color w:val="000000" w:themeColor="text1"/>
          <w:sz w:val="24"/>
          <w14:textFill>
            <w14:solidFill>
              <w14:schemeClr w14:val="tx1"/>
            </w14:solidFill>
          </w14:textFill>
        </w:rPr>
        <w:t>表5.2</w:t>
      </w:r>
      <w:r>
        <w:rPr>
          <w:color w:val="000000" w:themeColor="text1"/>
          <w:sz w:val="24"/>
          <w14:textFill>
            <w14:solidFill>
              <w14:schemeClr w14:val="tx1"/>
            </w14:solidFill>
          </w14:textFill>
        </w:rPr>
        <w:noBreakHyphen/>
      </w:r>
      <w:r>
        <w:rPr>
          <w:color w:val="000000" w:themeColor="text1"/>
          <w:sz w:val="24"/>
          <w14:textFill>
            <w14:solidFill>
              <w14:schemeClr w14:val="tx1"/>
            </w14:solidFill>
          </w14:textFill>
        </w:rPr>
        <w:t>9</w:t>
      </w:r>
      <w:r>
        <w:rPr>
          <w:color w:val="000000" w:themeColor="text1"/>
          <w:szCs w:val="26"/>
          <w14:textFill>
            <w14:solidFill>
              <w14:schemeClr w14:val="tx1"/>
            </w14:solidFill>
          </w14:textFill>
        </w:rPr>
        <w:fldChar w:fldCharType="end"/>
      </w:r>
      <w:r>
        <w:rPr>
          <w:rFonts w:hint="eastAsia"/>
          <w:color w:val="000000" w:themeColor="text1"/>
          <w:szCs w:val="26"/>
          <w14:textFill>
            <w14:solidFill>
              <w14:schemeClr w14:val="tx1"/>
            </w14:solidFill>
          </w14:textFill>
        </w:rPr>
        <w:t>。</w:t>
      </w:r>
    </w:p>
    <w:p w14:paraId="3C1AA3B8">
      <w:pPr>
        <w:ind w:firstLine="480"/>
        <w:jc w:val="center"/>
        <w:rPr>
          <w:bCs/>
          <w:color w:val="000000" w:themeColor="text1"/>
          <w:szCs w:val="26"/>
          <w14:textFill>
            <w14:solidFill>
              <w14:schemeClr w14:val="tx1"/>
            </w14:solidFill>
          </w14:textFill>
        </w:rPr>
      </w:pPr>
      <w:bookmarkStart w:id="237" w:name="_Ref162514703"/>
      <w:r>
        <w:rPr>
          <w:color w:val="000000" w:themeColor="text1"/>
          <w:sz w:val="24"/>
          <w14:textFill>
            <w14:solidFill>
              <w14:schemeClr w14:val="tx1"/>
            </w14:solidFill>
          </w14:textFill>
        </w:rPr>
        <w:t>表</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STYLEREF 2 \s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5.2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noBreakHyphen/>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SEQ 表格 \* ARABIC \s 2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9</w:t>
      </w:r>
      <w:r>
        <w:rPr>
          <w:color w:val="000000" w:themeColor="text1"/>
          <w:sz w:val="24"/>
          <w14:textFill>
            <w14:solidFill>
              <w14:schemeClr w14:val="tx1"/>
            </w14:solidFill>
          </w14:textFill>
        </w:rPr>
        <w:fldChar w:fldCharType="end"/>
      </w:r>
      <w:bookmarkEnd w:id="237"/>
      <w:r>
        <w:rPr>
          <w:bCs/>
          <w:color w:val="000000" w:themeColor="text1"/>
          <w:szCs w:val="26"/>
          <w14:textFill>
            <w14:solidFill>
              <w14:schemeClr w14:val="tx1"/>
            </w14:solidFill>
          </w14:textFill>
        </w:rPr>
        <w:t xml:space="preserve">  </w:t>
      </w:r>
      <w:r>
        <w:rPr>
          <w:rFonts w:hint="eastAsia"/>
          <w:bCs/>
          <w:color w:val="000000" w:themeColor="text1"/>
          <w:szCs w:val="26"/>
          <w14:textFill>
            <w14:solidFill>
              <w14:schemeClr w14:val="tx1"/>
            </w14:solidFill>
          </w14:textFill>
        </w:rPr>
        <w:t>项目所在水文地质单元地下水水位情况</w:t>
      </w:r>
    </w:p>
    <w:tbl>
      <w:tblPr>
        <w:tblStyle w:val="8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727"/>
        <w:gridCol w:w="2335"/>
        <w:gridCol w:w="1397"/>
        <w:gridCol w:w="1178"/>
        <w:gridCol w:w="3206"/>
      </w:tblGrid>
      <w:tr w14:paraId="0A154B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1" w:type="pct"/>
            <w:vAlign w:val="center"/>
          </w:tcPr>
          <w:p w14:paraId="6507AAE0">
            <w:pPr>
              <w:pStyle w:val="1535"/>
            </w:pPr>
            <w:r>
              <w:rPr>
                <w:rFonts w:hint="eastAsia"/>
              </w:rPr>
              <w:t>编号</w:t>
            </w:r>
          </w:p>
        </w:tc>
        <w:tc>
          <w:tcPr>
            <w:tcW w:w="1320" w:type="pct"/>
            <w:vAlign w:val="center"/>
          </w:tcPr>
          <w:p w14:paraId="723335D4">
            <w:pPr>
              <w:pStyle w:val="1535"/>
            </w:pPr>
            <w:r>
              <w:rPr>
                <w:rFonts w:hint="eastAsia"/>
              </w:rPr>
              <w:t>监测位置</w:t>
            </w:r>
          </w:p>
        </w:tc>
        <w:tc>
          <w:tcPr>
            <w:tcW w:w="790" w:type="pct"/>
            <w:vAlign w:val="center"/>
          </w:tcPr>
          <w:p w14:paraId="31A4F9C8">
            <w:pPr>
              <w:pStyle w:val="1535"/>
            </w:pPr>
            <w:r>
              <w:rPr>
                <w:rFonts w:hint="eastAsia"/>
              </w:rPr>
              <w:t>水位标高</w:t>
            </w:r>
          </w:p>
          <w:p w14:paraId="210F3990">
            <w:pPr>
              <w:pStyle w:val="1535"/>
            </w:pPr>
            <w:r>
              <w:rPr>
                <w:rFonts w:hint="eastAsia"/>
              </w:rPr>
              <w:t>（</w:t>
            </w:r>
            <w:r>
              <w:t>m</w:t>
            </w:r>
            <w:r>
              <w:rPr>
                <w:rFonts w:hint="eastAsia"/>
              </w:rPr>
              <w:t>）</w:t>
            </w:r>
          </w:p>
        </w:tc>
        <w:tc>
          <w:tcPr>
            <w:tcW w:w="666" w:type="pct"/>
            <w:vAlign w:val="center"/>
          </w:tcPr>
          <w:p w14:paraId="601FFCDD">
            <w:pPr>
              <w:pStyle w:val="1535"/>
            </w:pPr>
            <w:r>
              <w:rPr>
                <w:rFonts w:hint="eastAsia"/>
              </w:rPr>
              <w:t>水位埋深</w:t>
            </w:r>
          </w:p>
          <w:p w14:paraId="463482ED">
            <w:pPr>
              <w:pStyle w:val="1535"/>
            </w:pPr>
            <w:r>
              <w:rPr>
                <w:rFonts w:hint="eastAsia"/>
              </w:rPr>
              <w:t>（</w:t>
            </w:r>
            <w:r>
              <w:t>m</w:t>
            </w:r>
            <w:r>
              <w:rPr>
                <w:rFonts w:hint="eastAsia"/>
              </w:rPr>
              <w:t>）</w:t>
            </w:r>
          </w:p>
        </w:tc>
        <w:tc>
          <w:tcPr>
            <w:tcW w:w="1813" w:type="pct"/>
            <w:vAlign w:val="center"/>
          </w:tcPr>
          <w:p w14:paraId="678F935D">
            <w:pPr>
              <w:pStyle w:val="1535"/>
            </w:pPr>
            <w:r>
              <w:rPr>
                <w:rFonts w:hint="eastAsia"/>
              </w:rPr>
              <w:t>含水层类型</w:t>
            </w:r>
          </w:p>
        </w:tc>
      </w:tr>
      <w:tr w14:paraId="312ACF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1" w:type="pct"/>
            <w:vAlign w:val="center"/>
          </w:tcPr>
          <w:p w14:paraId="6E07CCFA">
            <w:pPr>
              <w:pStyle w:val="1535"/>
            </w:pPr>
            <w:r>
              <w:t>S1</w:t>
            </w:r>
          </w:p>
        </w:tc>
        <w:tc>
          <w:tcPr>
            <w:tcW w:w="1320" w:type="pct"/>
            <w:vAlign w:val="center"/>
          </w:tcPr>
          <w:p w14:paraId="3C4F96EB">
            <w:pPr>
              <w:pStyle w:val="1535"/>
            </w:pPr>
            <w:r>
              <w:t>大元路居民现有水</w:t>
            </w:r>
          </w:p>
        </w:tc>
        <w:tc>
          <w:tcPr>
            <w:tcW w:w="790" w:type="pct"/>
            <w:vAlign w:val="center"/>
          </w:tcPr>
          <w:p w14:paraId="545D9833">
            <w:pPr>
              <w:pStyle w:val="1535"/>
            </w:pPr>
            <w:r>
              <w:t xml:space="preserve">309.16 </w:t>
            </w:r>
          </w:p>
        </w:tc>
        <w:tc>
          <w:tcPr>
            <w:tcW w:w="666" w:type="pct"/>
            <w:vAlign w:val="center"/>
          </w:tcPr>
          <w:p w14:paraId="25A4CCC6">
            <w:pPr>
              <w:pStyle w:val="1535"/>
            </w:pPr>
            <w:r>
              <w:t>45</w:t>
            </w:r>
          </w:p>
        </w:tc>
        <w:tc>
          <w:tcPr>
            <w:tcW w:w="1813" w:type="pct"/>
            <w:vAlign w:val="center"/>
          </w:tcPr>
          <w:p w14:paraId="3E507F27">
            <w:pPr>
              <w:pStyle w:val="1535"/>
            </w:pPr>
            <w:r>
              <w:t>红层砂泥岩风化孔隙裂隙水</w:t>
            </w:r>
          </w:p>
        </w:tc>
      </w:tr>
      <w:tr w14:paraId="51AF2B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1" w:type="pct"/>
            <w:vAlign w:val="center"/>
          </w:tcPr>
          <w:p w14:paraId="5279E810">
            <w:pPr>
              <w:pStyle w:val="1535"/>
            </w:pPr>
            <w:r>
              <w:t>S2</w:t>
            </w:r>
          </w:p>
        </w:tc>
        <w:tc>
          <w:tcPr>
            <w:tcW w:w="1320" w:type="pct"/>
            <w:vAlign w:val="center"/>
          </w:tcPr>
          <w:p w14:paraId="29C88EC5">
            <w:pPr>
              <w:pStyle w:val="1535"/>
            </w:pPr>
            <w:r>
              <w:t>东林村居民现有水井</w:t>
            </w:r>
          </w:p>
        </w:tc>
        <w:tc>
          <w:tcPr>
            <w:tcW w:w="790" w:type="pct"/>
            <w:vAlign w:val="center"/>
          </w:tcPr>
          <w:p w14:paraId="0E19F70F">
            <w:pPr>
              <w:pStyle w:val="1535"/>
            </w:pPr>
            <w:r>
              <w:t xml:space="preserve">291.37 </w:t>
            </w:r>
          </w:p>
        </w:tc>
        <w:tc>
          <w:tcPr>
            <w:tcW w:w="666" w:type="pct"/>
            <w:vAlign w:val="center"/>
          </w:tcPr>
          <w:p w14:paraId="1527A59C">
            <w:pPr>
              <w:pStyle w:val="1535"/>
            </w:pPr>
            <w:r>
              <w:t>40</w:t>
            </w:r>
          </w:p>
        </w:tc>
        <w:tc>
          <w:tcPr>
            <w:tcW w:w="1813" w:type="pct"/>
            <w:vAlign w:val="center"/>
          </w:tcPr>
          <w:p w14:paraId="2D091D20">
            <w:pPr>
              <w:pStyle w:val="1535"/>
            </w:pPr>
            <w:r>
              <w:t>红层砂泥岩风化孔隙裂隙水</w:t>
            </w:r>
          </w:p>
        </w:tc>
      </w:tr>
      <w:tr w14:paraId="50DC7A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1" w:type="pct"/>
            <w:vAlign w:val="center"/>
          </w:tcPr>
          <w:p w14:paraId="481502B9">
            <w:pPr>
              <w:pStyle w:val="1535"/>
            </w:pPr>
            <w:r>
              <w:t>S3</w:t>
            </w:r>
          </w:p>
        </w:tc>
        <w:tc>
          <w:tcPr>
            <w:tcW w:w="1320" w:type="pct"/>
            <w:vAlign w:val="center"/>
          </w:tcPr>
          <w:p w14:paraId="6916463A">
            <w:pPr>
              <w:pStyle w:val="1535"/>
            </w:pPr>
            <w:r>
              <w:t>元明村现有水井</w:t>
            </w:r>
          </w:p>
        </w:tc>
        <w:tc>
          <w:tcPr>
            <w:tcW w:w="790" w:type="pct"/>
            <w:vAlign w:val="center"/>
          </w:tcPr>
          <w:p w14:paraId="169102CD">
            <w:pPr>
              <w:pStyle w:val="1535"/>
            </w:pPr>
            <w:r>
              <w:t xml:space="preserve">251.61 </w:t>
            </w:r>
          </w:p>
        </w:tc>
        <w:tc>
          <w:tcPr>
            <w:tcW w:w="666" w:type="pct"/>
            <w:vAlign w:val="center"/>
          </w:tcPr>
          <w:p w14:paraId="5425433F">
            <w:pPr>
              <w:pStyle w:val="1535"/>
            </w:pPr>
            <w:r>
              <w:t>45</w:t>
            </w:r>
          </w:p>
        </w:tc>
        <w:tc>
          <w:tcPr>
            <w:tcW w:w="1813" w:type="pct"/>
            <w:vAlign w:val="center"/>
          </w:tcPr>
          <w:p w14:paraId="34919A62">
            <w:pPr>
              <w:pStyle w:val="1535"/>
            </w:pPr>
            <w:r>
              <w:t>红层砂泥岩风化孔隙裂隙水</w:t>
            </w:r>
          </w:p>
        </w:tc>
      </w:tr>
      <w:tr w14:paraId="05CAA5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1" w:type="pct"/>
            <w:vAlign w:val="center"/>
          </w:tcPr>
          <w:p w14:paraId="356450A1">
            <w:pPr>
              <w:pStyle w:val="1535"/>
            </w:pPr>
            <w:r>
              <w:t>S4</w:t>
            </w:r>
          </w:p>
        </w:tc>
        <w:tc>
          <w:tcPr>
            <w:tcW w:w="1320" w:type="pct"/>
            <w:vAlign w:val="center"/>
          </w:tcPr>
          <w:p w14:paraId="6476005C">
            <w:pPr>
              <w:pStyle w:val="1535"/>
            </w:pPr>
            <w:r>
              <w:t>长石村现有水井</w:t>
            </w:r>
          </w:p>
        </w:tc>
        <w:tc>
          <w:tcPr>
            <w:tcW w:w="790" w:type="pct"/>
            <w:vAlign w:val="center"/>
          </w:tcPr>
          <w:p w14:paraId="1DF8BB64">
            <w:pPr>
              <w:pStyle w:val="1535"/>
            </w:pPr>
            <w:r>
              <w:t xml:space="preserve">240.92 </w:t>
            </w:r>
          </w:p>
        </w:tc>
        <w:tc>
          <w:tcPr>
            <w:tcW w:w="666" w:type="pct"/>
            <w:vAlign w:val="center"/>
          </w:tcPr>
          <w:p w14:paraId="6A39A95E">
            <w:pPr>
              <w:pStyle w:val="1535"/>
            </w:pPr>
            <w:r>
              <w:t>55</w:t>
            </w:r>
          </w:p>
        </w:tc>
        <w:tc>
          <w:tcPr>
            <w:tcW w:w="1813" w:type="pct"/>
            <w:vAlign w:val="center"/>
          </w:tcPr>
          <w:p w14:paraId="41236446">
            <w:pPr>
              <w:pStyle w:val="1535"/>
            </w:pPr>
            <w:r>
              <w:t>红层砂泥岩风化孔隙裂隙水</w:t>
            </w:r>
          </w:p>
        </w:tc>
      </w:tr>
      <w:tr w14:paraId="6D0E05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1" w:type="pct"/>
            <w:vAlign w:val="center"/>
          </w:tcPr>
          <w:p w14:paraId="4A307237">
            <w:pPr>
              <w:pStyle w:val="1535"/>
            </w:pPr>
            <w:r>
              <w:t>S5</w:t>
            </w:r>
          </w:p>
        </w:tc>
        <w:tc>
          <w:tcPr>
            <w:tcW w:w="1320" w:type="pct"/>
            <w:vAlign w:val="center"/>
          </w:tcPr>
          <w:p w14:paraId="3F9A75E8">
            <w:pPr>
              <w:pStyle w:val="1535"/>
            </w:pPr>
            <w:r>
              <w:t>孟家花园现有水井</w:t>
            </w:r>
          </w:p>
        </w:tc>
        <w:tc>
          <w:tcPr>
            <w:tcW w:w="790" w:type="pct"/>
            <w:vAlign w:val="center"/>
          </w:tcPr>
          <w:p w14:paraId="23AA1B87">
            <w:pPr>
              <w:pStyle w:val="1535"/>
            </w:pPr>
            <w:r>
              <w:t xml:space="preserve">264.29 </w:t>
            </w:r>
          </w:p>
        </w:tc>
        <w:tc>
          <w:tcPr>
            <w:tcW w:w="666" w:type="pct"/>
            <w:vAlign w:val="center"/>
          </w:tcPr>
          <w:p w14:paraId="4FEEC024">
            <w:pPr>
              <w:pStyle w:val="1535"/>
            </w:pPr>
            <w:r>
              <w:t>40</w:t>
            </w:r>
          </w:p>
        </w:tc>
        <w:tc>
          <w:tcPr>
            <w:tcW w:w="1813" w:type="pct"/>
            <w:vAlign w:val="center"/>
          </w:tcPr>
          <w:p w14:paraId="154E0477">
            <w:pPr>
              <w:pStyle w:val="1535"/>
            </w:pPr>
            <w:r>
              <w:t>红层砂泥岩风化孔隙裂隙水</w:t>
            </w:r>
          </w:p>
        </w:tc>
      </w:tr>
      <w:tr w14:paraId="7CA96F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1" w:type="pct"/>
            <w:vAlign w:val="center"/>
          </w:tcPr>
          <w:p w14:paraId="4DF4CE4B">
            <w:pPr>
              <w:pStyle w:val="1535"/>
            </w:pPr>
            <w:r>
              <w:t>S6</w:t>
            </w:r>
          </w:p>
        </w:tc>
        <w:tc>
          <w:tcPr>
            <w:tcW w:w="1320" w:type="pct"/>
            <w:vAlign w:val="center"/>
          </w:tcPr>
          <w:p w14:paraId="439AFD45">
            <w:pPr>
              <w:pStyle w:val="1535"/>
            </w:pPr>
            <w:r>
              <w:t>金宇轮胎现有水井</w:t>
            </w:r>
          </w:p>
        </w:tc>
        <w:tc>
          <w:tcPr>
            <w:tcW w:w="790" w:type="pct"/>
            <w:vAlign w:val="center"/>
          </w:tcPr>
          <w:p w14:paraId="2BF31ABB">
            <w:pPr>
              <w:pStyle w:val="1535"/>
            </w:pPr>
            <w:r>
              <w:t xml:space="preserve">267.06 </w:t>
            </w:r>
          </w:p>
        </w:tc>
        <w:tc>
          <w:tcPr>
            <w:tcW w:w="666" w:type="pct"/>
            <w:vAlign w:val="center"/>
          </w:tcPr>
          <w:p w14:paraId="28554988">
            <w:pPr>
              <w:pStyle w:val="1535"/>
            </w:pPr>
            <w:r>
              <w:t>35</w:t>
            </w:r>
          </w:p>
        </w:tc>
        <w:tc>
          <w:tcPr>
            <w:tcW w:w="1813" w:type="pct"/>
            <w:vAlign w:val="center"/>
          </w:tcPr>
          <w:p w14:paraId="6AF2B8D3">
            <w:pPr>
              <w:pStyle w:val="1535"/>
            </w:pPr>
            <w:r>
              <w:t>红层砂泥岩风化孔隙裂隙水</w:t>
            </w:r>
          </w:p>
        </w:tc>
      </w:tr>
    </w:tbl>
    <w:p w14:paraId="0B220E3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地下水水质监测情况详见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_Ref162515105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表5.2</w:t>
      </w:r>
      <w:r>
        <w:rPr>
          <w:color w:val="000000" w:themeColor="text1"/>
          <w:sz w:val="24"/>
          <w14:textFill>
            <w14:solidFill>
              <w14:schemeClr w14:val="tx1"/>
            </w14:solidFill>
          </w14:textFill>
        </w:rPr>
        <w:noBreakHyphen/>
      </w:r>
      <w:r>
        <w:rPr>
          <w:color w:val="000000" w:themeColor="text1"/>
          <w:sz w:val="24"/>
          <w14:textFill>
            <w14:solidFill>
              <w14:schemeClr w14:val="tx1"/>
            </w14:solidFill>
          </w14:textFill>
        </w:rPr>
        <w:t>10</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_Ref162515121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表5.2</w:t>
      </w:r>
      <w:r>
        <w:rPr>
          <w:color w:val="000000" w:themeColor="text1"/>
          <w:sz w:val="24"/>
          <w14:textFill>
            <w14:solidFill>
              <w14:schemeClr w14:val="tx1"/>
            </w14:solidFill>
          </w14:textFill>
        </w:rPr>
        <w:noBreakHyphen/>
      </w:r>
      <w:r>
        <w:rPr>
          <w:color w:val="000000" w:themeColor="text1"/>
          <w:sz w:val="24"/>
          <w14:textFill>
            <w14:solidFill>
              <w14:schemeClr w14:val="tx1"/>
            </w14:solidFill>
          </w14:textFill>
        </w:rPr>
        <w:t>11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14:paraId="348910B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由地下水环境现状监测结果可知，区域地下水环境现状较好，满足《地下水质量标准》（GB/T14848-2017）Ⅲ类水标准。</w:t>
      </w:r>
    </w:p>
    <w:p w14:paraId="09529B5E">
      <w:pPr>
        <w:ind w:firstLine="520"/>
        <w:rPr>
          <w:color w:val="000000" w:themeColor="text1"/>
          <w14:textFill>
            <w14:solidFill>
              <w14:schemeClr w14:val="tx1"/>
            </w14:solidFill>
          </w14:textFill>
        </w:rPr>
        <w:sectPr>
          <w:headerReference r:id="rId12" w:type="first"/>
          <w:footerReference r:id="rId14" w:type="first"/>
          <w:headerReference r:id="rId11" w:type="even"/>
          <w:footerReference r:id="rId13" w:type="even"/>
          <w:pgSz w:w="11906" w:h="16838"/>
          <w:pgMar w:top="1418" w:right="1418" w:bottom="1418" w:left="1701" w:header="964" w:footer="964" w:gutter="0"/>
          <w:cols w:space="720" w:num="1"/>
          <w:docGrid w:type="lines" w:linePitch="312" w:charSpace="0"/>
        </w:sectPr>
      </w:pPr>
    </w:p>
    <w:p w14:paraId="411F0DAF">
      <w:pPr>
        <w:pStyle w:val="35"/>
        <w:spacing w:before="120" w:beforeLines="50"/>
        <w:ind w:firstLine="480"/>
        <w:jc w:val="center"/>
        <w:rPr>
          <w:bCs/>
          <w:color w:val="000000" w:themeColor="text1"/>
          <w14:textFill>
            <w14:solidFill>
              <w14:schemeClr w14:val="tx1"/>
            </w14:solidFill>
          </w14:textFill>
        </w:rPr>
      </w:pPr>
      <w:bookmarkStart w:id="238" w:name="_Ref162515105"/>
      <w:r>
        <w:rPr>
          <w:color w:val="000000" w:themeColor="text1"/>
          <w:sz w:val="24"/>
          <w14:textFill>
            <w14:solidFill>
              <w14:schemeClr w14:val="tx1"/>
            </w14:solidFill>
          </w14:textFill>
        </w:rPr>
        <w:t>表</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STYLEREF 2 \s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5.2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noBreakHyphen/>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SEQ 表格 \* ARABIC \s 2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10</w:t>
      </w:r>
      <w:r>
        <w:rPr>
          <w:color w:val="000000" w:themeColor="text1"/>
          <w:sz w:val="24"/>
          <w14:textFill>
            <w14:solidFill>
              <w14:schemeClr w14:val="tx1"/>
            </w14:solidFill>
          </w14:textFill>
        </w:rPr>
        <w:fldChar w:fldCharType="end"/>
      </w:r>
      <w:bookmarkEnd w:id="238"/>
      <w:r>
        <w:rPr>
          <w:bCs/>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八大离子现状监测结果一览表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241"/>
        <w:gridCol w:w="1256"/>
        <w:gridCol w:w="1520"/>
        <w:gridCol w:w="1248"/>
        <w:gridCol w:w="1182"/>
        <w:gridCol w:w="1245"/>
        <w:gridCol w:w="1151"/>
        <w:gridCol w:w="1188"/>
        <w:gridCol w:w="2948"/>
      </w:tblGrid>
      <w:tr w14:paraId="69E4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3" w:type="dxa"/>
            <w:vMerge w:val="restart"/>
            <w:tcBorders>
              <w:top w:val="single" w:color="auto" w:sz="4" w:space="0"/>
              <w:left w:val="single" w:color="auto" w:sz="4" w:space="0"/>
              <w:bottom w:val="single" w:color="auto" w:sz="4" w:space="0"/>
              <w:right w:val="single" w:color="auto" w:sz="4" w:space="0"/>
            </w:tcBorders>
            <w:vAlign w:val="center"/>
          </w:tcPr>
          <w:p w14:paraId="5F5CD6AD">
            <w:pPr>
              <w:pStyle w:val="1535"/>
            </w:pPr>
            <w:r>
              <w:rPr>
                <w:rFonts w:hint="eastAsia"/>
              </w:rPr>
              <w:t>监测点位</w:t>
            </w:r>
          </w:p>
        </w:tc>
        <w:tc>
          <w:tcPr>
            <w:tcW w:w="9572" w:type="dxa"/>
            <w:gridSpan w:val="8"/>
            <w:tcBorders>
              <w:top w:val="single" w:color="auto" w:sz="4" w:space="0"/>
              <w:left w:val="single" w:color="auto" w:sz="4" w:space="0"/>
              <w:bottom w:val="single" w:color="auto" w:sz="4" w:space="0"/>
              <w:right w:val="single" w:color="auto" w:sz="4" w:space="0"/>
            </w:tcBorders>
            <w:vAlign w:val="center"/>
          </w:tcPr>
          <w:p w14:paraId="07A49E77">
            <w:pPr>
              <w:pStyle w:val="1535"/>
              <w:rPr>
                <w:spacing w:val="-2"/>
              </w:rPr>
            </w:pPr>
            <w:r>
              <w:rPr>
                <w:rFonts w:hint="eastAsia"/>
              </w:rPr>
              <w:t>监测因子</w:t>
            </w:r>
          </w:p>
        </w:tc>
        <w:tc>
          <w:tcPr>
            <w:tcW w:w="2813" w:type="dxa"/>
            <w:vMerge w:val="restart"/>
            <w:tcBorders>
              <w:top w:val="single" w:color="auto" w:sz="4" w:space="0"/>
              <w:left w:val="single" w:color="auto" w:sz="4" w:space="0"/>
              <w:bottom w:val="single" w:color="auto" w:sz="4" w:space="0"/>
              <w:right w:val="single" w:color="auto" w:sz="4" w:space="0"/>
            </w:tcBorders>
            <w:vAlign w:val="center"/>
          </w:tcPr>
          <w:p w14:paraId="515FF91F">
            <w:pPr>
              <w:pStyle w:val="1535"/>
            </w:pPr>
            <w:r>
              <w:rPr>
                <w:rFonts w:hint="eastAsia"/>
              </w:rPr>
              <w:t>水化学类型判定</w:t>
            </w:r>
          </w:p>
        </w:tc>
      </w:tr>
      <w:tr w14:paraId="152E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3" w:type="dxa"/>
            <w:vMerge w:val="continue"/>
            <w:tcBorders>
              <w:top w:val="single" w:color="auto" w:sz="4" w:space="0"/>
              <w:left w:val="single" w:color="auto" w:sz="4" w:space="0"/>
              <w:bottom w:val="single" w:color="auto" w:sz="4" w:space="0"/>
              <w:right w:val="single" w:color="auto" w:sz="4" w:space="0"/>
            </w:tcBorders>
            <w:vAlign w:val="center"/>
          </w:tcPr>
          <w:p w14:paraId="0FA918CB">
            <w:pPr>
              <w:pStyle w:val="1535"/>
            </w:pPr>
          </w:p>
        </w:tc>
        <w:tc>
          <w:tcPr>
            <w:tcW w:w="1184" w:type="dxa"/>
            <w:tcBorders>
              <w:top w:val="single" w:color="auto" w:sz="4" w:space="0"/>
              <w:left w:val="single" w:color="auto" w:sz="4" w:space="0"/>
              <w:bottom w:val="single" w:color="auto" w:sz="4" w:space="0"/>
              <w:right w:val="single" w:color="auto" w:sz="4" w:space="0"/>
            </w:tcBorders>
            <w:vAlign w:val="center"/>
          </w:tcPr>
          <w:p w14:paraId="6528D951">
            <w:pPr>
              <w:pStyle w:val="1535"/>
            </w:pPr>
            <w:r>
              <w:t>K</w:t>
            </w:r>
            <w:r>
              <w:rPr>
                <w:vertAlign w:val="superscript"/>
              </w:rPr>
              <w:t>+</w:t>
            </w:r>
          </w:p>
        </w:tc>
        <w:tc>
          <w:tcPr>
            <w:tcW w:w="1199" w:type="dxa"/>
            <w:tcBorders>
              <w:top w:val="single" w:color="auto" w:sz="4" w:space="0"/>
              <w:left w:val="single" w:color="auto" w:sz="4" w:space="0"/>
              <w:bottom w:val="single" w:color="auto" w:sz="4" w:space="0"/>
              <w:right w:val="single" w:color="auto" w:sz="4" w:space="0"/>
            </w:tcBorders>
            <w:vAlign w:val="center"/>
          </w:tcPr>
          <w:p w14:paraId="6B25F3C1">
            <w:pPr>
              <w:pStyle w:val="1535"/>
            </w:pPr>
            <w:r>
              <w:t>Na</w:t>
            </w:r>
            <w:r>
              <w:rPr>
                <w:vertAlign w:val="superscript"/>
              </w:rPr>
              <w:t>+</w:t>
            </w:r>
          </w:p>
        </w:tc>
        <w:tc>
          <w:tcPr>
            <w:tcW w:w="1450" w:type="dxa"/>
            <w:tcBorders>
              <w:top w:val="single" w:color="auto" w:sz="4" w:space="0"/>
              <w:left w:val="single" w:color="auto" w:sz="4" w:space="0"/>
              <w:bottom w:val="single" w:color="auto" w:sz="4" w:space="0"/>
              <w:right w:val="single" w:color="auto" w:sz="4" w:space="0"/>
            </w:tcBorders>
            <w:vAlign w:val="center"/>
          </w:tcPr>
          <w:p w14:paraId="2A053291">
            <w:pPr>
              <w:pStyle w:val="1535"/>
            </w:pPr>
            <w:r>
              <w:t>Ca</w:t>
            </w:r>
            <w:r>
              <w:rPr>
                <w:vertAlign w:val="superscript"/>
              </w:rPr>
              <w:t>2+</w:t>
            </w:r>
          </w:p>
        </w:tc>
        <w:tc>
          <w:tcPr>
            <w:tcW w:w="1191" w:type="dxa"/>
            <w:tcBorders>
              <w:top w:val="single" w:color="auto" w:sz="4" w:space="0"/>
              <w:left w:val="single" w:color="auto" w:sz="4" w:space="0"/>
              <w:bottom w:val="single" w:color="auto" w:sz="4" w:space="0"/>
              <w:right w:val="single" w:color="auto" w:sz="4" w:space="0"/>
            </w:tcBorders>
            <w:vAlign w:val="center"/>
          </w:tcPr>
          <w:p w14:paraId="2471BD78">
            <w:pPr>
              <w:pStyle w:val="1535"/>
            </w:pPr>
            <w:r>
              <w:t>Mg</w:t>
            </w:r>
            <w:r>
              <w:rPr>
                <w:vertAlign w:val="superscript"/>
              </w:rPr>
              <w:t>2+</w:t>
            </w:r>
          </w:p>
        </w:tc>
        <w:tc>
          <w:tcPr>
            <w:tcW w:w="1128" w:type="dxa"/>
            <w:tcBorders>
              <w:top w:val="single" w:color="auto" w:sz="4" w:space="0"/>
              <w:left w:val="single" w:color="auto" w:sz="4" w:space="0"/>
              <w:bottom w:val="single" w:color="auto" w:sz="4" w:space="0"/>
              <w:right w:val="single" w:color="auto" w:sz="4" w:space="0"/>
            </w:tcBorders>
            <w:vAlign w:val="center"/>
          </w:tcPr>
          <w:p w14:paraId="3A7E6170">
            <w:pPr>
              <w:pStyle w:val="1535"/>
            </w:pPr>
            <w:r>
              <w:t>CO</w:t>
            </w:r>
            <w:r>
              <w:rPr>
                <w:vertAlign w:val="subscript"/>
              </w:rPr>
              <w:t>3</w:t>
            </w:r>
            <w:r>
              <w:rPr>
                <w:vertAlign w:val="superscript"/>
              </w:rPr>
              <w:t>2-</w:t>
            </w:r>
          </w:p>
        </w:tc>
        <w:tc>
          <w:tcPr>
            <w:tcW w:w="1188" w:type="dxa"/>
            <w:tcBorders>
              <w:top w:val="single" w:color="auto" w:sz="4" w:space="0"/>
              <w:left w:val="single" w:color="auto" w:sz="4" w:space="0"/>
              <w:bottom w:val="single" w:color="auto" w:sz="4" w:space="0"/>
              <w:right w:val="single" w:color="auto" w:sz="4" w:space="0"/>
            </w:tcBorders>
            <w:vAlign w:val="center"/>
          </w:tcPr>
          <w:p w14:paraId="1D6CCC0C">
            <w:pPr>
              <w:pStyle w:val="1535"/>
            </w:pPr>
            <w:r>
              <w:t>HCO</w:t>
            </w:r>
            <w:r>
              <w:rPr>
                <w:vertAlign w:val="subscript"/>
              </w:rPr>
              <w:t>3</w:t>
            </w:r>
            <w:r>
              <w:rPr>
                <w:vertAlign w:val="superscript"/>
              </w:rPr>
              <w:t>-</w:t>
            </w:r>
          </w:p>
        </w:tc>
        <w:tc>
          <w:tcPr>
            <w:tcW w:w="1098" w:type="dxa"/>
            <w:tcBorders>
              <w:top w:val="single" w:color="auto" w:sz="4" w:space="0"/>
              <w:left w:val="single" w:color="auto" w:sz="4" w:space="0"/>
              <w:bottom w:val="single" w:color="auto" w:sz="4" w:space="0"/>
              <w:right w:val="single" w:color="auto" w:sz="4" w:space="0"/>
            </w:tcBorders>
            <w:vAlign w:val="center"/>
          </w:tcPr>
          <w:p w14:paraId="71DCB156">
            <w:pPr>
              <w:pStyle w:val="1535"/>
            </w:pPr>
            <w:r>
              <w:t>Cl</w:t>
            </w:r>
            <w:r>
              <w:rPr>
                <w:vertAlign w:val="superscript"/>
              </w:rPr>
              <w:t>-</w:t>
            </w:r>
          </w:p>
        </w:tc>
        <w:tc>
          <w:tcPr>
            <w:tcW w:w="1134" w:type="dxa"/>
            <w:tcBorders>
              <w:top w:val="single" w:color="auto" w:sz="4" w:space="0"/>
              <w:left w:val="single" w:color="auto" w:sz="4" w:space="0"/>
              <w:bottom w:val="single" w:color="auto" w:sz="4" w:space="0"/>
              <w:right w:val="single" w:color="auto" w:sz="4" w:space="0"/>
            </w:tcBorders>
            <w:vAlign w:val="center"/>
          </w:tcPr>
          <w:p w14:paraId="3A8C2D4C">
            <w:pPr>
              <w:pStyle w:val="1535"/>
            </w:pPr>
            <w:r>
              <w:t>SO</w:t>
            </w:r>
            <w:r>
              <w:rPr>
                <w:vertAlign w:val="subscript"/>
              </w:rPr>
              <w:t>4</w:t>
            </w:r>
            <w:r>
              <w:rPr>
                <w:vertAlign w:val="superscript"/>
              </w:rPr>
              <w:t>2-</w:t>
            </w:r>
          </w:p>
        </w:tc>
        <w:tc>
          <w:tcPr>
            <w:tcW w:w="2813" w:type="dxa"/>
            <w:vMerge w:val="continue"/>
            <w:tcBorders>
              <w:top w:val="single" w:color="auto" w:sz="4" w:space="0"/>
              <w:left w:val="single" w:color="auto" w:sz="4" w:space="0"/>
              <w:bottom w:val="single" w:color="auto" w:sz="4" w:space="0"/>
              <w:right w:val="single" w:color="auto" w:sz="4" w:space="0"/>
            </w:tcBorders>
            <w:vAlign w:val="center"/>
          </w:tcPr>
          <w:p w14:paraId="2EB29C98">
            <w:pPr>
              <w:pStyle w:val="1535"/>
            </w:pPr>
          </w:p>
        </w:tc>
      </w:tr>
      <w:tr w14:paraId="0AB9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2A7A7F34">
            <w:pPr>
              <w:pStyle w:val="1535"/>
            </w:pPr>
            <w:r>
              <w:rPr>
                <w:rFonts w:hint="eastAsia"/>
              </w:rPr>
              <w:t>D1</w:t>
            </w:r>
          </w:p>
        </w:tc>
        <w:tc>
          <w:tcPr>
            <w:tcW w:w="1184" w:type="dxa"/>
            <w:tcBorders>
              <w:top w:val="single" w:color="auto" w:sz="4" w:space="0"/>
              <w:left w:val="single" w:color="auto" w:sz="4" w:space="0"/>
              <w:bottom w:val="single" w:color="auto" w:sz="4" w:space="0"/>
              <w:right w:val="single" w:color="auto" w:sz="4" w:space="0"/>
            </w:tcBorders>
            <w:vAlign w:val="center"/>
          </w:tcPr>
          <w:p w14:paraId="386EB479">
            <w:pPr>
              <w:pStyle w:val="1535"/>
            </w:pPr>
            <w:r>
              <w:t>1.73</w:t>
            </w:r>
          </w:p>
        </w:tc>
        <w:tc>
          <w:tcPr>
            <w:tcW w:w="1199" w:type="dxa"/>
            <w:tcBorders>
              <w:top w:val="single" w:color="auto" w:sz="4" w:space="0"/>
              <w:left w:val="single" w:color="auto" w:sz="4" w:space="0"/>
              <w:bottom w:val="single" w:color="auto" w:sz="4" w:space="0"/>
              <w:right w:val="single" w:color="auto" w:sz="4" w:space="0"/>
            </w:tcBorders>
            <w:vAlign w:val="center"/>
          </w:tcPr>
          <w:p w14:paraId="0A0E63D9">
            <w:pPr>
              <w:pStyle w:val="1535"/>
            </w:pPr>
            <w:r>
              <w:t>22.8</w:t>
            </w:r>
          </w:p>
        </w:tc>
        <w:tc>
          <w:tcPr>
            <w:tcW w:w="1450" w:type="dxa"/>
            <w:tcBorders>
              <w:top w:val="single" w:color="auto" w:sz="4" w:space="0"/>
              <w:left w:val="single" w:color="auto" w:sz="4" w:space="0"/>
              <w:bottom w:val="single" w:color="auto" w:sz="4" w:space="0"/>
              <w:right w:val="single" w:color="auto" w:sz="4" w:space="0"/>
            </w:tcBorders>
            <w:vAlign w:val="center"/>
          </w:tcPr>
          <w:p w14:paraId="65191FCC">
            <w:pPr>
              <w:pStyle w:val="1535"/>
            </w:pPr>
            <w:r>
              <w:t>138</w:t>
            </w:r>
          </w:p>
        </w:tc>
        <w:tc>
          <w:tcPr>
            <w:tcW w:w="1191" w:type="dxa"/>
            <w:tcBorders>
              <w:top w:val="single" w:color="auto" w:sz="4" w:space="0"/>
              <w:left w:val="single" w:color="auto" w:sz="4" w:space="0"/>
              <w:bottom w:val="single" w:color="auto" w:sz="4" w:space="0"/>
              <w:right w:val="single" w:color="auto" w:sz="4" w:space="0"/>
            </w:tcBorders>
            <w:vAlign w:val="center"/>
          </w:tcPr>
          <w:p w14:paraId="0FE5B625">
            <w:pPr>
              <w:pStyle w:val="1535"/>
            </w:pPr>
            <w:r>
              <w:t>20.4</w:t>
            </w:r>
          </w:p>
        </w:tc>
        <w:tc>
          <w:tcPr>
            <w:tcW w:w="1128" w:type="dxa"/>
            <w:tcBorders>
              <w:top w:val="single" w:color="auto" w:sz="4" w:space="0"/>
              <w:left w:val="single" w:color="auto" w:sz="4" w:space="0"/>
              <w:bottom w:val="single" w:color="auto" w:sz="4" w:space="0"/>
              <w:right w:val="single" w:color="auto" w:sz="4" w:space="0"/>
            </w:tcBorders>
            <w:vAlign w:val="center"/>
          </w:tcPr>
          <w:p w14:paraId="7A896588">
            <w:pPr>
              <w:pStyle w:val="1535"/>
            </w:pPr>
            <w:r>
              <w:t>5L</w:t>
            </w:r>
          </w:p>
        </w:tc>
        <w:tc>
          <w:tcPr>
            <w:tcW w:w="1188" w:type="dxa"/>
            <w:tcBorders>
              <w:top w:val="single" w:color="auto" w:sz="4" w:space="0"/>
              <w:left w:val="single" w:color="auto" w:sz="4" w:space="0"/>
              <w:bottom w:val="single" w:color="auto" w:sz="4" w:space="0"/>
              <w:right w:val="single" w:color="auto" w:sz="4" w:space="0"/>
            </w:tcBorders>
            <w:vAlign w:val="center"/>
          </w:tcPr>
          <w:p w14:paraId="0409062D">
            <w:pPr>
              <w:pStyle w:val="1535"/>
            </w:pPr>
            <w:r>
              <w:t>376</w:t>
            </w:r>
          </w:p>
        </w:tc>
        <w:tc>
          <w:tcPr>
            <w:tcW w:w="1098" w:type="dxa"/>
            <w:tcBorders>
              <w:top w:val="single" w:color="auto" w:sz="4" w:space="0"/>
              <w:left w:val="single" w:color="auto" w:sz="4" w:space="0"/>
              <w:bottom w:val="single" w:color="auto" w:sz="4" w:space="0"/>
              <w:right w:val="single" w:color="auto" w:sz="4" w:space="0"/>
            </w:tcBorders>
            <w:vAlign w:val="center"/>
          </w:tcPr>
          <w:p w14:paraId="693E91E2">
            <w:pPr>
              <w:pStyle w:val="1535"/>
            </w:pPr>
            <w:r>
              <w:t>18.3</w:t>
            </w:r>
          </w:p>
        </w:tc>
        <w:tc>
          <w:tcPr>
            <w:tcW w:w="1134" w:type="dxa"/>
            <w:tcBorders>
              <w:top w:val="single" w:color="auto" w:sz="4" w:space="0"/>
              <w:left w:val="single" w:color="auto" w:sz="4" w:space="0"/>
              <w:bottom w:val="single" w:color="auto" w:sz="4" w:space="0"/>
              <w:right w:val="single" w:color="auto" w:sz="4" w:space="0"/>
            </w:tcBorders>
            <w:vAlign w:val="center"/>
          </w:tcPr>
          <w:p w14:paraId="206F8B62">
            <w:pPr>
              <w:pStyle w:val="1535"/>
            </w:pPr>
            <w:r>
              <w:t>76.8</w:t>
            </w:r>
          </w:p>
        </w:tc>
        <w:tc>
          <w:tcPr>
            <w:tcW w:w="2813" w:type="dxa"/>
            <w:tcBorders>
              <w:top w:val="single" w:color="auto" w:sz="4" w:space="0"/>
              <w:left w:val="single" w:color="auto" w:sz="4" w:space="0"/>
              <w:bottom w:val="single" w:color="auto" w:sz="4" w:space="0"/>
              <w:right w:val="single" w:color="auto" w:sz="4" w:space="0"/>
            </w:tcBorders>
            <w:vAlign w:val="center"/>
          </w:tcPr>
          <w:p w14:paraId="7242E0E0">
            <w:pPr>
              <w:pStyle w:val="1535"/>
            </w:pPr>
            <w:r>
              <w:t>重碳酸盐-钙水-A</w:t>
            </w:r>
          </w:p>
        </w:tc>
      </w:tr>
      <w:tr w14:paraId="58C0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19C6347B">
            <w:pPr>
              <w:pStyle w:val="1535"/>
            </w:pPr>
            <w:r>
              <w:rPr>
                <w:rFonts w:hint="eastAsia"/>
              </w:rPr>
              <w:t>D2</w:t>
            </w:r>
          </w:p>
        </w:tc>
        <w:tc>
          <w:tcPr>
            <w:tcW w:w="1184" w:type="dxa"/>
            <w:tcBorders>
              <w:top w:val="single" w:color="auto" w:sz="4" w:space="0"/>
              <w:left w:val="single" w:color="auto" w:sz="4" w:space="0"/>
              <w:bottom w:val="single" w:color="auto" w:sz="4" w:space="0"/>
              <w:right w:val="single" w:color="auto" w:sz="4" w:space="0"/>
            </w:tcBorders>
            <w:vAlign w:val="center"/>
          </w:tcPr>
          <w:p w14:paraId="63D8027C">
            <w:pPr>
              <w:pStyle w:val="1535"/>
            </w:pPr>
            <w:r>
              <w:t>1.89</w:t>
            </w:r>
          </w:p>
        </w:tc>
        <w:tc>
          <w:tcPr>
            <w:tcW w:w="1199" w:type="dxa"/>
            <w:tcBorders>
              <w:top w:val="single" w:color="auto" w:sz="4" w:space="0"/>
              <w:left w:val="single" w:color="auto" w:sz="4" w:space="0"/>
              <w:bottom w:val="single" w:color="auto" w:sz="4" w:space="0"/>
              <w:right w:val="single" w:color="auto" w:sz="4" w:space="0"/>
            </w:tcBorders>
            <w:vAlign w:val="center"/>
          </w:tcPr>
          <w:p w14:paraId="70E44AE7">
            <w:pPr>
              <w:pStyle w:val="1535"/>
            </w:pPr>
            <w:r>
              <w:t>28.2</w:t>
            </w:r>
          </w:p>
        </w:tc>
        <w:tc>
          <w:tcPr>
            <w:tcW w:w="1450" w:type="dxa"/>
            <w:tcBorders>
              <w:top w:val="single" w:color="auto" w:sz="4" w:space="0"/>
              <w:left w:val="single" w:color="auto" w:sz="4" w:space="0"/>
              <w:bottom w:val="single" w:color="auto" w:sz="4" w:space="0"/>
              <w:right w:val="single" w:color="auto" w:sz="4" w:space="0"/>
            </w:tcBorders>
            <w:vAlign w:val="center"/>
          </w:tcPr>
          <w:p w14:paraId="011A636D">
            <w:pPr>
              <w:pStyle w:val="1535"/>
            </w:pPr>
            <w:r>
              <w:t>157</w:t>
            </w:r>
          </w:p>
        </w:tc>
        <w:tc>
          <w:tcPr>
            <w:tcW w:w="1191" w:type="dxa"/>
            <w:tcBorders>
              <w:top w:val="single" w:color="auto" w:sz="4" w:space="0"/>
              <w:left w:val="single" w:color="auto" w:sz="4" w:space="0"/>
              <w:bottom w:val="single" w:color="auto" w:sz="4" w:space="0"/>
              <w:right w:val="single" w:color="auto" w:sz="4" w:space="0"/>
            </w:tcBorders>
            <w:vAlign w:val="center"/>
          </w:tcPr>
          <w:p w14:paraId="6C650877">
            <w:pPr>
              <w:pStyle w:val="1535"/>
            </w:pPr>
            <w:r>
              <w:t>25</w:t>
            </w:r>
          </w:p>
        </w:tc>
        <w:tc>
          <w:tcPr>
            <w:tcW w:w="1128" w:type="dxa"/>
            <w:tcBorders>
              <w:top w:val="single" w:color="auto" w:sz="4" w:space="0"/>
              <w:left w:val="single" w:color="auto" w:sz="4" w:space="0"/>
              <w:bottom w:val="single" w:color="auto" w:sz="4" w:space="0"/>
              <w:right w:val="single" w:color="auto" w:sz="4" w:space="0"/>
            </w:tcBorders>
            <w:vAlign w:val="center"/>
          </w:tcPr>
          <w:p w14:paraId="7B029C16">
            <w:pPr>
              <w:pStyle w:val="1535"/>
            </w:pPr>
            <w:r>
              <w:t>5L</w:t>
            </w:r>
          </w:p>
        </w:tc>
        <w:tc>
          <w:tcPr>
            <w:tcW w:w="1188" w:type="dxa"/>
            <w:tcBorders>
              <w:top w:val="single" w:color="auto" w:sz="4" w:space="0"/>
              <w:left w:val="single" w:color="auto" w:sz="4" w:space="0"/>
              <w:bottom w:val="single" w:color="auto" w:sz="4" w:space="0"/>
              <w:right w:val="single" w:color="auto" w:sz="4" w:space="0"/>
            </w:tcBorders>
            <w:vAlign w:val="center"/>
          </w:tcPr>
          <w:p w14:paraId="2E2B0216">
            <w:pPr>
              <w:pStyle w:val="1535"/>
            </w:pPr>
            <w:r>
              <w:t>426</w:t>
            </w:r>
          </w:p>
        </w:tc>
        <w:tc>
          <w:tcPr>
            <w:tcW w:w="1098" w:type="dxa"/>
            <w:tcBorders>
              <w:top w:val="single" w:color="auto" w:sz="4" w:space="0"/>
              <w:left w:val="single" w:color="auto" w:sz="4" w:space="0"/>
              <w:bottom w:val="single" w:color="auto" w:sz="4" w:space="0"/>
              <w:right w:val="single" w:color="auto" w:sz="4" w:space="0"/>
            </w:tcBorders>
            <w:vAlign w:val="center"/>
          </w:tcPr>
          <w:p w14:paraId="42FBD6D7">
            <w:pPr>
              <w:pStyle w:val="1535"/>
            </w:pPr>
            <w:r>
              <w:t>18.3</w:t>
            </w:r>
          </w:p>
        </w:tc>
        <w:tc>
          <w:tcPr>
            <w:tcW w:w="1134" w:type="dxa"/>
            <w:tcBorders>
              <w:top w:val="single" w:color="auto" w:sz="4" w:space="0"/>
              <w:left w:val="single" w:color="auto" w:sz="4" w:space="0"/>
              <w:bottom w:val="single" w:color="auto" w:sz="4" w:space="0"/>
              <w:right w:val="single" w:color="auto" w:sz="4" w:space="0"/>
            </w:tcBorders>
            <w:vAlign w:val="center"/>
          </w:tcPr>
          <w:p w14:paraId="526DCF92">
            <w:pPr>
              <w:pStyle w:val="1535"/>
            </w:pPr>
            <w:r>
              <w:t>109</w:t>
            </w:r>
          </w:p>
        </w:tc>
        <w:tc>
          <w:tcPr>
            <w:tcW w:w="2813" w:type="dxa"/>
            <w:tcBorders>
              <w:top w:val="single" w:color="auto" w:sz="4" w:space="0"/>
              <w:left w:val="single" w:color="auto" w:sz="4" w:space="0"/>
              <w:bottom w:val="single" w:color="auto" w:sz="4" w:space="0"/>
              <w:right w:val="single" w:color="auto" w:sz="4" w:space="0"/>
            </w:tcBorders>
            <w:vAlign w:val="center"/>
          </w:tcPr>
          <w:p w14:paraId="59C0E93B">
            <w:pPr>
              <w:pStyle w:val="1535"/>
            </w:pPr>
            <w:r>
              <w:t>重碳酸盐硫酸盐-钙钠水-A</w:t>
            </w:r>
          </w:p>
        </w:tc>
      </w:tr>
      <w:tr w14:paraId="522E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8BFCA50">
            <w:pPr>
              <w:pStyle w:val="1535"/>
            </w:pPr>
            <w:r>
              <w:rPr>
                <w:rFonts w:hint="eastAsia"/>
              </w:rPr>
              <w:t>D3</w:t>
            </w:r>
          </w:p>
        </w:tc>
        <w:tc>
          <w:tcPr>
            <w:tcW w:w="1184" w:type="dxa"/>
            <w:tcBorders>
              <w:top w:val="single" w:color="auto" w:sz="4" w:space="0"/>
              <w:left w:val="single" w:color="auto" w:sz="4" w:space="0"/>
              <w:bottom w:val="single" w:color="auto" w:sz="4" w:space="0"/>
              <w:right w:val="single" w:color="auto" w:sz="4" w:space="0"/>
            </w:tcBorders>
            <w:vAlign w:val="center"/>
          </w:tcPr>
          <w:p w14:paraId="20C13C6D">
            <w:pPr>
              <w:pStyle w:val="1535"/>
            </w:pPr>
            <w:r>
              <w:t>2.03</w:t>
            </w:r>
          </w:p>
        </w:tc>
        <w:tc>
          <w:tcPr>
            <w:tcW w:w="1199" w:type="dxa"/>
            <w:tcBorders>
              <w:top w:val="single" w:color="auto" w:sz="4" w:space="0"/>
              <w:left w:val="single" w:color="auto" w:sz="4" w:space="0"/>
              <w:bottom w:val="single" w:color="auto" w:sz="4" w:space="0"/>
              <w:right w:val="single" w:color="auto" w:sz="4" w:space="0"/>
            </w:tcBorders>
            <w:vAlign w:val="center"/>
          </w:tcPr>
          <w:p w14:paraId="3037E183">
            <w:pPr>
              <w:pStyle w:val="1535"/>
            </w:pPr>
            <w:r>
              <w:t>17.6</w:t>
            </w:r>
          </w:p>
        </w:tc>
        <w:tc>
          <w:tcPr>
            <w:tcW w:w="1450" w:type="dxa"/>
            <w:tcBorders>
              <w:top w:val="single" w:color="auto" w:sz="4" w:space="0"/>
              <w:left w:val="single" w:color="auto" w:sz="4" w:space="0"/>
              <w:bottom w:val="single" w:color="auto" w:sz="4" w:space="0"/>
              <w:right w:val="single" w:color="auto" w:sz="4" w:space="0"/>
            </w:tcBorders>
            <w:vAlign w:val="center"/>
          </w:tcPr>
          <w:p w14:paraId="6AD3361B">
            <w:pPr>
              <w:pStyle w:val="1535"/>
            </w:pPr>
            <w:r>
              <w:t>126</w:t>
            </w:r>
          </w:p>
        </w:tc>
        <w:tc>
          <w:tcPr>
            <w:tcW w:w="1191" w:type="dxa"/>
            <w:tcBorders>
              <w:top w:val="single" w:color="auto" w:sz="4" w:space="0"/>
              <w:left w:val="single" w:color="auto" w:sz="4" w:space="0"/>
              <w:bottom w:val="single" w:color="auto" w:sz="4" w:space="0"/>
              <w:right w:val="single" w:color="auto" w:sz="4" w:space="0"/>
            </w:tcBorders>
            <w:vAlign w:val="center"/>
          </w:tcPr>
          <w:p w14:paraId="43CF89A4">
            <w:pPr>
              <w:pStyle w:val="1535"/>
            </w:pPr>
            <w:r>
              <w:t>22</w:t>
            </w:r>
          </w:p>
        </w:tc>
        <w:tc>
          <w:tcPr>
            <w:tcW w:w="1128" w:type="dxa"/>
            <w:tcBorders>
              <w:top w:val="single" w:color="auto" w:sz="4" w:space="0"/>
              <w:left w:val="single" w:color="auto" w:sz="4" w:space="0"/>
              <w:bottom w:val="single" w:color="auto" w:sz="4" w:space="0"/>
              <w:right w:val="single" w:color="auto" w:sz="4" w:space="0"/>
            </w:tcBorders>
            <w:vAlign w:val="center"/>
          </w:tcPr>
          <w:p w14:paraId="0BE03EB5">
            <w:pPr>
              <w:pStyle w:val="1535"/>
            </w:pPr>
            <w:r>
              <w:t>5L</w:t>
            </w:r>
          </w:p>
        </w:tc>
        <w:tc>
          <w:tcPr>
            <w:tcW w:w="1188" w:type="dxa"/>
            <w:tcBorders>
              <w:top w:val="single" w:color="auto" w:sz="4" w:space="0"/>
              <w:left w:val="single" w:color="auto" w:sz="4" w:space="0"/>
              <w:bottom w:val="single" w:color="auto" w:sz="4" w:space="0"/>
              <w:right w:val="single" w:color="auto" w:sz="4" w:space="0"/>
            </w:tcBorders>
            <w:vAlign w:val="center"/>
          </w:tcPr>
          <w:p w14:paraId="34D26F56">
            <w:pPr>
              <w:pStyle w:val="1535"/>
            </w:pPr>
            <w:r>
              <w:t>451</w:t>
            </w:r>
          </w:p>
        </w:tc>
        <w:tc>
          <w:tcPr>
            <w:tcW w:w="1098" w:type="dxa"/>
            <w:tcBorders>
              <w:top w:val="single" w:color="auto" w:sz="4" w:space="0"/>
              <w:left w:val="single" w:color="auto" w:sz="4" w:space="0"/>
              <w:bottom w:val="single" w:color="auto" w:sz="4" w:space="0"/>
              <w:right w:val="single" w:color="auto" w:sz="4" w:space="0"/>
            </w:tcBorders>
            <w:vAlign w:val="center"/>
          </w:tcPr>
          <w:p w14:paraId="0805F7F5">
            <w:pPr>
              <w:pStyle w:val="1535"/>
            </w:pPr>
            <w:r>
              <w:t>18.8</w:t>
            </w:r>
          </w:p>
        </w:tc>
        <w:tc>
          <w:tcPr>
            <w:tcW w:w="1134" w:type="dxa"/>
            <w:tcBorders>
              <w:top w:val="single" w:color="auto" w:sz="4" w:space="0"/>
              <w:left w:val="single" w:color="auto" w:sz="4" w:space="0"/>
              <w:bottom w:val="single" w:color="auto" w:sz="4" w:space="0"/>
              <w:right w:val="single" w:color="auto" w:sz="4" w:space="0"/>
            </w:tcBorders>
            <w:vAlign w:val="center"/>
          </w:tcPr>
          <w:p w14:paraId="680630F1">
            <w:pPr>
              <w:pStyle w:val="1535"/>
            </w:pPr>
            <w:r>
              <w:t>46.1</w:t>
            </w:r>
          </w:p>
        </w:tc>
        <w:tc>
          <w:tcPr>
            <w:tcW w:w="2813" w:type="dxa"/>
            <w:tcBorders>
              <w:top w:val="single" w:color="auto" w:sz="4" w:space="0"/>
              <w:left w:val="single" w:color="auto" w:sz="4" w:space="0"/>
              <w:bottom w:val="single" w:color="auto" w:sz="4" w:space="0"/>
              <w:right w:val="single" w:color="auto" w:sz="4" w:space="0"/>
            </w:tcBorders>
            <w:vAlign w:val="center"/>
          </w:tcPr>
          <w:p w14:paraId="50907D91">
            <w:pPr>
              <w:pStyle w:val="1535"/>
            </w:pPr>
            <w:r>
              <w:t>重碳酸盐硫酸盐-钙钠水-A</w:t>
            </w:r>
          </w:p>
        </w:tc>
      </w:tr>
    </w:tbl>
    <w:p w14:paraId="4C90FE06">
      <w:pPr>
        <w:pStyle w:val="35"/>
        <w:spacing w:before="120" w:beforeLines="50"/>
        <w:ind w:firstLine="480"/>
        <w:jc w:val="center"/>
        <w:rPr>
          <w:bCs/>
          <w:color w:val="000000" w:themeColor="text1"/>
          <w14:textFill>
            <w14:solidFill>
              <w14:schemeClr w14:val="tx1"/>
            </w14:solidFill>
          </w14:textFill>
        </w:rPr>
      </w:pPr>
      <w:bookmarkStart w:id="239" w:name="_Ref162515121"/>
      <w:r>
        <w:rPr>
          <w:color w:val="000000" w:themeColor="text1"/>
          <w:sz w:val="24"/>
          <w14:textFill>
            <w14:solidFill>
              <w14:schemeClr w14:val="tx1"/>
            </w14:solidFill>
          </w14:textFill>
        </w:rPr>
        <w:t>表</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STYLEREF 2 \s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5.2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noBreakHyphen/>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SEQ 表格 \* ARABIC \s 2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11</w:t>
      </w:r>
      <w:r>
        <w:rPr>
          <w:color w:val="000000" w:themeColor="text1"/>
          <w:sz w:val="24"/>
          <w14:textFill>
            <w14:solidFill>
              <w14:schemeClr w14:val="tx1"/>
            </w14:solidFill>
          </w14:textFill>
        </w:rPr>
        <w:fldChar w:fldCharType="end"/>
      </w:r>
      <w:bookmarkEnd w:id="239"/>
      <w:r>
        <w:rPr>
          <w:bCs/>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地下水质量现状监测结果一览表</w:t>
      </w:r>
    </w:p>
    <w:tbl>
      <w:tblPr>
        <w:tblStyle w:val="88"/>
        <w:tblW w:w="5000"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593"/>
        <w:gridCol w:w="1586"/>
        <w:gridCol w:w="1284"/>
        <w:gridCol w:w="1234"/>
        <w:gridCol w:w="1918"/>
        <w:gridCol w:w="1292"/>
        <w:gridCol w:w="1603"/>
        <w:gridCol w:w="1350"/>
        <w:gridCol w:w="1350"/>
      </w:tblGrid>
      <w:tr w14:paraId="04BEC24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53" w:type="dxa"/>
            <w:gridSpan w:val="2"/>
            <w:tcBorders>
              <w:top w:val="single" w:color="auto" w:sz="4" w:space="0"/>
              <w:left w:val="single" w:color="auto" w:sz="4" w:space="0"/>
              <w:tl2br w:val="single" w:color="auto" w:sz="4" w:space="0"/>
            </w:tcBorders>
            <w:vAlign w:val="center"/>
          </w:tcPr>
          <w:p w14:paraId="716E1C92">
            <w:pPr>
              <w:tabs>
                <w:tab w:val="left" w:pos="5745"/>
              </w:tabs>
              <w:spacing w:line="240" w:lineRule="auto"/>
              <w:ind w:firstLine="0" w:firstLineChars="0"/>
              <w:jc w:val="right"/>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 xml:space="preserve">    监测因子</w:t>
            </w:r>
          </w:p>
          <w:p w14:paraId="284AF890">
            <w:pPr>
              <w:tabs>
                <w:tab w:val="left" w:pos="5745"/>
              </w:tabs>
              <w:spacing w:line="240" w:lineRule="auto"/>
              <w:ind w:firstLine="0" w:firstLineChars="0"/>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项目</w:t>
            </w:r>
          </w:p>
        </w:tc>
        <w:tc>
          <w:tcPr>
            <w:tcW w:w="1614" w:type="dxa"/>
            <w:tcBorders>
              <w:top w:val="single" w:color="auto" w:sz="4" w:space="0"/>
            </w:tcBorders>
            <w:vAlign w:val="center"/>
          </w:tcPr>
          <w:p w14:paraId="5F2E78F6">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pH</w:t>
            </w:r>
          </w:p>
        </w:tc>
        <w:tc>
          <w:tcPr>
            <w:tcW w:w="1305" w:type="dxa"/>
            <w:tcBorders>
              <w:top w:val="single" w:color="auto" w:sz="4" w:space="0"/>
            </w:tcBorders>
            <w:vAlign w:val="center"/>
          </w:tcPr>
          <w:p w14:paraId="14E36E9B">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耗氧量</w:t>
            </w:r>
          </w:p>
        </w:tc>
        <w:tc>
          <w:tcPr>
            <w:tcW w:w="1254" w:type="dxa"/>
            <w:tcBorders>
              <w:top w:val="single" w:color="auto" w:sz="4" w:space="0"/>
            </w:tcBorders>
            <w:vAlign w:val="center"/>
          </w:tcPr>
          <w:p w14:paraId="7416DFBC">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氨氮</w:t>
            </w:r>
          </w:p>
        </w:tc>
        <w:tc>
          <w:tcPr>
            <w:tcW w:w="1954" w:type="dxa"/>
            <w:tcBorders>
              <w:top w:val="single" w:color="auto" w:sz="4" w:space="0"/>
            </w:tcBorders>
            <w:vAlign w:val="center"/>
          </w:tcPr>
          <w:p w14:paraId="2C922EAD">
            <w:pPr>
              <w:tabs>
                <w:tab w:val="left" w:pos="5745"/>
              </w:tabs>
              <w:spacing w:line="240" w:lineRule="auto"/>
              <w:ind w:firstLine="0" w:firstLineChars="0"/>
              <w:jc w:val="center"/>
              <w:rPr>
                <w:color w:val="000000" w:themeColor="text1"/>
                <w:spacing w:val="-4"/>
                <w:sz w:val="22"/>
                <w:szCs w:val="22"/>
                <w:vertAlign w:val="superscript"/>
                <w14:textFill>
                  <w14:solidFill>
                    <w14:schemeClr w14:val="tx1"/>
                  </w14:solidFill>
                </w14:textFill>
              </w:rPr>
            </w:pPr>
            <w:r>
              <w:rPr>
                <w:color w:val="000000" w:themeColor="text1"/>
                <w:spacing w:val="-4"/>
                <w:sz w:val="22"/>
                <w:szCs w:val="22"/>
                <w14:textFill>
                  <w14:solidFill>
                    <w14:schemeClr w14:val="tx1"/>
                  </w14:solidFill>
                </w14:textFill>
              </w:rPr>
              <w:t>铬（六价）</w:t>
            </w:r>
          </w:p>
        </w:tc>
        <w:tc>
          <w:tcPr>
            <w:tcW w:w="1313" w:type="dxa"/>
            <w:tcBorders>
              <w:top w:val="single" w:color="auto" w:sz="4" w:space="0"/>
            </w:tcBorders>
            <w:vAlign w:val="center"/>
          </w:tcPr>
          <w:p w14:paraId="7F157497">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铁</w:t>
            </w:r>
          </w:p>
        </w:tc>
        <w:tc>
          <w:tcPr>
            <w:tcW w:w="1631" w:type="dxa"/>
            <w:tcBorders>
              <w:top w:val="single" w:color="auto" w:sz="4" w:space="0"/>
            </w:tcBorders>
            <w:vAlign w:val="center"/>
          </w:tcPr>
          <w:p w14:paraId="7526CB93">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亚硝酸盐</w:t>
            </w:r>
          </w:p>
        </w:tc>
        <w:tc>
          <w:tcPr>
            <w:tcW w:w="1373" w:type="dxa"/>
            <w:tcBorders>
              <w:top w:val="single" w:color="auto" w:sz="4" w:space="0"/>
            </w:tcBorders>
            <w:vAlign w:val="center"/>
          </w:tcPr>
          <w:p w14:paraId="6C5CB704">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硝酸盐</w:t>
            </w:r>
          </w:p>
        </w:tc>
        <w:tc>
          <w:tcPr>
            <w:tcW w:w="1373" w:type="dxa"/>
            <w:tcBorders>
              <w:top w:val="single" w:color="auto" w:sz="4" w:space="0"/>
            </w:tcBorders>
            <w:vAlign w:val="center"/>
          </w:tcPr>
          <w:p w14:paraId="3BE614F5">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锰</w:t>
            </w:r>
          </w:p>
        </w:tc>
      </w:tr>
      <w:tr w14:paraId="7162A1B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31" w:type="dxa"/>
            <w:vMerge w:val="restart"/>
            <w:tcBorders>
              <w:top w:val="single" w:color="auto" w:sz="4" w:space="0"/>
              <w:left w:val="single" w:color="auto" w:sz="4" w:space="0"/>
            </w:tcBorders>
            <w:vAlign w:val="center"/>
          </w:tcPr>
          <w:p w14:paraId="252F5437">
            <w:pPr>
              <w:adjustRightInd/>
              <w:snapToGrid/>
              <w:spacing w:line="340" w:lineRule="exact"/>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S1</w:t>
            </w:r>
          </w:p>
        </w:tc>
        <w:tc>
          <w:tcPr>
            <w:tcW w:w="1622" w:type="dxa"/>
            <w:tcBorders>
              <w:top w:val="single" w:color="auto" w:sz="4" w:space="0"/>
            </w:tcBorders>
            <w:vAlign w:val="center"/>
          </w:tcPr>
          <w:p w14:paraId="23BE8D96">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监测值</w:t>
            </w:r>
          </w:p>
        </w:tc>
        <w:tc>
          <w:tcPr>
            <w:tcW w:w="1614" w:type="dxa"/>
            <w:tcBorders>
              <w:top w:val="single" w:color="auto" w:sz="4" w:space="0"/>
            </w:tcBorders>
            <w:vAlign w:val="center"/>
          </w:tcPr>
          <w:p w14:paraId="604A7188">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7.5</w:t>
            </w:r>
          </w:p>
        </w:tc>
        <w:tc>
          <w:tcPr>
            <w:tcW w:w="1305" w:type="dxa"/>
            <w:tcBorders>
              <w:top w:val="single" w:color="auto" w:sz="4" w:space="0"/>
            </w:tcBorders>
            <w:vAlign w:val="center"/>
          </w:tcPr>
          <w:p w14:paraId="22F2578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1.09</w:t>
            </w:r>
          </w:p>
        </w:tc>
        <w:tc>
          <w:tcPr>
            <w:tcW w:w="1254" w:type="dxa"/>
            <w:tcBorders>
              <w:top w:val="single" w:color="auto" w:sz="4" w:space="0"/>
            </w:tcBorders>
            <w:vAlign w:val="center"/>
          </w:tcPr>
          <w:p w14:paraId="4614D02D">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0.096</w:t>
            </w:r>
          </w:p>
        </w:tc>
        <w:tc>
          <w:tcPr>
            <w:tcW w:w="1954" w:type="dxa"/>
            <w:tcBorders>
              <w:top w:val="single" w:color="auto" w:sz="4" w:space="0"/>
            </w:tcBorders>
            <w:vAlign w:val="center"/>
          </w:tcPr>
          <w:p w14:paraId="27832B09">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0.004L</w:t>
            </w:r>
          </w:p>
        </w:tc>
        <w:tc>
          <w:tcPr>
            <w:tcW w:w="1313" w:type="dxa"/>
            <w:tcBorders>
              <w:top w:val="single" w:color="auto" w:sz="4" w:space="0"/>
            </w:tcBorders>
            <w:vAlign w:val="center"/>
          </w:tcPr>
          <w:p w14:paraId="6E16C63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0.01</w:t>
            </w:r>
          </w:p>
        </w:tc>
        <w:tc>
          <w:tcPr>
            <w:tcW w:w="1631" w:type="dxa"/>
            <w:tcBorders>
              <w:top w:val="single" w:color="auto" w:sz="4" w:space="0"/>
            </w:tcBorders>
            <w:vAlign w:val="center"/>
          </w:tcPr>
          <w:p w14:paraId="7ABE426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0.012</w:t>
            </w:r>
          </w:p>
        </w:tc>
        <w:tc>
          <w:tcPr>
            <w:tcW w:w="1373" w:type="dxa"/>
            <w:tcBorders>
              <w:top w:val="single" w:color="auto" w:sz="4" w:space="0"/>
            </w:tcBorders>
            <w:vAlign w:val="center"/>
          </w:tcPr>
          <w:p w14:paraId="70066C5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7.44</w:t>
            </w:r>
          </w:p>
        </w:tc>
        <w:tc>
          <w:tcPr>
            <w:tcW w:w="1373" w:type="dxa"/>
            <w:tcBorders>
              <w:top w:val="single" w:color="auto" w:sz="4" w:space="0"/>
            </w:tcBorders>
            <w:vAlign w:val="center"/>
          </w:tcPr>
          <w:p w14:paraId="417645DA">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0.01L</w:t>
            </w:r>
          </w:p>
        </w:tc>
      </w:tr>
      <w:tr w14:paraId="34E756D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tcBorders>
            <w:vAlign w:val="center"/>
          </w:tcPr>
          <w:p w14:paraId="6FE314C4">
            <w:pPr>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tcBorders>
            <w:vAlign w:val="center"/>
          </w:tcPr>
          <w:p w14:paraId="75A08608">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标准指数</w:t>
            </w:r>
          </w:p>
        </w:tc>
        <w:tc>
          <w:tcPr>
            <w:tcW w:w="1614" w:type="dxa"/>
            <w:tcBorders>
              <w:top w:val="single" w:color="auto" w:sz="4" w:space="0"/>
            </w:tcBorders>
            <w:vAlign w:val="center"/>
          </w:tcPr>
          <w:p w14:paraId="2A42D13A">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0.33</w:t>
            </w:r>
          </w:p>
        </w:tc>
        <w:tc>
          <w:tcPr>
            <w:tcW w:w="1305" w:type="dxa"/>
            <w:tcBorders>
              <w:top w:val="single" w:color="auto" w:sz="4" w:space="0"/>
            </w:tcBorders>
            <w:vAlign w:val="center"/>
          </w:tcPr>
          <w:p w14:paraId="60615C56">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0.36 </w:t>
            </w:r>
          </w:p>
        </w:tc>
        <w:tc>
          <w:tcPr>
            <w:tcW w:w="1254" w:type="dxa"/>
            <w:tcBorders>
              <w:top w:val="single" w:color="auto" w:sz="4" w:space="0"/>
            </w:tcBorders>
            <w:vAlign w:val="center"/>
          </w:tcPr>
          <w:p w14:paraId="122026E9">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0.19 </w:t>
            </w:r>
          </w:p>
        </w:tc>
        <w:tc>
          <w:tcPr>
            <w:tcW w:w="1954" w:type="dxa"/>
            <w:tcBorders>
              <w:top w:val="single" w:color="auto" w:sz="4" w:space="0"/>
            </w:tcBorders>
            <w:vAlign w:val="center"/>
          </w:tcPr>
          <w:p w14:paraId="7681800C">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0.04</w:t>
            </w:r>
          </w:p>
        </w:tc>
        <w:tc>
          <w:tcPr>
            <w:tcW w:w="1313" w:type="dxa"/>
            <w:tcBorders>
              <w:top w:val="single" w:color="auto" w:sz="4" w:space="0"/>
            </w:tcBorders>
            <w:vAlign w:val="center"/>
          </w:tcPr>
          <w:p w14:paraId="611A508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0.03 </w:t>
            </w:r>
          </w:p>
        </w:tc>
        <w:tc>
          <w:tcPr>
            <w:tcW w:w="1631" w:type="dxa"/>
            <w:tcBorders>
              <w:top w:val="single" w:color="auto" w:sz="4" w:space="0"/>
            </w:tcBorders>
            <w:vAlign w:val="center"/>
          </w:tcPr>
          <w:p w14:paraId="49905B2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0.0120 </w:t>
            </w:r>
          </w:p>
        </w:tc>
        <w:tc>
          <w:tcPr>
            <w:tcW w:w="1373" w:type="dxa"/>
            <w:tcBorders>
              <w:top w:val="single" w:color="auto" w:sz="4" w:space="0"/>
            </w:tcBorders>
            <w:vAlign w:val="center"/>
          </w:tcPr>
          <w:p w14:paraId="4204E62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0.37 </w:t>
            </w:r>
          </w:p>
        </w:tc>
        <w:tc>
          <w:tcPr>
            <w:tcW w:w="1373" w:type="dxa"/>
            <w:tcBorders>
              <w:top w:val="single" w:color="auto" w:sz="4" w:space="0"/>
            </w:tcBorders>
            <w:vAlign w:val="center"/>
          </w:tcPr>
          <w:p w14:paraId="50FDD529">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0.05</w:t>
            </w:r>
          </w:p>
        </w:tc>
      </w:tr>
      <w:tr w14:paraId="28C450E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1" w:type="dxa"/>
            <w:vMerge w:val="continue"/>
            <w:tcBorders>
              <w:left w:val="single" w:color="auto" w:sz="4" w:space="0"/>
            </w:tcBorders>
            <w:vAlign w:val="center"/>
          </w:tcPr>
          <w:p w14:paraId="29FA705C">
            <w:pPr>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tcBorders>
            <w:vAlign w:val="center"/>
          </w:tcPr>
          <w:p w14:paraId="07B54A80">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达标情况</w:t>
            </w:r>
          </w:p>
        </w:tc>
        <w:tc>
          <w:tcPr>
            <w:tcW w:w="1614" w:type="dxa"/>
            <w:tcBorders>
              <w:top w:val="single" w:color="auto" w:sz="4" w:space="0"/>
            </w:tcBorders>
            <w:vAlign w:val="center"/>
          </w:tcPr>
          <w:p w14:paraId="50F7B224">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05" w:type="dxa"/>
            <w:tcBorders>
              <w:top w:val="single" w:color="auto" w:sz="4" w:space="0"/>
            </w:tcBorders>
            <w:vAlign w:val="center"/>
          </w:tcPr>
          <w:p w14:paraId="4979FE45">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254" w:type="dxa"/>
            <w:tcBorders>
              <w:top w:val="single" w:color="auto" w:sz="4" w:space="0"/>
            </w:tcBorders>
            <w:vAlign w:val="center"/>
          </w:tcPr>
          <w:p w14:paraId="681C8C2F">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954" w:type="dxa"/>
            <w:tcBorders>
              <w:top w:val="single" w:color="auto" w:sz="4" w:space="0"/>
            </w:tcBorders>
            <w:vAlign w:val="center"/>
          </w:tcPr>
          <w:p w14:paraId="2A3ACF3A">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13" w:type="dxa"/>
            <w:tcBorders>
              <w:top w:val="single" w:color="auto" w:sz="4" w:space="0"/>
            </w:tcBorders>
            <w:vAlign w:val="center"/>
          </w:tcPr>
          <w:p w14:paraId="2D2CA9FB">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631" w:type="dxa"/>
            <w:tcBorders>
              <w:top w:val="single" w:color="auto" w:sz="4" w:space="0"/>
            </w:tcBorders>
            <w:vAlign w:val="center"/>
          </w:tcPr>
          <w:p w14:paraId="2581C7B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tcBorders>
            <w:vAlign w:val="center"/>
          </w:tcPr>
          <w:p w14:paraId="7ED7A6E5">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tcBorders>
            <w:vAlign w:val="center"/>
          </w:tcPr>
          <w:p w14:paraId="322AA337">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r w14:paraId="5306929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restart"/>
            <w:tcBorders>
              <w:top w:val="single" w:color="auto" w:sz="4" w:space="0"/>
              <w:left w:val="single" w:color="auto" w:sz="4" w:space="0"/>
            </w:tcBorders>
            <w:vAlign w:val="center"/>
          </w:tcPr>
          <w:p w14:paraId="0E611C58">
            <w:pPr>
              <w:adjustRightInd/>
              <w:snapToGrid/>
              <w:spacing w:line="340" w:lineRule="exact"/>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S2</w:t>
            </w:r>
          </w:p>
        </w:tc>
        <w:tc>
          <w:tcPr>
            <w:tcW w:w="1622" w:type="dxa"/>
            <w:tcBorders>
              <w:top w:val="single" w:color="auto" w:sz="4" w:space="0"/>
            </w:tcBorders>
            <w:vAlign w:val="center"/>
          </w:tcPr>
          <w:p w14:paraId="3E890EB2">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监测值</w:t>
            </w:r>
          </w:p>
        </w:tc>
        <w:tc>
          <w:tcPr>
            <w:tcW w:w="1614" w:type="dxa"/>
            <w:tcBorders>
              <w:top w:val="single" w:color="auto" w:sz="4" w:space="0"/>
            </w:tcBorders>
            <w:vAlign w:val="center"/>
          </w:tcPr>
          <w:p w14:paraId="2B059B61">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7.2</w:t>
            </w:r>
          </w:p>
        </w:tc>
        <w:tc>
          <w:tcPr>
            <w:tcW w:w="1305" w:type="dxa"/>
            <w:tcBorders>
              <w:top w:val="single" w:color="auto" w:sz="4" w:space="0"/>
            </w:tcBorders>
            <w:vAlign w:val="center"/>
          </w:tcPr>
          <w:p w14:paraId="1126B47A">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1.45</w:t>
            </w:r>
          </w:p>
        </w:tc>
        <w:tc>
          <w:tcPr>
            <w:tcW w:w="1254" w:type="dxa"/>
            <w:tcBorders>
              <w:top w:val="single" w:color="auto" w:sz="4" w:space="0"/>
            </w:tcBorders>
            <w:vAlign w:val="center"/>
          </w:tcPr>
          <w:p w14:paraId="14E676CD">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0.028</w:t>
            </w:r>
          </w:p>
        </w:tc>
        <w:tc>
          <w:tcPr>
            <w:tcW w:w="1954" w:type="dxa"/>
            <w:tcBorders>
              <w:top w:val="single" w:color="auto" w:sz="4" w:space="0"/>
            </w:tcBorders>
            <w:vAlign w:val="center"/>
          </w:tcPr>
          <w:p w14:paraId="68685F13">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0.004L</w:t>
            </w:r>
          </w:p>
        </w:tc>
        <w:tc>
          <w:tcPr>
            <w:tcW w:w="1313" w:type="dxa"/>
            <w:tcBorders>
              <w:top w:val="single" w:color="auto" w:sz="4" w:space="0"/>
            </w:tcBorders>
            <w:vAlign w:val="center"/>
          </w:tcPr>
          <w:p w14:paraId="07145C7C">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0.01L</w:t>
            </w:r>
          </w:p>
        </w:tc>
        <w:tc>
          <w:tcPr>
            <w:tcW w:w="1631" w:type="dxa"/>
            <w:tcBorders>
              <w:top w:val="single" w:color="auto" w:sz="4" w:space="0"/>
            </w:tcBorders>
            <w:vAlign w:val="center"/>
          </w:tcPr>
          <w:p w14:paraId="332CA8D6">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0.005</w:t>
            </w:r>
          </w:p>
        </w:tc>
        <w:tc>
          <w:tcPr>
            <w:tcW w:w="1373" w:type="dxa"/>
            <w:tcBorders>
              <w:top w:val="single" w:color="auto" w:sz="4" w:space="0"/>
            </w:tcBorders>
            <w:vAlign w:val="center"/>
          </w:tcPr>
          <w:p w14:paraId="5355DE8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15.3</w:t>
            </w:r>
          </w:p>
        </w:tc>
        <w:tc>
          <w:tcPr>
            <w:tcW w:w="1373" w:type="dxa"/>
            <w:tcBorders>
              <w:top w:val="single" w:color="auto" w:sz="4" w:space="0"/>
            </w:tcBorders>
            <w:vAlign w:val="center"/>
          </w:tcPr>
          <w:p w14:paraId="2046B125">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0.01L</w:t>
            </w:r>
          </w:p>
        </w:tc>
      </w:tr>
      <w:tr w14:paraId="54C0014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tcBorders>
            <w:vAlign w:val="center"/>
          </w:tcPr>
          <w:p w14:paraId="3E325C89">
            <w:pPr>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tcBorders>
            <w:vAlign w:val="center"/>
          </w:tcPr>
          <w:p w14:paraId="2D14B7A8">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标准指数</w:t>
            </w:r>
          </w:p>
        </w:tc>
        <w:tc>
          <w:tcPr>
            <w:tcW w:w="1614" w:type="dxa"/>
            <w:tcBorders>
              <w:top w:val="single" w:color="auto" w:sz="4" w:space="0"/>
            </w:tcBorders>
            <w:vAlign w:val="center"/>
          </w:tcPr>
          <w:p w14:paraId="0ED6713D">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0.32</w:t>
            </w:r>
          </w:p>
        </w:tc>
        <w:tc>
          <w:tcPr>
            <w:tcW w:w="1305" w:type="dxa"/>
            <w:tcBorders>
              <w:top w:val="single" w:color="auto" w:sz="4" w:space="0"/>
            </w:tcBorders>
            <w:vAlign w:val="center"/>
          </w:tcPr>
          <w:p w14:paraId="53C2F665">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0.48 </w:t>
            </w:r>
          </w:p>
        </w:tc>
        <w:tc>
          <w:tcPr>
            <w:tcW w:w="1254" w:type="dxa"/>
            <w:tcBorders>
              <w:top w:val="single" w:color="auto" w:sz="4" w:space="0"/>
            </w:tcBorders>
            <w:vAlign w:val="center"/>
          </w:tcPr>
          <w:p w14:paraId="7973543C">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0.06 </w:t>
            </w:r>
          </w:p>
        </w:tc>
        <w:tc>
          <w:tcPr>
            <w:tcW w:w="1954" w:type="dxa"/>
            <w:tcBorders>
              <w:top w:val="single" w:color="auto" w:sz="4" w:space="0"/>
            </w:tcBorders>
            <w:vAlign w:val="center"/>
          </w:tcPr>
          <w:p w14:paraId="58736FF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0.04 </w:t>
            </w:r>
          </w:p>
        </w:tc>
        <w:tc>
          <w:tcPr>
            <w:tcW w:w="1313" w:type="dxa"/>
            <w:tcBorders>
              <w:top w:val="single" w:color="auto" w:sz="4" w:space="0"/>
            </w:tcBorders>
            <w:vAlign w:val="center"/>
          </w:tcPr>
          <w:p w14:paraId="5F9A4AFD">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0.03 </w:t>
            </w:r>
          </w:p>
        </w:tc>
        <w:tc>
          <w:tcPr>
            <w:tcW w:w="1631" w:type="dxa"/>
            <w:tcBorders>
              <w:top w:val="single" w:color="auto" w:sz="4" w:space="0"/>
            </w:tcBorders>
            <w:vAlign w:val="center"/>
          </w:tcPr>
          <w:p w14:paraId="3D3BAEF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0.0050 </w:t>
            </w:r>
          </w:p>
        </w:tc>
        <w:tc>
          <w:tcPr>
            <w:tcW w:w="1373" w:type="dxa"/>
            <w:tcBorders>
              <w:top w:val="single" w:color="auto" w:sz="4" w:space="0"/>
            </w:tcBorders>
            <w:vAlign w:val="center"/>
          </w:tcPr>
          <w:p w14:paraId="35B4188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0.77 </w:t>
            </w:r>
          </w:p>
        </w:tc>
        <w:tc>
          <w:tcPr>
            <w:tcW w:w="1373" w:type="dxa"/>
            <w:tcBorders>
              <w:top w:val="single" w:color="auto" w:sz="4" w:space="0"/>
            </w:tcBorders>
            <w:vAlign w:val="center"/>
          </w:tcPr>
          <w:p w14:paraId="591D512D">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0.05</w:t>
            </w:r>
          </w:p>
        </w:tc>
      </w:tr>
      <w:tr w14:paraId="6E76249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tcBorders>
            <w:vAlign w:val="center"/>
          </w:tcPr>
          <w:p w14:paraId="64FE5AD5">
            <w:pPr>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tcBorders>
            <w:vAlign w:val="center"/>
          </w:tcPr>
          <w:p w14:paraId="0CEF8D40">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达标情况</w:t>
            </w:r>
          </w:p>
        </w:tc>
        <w:tc>
          <w:tcPr>
            <w:tcW w:w="1614" w:type="dxa"/>
            <w:tcBorders>
              <w:top w:val="single" w:color="auto" w:sz="4" w:space="0"/>
            </w:tcBorders>
            <w:vAlign w:val="center"/>
          </w:tcPr>
          <w:p w14:paraId="5D0A8AFE">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05" w:type="dxa"/>
            <w:tcBorders>
              <w:top w:val="single" w:color="auto" w:sz="4" w:space="0"/>
            </w:tcBorders>
            <w:vAlign w:val="center"/>
          </w:tcPr>
          <w:p w14:paraId="78831BB2">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254" w:type="dxa"/>
            <w:tcBorders>
              <w:top w:val="single" w:color="auto" w:sz="4" w:space="0"/>
            </w:tcBorders>
            <w:vAlign w:val="center"/>
          </w:tcPr>
          <w:p w14:paraId="58CA6B4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954" w:type="dxa"/>
            <w:tcBorders>
              <w:top w:val="single" w:color="auto" w:sz="4" w:space="0"/>
            </w:tcBorders>
            <w:vAlign w:val="center"/>
          </w:tcPr>
          <w:p w14:paraId="6883820D">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13" w:type="dxa"/>
            <w:tcBorders>
              <w:top w:val="single" w:color="auto" w:sz="4" w:space="0"/>
            </w:tcBorders>
            <w:vAlign w:val="center"/>
          </w:tcPr>
          <w:p w14:paraId="18210A16">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631" w:type="dxa"/>
            <w:tcBorders>
              <w:top w:val="single" w:color="auto" w:sz="4" w:space="0"/>
            </w:tcBorders>
            <w:vAlign w:val="center"/>
          </w:tcPr>
          <w:p w14:paraId="468CADE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tcBorders>
            <w:vAlign w:val="center"/>
          </w:tcPr>
          <w:p w14:paraId="1DF874CD">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tcBorders>
            <w:vAlign w:val="center"/>
          </w:tcPr>
          <w:p w14:paraId="5FA595F1">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r w14:paraId="71EDB05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restart"/>
            <w:tcBorders>
              <w:top w:val="single" w:color="auto" w:sz="4" w:space="0"/>
              <w:left w:val="single" w:color="auto" w:sz="4" w:space="0"/>
            </w:tcBorders>
            <w:vAlign w:val="center"/>
          </w:tcPr>
          <w:p w14:paraId="456710EB">
            <w:pPr>
              <w:adjustRightInd/>
              <w:snapToGrid/>
              <w:spacing w:line="340" w:lineRule="exact"/>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S3</w:t>
            </w:r>
          </w:p>
        </w:tc>
        <w:tc>
          <w:tcPr>
            <w:tcW w:w="1622" w:type="dxa"/>
            <w:tcBorders>
              <w:top w:val="single" w:color="auto" w:sz="4" w:space="0"/>
            </w:tcBorders>
            <w:vAlign w:val="center"/>
          </w:tcPr>
          <w:p w14:paraId="1E00F3A5">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监测值</w:t>
            </w:r>
          </w:p>
        </w:tc>
        <w:tc>
          <w:tcPr>
            <w:tcW w:w="1614" w:type="dxa"/>
            <w:tcBorders>
              <w:top w:val="single" w:color="auto" w:sz="4" w:space="0"/>
            </w:tcBorders>
            <w:vAlign w:val="center"/>
          </w:tcPr>
          <w:p w14:paraId="258FC67A">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7.1</w:t>
            </w:r>
          </w:p>
        </w:tc>
        <w:tc>
          <w:tcPr>
            <w:tcW w:w="1305" w:type="dxa"/>
            <w:tcBorders>
              <w:top w:val="single" w:color="auto" w:sz="4" w:space="0"/>
            </w:tcBorders>
            <w:vAlign w:val="center"/>
          </w:tcPr>
          <w:p w14:paraId="17BDFF6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1.1</w:t>
            </w:r>
          </w:p>
        </w:tc>
        <w:tc>
          <w:tcPr>
            <w:tcW w:w="1254" w:type="dxa"/>
            <w:tcBorders>
              <w:top w:val="single" w:color="auto" w:sz="4" w:space="0"/>
            </w:tcBorders>
            <w:vAlign w:val="center"/>
          </w:tcPr>
          <w:p w14:paraId="6EFAE38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0.143</w:t>
            </w:r>
          </w:p>
        </w:tc>
        <w:tc>
          <w:tcPr>
            <w:tcW w:w="1954" w:type="dxa"/>
            <w:tcBorders>
              <w:top w:val="single" w:color="auto" w:sz="4" w:space="0"/>
            </w:tcBorders>
            <w:vAlign w:val="center"/>
          </w:tcPr>
          <w:p w14:paraId="29F7DA8F">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0.004L</w:t>
            </w:r>
          </w:p>
        </w:tc>
        <w:tc>
          <w:tcPr>
            <w:tcW w:w="1313" w:type="dxa"/>
            <w:tcBorders>
              <w:top w:val="single" w:color="auto" w:sz="4" w:space="0"/>
            </w:tcBorders>
            <w:vAlign w:val="center"/>
          </w:tcPr>
          <w:p w14:paraId="2488670F">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0.01L</w:t>
            </w:r>
          </w:p>
        </w:tc>
        <w:tc>
          <w:tcPr>
            <w:tcW w:w="1631" w:type="dxa"/>
            <w:tcBorders>
              <w:top w:val="single" w:color="auto" w:sz="4" w:space="0"/>
            </w:tcBorders>
            <w:vAlign w:val="center"/>
          </w:tcPr>
          <w:p w14:paraId="1FE66C63">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0.035</w:t>
            </w:r>
          </w:p>
        </w:tc>
        <w:tc>
          <w:tcPr>
            <w:tcW w:w="1373" w:type="dxa"/>
            <w:tcBorders>
              <w:top w:val="single" w:color="auto" w:sz="4" w:space="0"/>
            </w:tcBorders>
            <w:vAlign w:val="center"/>
          </w:tcPr>
          <w:p w14:paraId="65D8E5CF">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11.9</w:t>
            </w:r>
          </w:p>
        </w:tc>
        <w:tc>
          <w:tcPr>
            <w:tcW w:w="1373" w:type="dxa"/>
            <w:tcBorders>
              <w:top w:val="single" w:color="auto" w:sz="4" w:space="0"/>
            </w:tcBorders>
            <w:vAlign w:val="center"/>
          </w:tcPr>
          <w:p w14:paraId="4CF519DA">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0.01L</w:t>
            </w:r>
          </w:p>
        </w:tc>
      </w:tr>
      <w:tr w14:paraId="09CD5A3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tcBorders>
            <w:vAlign w:val="center"/>
          </w:tcPr>
          <w:p w14:paraId="4693B667">
            <w:pPr>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tcBorders>
            <w:vAlign w:val="center"/>
          </w:tcPr>
          <w:p w14:paraId="2BC9665C">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标准指数</w:t>
            </w:r>
          </w:p>
        </w:tc>
        <w:tc>
          <w:tcPr>
            <w:tcW w:w="1614" w:type="dxa"/>
            <w:tcBorders>
              <w:top w:val="single" w:color="auto" w:sz="4" w:space="0"/>
            </w:tcBorders>
            <w:vAlign w:val="center"/>
          </w:tcPr>
          <w:p w14:paraId="6868A233">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0.31</w:t>
            </w:r>
          </w:p>
        </w:tc>
        <w:tc>
          <w:tcPr>
            <w:tcW w:w="1305" w:type="dxa"/>
            <w:tcBorders>
              <w:top w:val="single" w:color="auto" w:sz="4" w:space="0"/>
            </w:tcBorders>
            <w:vAlign w:val="center"/>
          </w:tcPr>
          <w:p w14:paraId="11236302">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0.37 </w:t>
            </w:r>
          </w:p>
        </w:tc>
        <w:tc>
          <w:tcPr>
            <w:tcW w:w="1254" w:type="dxa"/>
            <w:tcBorders>
              <w:top w:val="single" w:color="auto" w:sz="4" w:space="0"/>
            </w:tcBorders>
            <w:vAlign w:val="center"/>
          </w:tcPr>
          <w:p w14:paraId="159A0D75">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0.29 </w:t>
            </w:r>
          </w:p>
        </w:tc>
        <w:tc>
          <w:tcPr>
            <w:tcW w:w="1954" w:type="dxa"/>
            <w:tcBorders>
              <w:top w:val="single" w:color="auto" w:sz="4" w:space="0"/>
            </w:tcBorders>
            <w:vAlign w:val="center"/>
          </w:tcPr>
          <w:p w14:paraId="5203112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0.04 </w:t>
            </w:r>
          </w:p>
        </w:tc>
        <w:tc>
          <w:tcPr>
            <w:tcW w:w="1313" w:type="dxa"/>
            <w:tcBorders>
              <w:top w:val="single" w:color="auto" w:sz="4" w:space="0"/>
            </w:tcBorders>
            <w:vAlign w:val="center"/>
          </w:tcPr>
          <w:p w14:paraId="5AB5E23A">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0.03 </w:t>
            </w:r>
          </w:p>
        </w:tc>
        <w:tc>
          <w:tcPr>
            <w:tcW w:w="1631" w:type="dxa"/>
            <w:tcBorders>
              <w:top w:val="single" w:color="auto" w:sz="4" w:space="0"/>
            </w:tcBorders>
            <w:vAlign w:val="center"/>
          </w:tcPr>
          <w:p w14:paraId="0EB4BBD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0.0350 </w:t>
            </w:r>
          </w:p>
        </w:tc>
        <w:tc>
          <w:tcPr>
            <w:tcW w:w="1373" w:type="dxa"/>
            <w:tcBorders>
              <w:top w:val="single" w:color="auto" w:sz="4" w:space="0"/>
            </w:tcBorders>
            <w:vAlign w:val="center"/>
          </w:tcPr>
          <w:p w14:paraId="4696E8B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0.60 </w:t>
            </w:r>
          </w:p>
        </w:tc>
        <w:tc>
          <w:tcPr>
            <w:tcW w:w="1373" w:type="dxa"/>
            <w:tcBorders>
              <w:top w:val="single" w:color="auto" w:sz="4" w:space="0"/>
            </w:tcBorders>
            <w:vAlign w:val="center"/>
          </w:tcPr>
          <w:p w14:paraId="266B9F5C">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0.05</w:t>
            </w:r>
          </w:p>
        </w:tc>
      </w:tr>
      <w:tr w14:paraId="02AAACE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tcBorders>
            <w:vAlign w:val="center"/>
          </w:tcPr>
          <w:p w14:paraId="260A1ED6">
            <w:pPr>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tcBorders>
            <w:vAlign w:val="center"/>
          </w:tcPr>
          <w:p w14:paraId="6D4DB615">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达标情况</w:t>
            </w:r>
          </w:p>
        </w:tc>
        <w:tc>
          <w:tcPr>
            <w:tcW w:w="1614" w:type="dxa"/>
            <w:tcBorders>
              <w:top w:val="single" w:color="auto" w:sz="4" w:space="0"/>
            </w:tcBorders>
            <w:vAlign w:val="center"/>
          </w:tcPr>
          <w:p w14:paraId="594F2243">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05" w:type="dxa"/>
            <w:tcBorders>
              <w:top w:val="single" w:color="auto" w:sz="4" w:space="0"/>
            </w:tcBorders>
            <w:vAlign w:val="center"/>
          </w:tcPr>
          <w:p w14:paraId="4BE24E10">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254" w:type="dxa"/>
            <w:tcBorders>
              <w:top w:val="single" w:color="auto" w:sz="4" w:space="0"/>
            </w:tcBorders>
            <w:vAlign w:val="center"/>
          </w:tcPr>
          <w:p w14:paraId="43D9A0F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954" w:type="dxa"/>
            <w:tcBorders>
              <w:top w:val="single" w:color="auto" w:sz="4" w:space="0"/>
            </w:tcBorders>
            <w:vAlign w:val="center"/>
          </w:tcPr>
          <w:p w14:paraId="0F0105D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13" w:type="dxa"/>
            <w:tcBorders>
              <w:top w:val="single" w:color="auto" w:sz="4" w:space="0"/>
            </w:tcBorders>
            <w:vAlign w:val="center"/>
          </w:tcPr>
          <w:p w14:paraId="3548CD7C">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631" w:type="dxa"/>
            <w:tcBorders>
              <w:top w:val="single" w:color="auto" w:sz="4" w:space="0"/>
            </w:tcBorders>
            <w:vAlign w:val="center"/>
          </w:tcPr>
          <w:p w14:paraId="44FFEE7B">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tcBorders>
            <w:vAlign w:val="center"/>
          </w:tcPr>
          <w:p w14:paraId="296CB5C2">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tcBorders>
            <w:vAlign w:val="center"/>
          </w:tcPr>
          <w:p w14:paraId="4A859B7B">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r w14:paraId="2E6A084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353" w:type="dxa"/>
            <w:gridSpan w:val="2"/>
            <w:tcBorders>
              <w:top w:val="single" w:color="auto" w:sz="4" w:space="0"/>
              <w:left w:val="single" w:color="auto" w:sz="4" w:space="0"/>
              <w:bottom w:val="single" w:color="auto" w:sz="4" w:space="0"/>
              <w:tl2br w:val="single" w:color="auto" w:sz="4" w:space="0"/>
            </w:tcBorders>
            <w:vAlign w:val="center"/>
          </w:tcPr>
          <w:p w14:paraId="68B6FC7E">
            <w:pPr>
              <w:tabs>
                <w:tab w:val="left" w:pos="5745"/>
              </w:tabs>
              <w:spacing w:line="240" w:lineRule="auto"/>
              <w:ind w:firstLine="0" w:firstLineChars="0"/>
              <w:jc w:val="right"/>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监测因子</w:t>
            </w:r>
          </w:p>
          <w:p w14:paraId="4F0155ED">
            <w:pPr>
              <w:tabs>
                <w:tab w:val="left" w:pos="5745"/>
              </w:tabs>
              <w:spacing w:line="240" w:lineRule="auto"/>
              <w:ind w:firstLine="0" w:firstLineChars="0"/>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项目</w:t>
            </w:r>
          </w:p>
        </w:tc>
        <w:tc>
          <w:tcPr>
            <w:tcW w:w="1614" w:type="dxa"/>
            <w:tcBorders>
              <w:top w:val="single" w:color="auto" w:sz="4" w:space="0"/>
              <w:bottom w:val="single" w:color="auto" w:sz="4" w:space="0"/>
            </w:tcBorders>
            <w:vAlign w:val="center"/>
          </w:tcPr>
          <w:p w14:paraId="014A4203">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氟化物</w:t>
            </w:r>
          </w:p>
        </w:tc>
        <w:tc>
          <w:tcPr>
            <w:tcW w:w="1305" w:type="dxa"/>
            <w:tcBorders>
              <w:top w:val="single" w:color="auto" w:sz="4" w:space="0"/>
              <w:bottom w:val="single" w:color="auto" w:sz="4" w:space="0"/>
            </w:tcBorders>
            <w:vAlign w:val="center"/>
          </w:tcPr>
          <w:p w14:paraId="18D3298F">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总大肠菌群</w:t>
            </w:r>
          </w:p>
        </w:tc>
        <w:tc>
          <w:tcPr>
            <w:tcW w:w="1254" w:type="dxa"/>
            <w:tcBorders>
              <w:top w:val="single" w:color="auto" w:sz="4" w:space="0"/>
              <w:bottom w:val="single" w:color="auto" w:sz="4" w:space="0"/>
            </w:tcBorders>
            <w:vAlign w:val="center"/>
          </w:tcPr>
          <w:p w14:paraId="77EE1CD4">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挥发酚</w:t>
            </w:r>
          </w:p>
        </w:tc>
        <w:tc>
          <w:tcPr>
            <w:tcW w:w="1954" w:type="dxa"/>
            <w:tcBorders>
              <w:top w:val="single" w:color="auto" w:sz="4" w:space="0"/>
              <w:bottom w:val="single" w:color="auto" w:sz="4" w:space="0"/>
            </w:tcBorders>
            <w:vAlign w:val="center"/>
          </w:tcPr>
          <w:p w14:paraId="04D4DA1B">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汞</w:t>
            </w:r>
          </w:p>
        </w:tc>
        <w:tc>
          <w:tcPr>
            <w:tcW w:w="1313" w:type="dxa"/>
            <w:tcBorders>
              <w:top w:val="single" w:color="auto" w:sz="4" w:space="0"/>
              <w:bottom w:val="single" w:color="auto" w:sz="4" w:space="0"/>
            </w:tcBorders>
            <w:vAlign w:val="center"/>
          </w:tcPr>
          <w:p w14:paraId="74BFFB06">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砷</w:t>
            </w:r>
          </w:p>
        </w:tc>
        <w:tc>
          <w:tcPr>
            <w:tcW w:w="1631" w:type="dxa"/>
            <w:tcBorders>
              <w:top w:val="single" w:color="auto" w:sz="4" w:space="0"/>
              <w:bottom w:val="single" w:color="auto" w:sz="4" w:space="0"/>
            </w:tcBorders>
            <w:vAlign w:val="center"/>
          </w:tcPr>
          <w:p w14:paraId="040DFE62">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溶解性总固体</w:t>
            </w:r>
          </w:p>
        </w:tc>
        <w:tc>
          <w:tcPr>
            <w:tcW w:w="1373" w:type="dxa"/>
            <w:tcBorders>
              <w:top w:val="single" w:color="auto" w:sz="4" w:space="0"/>
              <w:bottom w:val="single" w:color="auto" w:sz="4" w:space="0"/>
            </w:tcBorders>
            <w:vAlign w:val="center"/>
          </w:tcPr>
          <w:p w14:paraId="27E4A9FA">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菌落总数</w:t>
            </w:r>
          </w:p>
        </w:tc>
        <w:tc>
          <w:tcPr>
            <w:tcW w:w="1373" w:type="dxa"/>
            <w:tcBorders>
              <w:top w:val="single" w:color="auto" w:sz="4" w:space="0"/>
              <w:bottom w:val="single" w:color="auto" w:sz="4" w:space="0"/>
            </w:tcBorders>
            <w:vAlign w:val="center"/>
          </w:tcPr>
          <w:p w14:paraId="0A59B464">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总硬度</w:t>
            </w:r>
          </w:p>
        </w:tc>
      </w:tr>
      <w:tr w14:paraId="759E86A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restart"/>
            <w:tcBorders>
              <w:top w:val="single" w:color="auto" w:sz="4" w:space="0"/>
              <w:left w:val="single" w:color="auto" w:sz="4" w:space="0"/>
            </w:tcBorders>
            <w:vAlign w:val="center"/>
          </w:tcPr>
          <w:p w14:paraId="34CBEB6D">
            <w:pPr>
              <w:adjustRightInd/>
              <w:snapToGrid/>
              <w:spacing w:line="340" w:lineRule="exact"/>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S1</w:t>
            </w:r>
          </w:p>
        </w:tc>
        <w:tc>
          <w:tcPr>
            <w:tcW w:w="1622" w:type="dxa"/>
            <w:tcBorders>
              <w:top w:val="single" w:color="auto" w:sz="4" w:space="0"/>
              <w:left w:val="single" w:color="auto" w:sz="4" w:space="0"/>
              <w:bottom w:val="single" w:color="auto" w:sz="4" w:space="0"/>
            </w:tcBorders>
            <w:vAlign w:val="center"/>
          </w:tcPr>
          <w:p w14:paraId="0E137C75">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监测值</w:t>
            </w:r>
          </w:p>
        </w:tc>
        <w:tc>
          <w:tcPr>
            <w:tcW w:w="1614" w:type="dxa"/>
            <w:tcBorders>
              <w:top w:val="single" w:color="auto" w:sz="4" w:space="0"/>
              <w:bottom w:val="single" w:color="auto" w:sz="4" w:space="0"/>
            </w:tcBorders>
            <w:vAlign w:val="center"/>
          </w:tcPr>
          <w:p w14:paraId="1C9A4F66">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0.002L</w:t>
            </w:r>
          </w:p>
        </w:tc>
        <w:tc>
          <w:tcPr>
            <w:tcW w:w="1305" w:type="dxa"/>
            <w:tcBorders>
              <w:top w:val="single" w:color="auto" w:sz="4" w:space="0"/>
              <w:bottom w:val="single" w:color="auto" w:sz="4" w:space="0"/>
            </w:tcBorders>
            <w:vAlign w:val="center"/>
          </w:tcPr>
          <w:p w14:paraId="66E4CD0D">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＜2</w:t>
            </w:r>
          </w:p>
        </w:tc>
        <w:tc>
          <w:tcPr>
            <w:tcW w:w="1254" w:type="dxa"/>
            <w:tcBorders>
              <w:top w:val="single" w:color="auto" w:sz="4" w:space="0"/>
              <w:bottom w:val="single" w:color="auto" w:sz="4" w:space="0"/>
            </w:tcBorders>
            <w:vAlign w:val="center"/>
          </w:tcPr>
          <w:p w14:paraId="729B531F">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0.0003</w:t>
            </w:r>
          </w:p>
        </w:tc>
        <w:tc>
          <w:tcPr>
            <w:tcW w:w="1954" w:type="dxa"/>
            <w:tcBorders>
              <w:top w:val="single" w:color="auto" w:sz="4" w:space="0"/>
              <w:bottom w:val="single" w:color="auto" w:sz="4" w:space="0"/>
            </w:tcBorders>
            <w:vAlign w:val="center"/>
          </w:tcPr>
          <w:p w14:paraId="4BD0BF93">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4×10</w:t>
            </w:r>
            <w:r>
              <w:rPr>
                <w:color w:val="000000" w:themeColor="text1"/>
                <w:sz w:val="21"/>
                <w:szCs w:val="21"/>
                <w:vertAlign w:val="superscript"/>
                <w14:textFill>
                  <w14:solidFill>
                    <w14:schemeClr w14:val="tx1"/>
                  </w14:solidFill>
                </w14:textFill>
              </w:rPr>
              <w:t>-5</w:t>
            </w:r>
            <w:r>
              <w:rPr>
                <w:color w:val="000000" w:themeColor="text1"/>
                <w:sz w:val="21"/>
                <w:szCs w:val="21"/>
                <w14:textFill>
                  <w14:solidFill>
                    <w14:schemeClr w14:val="tx1"/>
                  </w14:solidFill>
                </w14:textFill>
              </w:rPr>
              <w:t>L</w:t>
            </w:r>
          </w:p>
        </w:tc>
        <w:tc>
          <w:tcPr>
            <w:tcW w:w="1313" w:type="dxa"/>
            <w:tcBorders>
              <w:top w:val="single" w:color="auto" w:sz="4" w:space="0"/>
              <w:bottom w:val="single" w:color="auto" w:sz="4" w:space="0"/>
            </w:tcBorders>
            <w:vAlign w:val="center"/>
          </w:tcPr>
          <w:p w14:paraId="22525939">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3×10</w:t>
            </w:r>
            <w:r>
              <w:rPr>
                <w:rFonts w:hint="eastAsia"/>
                <w:color w:val="000000" w:themeColor="text1"/>
                <w:sz w:val="21"/>
                <w:szCs w:val="21"/>
                <w:vertAlign w:val="superscript"/>
                <w14:textFill>
                  <w14:solidFill>
                    <w14:schemeClr w14:val="tx1"/>
                  </w14:solidFill>
                </w14:textFill>
              </w:rPr>
              <w:t>-</w:t>
            </w:r>
            <w:r>
              <w:rPr>
                <w:color w:val="000000" w:themeColor="text1"/>
                <w:sz w:val="21"/>
                <w:szCs w:val="21"/>
                <w:vertAlign w:val="superscript"/>
                <w14:textFill>
                  <w14:solidFill>
                    <w14:schemeClr w14:val="tx1"/>
                  </w14:solidFill>
                </w14:textFill>
              </w:rPr>
              <w:t>4</w:t>
            </w:r>
            <w:r>
              <w:rPr>
                <w:color w:val="000000" w:themeColor="text1"/>
                <w:sz w:val="21"/>
                <w:szCs w:val="21"/>
                <w14:textFill>
                  <w14:solidFill>
                    <w14:schemeClr w14:val="tx1"/>
                  </w14:solidFill>
                </w14:textFill>
              </w:rPr>
              <w:t>L</w:t>
            </w:r>
          </w:p>
        </w:tc>
        <w:tc>
          <w:tcPr>
            <w:tcW w:w="1631" w:type="dxa"/>
            <w:tcBorders>
              <w:top w:val="single" w:color="auto" w:sz="4" w:space="0"/>
              <w:bottom w:val="single" w:color="auto" w:sz="4" w:space="0"/>
            </w:tcBorders>
            <w:vAlign w:val="center"/>
          </w:tcPr>
          <w:p w14:paraId="4C35ABFC">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521</w:t>
            </w:r>
          </w:p>
        </w:tc>
        <w:tc>
          <w:tcPr>
            <w:tcW w:w="1373" w:type="dxa"/>
            <w:tcBorders>
              <w:top w:val="single" w:color="auto" w:sz="4" w:space="0"/>
              <w:bottom w:val="single" w:color="auto" w:sz="4" w:space="0"/>
            </w:tcBorders>
            <w:vAlign w:val="center"/>
          </w:tcPr>
          <w:p w14:paraId="4213B8F0">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67</w:t>
            </w:r>
          </w:p>
        </w:tc>
        <w:tc>
          <w:tcPr>
            <w:tcW w:w="1373" w:type="dxa"/>
            <w:tcBorders>
              <w:top w:val="single" w:color="auto" w:sz="4" w:space="0"/>
              <w:bottom w:val="single" w:color="auto" w:sz="4" w:space="0"/>
            </w:tcBorders>
            <w:vAlign w:val="center"/>
          </w:tcPr>
          <w:p w14:paraId="09AAB99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398</w:t>
            </w:r>
          </w:p>
        </w:tc>
      </w:tr>
      <w:tr w14:paraId="754AAC8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tcBorders>
            <w:vAlign w:val="center"/>
          </w:tcPr>
          <w:p w14:paraId="5D9FD834">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14:paraId="58363DB2">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标准指数</w:t>
            </w:r>
          </w:p>
        </w:tc>
        <w:tc>
          <w:tcPr>
            <w:tcW w:w="1614" w:type="dxa"/>
            <w:tcBorders>
              <w:top w:val="single" w:color="auto" w:sz="4" w:space="0"/>
              <w:bottom w:val="single" w:color="auto" w:sz="4" w:space="0"/>
            </w:tcBorders>
            <w:vAlign w:val="center"/>
          </w:tcPr>
          <w:p w14:paraId="33E9CAB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0.001 </w:t>
            </w:r>
          </w:p>
        </w:tc>
        <w:tc>
          <w:tcPr>
            <w:tcW w:w="1305" w:type="dxa"/>
            <w:tcBorders>
              <w:top w:val="single" w:color="auto" w:sz="4" w:space="0"/>
              <w:bottom w:val="single" w:color="auto" w:sz="4" w:space="0"/>
            </w:tcBorders>
            <w:vAlign w:val="center"/>
          </w:tcPr>
          <w:p w14:paraId="2B122A9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0.667</w:t>
            </w:r>
          </w:p>
        </w:tc>
        <w:tc>
          <w:tcPr>
            <w:tcW w:w="1254" w:type="dxa"/>
            <w:tcBorders>
              <w:top w:val="single" w:color="auto" w:sz="4" w:space="0"/>
              <w:bottom w:val="single" w:color="auto" w:sz="4" w:space="0"/>
            </w:tcBorders>
            <w:vAlign w:val="center"/>
          </w:tcPr>
          <w:p w14:paraId="72F8BC7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0.075</w:t>
            </w:r>
          </w:p>
        </w:tc>
        <w:tc>
          <w:tcPr>
            <w:tcW w:w="1954" w:type="dxa"/>
            <w:tcBorders>
              <w:top w:val="single" w:color="auto" w:sz="4" w:space="0"/>
              <w:bottom w:val="single" w:color="auto" w:sz="4" w:space="0"/>
            </w:tcBorders>
            <w:vAlign w:val="center"/>
          </w:tcPr>
          <w:p w14:paraId="4B632AB9">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0.02</w:t>
            </w:r>
          </w:p>
        </w:tc>
        <w:tc>
          <w:tcPr>
            <w:tcW w:w="1313" w:type="dxa"/>
            <w:tcBorders>
              <w:top w:val="single" w:color="auto" w:sz="4" w:space="0"/>
              <w:bottom w:val="single" w:color="auto" w:sz="4" w:space="0"/>
            </w:tcBorders>
            <w:vAlign w:val="center"/>
          </w:tcPr>
          <w:p w14:paraId="366AE109">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0.015</w:t>
            </w:r>
          </w:p>
        </w:tc>
        <w:tc>
          <w:tcPr>
            <w:tcW w:w="1631" w:type="dxa"/>
            <w:tcBorders>
              <w:top w:val="single" w:color="auto" w:sz="4" w:space="0"/>
              <w:bottom w:val="single" w:color="auto" w:sz="4" w:space="0"/>
            </w:tcBorders>
            <w:vAlign w:val="center"/>
          </w:tcPr>
          <w:p w14:paraId="3D47EA5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0.52 </w:t>
            </w:r>
          </w:p>
        </w:tc>
        <w:tc>
          <w:tcPr>
            <w:tcW w:w="1373" w:type="dxa"/>
            <w:tcBorders>
              <w:top w:val="single" w:color="auto" w:sz="4" w:space="0"/>
              <w:bottom w:val="single" w:color="auto" w:sz="4" w:space="0"/>
            </w:tcBorders>
            <w:vAlign w:val="center"/>
          </w:tcPr>
          <w:p w14:paraId="0AF5DDC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0.67 </w:t>
            </w:r>
          </w:p>
        </w:tc>
        <w:tc>
          <w:tcPr>
            <w:tcW w:w="1373" w:type="dxa"/>
            <w:tcBorders>
              <w:top w:val="single" w:color="auto" w:sz="4" w:space="0"/>
              <w:bottom w:val="single" w:color="auto" w:sz="4" w:space="0"/>
            </w:tcBorders>
            <w:vAlign w:val="center"/>
          </w:tcPr>
          <w:p w14:paraId="154AE54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0.88 </w:t>
            </w:r>
          </w:p>
        </w:tc>
      </w:tr>
      <w:tr w14:paraId="019104AF">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bottom w:val="single" w:color="auto" w:sz="4" w:space="0"/>
            </w:tcBorders>
            <w:vAlign w:val="center"/>
          </w:tcPr>
          <w:p w14:paraId="4CC9D225">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14:paraId="758FAF47">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达标情况</w:t>
            </w:r>
          </w:p>
        </w:tc>
        <w:tc>
          <w:tcPr>
            <w:tcW w:w="1614" w:type="dxa"/>
            <w:tcBorders>
              <w:top w:val="single" w:color="auto" w:sz="4" w:space="0"/>
              <w:bottom w:val="single" w:color="auto" w:sz="4" w:space="0"/>
            </w:tcBorders>
            <w:vAlign w:val="center"/>
          </w:tcPr>
          <w:p w14:paraId="24442ED5">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05" w:type="dxa"/>
            <w:tcBorders>
              <w:top w:val="single" w:color="auto" w:sz="4" w:space="0"/>
              <w:bottom w:val="single" w:color="auto" w:sz="4" w:space="0"/>
            </w:tcBorders>
            <w:vAlign w:val="center"/>
          </w:tcPr>
          <w:p w14:paraId="66C5548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254" w:type="dxa"/>
            <w:tcBorders>
              <w:top w:val="single" w:color="auto" w:sz="4" w:space="0"/>
              <w:bottom w:val="single" w:color="auto" w:sz="4" w:space="0"/>
            </w:tcBorders>
            <w:vAlign w:val="center"/>
          </w:tcPr>
          <w:p w14:paraId="3B49A7C0">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954" w:type="dxa"/>
            <w:tcBorders>
              <w:top w:val="single" w:color="auto" w:sz="4" w:space="0"/>
              <w:bottom w:val="single" w:color="auto" w:sz="4" w:space="0"/>
            </w:tcBorders>
            <w:vAlign w:val="center"/>
          </w:tcPr>
          <w:p w14:paraId="13B53443">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13" w:type="dxa"/>
            <w:tcBorders>
              <w:top w:val="single" w:color="auto" w:sz="4" w:space="0"/>
              <w:bottom w:val="single" w:color="auto" w:sz="4" w:space="0"/>
            </w:tcBorders>
            <w:vAlign w:val="center"/>
          </w:tcPr>
          <w:p w14:paraId="29A2BB11">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631" w:type="dxa"/>
            <w:tcBorders>
              <w:top w:val="single" w:color="auto" w:sz="4" w:space="0"/>
              <w:bottom w:val="single" w:color="auto" w:sz="4" w:space="0"/>
            </w:tcBorders>
            <w:vAlign w:val="center"/>
          </w:tcPr>
          <w:p w14:paraId="62EF5503">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bottom w:val="single" w:color="auto" w:sz="4" w:space="0"/>
            </w:tcBorders>
            <w:vAlign w:val="center"/>
          </w:tcPr>
          <w:p w14:paraId="129D4C21">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bottom w:val="single" w:color="auto" w:sz="4" w:space="0"/>
            </w:tcBorders>
            <w:vAlign w:val="center"/>
          </w:tcPr>
          <w:p w14:paraId="377E410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r w14:paraId="5F35AB3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restart"/>
            <w:tcBorders>
              <w:top w:val="single" w:color="auto" w:sz="4" w:space="0"/>
              <w:left w:val="single" w:color="auto" w:sz="4" w:space="0"/>
            </w:tcBorders>
            <w:vAlign w:val="center"/>
          </w:tcPr>
          <w:p w14:paraId="336D52F7">
            <w:pPr>
              <w:adjustRightInd/>
              <w:snapToGrid/>
              <w:spacing w:line="340" w:lineRule="exact"/>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S2</w:t>
            </w:r>
          </w:p>
        </w:tc>
        <w:tc>
          <w:tcPr>
            <w:tcW w:w="1622" w:type="dxa"/>
            <w:tcBorders>
              <w:top w:val="single" w:color="auto" w:sz="4" w:space="0"/>
              <w:left w:val="single" w:color="auto" w:sz="4" w:space="0"/>
              <w:bottom w:val="single" w:color="auto" w:sz="4" w:space="0"/>
            </w:tcBorders>
            <w:vAlign w:val="center"/>
          </w:tcPr>
          <w:p w14:paraId="041499B7">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监测值</w:t>
            </w:r>
          </w:p>
        </w:tc>
        <w:tc>
          <w:tcPr>
            <w:tcW w:w="1614" w:type="dxa"/>
            <w:tcBorders>
              <w:top w:val="single" w:color="auto" w:sz="4" w:space="0"/>
              <w:bottom w:val="single" w:color="auto" w:sz="4" w:space="0"/>
            </w:tcBorders>
            <w:vAlign w:val="center"/>
          </w:tcPr>
          <w:p w14:paraId="2559A12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0.002L</w:t>
            </w:r>
          </w:p>
        </w:tc>
        <w:tc>
          <w:tcPr>
            <w:tcW w:w="1305" w:type="dxa"/>
            <w:tcBorders>
              <w:top w:val="single" w:color="auto" w:sz="4" w:space="0"/>
              <w:bottom w:val="single" w:color="auto" w:sz="4" w:space="0"/>
            </w:tcBorders>
            <w:vAlign w:val="center"/>
          </w:tcPr>
          <w:p w14:paraId="7A879EE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2</w:t>
            </w:r>
          </w:p>
        </w:tc>
        <w:tc>
          <w:tcPr>
            <w:tcW w:w="1254" w:type="dxa"/>
            <w:tcBorders>
              <w:top w:val="single" w:color="auto" w:sz="4" w:space="0"/>
              <w:bottom w:val="single" w:color="auto" w:sz="4" w:space="0"/>
            </w:tcBorders>
            <w:vAlign w:val="center"/>
          </w:tcPr>
          <w:p w14:paraId="3FE71A2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0.0003L</w:t>
            </w:r>
          </w:p>
        </w:tc>
        <w:tc>
          <w:tcPr>
            <w:tcW w:w="1954" w:type="dxa"/>
            <w:tcBorders>
              <w:top w:val="single" w:color="auto" w:sz="4" w:space="0"/>
              <w:bottom w:val="single" w:color="auto" w:sz="4" w:space="0"/>
            </w:tcBorders>
            <w:vAlign w:val="center"/>
          </w:tcPr>
          <w:p w14:paraId="1FE34ED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4×10</w:t>
            </w:r>
            <w:r>
              <w:rPr>
                <w:color w:val="000000" w:themeColor="text1"/>
                <w:sz w:val="21"/>
                <w:szCs w:val="21"/>
                <w:vertAlign w:val="superscript"/>
                <w14:textFill>
                  <w14:solidFill>
                    <w14:schemeClr w14:val="tx1"/>
                  </w14:solidFill>
                </w14:textFill>
              </w:rPr>
              <w:t>-5</w:t>
            </w:r>
            <w:r>
              <w:rPr>
                <w:color w:val="000000" w:themeColor="text1"/>
                <w:sz w:val="21"/>
                <w:szCs w:val="21"/>
                <w14:textFill>
                  <w14:solidFill>
                    <w14:schemeClr w14:val="tx1"/>
                  </w14:solidFill>
                </w14:textFill>
              </w:rPr>
              <w:t>L</w:t>
            </w:r>
          </w:p>
        </w:tc>
        <w:tc>
          <w:tcPr>
            <w:tcW w:w="1313" w:type="dxa"/>
            <w:tcBorders>
              <w:top w:val="single" w:color="auto" w:sz="4" w:space="0"/>
              <w:bottom w:val="single" w:color="auto" w:sz="4" w:space="0"/>
            </w:tcBorders>
            <w:vAlign w:val="center"/>
          </w:tcPr>
          <w:p w14:paraId="6E55686C">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3×10</w:t>
            </w:r>
            <w:r>
              <w:rPr>
                <w:color w:val="000000" w:themeColor="text1"/>
                <w:sz w:val="21"/>
                <w:szCs w:val="21"/>
                <w:vertAlign w:val="superscript"/>
                <w14:textFill>
                  <w14:solidFill>
                    <w14:schemeClr w14:val="tx1"/>
                  </w14:solidFill>
                </w14:textFill>
              </w:rPr>
              <w:t>-4</w:t>
            </w:r>
            <w:r>
              <w:rPr>
                <w:color w:val="000000" w:themeColor="text1"/>
                <w:sz w:val="21"/>
                <w:szCs w:val="21"/>
                <w14:textFill>
                  <w14:solidFill>
                    <w14:schemeClr w14:val="tx1"/>
                  </w14:solidFill>
                </w14:textFill>
              </w:rPr>
              <w:t>L</w:t>
            </w:r>
          </w:p>
        </w:tc>
        <w:tc>
          <w:tcPr>
            <w:tcW w:w="1631" w:type="dxa"/>
            <w:tcBorders>
              <w:top w:val="single" w:color="auto" w:sz="4" w:space="0"/>
              <w:bottom w:val="single" w:color="auto" w:sz="4" w:space="0"/>
            </w:tcBorders>
            <w:vAlign w:val="center"/>
          </w:tcPr>
          <w:p w14:paraId="5D93E5E7">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634</w:t>
            </w:r>
          </w:p>
        </w:tc>
        <w:tc>
          <w:tcPr>
            <w:tcW w:w="1373" w:type="dxa"/>
            <w:tcBorders>
              <w:top w:val="single" w:color="auto" w:sz="4" w:space="0"/>
              <w:bottom w:val="single" w:color="auto" w:sz="4" w:space="0"/>
            </w:tcBorders>
            <w:vAlign w:val="center"/>
          </w:tcPr>
          <w:p w14:paraId="0DE7B3B3">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80</w:t>
            </w:r>
          </w:p>
        </w:tc>
        <w:tc>
          <w:tcPr>
            <w:tcW w:w="1373" w:type="dxa"/>
            <w:tcBorders>
              <w:top w:val="single" w:color="auto" w:sz="4" w:space="0"/>
              <w:bottom w:val="single" w:color="auto" w:sz="4" w:space="0"/>
            </w:tcBorders>
            <w:vAlign w:val="center"/>
          </w:tcPr>
          <w:p w14:paraId="0CE59945">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447</w:t>
            </w:r>
          </w:p>
        </w:tc>
      </w:tr>
      <w:tr w14:paraId="390A7AD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tcBorders>
            <w:vAlign w:val="center"/>
          </w:tcPr>
          <w:p w14:paraId="28F6D4FF">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14:paraId="2055F6F5">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标准指数</w:t>
            </w:r>
          </w:p>
        </w:tc>
        <w:tc>
          <w:tcPr>
            <w:tcW w:w="1614" w:type="dxa"/>
            <w:tcBorders>
              <w:top w:val="single" w:color="auto" w:sz="4" w:space="0"/>
              <w:bottom w:val="single" w:color="auto" w:sz="4" w:space="0"/>
            </w:tcBorders>
            <w:vAlign w:val="center"/>
          </w:tcPr>
          <w:p w14:paraId="1CEFD0F3">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0.001 </w:t>
            </w:r>
          </w:p>
        </w:tc>
        <w:tc>
          <w:tcPr>
            <w:tcW w:w="1305" w:type="dxa"/>
            <w:tcBorders>
              <w:top w:val="single" w:color="auto" w:sz="4" w:space="0"/>
              <w:bottom w:val="single" w:color="auto" w:sz="4" w:space="0"/>
            </w:tcBorders>
            <w:vAlign w:val="center"/>
          </w:tcPr>
          <w:p w14:paraId="372FB9B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0.667</w:t>
            </w:r>
          </w:p>
        </w:tc>
        <w:tc>
          <w:tcPr>
            <w:tcW w:w="1254" w:type="dxa"/>
            <w:tcBorders>
              <w:top w:val="single" w:color="auto" w:sz="4" w:space="0"/>
              <w:bottom w:val="single" w:color="auto" w:sz="4" w:space="0"/>
            </w:tcBorders>
            <w:vAlign w:val="center"/>
          </w:tcPr>
          <w:p w14:paraId="3CF5821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0.075</w:t>
            </w:r>
          </w:p>
        </w:tc>
        <w:tc>
          <w:tcPr>
            <w:tcW w:w="1954" w:type="dxa"/>
            <w:tcBorders>
              <w:top w:val="single" w:color="auto" w:sz="4" w:space="0"/>
              <w:bottom w:val="single" w:color="auto" w:sz="4" w:space="0"/>
            </w:tcBorders>
            <w:vAlign w:val="center"/>
          </w:tcPr>
          <w:p w14:paraId="318CA4EB">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0.02</w:t>
            </w:r>
          </w:p>
        </w:tc>
        <w:tc>
          <w:tcPr>
            <w:tcW w:w="1313" w:type="dxa"/>
            <w:tcBorders>
              <w:top w:val="single" w:color="auto" w:sz="4" w:space="0"/>
              <w:bottom w:val="single" w:color="auto" w:sz="4" w:space="0"/>
            </w:tcBorders>
            <w:vAlign w:val="center"/>
          </w:tcPr>
          <w:p w14:paraId="7B9F88CF">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0.015</w:t>
            </w:r>
          </w:p>
        </w:tc>
        <w:tc>
          <w:tcPr>
            <w:tcW w:w="1631" w:type="dxa"/>
            <w:tcBorders>
              <w:top w:val="single" w:color="auto" w:sz="4" w:space="0"/>
              <w:bottom w:val="single" w:color="auto" w:sz="4" w:space="0"/>
            </w:tcBorders>
            <w:vAlign w:val="center"/>
          </w:tcPr>
          <w:p w14:paraId="32506B4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0.63 </w:t>
            </w:r>
          </w:p>
        </w:tc>
        <w:tc>
          <w:tcPr>
            <w:tcW w:w="1373" w:type="dxa"/>
            <w:tcBorders>
              <w:top w:val="single" w:color="auto" w:sz="4" w:space="0"/>
              <w:bottom w:val="single" w:color="auto" w:sz="4" w:space="0"/>
            </w:tcBorders>
            <w:vAlign w:val="center"/>
          </w:tcPr>
          <w:p w14:paraId="52315DC9">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0.80 </w:t>
            </w:r>
          </w:p>
        </w:tc>
        <w:tc>
          <w:tcPr>
            <w:tcW w:w="1373" w:type="dxa"/>
            <w:tcBorders>
              <w:top w:val="single" w:color="auto" w:sz="4" w:space="0"/>
              <w:bottom w:val="single" w:color="auto" w:sz="4" w:space="0"/>
            </w:tcBorders>
            <w:vAlign w:val="center"/>
          </w:tcPr>
          <w:p w14:paraId="4AE7C8AD">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0.99 </w:t>
            </w:r>
          </w:p>
        </w:tc>
      </w:tr>
      <w:tr w14:paraId="37DED830">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bottom w:val="single" w:color="auto" w:sz="4" w:space="0"/>
            </w:tcBorders>
            <w:vAlign w:val="center"/>
          </w:tcPr>
          <w:p w14:paraId="6216D2A8">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14:paraId="209C675A">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达标情况</w:t>
            </w:r>
          </w:p>
        </w:tc>
        <w:tc>
          <w:tcPr>
            <w:tcW w:w="1614" w:type="dxa"/>
            <w:tcBorders>
              <w:top w:val="single" w:color="auto" w:sz="4" w:space="0"/>
              <w:bottom w:val="single" w:color="auto" w:sz="4" w:space="0"/>
            </w:tcBorders>
            <w:vAlign w:val="center"/>
          </w:tcPr>
          <w:p w14:paraId="2B35A5E3">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05" w:type="dxa"/>
            <w:tcBorders>
              <w:top w:val="single" w:color="auto" w:sz="4" w:space="0"/>
              <w:bottom w:val="single" w:color="auto" w:sz="4" w:space="0"/>
            </w:tcBorders>
            <w:vAlign w:val="center"/>
          </w:tcPr>
          <w:p w14:paraId="4429C62A">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254" w:type="dxa"/>
            <w:tcBorders>
              <w:top w:val="single" w:color="auto" w:sz="4" w:space="0"/>
              <w:bottom w:val="single" w:color="auto" w:sz="4" w:space="0"/>
            </w:tcBorders>
            <w:vAlign w:val="center"/>
          </w:tcPr>
          <w:p w14:paraId="11A404CA">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954" w:type="dxa"/>
            <w:tcBorders>
              <w:top w:val="single" w:color="auto" w:sz="4" w:space="0"/>
              <w:bottom w:val="single" w:color="auto" w:sz="4" w:space="0"/>
            </w:tcBorders>
            <w:vAlign w:val="center"/>
          </w:tcPr>
          <w:p w14:paraId="5C58707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13" w:type="dxa"/>
            <w:tcBorders>
              <w:top w:val="single" w:color="auto" w:sz="4" w:space="0"/>
              <w:bottom w:val="single" w:color="auto" w:sz="4" w:space="0"/>
            </w:tcBorders>
            <w:vAlign w:val="center"/>
          </w:tcPr>
          <w:p w14:paraId="47DEFF63">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631" w:type="dxa"/>
            <w:tcBorders>
              <w:top w:val="single" w:color="auto" w:sz="4" w:space="0"/>
              <w:bottom w:val="single" w:color="auto" w:sz="4" w:space="0"/>
            </w:tcBorders>
            <w:vAlign w:val="center"/>
          </w:tcPr>
          <w:p w14:paraId="50F84C5C">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bottom w:val="single" w:color="auto" w:sz="4" w:space="0"/>
            </w:tcBorders>
            <w:vAlign w:val="center"/>
          </w:tcPr>
          <w:p w14:paraId="609645A1">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bottom w:val="single" w:color="auto" w:sz="4" w:space="0"/>
            </w:tcBorders>
            <w:vAlign w:val="center"/>
          </w:tcPr>
          <w:p w14:paraId="7FFA140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r w14:paraId="0D1B8F0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restart"/>
            <w:tcBorders>
              <w:top w:val="single" w:color="auto" w:sz="4" w:space="0"/>
              <w:left w:val="single" w:color="auto" w:sz="4" w:space="0"/>
            </w:tcBorders>
            <w:vAlign w:val="center"/>
          </w:tcPr>
          <w:p w14:paraId="7B18714A">
            <w:pPr>
              <w:adjustRightInd/>
              <w:snapToGrid/>
              <w:spacing w:line="340" w:lineRule="exact"/>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S3</w:t>
            </w:r>
          </w:p>
        </w:tc>
        <w:tc>
          <w:tcPr>
            <w:tcW w:w="1622" w:type="dxa"/>
            <w:tcBorders>
              <w:top w:val="single" w:color="auto" w:sz="4" w:space="0"/>
              <w:left w:val="single" w:color="auto" w:sz="4" w:space="0"/>
              <w:bottom w:val="single" w:color="auto" w:sz="4" w:space="0"/>
            </w:tcBorders>
            <w:vAlign w:val="center"/>
          </w:tcPr>
          <w:p w14:paraId="73BF2B80">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监测值</w:t>
            </w:r>
          </w:p>
        </w:tc>
        <w:tc>
          <w:tcPr>
            <w:tcW w:w="1614" w:type="dxa"/>
            <w:tcBorders>
              <w:top w:val="single" w:color="auto" w:sz="4" w:space="0"/>
              <w:bottom w:val="single" w:color="auto" w:sz="4" w:space="0"/>
            </w:tcBorders>
            <w:vAlign w:val="center"/>
          </w:tcPr>
          <w:p w14:paraId="07F4C50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0.002L</w:t>
            </w:r>
          </w:p>
        </w:tc>
        <w:tc>
          <w:tcPr>
            <w:tcW w:w="1305" w:type="dxa"/>
            <w:tcBorders>
              <w:top w:val="single" w:color="auto" w:sz="4" w:space="0"/>
              <w:bottom w:val="single" w:color="auto" w:sz="4" w:space="0"/>
            </w:tcBorders>
            <w:vAlign w:val="center"/>
          </w:tcPr>
          <w:p w14:paraId="5436D323">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rFonts w:hint="eastAsia"/>
                <w:color w:val="000000" w:themeColor="text1"/>
                <w:sz w:val="21"/>
                <w:szCs w:val="21"/>
                <w14:textFill>
                  <w14:solidFill>
                    <w14:schemeClr w14:val="tx1"/>
                  </w14:solidFill>
                </w14:textFill>
              </w:rPr>
              <w:t>&lt;</w:t>
            </w:r>
            <w:r>
              <w:rPr>
                <w:color w:val="000000" w:themeColor="text1"/>
                <w:sz w:val="21"/>
                <w:szCs w:val="21"/>
                <w14:textFill>
                  <w14:solidFill>
                    <w14:schemeClr w14:val="tx1"/>
                  </w14:solidFill>
                </w14:textFill>
              </w:rPr>
              <w:t>2</w:t>
            </w:r>
          </w:p>
        </w:tc>
        <w:tc>
          <w:tcPr>
            <w:tcW w:w="1254" w:type="dxa"/>
            <w:tcBorders>
              <w:top w:val="single" w:color="auto" w:sz="4" w:space="0"/>
              <w:bottom w:val="single" w:color="auto" w:sz="4" w:space="0"/>
            </w:tcBorders>
            <w:vAlign w:val="center"/>
          </w:tcPr>
          <w:p w14:paraId="564ED7C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0.0003L</w:t>
            </w:r>
          </w:p>
        </w:tc>
        <w:tc>
          <w:tcPr>
            <w:tcW w:w="1954" w:type="dxa"/>
            <w:tcBorders>
              <w:top w:val="single" w:color="auto" w:sz="4" w:space="0"/>
              <w:bottom w:val="single" w:color="auto" w:sz="4" w:space="0"/>
            </w:tcBorders>
            <w:vAlign w:val="center"/>
          </w:tcPr>
          <w:p w14:paraId="29B7F27D">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4×10</w:t>
            </w:r>
            <w:r>
              <w:rPr>
                <w:color w:val="000000" w:themeColor="text1"/>
                <w:sz w:val="21"/>
                <w:szCs w:val="21"/>
                <w:vertAlign w:val="superscript"/>
                <w14:textFill>
                  <w14:solidFill>
                    <w14:schemeClr w14:val="tx1"/>
                  </w14:solidFill>
                </w14:textFill>
              </w:rPr>
              <w:t>-5</w:t>
            </w:r>
            <w:r>
              <w:rPr>
                <w:color w:val="000000" w:themeColor="text1"/>
                <w:sz w:val="21"/>
                <w:szCs w:val="21"/>
                <w14:textFill>
                  <w14:solidFill>
                    <w14:schemeClr w14:val="tx1"/>
                  </w14:solidFill>
                </w14:textFill>
              </w:rPr>
              <w:t>L</w:t>
            </w:r>
          </w:p>
        </w:tc>
        <w:tc>
          <w:tcPr>
            <w:tcW w:w="1313" w:type="dxa"/>
            <w:tcBorders>
              <w:top w:val="single" w:color="auto" w:sz="4" w:space="0"/>
              <w:bottom w:val="single" w:color="auto" w:sz="4" w:space="0"/>
            </w:tcBorders>
            <w:vAlign w:val="center"/>
          </w:tcPr>
          <w:p w14:paraId="10DE640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3×10</w:t>
            </w:r>
            <w:r>
              <w:rPr>
                <w:color w:val="000000" w:themeColor="text1"/>
                <w:sz w:val="21"/>
                <w:szCs w:val="21"/>
                <w:vertAlign w:val="superscript"/>
                <w14:textFill>
                  <w14:solidFill>
                    <w14:schemeClr w14:val="tx1"/>
                  </w14:solidFill>
                </w14:textFill>
              </w:rPr>
              <w:t>-4</w:t>
            </w:r>
            <w:r>
              <w:rPr>
                <w:color w:val="000000" w:themeColor="text1"/>
                <w:sz w:val="21"/>
                <w:szCs w:val="21"/>
                <w14:textFill>
                  <w14:solidFill>
                    <w14:schemeClr w14:val="tx1"/>
                  </w14:solidFill>
                </w14:textFill>
              </w:rPr>
              <w:t>L</w:t>
            </w:r>
          </w:p>
        </w:tc>
        <w:tc>
          <w:tcPr>
            <w:tcW w:w="1631" w:type="dxa"/>
            <w:tcBorders>
              <w:top w:val="single" w:color="auto" w:sz="4" w:space="0"/>
              <w:bottom w:val="single" w:color="auto" w:sz="4" w:space="0"/>
            </w:tcBorders>
            <w:vAlign w:val="center"/>
          </w:tcPr>
          <w:p w14:paraId="3EB11AD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550</w:t>
            </w:r>
          </w:p>
        </w:tc>
        <w:tc>
          <w:tcPr>
            <w:tcW w:w="1373" w:type="dxa"/>
            <w:tcBorders>
              <w:top w:val="single" w:color="auto" w:sz="4" w:space="0"/>
              <w:bottom w:val="single" w:color="auto" w:sz="4" w:space="0"/>
            </w:tcBorders>
            <w:vAlign w:val="center"/>
          </w:tcPr>
          <w:p w14:paraId="2B608FD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68</w:t>
            </w:r>
          </w:p>
        </w:tc>
        <w:tc>
          <w:tcPr>
            <w:tcW w:w="1373" w:type="dxa"/>
            <w:tcBorders>
              <w:top w:val="single" w:color="auto" w:sz="4" w:space="0"/>
              <w:bottom w:val="single" w:color="auto" w:sz="4" w:space="0"/>
            </w:tcBorders>
            <w:vAlign w:val="center"/>
          </w:tcPr>
          <w:p w14:paraId="3279FE3F">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1"/>
                <w:szCs w:val="21"/>
                <w14:textFill>
                  <w14:solidFill>
                    <w14:schemeClr w14:val="tx1"/>
                  </w14:solidFill>
                </w14:textFill>
              </w:rPr>
              <w:t>388</w:t>
            </w:r>
          </w:p>
        </w:tc>
      </w:tr>
      <w:tr w14:paraId="4D4EA98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tcBorders>
            <w:vAlign w:val="center"/>
          </w:tcPr>
          <w:p w14:paraId="7549E437">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14:paraId="2EC4FD6E">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标准指数</w:t>
            </w:r>
          </w:p>
        </w:tc>
        <w:tc>
          <w:tcPr>
            <w:tcW w:w="1614" w:type="dxa"/>
            <w:tcBorders>
              <w:top w:val="single" w:color="auto" w:sz="4" w:space="0"/>
              <w:bottom w:val="single" w:color="auto" w:sz="4" w:space="0"/>
            </w:tcBorders>
            <w:vAlign w:val="center"/>
          </w:tcPr>
          <w:p w14:paraId="563B2AB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0.001 </w:t>
            </w:r>
          </w:p>
        </w:tc>
        <w:tc>
          <w:tcPr>
            <w:tcW w:w="1305" w:type="dxa"/>
            <w:tcBorders>
              <w:top w:val="single" w:color="auto" w:sz="4" w:space="0"/>
              <w:bottom w:val="single" w:color="auto" w:sz="4" w:space="0"/>
            </w:tcBorders>
            <w:vAlign w:val="center"/>
          </w:tcPr>
          <w:p w14:paraId="36E2B2C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0.667</w:t>
            </w:r>
          </w:p>
        </w:tc>
        <w:tc>
          <w:tcPr>
            <w:tcW w:w="1254" w:type="dxa"/>
            <w:tcBorders>
              <w:top w:val="single" w:color="auto" w:sz="4" w:space="0"/>
              <w:bottom w:val="single" w:color="auto" w:sz="4" w:space="0"/>
            </w:tcBorders>
            <w:vAlign w:val="center"/>
          </w:tcPr>
          <w:p w14:paraId="31F25A22">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0.075</w:t>
            </w:r>
          </w:p>
        </w:tc>
        <w:tc>
          <w:tcPr>
            <w:tcW w:w="1954" w:type="dxa"/>
            <w:tcBorders>
              <w:top w:val="single" w:color="auto" w:sz="4" w:space="0"/>
              <w:bottom w:val="single" w:color="auto" w:sz="4" w:space="0"/>
            </w:tcBorders>
            <w:vAlign w:val="center"/>
          </w:tcPr>
          <w:p w14:paraId="3978A743">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0.02</w:t>
            </w:r>
          </w:p>
        </w:tc>
        <w:tc>
          <w:tcPr>
            <w:tcW w:w="1313" w:type="dxa"/>
            <w:tcBorders>
              <w:top w:val="single" w:color="auto" w:sz="4" w:space="0"/>
              <w:bottom w:val="single" w:color="auto" w:sz="4" w:space="0"/>
            </w:tcBorders>
            <w:vAlign w:val="center"/>
          </w:tcPr>
          <w:p w14:paraId="64B5982B">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0.015</w:t>
            </w:r>
          </w:p>
        </w:tc>
        <w:tc>
          <w:tcPr>
            <w:tcW w:w="1631" w:type="dxa"/>
            <w:tcBorders>
              <w:top w:val="single" w:color="auto" w:sz="4" w:space="0"/>
              <w:bottom w:val="single" w:color="auto" w:sz="4" w:space="0"/>
            </w:tcBorders>
            <w:vAlign w:val="center"/>
          </w:tcPr>
          <w:p w14:paraId="259B99D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0.55 </w:t>
            </w:r>
          </w:p>
        </w:tc>
        <w:tc>
          <w:tcPr>
            <w:tcW w:w="1373" w:type="dxa"/>
            <w:tcBorders>
              <w:top w:val="single" w:color="auto" w:sz="4" w:space="0"/>
              <w:bottom w:val="single" w:color="auto" w:sz="4" w:space="0"/>
            </w:tcBorders>
            <w:vAlign w:val="center"/>
          </w:tcPr>
          <w:p w14:paraId="5D6A90DE">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0.68 </w:t>
            </w:r>
          </w:p>
        </w:tc>
        <w:tc>
          <w:tcPr>
            <w:tcW w:w="1373" w:type="dxa"/>
            <w:tcBorders>
              <w:top w:val="single" w:color="auto" w:sz="4" w:space="0"/>
              <w:bottom w:val="single" w:color="auto" w:sz="4" w:space="0"/>
            </w:tcBorders>
            <w:vAlign w:val="center"/>
          </w:tcPr>
          <w:p w14:paraId="5C448FD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 xml:space="preserve">0.86 </w:t>
            </w:r>
          </w:p>
        </w:tc>
      </w:tr>
      <w:tr w14:paraId="6550D94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vMerge w:val="continue"/>
            <w:tcBorders>
              <w:left w:val="single" w:color="auto" w:sz="4" w:space="0"/>
              <w:bottom w:val="single" w:color="auto" w:sz="4" w:space="0"/>
            </w:tcBorders>
            <w:vAlign w:val="center"/>
          </w:tcPr>
          <w:p w14:paraId="5DCAA75D">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p>
        </w:tc>
        <w:tc>
          <w:tcPr>
            <w:tcW w:w="1622" w:type="dxa"/>
            <w:tcBorders>
              <w:top w:val="single" w:color="auto" w:sz="4" w:space="0"/>
              <w:left w:val="single" w:color="auto" w:sz="4" w:space="0"/>
              <w:bottom w:val="single" w:color="auto" w:sz="4" w:space="0"/>
            </w:tcBorders>
            <w:vAlign w:val="center"/>
          </w:tcPr>
          <w:p w14:paraId="42837646">
            <w:pPr>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pacing w:val="-4"/>
                <w:sz w:val="22"/>
                <w:szCs w:val="22"/>
                <w14:textFill>
                  <w14:solidFill>
                    <w14:schemeClr w14:val="tx1"/>
                  </w14:solidFill>
                </w14:textFill>
              </w:rPr>
              <w:t>达标情况</w:t>
            </w:r>
          </w:p>
        </w:tc>
        <w:tc>
          <w:tcPr>
            <w:tcW w:w="1614" w:type="dxa"/>
            <w:tcBorders>
              <w:top w:val="single" w:color="auto" w:sz="4" w:space="0"/>
              <w:bottom w:val="single" w:color="auto" w:sz="4" w:space="0"/>
            </w:tcBorders>
            <w:vAlign w:val="center"/>
          </w:tcPr>
          <w:p w14:paraId="485D2CF4">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05" w:type="dxa"/>
            <w:tcBorders>
              <w:top w:val="single" w:color="auto" w:sz="4" w:space="0"/>
              <w:bottom w:val="single" w:color="auto" w:sz="4" w:space="0"/>
            </w:tcBorders>
            <w:vAlign w:val="center"/>
          </w:tcPr>
          <w:p w14:paraId="39925818">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254" w:type="dxa"/>
            <w:tcBorders>
              <w:top w:val="single" w:color="auto" w:sz="4" w:space="0"/>
              <w:bottom w:val="single" w:color="auto" w:sz="4" w:space="0"/>
            </w:tcBorders>
            <w:vAlign w:val="center"/>
          </w:tcPr>
          <w:p w14:paraId="3E4A6730">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954" w:type="dxa"/>
            <w:tcBorders>
              <w:top w:val="single" w:color="auto" w:sz="4" w:space="0"/>
              <w:bottom w:val="single" w:color="auto" w:sz="4" w:space="0"/>
            </w:tcBorders>
            <w:vAlign w:val="center"/>
          </w:tcPr>
          <w:p w14:paraId="47656771">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13" w:type="dxa"/>
            <w:tcBorders>
              <w:top w:val="single" w:color="auto" w:sz="4" w:space="0"/>
              <w:bottom w:val="single" w:color="auto" w:sz="4" w:space="0"/>
            </w:tcBorders>
            <w:vAlign w:val="center"/>
          </w:tcPr>
          <w:p w14:paraId="183E2D13">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631" w:type="dxa"/>
            <w:tcBorders>
              <w:top w:val="single" w:color="auto" w:sz="4" w:space="0"/>
              <w:bottom w:val="single" w:color="auto" w:sz="4" w:space="0"/>
            </w:tcBorders>
            <w:vAlign w:val="center"/>
          </w:tcPr>
          <w:p w14:paraId="2453EF45">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bottom w:val="single" w:color="auto" w:sz="4" w:space="0"/>
            </w:tcBorders>
            <w:vAlign w:val="center"/>
          </w:tcPr>
          <w:p w14:paraId="430EFAD7">
            <w:pPr>
              <w:tabs>
                <w:tab w:val="left" w:pos="5745"/>
              </w:tabs>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c>
          <w:tcPr>
            <w:tcW w:w="1373" w:type="dxa"/>
            <w:tcBorders>
              <w:top w:val="single" w:color="auto" w:sz="4" w:space="0"/>
              <w:bottom w:val="single" w:color="auto" w:sz="4" w:space="0"/>
            </w:tcBorders>
            <w:vAlign w:val="center"/>
          </w:tcPr>
          <w:p w14:paraId="30B9DC9A">
            <w:pPr>
              <w:adjustRightInd/>
              <w:snapToGrid/>
              <w:spacing w:line="240" w:lineRule="auto"/>
              <w:ind w:firstLine="0" w:firstLineChars="0"/>
              <w:jc w:val="center"/>
              <w:rPr>
                <w:color w:val="000000" w:themeColor="text1"/>
                <w:spacing w:val="-4"/>
                <w:sz w:val="22"/>
                <w:szCs w:val="22"/>
                <w14:textFill>
                  <w14:solidFill>
                    <w14:schemeClr w14:val="tx1"/>
                  </w14:solidFill>
                </w14:textFill>
              </w:rPr>
            </w:pPr>
            <w:r>
              <w:rPr>
                <w:color w:val="000000" w:themeColor="text1"/>
                <w:sz w:val="22"/>
                <w:szCs w:val="22"/>
                <w14:textFill>
                  <w14:solidFill>
                    <w14:schemeClr w14:val="tx1"/>
                  </w14:solidFill>
                </w14:textFill>
              </w:rPr>
              <w:t>达标</w:t>
            </w:r>
          </w:p>
        </w:tc>
      </w:tr>
    </w:tbl>
    <w:p w14:paraId="69ABA698">
      <w:pPr>
        <w:pStyle w:val="35"/>
        <w:spacing w:before="120" w:beforeLines="50"/>
        <w:jc w:val="center"/>
        <w:rPr>
          <w:bCs/>
          <w:color w:val="000000" w:themeColor="text1"/>
          <w14:textFill>
            <w14:solidFill>
              <w14:schemeClr w14:val="tx1"/>
            </w14:solidFill>
          </w14:textFill>
        </w:rPr>
      </w:pPr>
    </w:p>
    <w:p w14:paraId="79230B74">
      <w:pPr>
        <w:pStyle w:val="35"/>
        <w:spacing w:before="120" w:beforeLines="50"/>
        <w:jc w:val="center"/>
        <w:rPr>
          <w:bCs/>
          <w:color w:val="000000" w:themeColor="text1"/>
          <w14:textFill>
            <w14:solidFill>
              <w14:schemeClr w14:val="tx1"/>
            </w14:solidFill>
          </w14:textFill>
        </w:rPr>
      </w:pPr>
    </w:p>
    <w:p w14:paraId="507B531B">
      <w:pPr>
        <w:pStyle w:val="35"/>
        <w:spacing w:before="120" w:beforeLines="50"/>
        <w:jc w:val="center"/>
        <w:rPr>
          <w:bCs/>
          <w:color w:val="000000" w:themeColor="text1"/>
          <w14:textFill>
            <w14:solidFill>
              <w14:schemeClr w14:val="tx1"/>
            </w14:solidFill>
          </w14:textFill>
        </w:rPr>
      </w:pPr>
    </w:p>
    <w:p w14:paraId="2630174A">
      <w:pPr>
        <w:pStyle w:val="35"/>
        <w:spacing w:before="120" w:beforeLines="50"/>
        <w:jc w:val="center"/>
        <w:rPr>
          <w:bCs/>
          <w:color w:val="000000" w:themeColor="text1"/>
          <w14:textFill>
            <w14:solidFill>
              <w14:schemeClr w14:val="tx1"/>
            </w14:solidFill>
          </w14:textFill>
        </w:rPr>
      </w:pPr>
    </w:p>
    <w:p w14:paraId="1DFA3B9D">
      <w:pPr>
        <w:ind w:firstLine="520"/>
        <w:rPr>
          <w:color w:val="000000" w:themeColor="text1"/>
          <w14:textFill>
            <w14:solidFill>
              <w14:schemeClr w14:val="tx1"/>
            </w14:solidFill>
          </w14:textFill>
        </w:rPr>
      </w:pPr>
    </w:p>
    <w:p w14:paraId="23CDC5B0">
      <w:pPr>
        <w:ind w:firstLine="520"/>
        <w:rPr>
          <w:color w:val="000000" w:themeColor="text1"/>
          <w14:textFill>
            <w14:solidFill>
              <w14:schemeClr w14:val="tx1"/>
            </w14:solidFill>
          </w14:textFill>
        </w:rPr>
        <w:sectPr>
          <w:headerReference r:id="rId15" w:type="default"/>
          <w:footerReference r:id="rId16" w:type="default"/>
          <w:pgSz w:w="16838" w:h="11906" w:orient="landscape"/>
          <w:pgMar w:top="1701" w:right="1418" w:bottom="1134" w:left="1701" w:header="851" w:footer="992" w:gutter="0"/>
          <w:cols w:space="720" w:num="1"/>
          <w:docGrid w:linePitch="354" w:charSpace="0"/>
        </w:sectPr>
      </w:pPr>
    </w:p>
    <w:p w14:paraId="2825A7A3">
      <w:pPr>
        <w:pStyle w:val="3"/>
        <w:spacing w:after="326"/>
        <w:rPr>
          <w:color w:val="000000" w:themeColor="text1"/>
          <w14:textFill>
            <w14:solidFill>
              <w14:schemeClr w14:val="tx1"/>
            </w14:solidFill>
          </w14:textFill>
        </w:rPr>
      </w:pPr>
      <w:bookmarkStart w:id="240" w:name="_Toc534876529"/>
      <w:bookmarkStart w:id="241" w:name="_Toc11942577"/>
      <w:bookmarkStart w:id="242" w:name="_Toc478715885"/>
      <w:bookmarkStart w:id="243" w:name="_Toc4523"/>
      <w:bookmarkStart w:id="244" w:name="_Toc24"/>
      <w:r>
        <w:rPr>
          <w:color w:val="000000" w:themeColor="text1"/>
          <w14:textFill>
            <w14:solidFill>
              <w14:schemeClr w14:val="tx1"/>
            </w14:solidFill>
          </w14:textFill>
        </w:rPr>
        <w:t>营运期环境影响预测与评价</w:t>
      </w:r>
      <w:bookmarkEnd w:id="240"/>
      <w:bookmarkEnd w:id="241"/>
      <w:bookmarkEnd w:id="242"/>
      <w:bookmarkEnd w:id="243"/>
      <w:bookmarkEnd w:id="244"/>
    </w:p>
    <w:p w14:paraId="479CE29E">
      <w:pPr>
        <w:pStyle w:val="4"/>
        <w:rPr>
          <w:color w:val="000000" w:themeColor="text1"/>
          <w14:textFill>
            <w14:solidFill>
              <w14:schemeClr w14:val="tx1"/>
            </w14:solidFill>
          </w14:textFill>
        </w:rPr>
      </w:pPr>
      <w:bookmarkStart w:id="245" w:name="_Toc55522438"/>
      <w:bookmarkStart w:id="246" w:name="_Toc478715886"/>
      <w:bookmarkStart w:id="247" w:name="_Toc11846"/>
      <w:bookmarkStart w:id="248" w:name="_Toc534876530"/>
      <w:bookmarkStart w:id="249" w:name="_Toc55506327"/>
      <w:bookmarkStart w:id="250" w:name="_Toc13962"/>
      <w:r>
        <w:rPr>
          <w:color w:val="000000" w:themeColor="text1"/>
          <w14:textFill>
            <w14:solidFill>
              <w14:schemeClr w14:val="tx1"/>
            </w14:solidFill>
          </w14:textFill>
        </w:rPr>
        <w:t>环境空气影响预测与评价</w:t>
      </w:r>
      <w:bookmarkEnd w:id="245"/>
      <w:bookmarkEnd w:id="246"/>
      <w:bookmarkEnd w:id="247"/>
      <w:bookmarkEnd w:id="248"/>
      <w:bookmarkEnd w:id="249"/>
      <w:bookmarkEnd w:id="250"/>
    </w:p>
    <w:p w14:paraId="68AEAF66">
      <w:pPr>
        <w:pStyle w:val="5"/>
        <w:rPr>
          <w:color w:val="000000" w:themeColor="text1"/>
          <w14:textFill>
            <w14:solidFill>
              <w14:schemeClr w14:val="tx1"/>
            </w14:solidFill>
          </w14:textFill>
        </w:rPr>
      </w:pPr>
      <w:r>
        <w:rPr>
          <w:color w:val="000000" w:themeColor="text1"/>
          <w14:textFill>
            <w14:solidFill>
              <w14:schemeClr w14:val="tx1"/>
            </w14:solidFill>
          </w14:textFill>
        </w:rPr>
        <w:t>评价因子和评价标准筛选</w:t>
      </w:r>
    </w:p>
    <w:p w14:paraId="108BBA65">
      <w:pPr>
        <w:ind w:firstLine="520"/>
        <w:rPr>
          <w:color w:val="000000" w:themeColor="text1"/>
          <w14:textFill>
            <w14:solidFill>
              <w14:schemeClr w14:val="tx1"/>
            </w14:solidFill>
          </w14:textFill>
        </w:rPr>
      </w:pPr>
      <w:r>
        <w:rPr>
          <w:color w:val="000000" w:themeColor="text1"/>
          <w14:textFill>
            <w14:solidFill>
              <w14:schemeClr w14:val="tx1"/>
            </w14:solidFill>
          </w14:textFill>
        </w:rPr>
        <w:t>（1）评价因子：氟化物、氯化氢、PM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、NMHC。</w:t>
      </w:r>
    </w:p>
    <w:p w14:paraId="5B7A5C1A">
      <w:pPr>
        <w:ind w:firstLine="520"/>
        <w:rPr>
          <w:color w:val="000000" w:themeColor="text1"/>
          <w14:textFill>
            <w14:solidFill>
              <w14:schemeClr w14:val="tx1"/>
            </w14:solidFill>
          </w14:textFill>
        </w:rPr>
      </w:pPr>
      <w:r>
        <w:rPr>
          <w:color w:val="000000" w:themeColor="text1"/>
          <w14:textFill>
            <w14:solidFill>
              <w14:schemeClr w14:val="tx1"/>
            </w14:solidFill>
          </w14:textFill>
        </w:rPr>
        <w:t>（2）评价标准</w:t>
      </w:r>
    </w:p>
    <w:p w14:paraId="002C401E">
      <w:pPr>
        <w:ind w:firstLine="520"/>
        <w:rPr>
          <w:color w:val="000000" w:themeColor="text1"/>
          <w14:textFill>
            <w14:solidFill>
              <w14:schemeClr w14:val="tx1"/>
            </w14:solidFill>
          </w14:textFill>
        </w:rPr>
      </w:pPr>
      <w:r>
        <w:rPr>
          <w:color w:val="000000" w:themeColor="text1"/>
          <w14:textFill>
            <w14:solidFill>
              <w14:schemeClr w14:val="tx1"/>
            </w14:solidFill>
          </w14:textFill>
        </w:rPr>
        <w:t>污染物评价标准和来源见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_Ref160553025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表6.1</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CA47D3D">
      <w:pPr>
        <w:spacing w:before="32"/>
        <w:ind w:firstLine="0" w:firstLineChars="0"/>
        <w:jc w:val="center"/>
        <w:rPr>
          <w:color w:val="000000" w:themeColor="text1"/>
          <w:szCs w:val="26"/>
          <w14:textFill>
            <w14:solidFill>
              <w14:schemeClr w14:val="tx1"/>
            </w14:solidFill>
          </w14:textFill>
        </w:rPr>
      </w:pPr>
      <w:bookmarkStart w:id="251" w:name="_Ref160553025"/>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251"/>
      <w:r>
        <w:rPr>
          <w:color w:val="000000" w:themeColor="text1"/>
          <w:szCs w:val="26"/>
          <w14:textFill>
            <w14:solidFill>
              <w14:schemeClr w14:val="tx1"/>
            </w14:solidFill>
          </w14:textFill>
        </w:rPr>
        <w:t xml:space="preserve">   评价因子和评价标准表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871"/>
        <w:gridCol w:w="1163"/>
        <w:gridCol w:w="5804"/>
      </w:tblGrid>
      <w:tr w14:paraId="5E00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tcBorders>
              <w:tl2br w:val="nil"/>
              <w:tr2bl w:val="nil"/>
            </w:tcBorders>
            <w:vAlign w:val="center"/>
          </w:tcPr>
          <w:p w14:paraId="0D656BCD">
            <w:pPr>
              <w:pStyle w:val="1535"/>
            </w:pPr>
            <w:r>
              <w:t>评价因子</w:t>
            </w:r>
          </w:p>
        </w:tc>
        <w:tc>
          <w:tcPr>
            <w:tcW w:w="469" w:type="pct"/>
            <w:tcBorders>
              <w:tl2br w:val="nil"/>
              <w:tr2bl w:val="nil"/>
            </w:tcBorders>
            <w:vAlign w:val="center"/>
          </w:tcPr>
          <w:p w14:paraId="06E542C9">
            <w:pPr>
              <w:pStyle w:val="1535"/>
            </w:pPr>
            <w:r>
              <w:t>平均时段</w:t>
            </w:r>
          </w:p>
        </w:tc>
        <w:tc>
          <w:tcPr>
            <w:tcW w:w="626" w:type="pct"/>
            <w:tcBorders>
              <w:tl2br w:val="nil"/>
              <w:tr2bl w:val="nil"/>
            </w:tcBorders>
            <w:vAlign w:val="center"/>
          </w:tcPr>
          <w:p w14:paraId="243FCC0C">
            <w:pPr>
              <w:pStyle w:val="1535"/>
            </w:pPr>
            <w:bookmarkStart w:id="252" w:name="OLE_LINK4"/>
            <w:r>
              <w:t>标准值</w:t>
            </w:r>
            <w:bookmarkEnd w:id="252"/>
            <w:bookmarkStart w:id="253" w:name="OLE_LINK15"/>
            <w:r>
              <w:t>(μg/</w:t>
            </w:r>
            <w:bookmarkEnd w:id="253"/>
            <w:r>
              <w:rPr>
                <w:rFonts w:hint="eastAsia"/>
              </w:rPr>
              <w:t xml:space="preserve"> m</w:t>
            </w:r>
            <w:r>
              <w:rPr>
                <w:rFonts w:hint="eastAsia"/>
                <w:vertAlign w:val="superscript"/>
              </w:rPr>
              <w:t>3</w:t>
            </w:r>
            <w:r>
              <w:t>)</w:t>
            </w:r>
          </w:p>
        </w:tc>
        <w:tc>
          <w:tcPr>
            <w:tcW w:w="3125" w:type="pct"/>
            <w:tcBorders>
              <w:tl2br w:val="nil"/>
              <w:tr2bl w:val="nil"/>
            </w:tcBorders>
            <w:vAlign w:val="center"/>
          </w:tcPr>
          <w:p w14:paraId="3E83B696">
            <w:pPr>
              <w:pStyle w:val="1535"/>
            </w:pPr>
            <w:r>
              <w:t>标准依据</w:t>
            </w:r>
          </w:p>
        </w:tc>
      </w:tr>
      <w:tr w14:paraId="5769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vAlign w:val="center"/>
          </w:tcPr>
          <w:p w14:paraId="501290DD">
            <w:pPr>
              <w:pStyle w:val="1535"/>
            </w:pPr>
            <w:r>
              <w:t>氟化物</w:t>
            </w:r>
          </w:p>
        </w:tc>
        <w:tc>
          <w:tcPr>
            <w:tcW w:w="469" w:type="pct"/>
            <w:vMerge w:val="restart"/>
            <w:vAlign w:val="center"/>
          </w:tcPr>
          <w:p w14:paraId="734C4F2A">
            <w:pPr>
              <w:pStyle w:val="1535"/>
            </w:pPr>
            <w:r>
              <w:t>1</w:t>
            </w:r>
            <w:r>
              <w:rPr>
                <w:rFonts w:hint="eastAsia"/>
              </w:rPr>
              <w:t>h</w:t>
            </w:r>
            <w:r>
              <w:t>平均</w:t>
            </w:r>
          </w:p>
        </w:tc>
        <w:tc>
          <w:tcPr>
            <w:tcW w:w="626" w:type="pct"/>
            <w:vAlign w:val="center"/>
          </w:tcPr>
          <w:p w14:paraId="5185F924">
            <w:pPr>
              <w:pStyle w:val="1535"/>
            </w:pPr>
            <w:r>
              <w:t>20</w:t>
            </w:r>
          </w:p>
        </w:tc>
        <w:tc>
          <w:tcPr>
            <w:tcW w:w="3125" w:type="pct"/>
            <w:vMerge w:val="restart"/>
            <w:vAlign w:val="center"/>
          </w:tcPr>
          <w:p w14:paraId="1BB3AFB9">
            <w:pPr>
              <w:pStyle w:val="1535"/>
            </w:pPr>
            <w:r>
              <w:t>颗粒物执行《环境空气质量标准》（GB3095-2012）二级标准；氯化氢参照执行《环境影响评价技术导则大气环境》（HJ2.2-2018）“附录D其他污染物空气质量浓度参考限值”；非甲烷总烃参照执行河北省地方标准《环境空气质量非甲烷总烃限值》（DB13/1577-2012）中的二级标准；氟化物《环境空气质量标准》（GB3095-2012）附录A二级标准</w:t>
            </w:r>
          </w:p>
        </w:tc>
      </w:tr>
      <w:tr w14:paraId="331B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vAlign w:val="center"/>
          </w:tcPr>
          <w:p w14:paraId="75AF2581">
            <w:pPr>
              <w:pStyle w:val="1535"/>
            </w:pPr>
            <w:r>
              <w:t>氯化氢</w:t>
            </w:r>
          </w:p>
        </w:tc>
        <w:tc>
          <w:tcPr>
            <w:tcW w:w="469" w:type="pct"/>
            <w:vMerge w:val="continue"/>
            <w:vAlign w:val="center"/>
          </w:tcPr>
          <w:p w14:paraId="5B3ECBD5">
            <w:pPr>
              <w:pStyle w:val="1535"/>
            </w:pPr>
          </w:p>
        </w:tc>
        <w:tc>
          <w:tcPr>
            <w:tcW w:w="626" w:type="pct"/>
            <w:vAlign w:val="center"/>
          </w:tcPr>
          <w:p w14:paraId="131EA1E5">
            <w:pPr>
              <w:pStyle w:val="1535"/>
            </w:pPr>
            <w:r>
              <w:t>50</w:t>
            </w:r>
          </w:p>
        </w:tc>
        <w:tc>
          <w:tcPr>
            <w:tcW w:w="3125" w:type="pct"/>
            <w:vMerge w:val="continue"/>
            <w:vAlign w:val="center"/>
          </w:tcPr>
          <w:p w14:paraId="193576CE">
            <w:pPr>
              <w:pStyle w:val="1535"/>
            </w:pPr>
          </w:p>
        </w:tc>
      </w:tr>
      <w:tr w14:paraId="067D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vAlign w:val="center"/>
          </w:tcPr>
          <w:p w14:paraId="4145A0FD">
            <w:pPr>
              <w:pStyle w:val="1535"/>
            </w:pPr>
            <w:r>
              <w:t>PM</w:t>
            </w:r>
            <w:r>
              <w:rPr>
                <w:vertAlign w:val="subscript"/>
              </w:rPr>
              <w:t>10</w:t>
            </w:r>
          </w:p>
        </w:tc>
        <w:tc>
          <w:tcPr>
            <w:tcW w:w="469" w:type="pct"/>
            <w:vMerge w:val="continue"/>
            <w:vAlign w:val="center"/>
          </w:tcPr>
          <w:p w14:paraId="273DEE8A">
            <w:pPr>
              <w:pStyle w:val="1535"/>
            </w:pPr>
          </w:p>
        </w:tc>
        <w:tc>
          <w:tcPr>
            <w:tcW w:w="626" w:type="pct"/>
            <w:vAlign w:val="center"/>
          </w:tcPr>
          <w:p w14:paraId="0DF4FBCD">
            <w:pPr>
              <w:pStyle w:val="1535"/>
            </w:pPr>
            <w:r>
              <w:t>420</w:t>
            </w:r>
          </w:p>
        </w:tc>
        <w:tc>
          <w:tcPr>
            <w:tcW w:w="3125" w:type="pct"/>
            <w:vMerge w:val="continue"/>
            <w:vAlign w:val="center"/>
          </w:tcPr>
          <w:p w14:paraId="0A6CAEE2">
            <w:pPr>
              <w:pStyle w:val="1535"/>
            </w:pPr>
          </w:p>
        </w:tc>
      </w:tr>
      <w:tr w14:paraId="7625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vAlign w:val="center"/>
          </w:tcPr>
          <w:p w14:paraId="22F6A396">
            <w:pPr>
              <w:pStyle w:val="1535"/>
            </w:pPr>
            <w:r>
              <w:t>PM</w:t>
            </w:r>
            <w:r>
              <w:rPr>
                <w:vertAlign w:val="subscript"/>
              </w:rPr>
              <w:t>2.5</w:t>
            </w:r>
          </w:p>
        </w:tc>
        <w:tc>
          <w:tcPr>
            <w:tcW w:w="469" w:type="pct"/>
            <w:vMerge w:val="continue"/>
            <w:vAlign w:val="center"/>
          </w:tcPr>
          <w:p w14:paraId="6AEE7048">
            <w:pPr>
              <w:pStyle w:val="1535"/>
            </w:pPr>
          </w:p>
        </w:tc>
        <w:tc>
          <w:tcPr>
            <w:tcW w:w="626" w:type="pct"/>
            <w:vAlign w:val="center"/>
          </w:tcPr>
          <w:p w14:paraId="58565C3C">
            <w:pPr>
              <w:pStyle w:val="1535"/>
            </w:pPr>
            <w:r>
              <w:t>210</w:t>
            </w:r>
          </w:p>
        </w:tc>
        <w:tc>
          <w:tcPr>
            <w:tcW w:w="3125" w:type="pct"/>
            <w:vMerge w:val="continue"/>
            <w:vAlign w:val="center"/>
          </w:tcPr>
          <w:p w14:paraId="041D6129">
            <w:pPr>
              <w:pStyle w:val="1535"/>
            </w:pPr>
          </w:p>
        </w:tc>
      </w:tr>
      <w:tr w14:paraId="528E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0" w:type="pct"/>
            <w:vAlign w:val="center"/>
          </w:tcPr>
          <w:p w14:paraId="09B9F7C7">
            <w:pPr>
              <w:pStyle w:val="1535"/>
            </w:pPr>
            <w:r>
              <w:t>非甲烷总烃</w:t>
            </w:r>
          </w:p>
        </w:tc>
        <w:tc>
          <w:tcPr>
            <w:tcW w:w="469" w:type="pct"/>
            <w:vMerge w:val="continue"/>
            <w:vAlign w:val="center"/>
          </w:tcPr>
          <w:p w14:paraId="3E6355C0">
            <w:pPr>
              <w:pStyle w:val="1535"/>
            </w:pPr>
          </w:p>
        </w:tc>
        <w:tc>
          <w:tcPr>
            <w:tcW w:w="626" w:type="pct"/>
            <w:vAlign w:val="center"/>
          </w:tcPr>
          <w:p w14:paraId="03DD7308">
            <w:pPr>
              <w:pStyle w:val="1535"/>
            </w:pPr>
            <w:r>
              <w:t>2000</w:t>
            </w:r>
          </w:p>
        </w:tc>
        <w:tc>
          <w:tcPr>
            <w:tcW w:w="3125" w:type="pct"/>
            <w:vMerge w:val="continue"/>
            <w:vAlign w:val="center"/>
          </w:tcPr>
          <w:p w14:paraId="6192A9EF">
            <w:pPr>
              <w:pStyle w:val="1535"/>
            </w:pPr>
          </w:p>
        </w:tc>
      </w:tr>
    </w:tbl>
    <w:p w14:paraId="317701DA">
      <w:pPr>
        <w:pStyle w:val="5"/>
        <w:rPr>
          <w:color w:val="000000" w:themeColor="text1"/>
          <w14:textFill>
            <w14:solidFill>
              <w14:schemeClr w14:val="tx1"/>
            </w14:solidFill>
          </w14:textFill>
        </w:rPr>
      </w:pPr>
      <w:r>
        <w:rPr>
          <w:color w:val="000000" w:themeColor="text1"/>
          <w14:textFill>
            <w14:solidFill>
              <w14:schemeClr w14:val="tx1"/>
            </w14:solidFill>
          </w14:textFill>
        </w:rPr>
        <w:t>估算模型参数</w:t>
      </w:r>
    </w:p>
    <w:p w14:paraId="3D8EC530">
      <w:pPr>
        <w:ind w:firstLine="520"/>
        <w:rPr>
          <w:color w:val="000000" w:themeColor="text1"/>
          <w14:textFill>
            <w14:solidFill>
              <w14:schemeClr w14:val="tx1"/>
            </w14:solidFill>
          </w14:textFill>
        </w:rPr>
      </w:pPr>
      <w:r>
        <w:rPr>
          <w:color w:val="000000" w:themeColor="text1"/>
          <w14:textFill>
            <w14:solidFill>
              <w14:schemeClr w14:val="tx1"/>
            </w14:solidFill>
          </w14:textFill>
        </w:rPr>
        <w:t>根据《环境影响评价影响导则大气环境》（HJ2.2-2018）附录A推荐模型中的AERSCREEN模式对项目排放的污染物最大落地浓度进行预测，参数选取见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_Ref160553126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表6.1</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。计算其最大地面浓度占标率Pi（第i个污染物）及第i个污染物的地面浓度达标准限值10%时所对应的最远距离D10%。污染物最大地面浓度占标率计算公式如下：</w:t>
      </w:r>
    </w:p>
    <w:p w14:paraId="292F96BC">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0i</w:t>
      </w:r>
      <w:r>
        <w:rPr>
          <w:color w:val="000000" w:themeColor="text1"/>
          <w14:textFill>
            <w14:solidFill>
              <w14:schemeClr w14:val="tx1"/>
            </w14:solidFill>
          </w14:textFill>
        </w:rPr>
        <w:t>×100%</w:t>
      </w:r>
    </w:p>
    <w:p w14:paraId="21B66B09">
      <w:pPr>
        <w:ind w:firstLine="520"/>
        <w:rPr>
          <w:color w:val="000000" w:themeColor="text1"/>
          <w14:textFill>
            <w14:solidFill>
              <w14:schemeClr w14:val="tx1"/>
            </w14:solidFill>
          </w14:textFill>
        </w:rPr>
      </w:pPr>
      <w:r>
        <w:rPr>
          <w:color w:val="000000" w:themeColor="text1"/>
          <w14:textFill>
            <w14:solidFill>
              <w14:schemeClr w14:val="tx1"/>
            </w14:solidFill>
          </w14:textFill>
        </w:rPr>
        <w:t>式中：</w:t>
      </w:r>
    </w:p>
    <w:p w14:paraId="6E350FB5">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—第i个污染物的最大地面浓度占标率，%；</w:t>
      </w:r>
    </w:p>
    <w:p w14:paraId="04A891FC">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—采用估算模式计算出的第i个污染物的最大地面浓度，mg/m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51F53482">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0i</w:t>
      </w:r>
      <w:r>
        <w:rPr>
          <w:color w:val="000000" w:themeColor="text1"/>
          <w14:textFill>
            <w14:solidFill>
              <w14:schemeClr w14:val="tx1"/>
            </w14:solidFill>
          </w14:textFill>
        </w:rPr>
        <w:t>—第i个污染物的环境空气质量标准，mg/m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46EC2F66">
      <w:pPr>
        <w:ind w:firstLine="0" w:firstLineChars="0"/>
        <w:jc w:val="center"/>
        <w:rPr>
          <w:color w:val="000000" w:themeColor="text1"/>
          <w14:textFill>
            <w14:solidFill>
              <w14:schemeClr w14:val="tx1"/>
            </w14:solidFill>
          </w14:textFill>
        </w:rPr>
      </w:pPr>
      <w:bookmarkStart w:id="254" w:name="_Ref160553126"/>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2</w:t>
      </w:r>
      <w:r>
        <w:rPr>
          <w:color w:val="000000" w:themeColor="text1"/>
          <w:szCs w:val="26"/>
          <w14:textFill>
            <w14:solidFill>
              <w14:schemeClr w14:val="tx1"/>
            </w14:solidFill>
          </w14:textFill>
        </w:rPr>
        <w:fldChar w:fldCharType="end"/>
      </w:r>
      <w:bookmarkEnd w:id="254"/>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估算模型参数表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4"/>
        <w:gridCol w:w="2979"/>
        <w:gridCol w:w="3154"/>
      </w:tblGrid>
      <w:tr w14:paraId="70EE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302" w:type="pct"/>
            <w:gridSpan w:val="2"/>
            <w:tcBorders>
              <w:tl2br w:val="nil"/>
              <w:tr2bl w:val="nil"/>
            </w:tcBorders>
            <w:vAlign w:val="center"/>
          </w:tcPr>
          <w:p w14:paraId="6DE34387">
            <w:pPr>
              <w:pStyle w:val="1535"/>
            </w:pPr>
            <w:r>
              <w:t>参数</w:t>
            </w:r>
          </w:p>
        </w:tc>
        <w:tc>
          <w:tcPr>
            <w:tcW w:w="1698" w:type="pct"/>
            <w:tcBorders>
              <w:tl2br w:val="nil"/>
              <w:tr2bl w:val="nil"/>
            </w:tcBorders>
            <w:vAlign w:val="center"/>
          </w:tcPr>
          <w:p w14:paraId="42A28C53">
            <w:pPr>
              <w:pStyle w:val="1535"/>
            </w:pPr>
            <w:r>
              <w:t>取值</w:t>
            </w:r>
          </w:p>
        </w:tc>
      </w:tr>
      <w:tr w14:paraId="5C16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8" w:type="pct"/>
            <w:vMerge w:val="restart"/>
            <w:vAlign w:val="center"/>
          </w:tcPr>
          <w:p w14:paraId="7DB835F9">
            <w:pPr>
              <w:pStyle w:val="1535"/>
            </w:pPr>
            <w:r>
              <w:t>城市农村/选项</w:t>
            </w:r>
          </w:p>
        </w:tc>
        <w:tc>
          <w:tcPr>
            <w:tcW w:w="1604" w:type="pct"/>
            <w:vAlign w:val="center"/>
          </w:tcPr>
          <w:p w14:paraId="1EFB8EF7">
            <w:pPr>
              <w:pStyle w:val="1535"/>
            </w:pPr>
            <w:r>
              <w:t>城市</w:t>
            </w:r>
          </w:p>
        </w:tc>
        <w:tc>
          <w:tcPr>
            <w:tcW w:w="1698" w:type="pct"/>
            <w:vAlign w:val="center"/>
          </w:tcPr>
          <w:p w14:paraId="33A856CC">
            <w:pPr>
              <w:pStyle w:val="1535"/>
            </w:pPr>
            <w:r>
              <w:t>城市</w:t>
            </w:r>
          </w:p>
        </w:tc>
      </w:tr>
      <w:tr w14:paraId="6B05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8" w:type="pct"/>
            <w:vMerge w:val="continue"/>
            <w:vAlign w:val="center"/>
          </w:tcPr>
          <w:p w14:paraId="6CB93E7D">
            <w:pPr>
              <w:pStyle w:val="1535"/>
            </w:pPr>
          </w:p>
        </w:tc>
        <w:tc>
          <w:tcPr>
            <w:tcW w:w="1604" w:type="pct"/>
            <w:vAlign w:val="center"/>
          </w:tcPr>
          <w:p w14:paraId="199F3F98">
            <w:pPr>
              <w:pStyle w:val="1535"/>
            </w:pPr>
            <w:r>
              <w:t>100万人</w:t>
            </w:r>
          </w:p>
        </w:tc>
        <w:tc>
          <w:tcPr>
            <w:tcW w:w="1698" w:type="pct"/>
            <w:vAlign w:val="center"/>
          </w:tcPr>
          <w:p w14:paraId="0D575934">
            <w:pPr>
              <w:pStyle w:val="1535"/>
            </w:pPr>
            <w:r>
              <w:t>/</w:t>
            </w:r>
          </w:p>
        </w:tc>
      </w:tr>
      <w:tr w14:paraId="5CEA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2" w:type="pct"/>
            <w:gridSpan w:val="2"/>
            <w:vAlign w:val="center"/>
          </w:tcPr>
          <w:p w14:paraId="58E6B631">
            <w:pPr>
              <w:pStyle w:val="1535"/>
            </w:pPr>
            <w:r>
              <w:t>最高环境温度</w:t>
            </w:r>
          </w:p>
        </w:tc>
        <w:tc>
          <w:tcPr>
            <w:tcW w:w="1698" w:type="pct"/>
            <w:vAlign w:val="center"/>
          </w:tcPr>
          <w:p w14:paraId="25E853FD">
            <w:pPr>
              <w:pStyle w:val="1535"/>
            </w:pPr>
            <w:r>
              <w:t>44.2</w:t>
            </w:r>
          </w:p>
        </w:tc>
      </w:tr>
      <w:tr w14:paraId="31F9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2" w:type="pct"/>
            <w:gridSpan w:val="2"/>
            <w:vAlign w:val="center"/>
          </w:tcPr>
          <w:p w14:paraId="3757264C">
            <w:pPr>
              <w:pStyle w:val="1535"/>
            </w:pPr>
            <w:r>
              <w:t>最低环境温度</w:t>
            </w:r>
          </w:p>
        </w:tc>
        <w:tc>
          <w:tcPr>
            <w:tcW w:w="1698" w:type="pct"/>
            <w:vAlign w:val="center"/>
          </w:tcPr>
          <w:p w14:paraId="25651591">
            <w:pPr>
              <w:pStyle w:val="1535"/>
            </w:pPr>
            <w:r>
              <w:t>-</w:t>
            </w:r>
            <w:r>
              <w:rPr>
                <w:rFonts w:hint="eastAsia"/>
              </w:rPr>
              <w:t>1.2</w:t>
            </w:r>
          </w:p>
        </w:tc>
      </w:tr>
      <w:tr w14:paraId="3E1F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2" w:type="pct"/>
            <w:gridSpan w:val="2"/>
            <w:vAlign w:val="center"/>
          </w:tcPr>
          <w:p w14:paraId="3C8D4868">
            <w:pPr>
              <w:pStyle w:val="1535"/>
            </w:pPr>
            <w:r>
              <w:t>土地利用类型</w:t>
            </w:r>
          </w:p>
        </w:tc>
        <w:tc>
          <w:tcPr>
            <w:tcW w:w="1698" w:type="pct"/>
            <w:vAlign w:val="center"/>
          </w:tcPr>
          <w:p w14:paraId="131F9839">
            <w:pPr>
              <w:pStyle w:val="1535"/>
            </w:pPr>
            <w:r>
              <w:t>城市</w:t>
            </w:r>
          </w:p>
        </w:tc>
      </w:tr>
      <w:tr w14:paraId="5386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02" w:type="pct"/>
            <w:gridSpan w:val="2"/>
            <w:vAlign w:val="center"/>
          </w:tcPr>
          <w:p w14:paraId="59674AD6">
            <w:pPr>
              <w:pStyle w:val="1535"/>
            </w:pPr>
            <w:r>
              <w:t>区域湿度条件</w:t>
            </w:r>
          </w:p>
        </w:tc>
        <w:tc>
          <w:tcPr>
            <w:tcW w:w="1698" w:type="pct"/>
            <w:vAlign w:val="center"/>
          </w:tcPr>
          <w:p w14:paraId="6AAEEB53">
            <w:pPr>
              <w:pStyle w:val="1535"/>
            </w:pPr>
            <w:r>
              <w:t>中等湿度气候</w:t>
            </w:r>
          </w:p>
        </w:tc>
      </w:tr>
      <w:tr w14:paraId="5708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8" w:type="pct"/>
            <w:vMerge w:val="restart"/>
            <w:vAlign w:val="center"/>
          </w:tcPr>
          <w:p w14:paraId="75382E74">
            <w:pPr>
              <w:pStyle w:val="1535"/>
            </w:pPr>
            <w:r>
              <w:t>是否考虑地形</w:t>
            </w:r>
          </w:p>
        </w:tc>
        <w:tc>
          <w:tcPr>
            <w:tcW w:w="1604" w:type="pct"/>
            <w:vAlign w:val="center"/>
          </w:tcPr>
          <w:p w14:paraId="075B0803">
            <w:pPr>
              <w:pStyle w:val="1535"/>
            </w:pPr>
            <w:r>
              <w:t>考虑地形</w:t>
            </w:r>
          </w:p>
        </w:tc>
        <w:tc>
          <w:tcPr>
            <w:tcW w:w="1698" w:type="pct"/>
            <w:vAlign w:val="center"/>
          </w:tcPr>
          <w:p w14:paraId="4A4F15E9">
            <w:pPr>
              <w:pStyle w:val="1535"/>
            </w:pPr>
            <w:r>
              <w:rPr>
                <w:rFonts w:hint="eastAsia"/>
              </w:rPr>
              <w:t>是</w:t>
            </w:r>
          </w:p>
        </w:tc>
      </w:tr>
      <w:tr w14:paraId="25F8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8" w:type="pct"/>
            <w:vMerge w:val="continue"/>
            <w:vAlign w:val="center"/>
          </w:tcPr>
          <w:p w14:paraId="75CB9301">
            <w:pPr>
              <w:pStyle w:val="1535"/>
            </w:pPr>
          </w:p>
        </w:tc>
        <w:tc>
          <w:tcPr>
            <w:tcW w:w="1604" w:type="pct"/>
            <w:vAlign w:val="center"/>
          </w:tcPr>
          <w:p w14:paraId="1DD3804E">
            <w:pPr>
              <w:pStyle w:val="1535"/>
            </w:pPr>
            <w:r>
              <w:t>地形数据分辨率(m)</w:t>
            </w:r>
          </w:p>
        </w:tc>
        <w:tc>
          <w:tcPr>
            <w:tcW w:w="1698" w:type="pct"/>
            <w:vAlign w:val="center"/>
          </w:tcPr>
          <w:p w14:paraId="55EDFC63">
            <w:pPr>
              <w:pStyle w:val="1535"/>
            </w:pPr>
            <w:r>
              <w:t>/</w:t>
            </w:r>
          </w:p>
        </w:tc>
      </w:tr>
      <w:tr w14:paraId="084A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8" w:type="pct"/>
            <w:vMerge w:val="restart"/>
            <w:vAlign w:val="center"/>
          </w:tcPr>
          <w:p w14:paraId="4134A753">
            <w:pPr>
              <w:pStyle w:val="1535"/>
            </w:pPr>
            <w:r>
              <w:t>是否考虑海岸线熏烟</w:t>
            </w:r>
          </w:p>
        </w:tc>
        <w:tc>
          <w:tcPr>
            <w:tcW w:w="1604" w:type="pct"/>
            <w:vAlign w:val="center"/>
          </w:tcPr>
          <w:p w14:paraId="1C03F12C">
            <w:pPr>
              <w:pStyle w:val="1535"/>
            </w:pPr>
            <w:r>
              <w:t>考虑海岸线熏烟</w:t>
            </w:r>
          </w:p>
        </w:tc>
        <w:tc>
          <w:tcPr>
            <w:tcW w:w="1698" w:type="pct"/>
            <w:vAlign w:val="center"/>
          </w:tcPr>
          <w:p w14:paraId="5E47EC8A">
            <w:pPr>
              <w:pStyle w:val="1535"/>
            </w:pPr>
            <w:r>
              <w:t>否</w:t>
            </w:r>
          </w:p>
        </w:tc>
      </w:tr>
      <w:tr w14:paraId="4A18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8" w:type="pct"/>
            <w:vMerge w:val="continue"/>
            <w:vAlign w:val="center"/>
          </w:tcPr>
          <w:p w14:paraId="26CD7A39">
            <w:pPr>
              <w:pStyle w:val="1535"/>
            </w:pPr>
          </w:p>
        </w:tc>
        <w:tc>
          <w:tcPr>
            <w:tcW w:w="1604" w:type="pct"/>
            <w:vAlign w:val="center"/>
          </w:tcPr>
          <w:p w14:paraId="33D69C3F">
            <w:pPr>
              <w:pStyle w:val="1535"/>
            </w:pPr>
            <w:r>
              <w:t>海岸线距离/km</w:t>
            </w:r>
          </w:p>
        </w:tc>
        <w:tc>
          <w:tcPr>
            <w:tcW w:w="1698" w:type="pct"/>
            <w:vAlign w:val="center"/>
          </w:tcPr>
          <w:p w14:paraId="4B34F7ED">
            <w:pPr>
              <w:pStyle w:val="1535"/>
            </w:pPr>
            <w:r>
              <w:t>/</w:t>
            </w:r>
          </w:p>
        </w:tc>
      </w:tr>
      <w:tr w14:paraId="5565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8" w:type="pct"/>
            <w:vMerge w:val="continue"/>
            <w:vAlign w:val="center"/>
          </w:tcPr>
          <w:p w14:paraId="17BE352B">
            <w:pPr>
              <w:pStyle w:val="1535"/>
            </w:pPr>
          </w:p>
        </w:tc>
        <w:tc>
          <w:tcPr>
            <w:tcW w:w="1604" w:type="pct"/>
            <w:vAlign w:val="center"/>
          </w:tcPr>
          <w:p w14:paraId="770A6079">
            <w:pPr>
              <w:pStyle w:val="1535"/>
            </w:pPr>
            <w:r>
              <w:t>海岸线方向/o</w:t>
            </w:r>
          </w:p>
        </w:tc>
        <w:tc>
          <w:tcPr>
            <w:tcW w:w="1698" w:type="pct"/>
            <w:vAlign w:val="center"/>
          </w:tcPr>
          <w:p w14:paraId="64240874">
            <w:pPr>
              <w:pStyle w:val="1535"/>
            </w:pPr>
            <w:r>
              <w:t>/</w:t>
            </w:r>
          </w:p>
        </w:tc>
      </w:tr>
    </w:tbl>
    <w:p w14:paraId="246722C1">
      <w:pPr>
        <w:pStyle w:val="5"/>
        <w:rPr>
          <w:color w:val="000000" w:themeColor="text1"/>
          <w14:textFill>
            <w14:solidFill>
              <w14:schemeClr w14:val="tx1"/>
            </w14:solidFill>
          </w14:textFill>
        </w:rPr>
      </w:pPr>
      <w:r>
        <w:rPr>
          <w:color w:val="000000" w:themeColor="text1"/>
          <w14:textFill>
            <w14:solidFill>
              <w14:schemeClr w14:val="tx1"/>
            </w14:solidFill>
          </w14:textFill>
        </w:rPr>
        <w:t>污染源参数</w:t>
      </w:r>
    </w:p>
    <w:p w14:paraId="23AD0953">
      <w:pPr>
        <w:ind w:firstLine="520"/>
        <w:rPr>
          <w:color w:val="000000" w:themeColor="text1"/>
          <w14:textFill>
            <w14:solidFill>
              <w14:schemeClr w14:val="tx1"/>
            </w14:solidFill>
          </w14:textFill>
        </w:rPr>
        <w:sectPr>
          <w:pgSz w:w="11906" w:h="16838"/>
          <w:pgMar w:top="1701" w:right="1701" w:bottom="1418" w:left="1134" w:header="851" w:footer="992" w:gutter="0"/>
          <w:cols w:space="720" w:num="1"/>
          <w:docGrid w:type="lines" w:linePitch="326" w:charSpace="0"/>
        </w:sectPr>
      </w:pPr>
      <w:r>
        <w:rPr>
          <w:color w:val="000000" w:themeColor="text1"/>
          <w14:textFill>
            <w14:solidFill>
              <w14:schemeClr w14:val="tx1"/>
            </w14:solidFill>
          </w14:textFill>
        </w:rPr>
        <w:t>根据工程分析，扩建项目废气排放源强参数见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_Ref160553202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表6.1</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404B8C5F">
      <w:pPr>
        <w:spacing w:before="32"/>
        <w:ind w:firstLine="0" w:firstLineChars="0"/>
        <w:jc w:val="center"/>
        <w:rPr>
          <w:color w:val="000000" w:themeColor="text1"/>
          <w14:textFill>
            <w14:solidFill>
              <w14:schemeClr w14:val="tx1"/>
            </w14:solidFill>
          </w14:textFill>
        </w:rPr>
      </w:pPr>
      <w:bookmarkStart w:id="255" w:name="_Ref160553202"/>
      <w:bookmarkStart w:id="256" w:name="_Hlk59981273"/>
      <w:bookmarkStart w:id="257" w:name="_Toc55416186"/>
      <w:bookmarkStart w:id="258" w:name="_Toc55414867"/>
      <w:bookmarkStart w:id="259" w:name="_Toc55414343"/>
      <w:bookmarkStart w:id="260" w:name="_Toc55415921"/>
      <w:bookmarkStart w:id="261" w:name="_Toc55522441"/>
      <w:bookmarkStart w:id="262" w:name="_Toc55506330"/>
      <w:bookmarkStart w:id="263" w:name="_Toc55415126"/>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3</w:t>
      </w:r>
      <w:r>
        <w:rPr>
          <w:color w:val="000000" w:themeColor="text1"/>
          <w:szCs w:val="26"/>
          <w14:textFill>
            <w14:solidFill>
              <w14:schemeClr w14:val="tx1"/>
            </w14:solidFill>
          </w14:textFill>
        </w:rPr>
        <w:fldChar w:fldCharType="end"/>
      </w:r>
      <w:bookmarkEnd w:id="255"/>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废气污染源排放参数表</w:t>
      </w:r>
    </w:p>
    <w:tbl>
      <w:tblPr>
        <w:tblStyle w:val="88"/>
        <w:tblW w:w="5000" w:type="pct"/>
        <w:jc w:val="center"/>
        <w:tblLayout w:type="fixed"/>
        <w:tblCellMar>
          <w:top w:w="0" w:type="dxa"/>
          <w:left w:w="108" w:type="dxa"/>
          <w:bottom w:w="0" w:type="dxa"/>
          <w:right w:w="108" w:type="dxa"/>
        </w:tblCellMar>
      </w:tblPr>
      <w:tblGrid>
        <w:gridCol w:w="1189"/>
        <w:gridCol w:w="1042"/>
        <w:gridCol w:w="1145"/>
        <w:gridCol w:w="1145"/>
        <w:gridCol w:w="1265"/>
        <w:gridCol w:w="1299"/>
        <w:gridCol w:w="945"/>
        <w:gridCol w:w="747"/>
        <w:gridCol w:w="1006"/>
        <w:gridCol w:w="1006"/>
        <w:gridCol w:w="820"/>
        <w:gridCol w:w="898"/>
        <w:gridCol w:w="1430"/>
      </w:tblGrid>
      <w:tr w14:paraId="1126DFCE">
        <w:tblPrEx>
          <w:tblCellMar>
            <w:top w:w="0" w:type="dxa"/>
            <w:left w:w="108" w:type="dxa"/>
            <w:bottom w:w="0" w:type="dxa"/>
            <w:right w:w="108" w:type="dxa"/>
          </w:tblCellMar>
        </w:tblPrEx>
        <w:trPr>
          <w:trHeight w:val="315" w:hRule="atLeast"/>
          <w:jc w:val="center"/>
        </w:trPr>
        <w:tc>
          <w:tcPr>
            <w:tcW w:w="426" w:type="pct"/>
            <w:vMerge w:val="restart"/>
            <w:tcBorders>
              <w:top w:val="single" w:color="000000" w:sz="8" w:space="0"/>
              <w:left w:val="single" w:color="000000" w:sz="8" w:space="0"/>
              <w:bottom w:val="single" w:color="000000" w:sz="8" w:space="0"/>
              <w:right w:val="single" w:color="000000" w:sz="8" w:space="0"/>
            </w:tcBorders>
            <w:vAlign w:val="center"/>
          </w:tcPr>
          <w:p w14:paraId="2D54DC79">
            <w:pPr>
              <w:pStyle w:val="1535"/>
              <w:rPr>
                <w:snapToGrid/>
              </w:rPr>
            </w:pPr>
            <w:r>
              <w:rPr>
                <w:snapToGrid/>
              </w:rPr>
              <w:t>污染源名称</w:t>
            </w:r>
          </w:p>
        </w:tc>
        <w:tc>
          <w:tcPr>
            <w:tcW w:w="374" w:type="pct"/>
            <w:vMerge w:val="restart"/>
            <w:tcBorders>
              <w:top w:val="single" w:color="000000" w:sz="8" w:space="0"/>
              <w:left w:val="nil"/>
              <w:bottom w:val="single" w:color="000000" w:sz="8" w:space="0"/>
              <w:right w:val="single" w:color="000000" w:sz="8" w:space="0"/>
            </w:tcBorders>
            <w:vAlign w:val="center"/>
          </w:tcPr>
          <w:p w14:paraId="2B9ADE22">
            <w:pPr>
              <w:pStyle w:val="1535"/>
              <w:rPr>
                <w:snapToGrid/>
              </w:rPr>
            </w:pPr>
            <w:r>
              <w:rPr>
                <w:snapToGrid/>
              </w:rPr>
              <w:t>排气筒底部海拔高度/m</w:t>
            </w:r>
          </w:p>
        </w:tc>
        <w:tc>
          <w:tcPr>
            <w:tcW w:w="411" w:type="pct"/>
            <w:vMerge w:val="restart"/>
            <w:tcBorders>
              <w:top w:val="single" w:color="000000" w:sz="8" w:space="0"/>
              <w:left w:val="nil"/>
              <w:bottom w:val="single" w:color="000000" w:sz="8" w:space="0"/>
              <w:right w:val="single" w:color="000000" w:sz="8" w:space="0"/>
            </w:tcBorders>
            <w:vAlign w:val="center"/>
          </w:tcPr>
          <w:p w14:paraId="6F487F76">
            <w:pPr>
              <w:pStyle w:val="1535"/>
              <w:rPr>
                <w:snapToGrid/>
              </w:rPr>
            </w:pPr>
            <w:r>
              <w:rPr>
                <w:snapToGrid/>
              </w:rPr>
              <w:t>排气筒高度（m）</w:t>
            </w:r>
          </w:p>
        </w:tc>
        <w:tc>
          <w:tcPr>
            <w:tcW w:w="411" w:type="pct"/>
            <w:vMerge w:val="restart"/>
            <w:tcBorders>
              <w:top w:val="single" w:color="000000" w:sz="8" w:space="0"/>
              <w:left w:val="nil"/>
              <w:bottom w:val="single" w:color="000000" w:sz="8" w:space="0"/>
              <w:right w:val="single" w:color="000000" w:sz="8" w:space="0"/>
            </w:tcBorders>
            <w:vAlign w:val="center"/>
          </w:tcPr>
          <w:p w14:paraId="4B4ECC26">
            <w:pPr>
              <w:pStyle w:val="1535"/>
              <w:rPr>
                <w:snapToGrid/>
              </w:rPr>
            </w:pPr>
            <w:r>
              <w:rPr>
                <w:snapToGrid/>
              </w:rPr>
              <w:t>排气筒内径（m）</w:t>
            </w:r>
          </w:p>
        </w:tc>
        <w:tc>
          <w:tcPr>
            <w:tcW w:w="454" w:type="pct"/>
            <w:vMerge w:val="restart"/>
            <w:tcBorders>
              <w:top w:val="single" w:color="000000" w:sz="8" w:space="0"/>
              <w:left w:val="nil"/>
              <w:bottom w:val="single" w:color="000000" w:sz="8" w:space="0"/>
              <w:right w:val="single" w:color="000000" w:sz="8" w:space="0"/>
            </w:tcBorders>
            <w:vAlign w:val="center"/>
          </w:tcPr>
          <w:p w14:paraId="28FAB86E">
            <w:pPr>
              <w:pStyle w:val="1535"/>
              <w:rPr>
                <w:snapToGrid/>
              </w:rPr>
            </w:pPr>
            <w:r>
              <w:rPr>
                <w:snapToGrid/>
              </w:rPr>
              <w:t>烟气出口温度（℃）</w:t>
            </w:r>
          </w:p>
        </w:tc>
        <w:tc>
          <w:tcPr>
            <w:tcW w:w="466" w:type="pct"/>
            <w:vMerge w:val="restart"/>
            <w:tcBorders>
              <w:top w:val="single" w:color="000000" w:sz="8" w:space="0"/>
              <w:left w:val="nil"/>
              <w:bottom w:val="single" w:color="000000" w:sz="8" w:space="0"/>
              <w:right w:val="single" w:color="000000" w:sz="8" w:space="0"/>
            </w:tcBorders>
            <w:vAlign w:val="center"/>
          </w:tcPr>
          <w:p w14:paraId="358219A5">
            <w:pPr>
              <w:pStyle w:val="1535"/>
              <w:rPr>
                <w:snapToGrid/>
              </w:rPr>
            </w:pPr>
            <w:r>
              <w:rPr>
                <w:snapToGrid/>
              </w:rPr>
              <w:t>废气量（m</w:t>
            </w:r>
            <w:r>
              <w:rPr>
                <w:snapToGrid/>
                <w:vertAlign w:val="superscript"/>
              </w:rPr>
              <w:t>3</w:t>
            </w:r>
            <w:r>
              <w:rPr>
                <w:snapToGrid/>
              </w:rPr>
              <w:t>/h）</w:t>
            </w:r>
          </w:p>
        </w:tc>
        <w:tc>
          <w:tcPr>
            <w:tcW w:w="339" w:type="pct"/>
            <w:vMerge w:val="restart"/>
            <w:tcBorders>
              <w:top w:val="single" w:color="000000" w:sz="8" w:space="0"/>
              <w:left w:val="nil"/>
              <w:bottom w:val="single" w:color="000000" w:sz="8" w:space="0"/>
              <w:right w:val="single" w:color="000000" w:sz="8" w:space="0"/>
            </w:tcBorders>
            <w:vAlign w:val="center"/>
          </w:tcPr>
          <w:p w14:paraId="5B1EA5EF">
            <w:pPr>
              <w:pStyle w:val="1535"/>
              <w:rPr>
                <w:snapToGrid/>
              </w:rPr>
            </w:pPr>
            <w:r>
              <w:rPr>
                <w:snapToGrid/>
              </w:rPr>
              <w:t>年排放小时数/h</w:t>
            </w:r>
          </w:p>
        </w:tc>
        <w:tc>
          <w:tcPr>
            <w:tcW w:w="268" w:type="pct"/>
            <w:vMerge w:val="restart"/>
            <w:tcBorders>
              <w:top w:val="single" w:color="000000" w:sz="8" w:space="0"/>
              <w:left w:val="nil"/>
              <w:bottom w:val="single" w:color="000000" w:sz="8" w:space="0"/>
              <w:right w:val="single" w:color="000000" w:sz="8" w:space="0"/>
            </w:tcBorders>
            <w:vAlign w:val="center"/>
          </w:tcPr>
          <w:p w14:paraId="41D0973E">
            <w:pPr>
              <w:pStyle w:val="1535"/>
              <w:rPr>
                <w:snapToGrid/>
              </w:rPr>
            </w:pPr>
            <w:r>
              <w:rPr>
                <w:snapToGrid/>
              </w:rPr>
              <w:t>排放工况</w:t>
            </w:r>
          </w:p>
        </w:tc>
        <w:tc>
          <w:tcPr>
            <w:tcW w:w="1851" w:type="pct"/>
            <w:gridSpan w:val="5"/>
            <w:tcBorders>
              <w:top w:val="single" w:color="auto" w:sz="4" w:space="0"/>
              <w:left w:val="nil"/>
              <w:bottom w:val="single" w:color="000000" w:sz="8" w:space="0"/>
              <w:right w:val="single" w:color="auto" w:sz="4" w:space="0"/>
            </w:tcBorders>
            <w:noWrap/>
            <w:vAlign w:val="center"/>
          </w:tcPr>
          <w:p w14:paraId="7A47020F">
            <w:pPr>
              <w:pStyle w:val="1535"/>
              <w:rPr>
                <w:snapToGrid/>
              </w:rPr>
            </w:pPr>
            <w:r>
              <w:rPr>
                <w:snapToGrid/>
              </w:rPr>
              <w:t>排气筒排放源强（kg/h）</w:t>
            </w:r>
          </w:p>
        </w:tc>
      </w:tr>
      <w:tr w14:paraId="44990BD5">
        <w:tblPrEx>
          <w:tblCellMar>
            <w:top w:w="0" w:type="dxa"/>
            <w:left w:w="108" w:type="dxa"/>
            <w:bottom w:w="0" w:type="dxa"/>
            <w:right w:w="108" w:type="dxa"/>
          </w:tblCellMar>
        </w:tblPrEx>
        <w:trPr>
          <w:trHeight w:val="390" w:hRule="atLeast"/>
          <w:jc w:val="center"/>
        </w:trPr>
        <w:tc>
          <w:tcPr>
            <w:tcW w:w="426" w:type="pct"/>
            <w:vMerge w:val="continue"/>
            <w:tcBorders>
              <w:top w:val="single" w:color="000000" w:sz="8" w:space="0"/>
              <w:left w:val="single" w:color="000000" w:sz="8" w:space="0"/>
              <w:bottom w:val="single" w:color="000000" w:sz="8" w:space="0"/>
              <w:right w:val="single" w:color="000000" w:sz="8" w:space="0"/>
            </w:tcBorders>
            <w:vAlign w:val="center"/>
          </w:tcPr>
          <w:p w14:paraId="1B649A1C">
            <w:pPr>
              <w:pStyle w:val="1535"/>
              <w:rPr>
                <w:snapToGrid/>
              </w:rPr>
            </w:pPr>
          </w:p>
        </w:tc>
        <w:tc>
          <w:tcPr>
            <w:tcW w:w="374" w:type="pct"/>
            <w:vMerge w:val="continue"/>
            <w:tcBorders>
              <w:top w:val="single" w:color="000000" w:sz="8" w:space="0"/>
              <w:left w:val="nil"/>
              <w:bottom w:val="single" w:color="000000" w:sz="8" w:space="0"/>
              <w:right w:val="single" w:color="000000" w:sz="8" w:space="0"/>
            </w:tcBorders>
            <w:vAlign w:val="center"/>
          </w:tcPr>
          <w:p w14:paraId="7D78E774">
            <w:pPr>
              <w:pStyle w:val="1535"/>
              <w:rPr>
                <w:snapToGrid/>
              </w:rPr>
            </w:pPr>
          </w:p>
        </w:tc>
        <w:tc>
          <w:tcPr>
            <w:tcW w:w="411" w:type="pct"/>
            <w:vMerge w:val="continue"/>
            <w:tcBorders>
              <w:top w:val="single" w:color="000000" w:sz="8" w:space="0"/>
              <w:left w:val="nil"/>
              <w:bottom w:val="single" w:color="000000" w:sz="8" w:space="0"/>
              <w:right w:val="single" w:color="000000" w:sz="8" w:space="0"/>
            </w:tcBorders>
            <w:vAlign w:val="center"/>
          </w:tcPr>
          <w:p w14:paraId="225451B1">
            <w:pPr>
              <w:pStyle w:val="1535"/>
              <w:rPr>
                <w:snapToGrid/>
              </w:rPr>
            </w:pPr>
          </w:p>
        </w:tc>
        <w:tc>
          <w:tcPr>
            <w:tcW w:w="411" w:type="pct"/>
            <w:vMerge w:val="continue"/>
            <w:tcBorders>
              <w:top w:val="single" w:color="000000" w:sz="8" w:space="0"/>
              <w:left w:val="nil"/>
              <w:bottom w:val="single" w:color="000000" w:sz="8" w:space="0"/>
              <w:right w:val="single" w:color="000000" w:sz="8" w:space="0"/>
            </w:tcBorders>
            <w:vAlign w:val="center"/>
          </w:tcPr>
          <w:p w14:paraId="17CEB338">
            <w:pPr>
              <w:pStyle w:val="1535"/>
              <w:rPr>
                <w:snapToGrid/>
              </w:rPr>
            </w:pPr>
          </w:p>
        </w:tc>
        <w:tc>
          <w:tcPr>
            <w:tcW w:w="454" w:type="pct"/>
            <w:vMerge w:val="continue"/>
            <w:tcBorders>
              <w:top w:val="single" w:color="000000" w:sz="8" w:space="0"/>
              <w:left w:val="nil"/>
              <w:bottom w:val="single" w:color="000000" w:sz="8" w:space="0"/>
              <w:right w:val="single" w:color="000000" w:sz="8" w:space="0"/>
            </w:tcBorders>
            <w:vAlign w:val="center"/>
          </w:tcPr>
          <w:p w14:paraId="6FBE1C7E">
            <w:pPr>
              <w:pStyle w:val="1535"/>
              <w:rPr>
                <w:snapToGrid/>
              </w:rPr>
            </w:pPr>
          </w:p>
        </w:tc>
        <w:tc>
          <w:tcPr>
            <w:tcW w:w="466" w:type="pct"/>
            <w:vMerge w:val="continue"/>
            <w:tcBorders>
              <w:top w:val="single" w:color="000000" w:sz="8" w:space="0"/>
              <w:left w:val="nil"/>
              <w:bottom w:val="single" w:color="000000" w:sz="8" w:space="0"/>
              <w:right w:val="single" w:color="000000" w:sz="8" w:space="0"/>
            </w:tcBorders>
            <w:vAlign w:val="center"/>
          </w:tcPr>
          <w:p w14:paraId="6B5813F8">
            <w:pPr>
              <w:pStyle w:val="1535"/>
              <w:rPr>
                <w:snapToGrid/>
              </w:rPr>
            </w:pPr>
          </w:p>
        </w:tc>
        <w:tc>
          <w:tcPr>
            <w:tcW w:w="339" w:type="pct"/>
            <w:vMerge w:val="continue"/>
            <w:tcBorders>
              <w:top w:val="single" w:color="000000" w:sz="8" w:space="0"/>
              <w:left w:val="nil"/>
              <w:bottom w:val="single" w:color="000000" w:sz="8" w:space="0"/>
              <w:right w:val="single" w:color="000000" w:sz="8" w:space="0"/>
            </w:tcBorders>
            <w:vAlign w:val="center"/>
          </w:tcPr>
          <w:p w14:paraId="2D02F739">
            <w:pPr>
              <w:pStyle w:val="1535"/>
              <w:rPr>
                <w:snapToGrid/>
              </w:rPr>
            </w:pPr>
          </w:p>
        </w:tc>
        <w:tc>
          <w:tcPr>
            <w:tcW w:w="268" w:type="pct"/>
            <w:vMerge w:val="continue"/>
            <w:tcBorders>
              <w:top w:val="single" w:color="000000" w:sz="8" w:space="0"/>
              <w:left w:val="nil"/>
              <w:bottom w:val="single" w:color="000000" w:sz="8" w:space="0"/>
              <w:right w:val="single" w:color="000000" w:sz="8" w:space="0"/>
            </w:tcBorders>
            <w:vAlign w:val="center"/>
          </w:tcPr>
          <w:p w14:paraId="65D30F5C">
            <w:pPr>
              <w:pStyle w:val="1535"/>
              <w:rPr>
                <w:snapToGrid/>
              </w:rPr>
            </w:pPr>
          </w:p>
        </w:tc>
        <w:tc>
          <w:tcPr>
            <w:tcW w:w="361" w:type="pct"/>
            <w:tcBorders>
              <w:top w:val="nil"/>
              <w:left w:val="nil"/>
              <w:bottom w:val="single" w:color="000000" w:sz="8" w:space="0"/>
              <w:right w:val="single" w:color="000000" w:sz="8" w:space="0"/>
            </w:tcBorders>
            <w:noWrap/>
            <w:vAlign w:val="center"/>
          </w:tcPr>
          <w:p w14:paraId="6D012B77">
            <w:pPr>
              <w:pStyle w:val="1535"/>
              <w:rPr>
                <w:snapToGrid/>
              </w:rPr>
            </w:pPr>
            <w:r>
              <w:rPr>
                <w:snapToGrid/>
              </w:rPr>
              <w:t>氟化物</w:t>
            </w:r>
          </w:p>
        </w:tc>
        <w:tc>
          <w:tcPr>
            <w:tcW w:w="361" w:type="pct"/>
            <w:tcBorders>
              <w:top w:val="nil"/>
              <w:left w:val="nil"/>
              <w:bottom w:val="single" w:color="000000" w:sz="8" w:space="0"/>
              <w:right w:val="single" w:color="000000" w:sz="8" w:space="0"/>
            </w:tcBorders>
            <w:noWrap/>
            <w:vAlign w:val="center"/>
          </w:tcPr>
          <w:p w14:paraId="60ED5569">
            <w:pPr>
              <w:pStyle w:val="1535"/>
              <w:rPr>
                <w:snapToGrid/>
              </w:rPr>
            </w:pPr>
            <w:r>
              <w:rPr>
                <w:snapToGrid/>
              </w:rPr>
              <w:t>氯化氢</w:t>
            </w:r>
          </w:p>
        </w:tc>
        <w:tc>
          <w:tcPr>
            <w:tcW w:w="294" w:type="pct"/>
            <w:tcBorders>
              <w:top w:val="nil"/>
              <w:left w:val="nil"/>
              <w:bottom w:val="single" w:color="000000" w:sz="8" w:space="0"/>
              <w:right w:val="single" w:color="000000" w:sz="8" w:space="0"/>
            </w:tcBorders>
            <w:noWrap/>
            <w:vAlign w:val="center"/>
          </w:tcPr>
          <w:p w14:paraId="0BF28D9E">
            <w:pPr>
              <w:pStyle w:val="1535"/>
              <w:rPr>
                <w:snapToGrid/>
              </w:rPr>
            </w:pPr>
            <w:r>
              <w:rPr>
                <w:snapToGrid/>
              </w:rPr>
              <w:t>PM</w:t>
            </w:r>
            <w:r>
              <w:rPr>
                <w:snapToGrid/>
                <w:vertAlign w:val="subscript"/>
              </w:rPr>
              <w:t>10</w:t>
            </w:r>
          </w:p>
        </w:tc>
        <w:tc>
          <w:tcPr>
            <w:tcW w:w="322" w:type="pct"/>
            <w:tcBorders>
              <w:top w:val="nil"/>
              <w:left w:val="nil"/>
              <w:bottom w:val="single" w:color="000000" w:sz="8" w:space="0"/>
              <w:right w:val="single" w:color="000000" w:sz="8" w:space="0"/>
            </w:tcBorders>
            <w:noWrap/>
            <w:vAlign w:val="center"/>
          </w:tcPr>
          <w:p w14:paraId="732F8C29">
            <w:pPr>
              <w:pStyle w:val="1535"/>
              <w:rPr>
                <w:snapToGrid/>
              </w:rPr>
            </w:pPr>
            <w:r>
              <w:rPr>
                <w:snapToGrid/>
              </w:rPr>
              <w:t>PM</w:t>
            </w:r>
            <w:r>
              <w:rPr>
                <w:snapToGrid/>
                <w:vertAlign w:val="subscript"/>
              </w:rPr>
              <w:t>2.5</w:t>
            </w:r>
          </w:p>
        </w:tc>
        <w:tc>
          <w:tcPr>
            <w:tcW w:w="513" w:type="pct"/>
            <w:tcBorders>
              <w:top w:val="nil"/>
              <w:left w:val="nil"/>
              <w:bottom w:val="single" w:color="000000" w:sz="8" w:space="0"/>
              <w:right w:val="single" w:color="000000" w:sz="8" w:space="0"/>
            </w:tcBorders>
            <w:noWrap/>
            <w:vAlign w:val="center"/>
          </w:tcPr>
          <w:p w14:paraId="0220EFB8">
            <w:pPr>
              <w:pStyle w:val="1535"/>
              <w:rPr>
                <w:snapToGrid/>
              </w:rPr>
            </w:pPr>
            <w:r>
              <w:rPr>
                <w:snapToGrid/>
              </w:rPr>
              <w:t>非甲烷总烃</w:t>
            </w:r>
          </w:p>
        </w:tc>
      </w:tr>
      <w:tr w14:paraId="1BCD4A1A">
        <w:tblPrEx>
          <w:tblCellMar>
            <w:top w:w="0" w:type="dxa"/>
            <w:left w:w="108" w:type="dxa"/>
            <w:bottom w:w="0" w:type="dxa"/>
            <w:right w:w="108" w:type="dxa"/>
          </w:tblCellMar>
        </w:tblPrEx>
        <w:trPr>
          <w:trHeight w:val="585" w:hRule="atLeast"/>
          <w:jc w:val="center"/>
        </w:trPr>
        <w:tc>
          <w:tcPr>
            <w:tcW w:w="426" w:type="pct"/>
            <w:tcBorders>
              <w:top w:val="nil"/>
              <w:left w:val="single" w:color="000000" w:sz="8" w:space="0"/>
              <w:bottom w:val="single" w:color="000000" w:sz="8" w:space="0"/>
              <w:right w:val="single" w:color="000000" w:sz="8" w:space="0"/>
            </w:tcBorders>
            <w:vAlign w:val="center"/>
          </w:tcPr>
          <w:p w14:paraId="3E67C7BE">
            <w:pPr>
              <w:pStyle w:val="1535"/>
              <w:rPr>
                <w:snapToGrid/>
              </w:rPr>
            </w:pPr>
            <w:r>
              <w:rPr>
                <w:snapToGrid/>
              </w:rPr>
              <w:t>排气筒DA00</w:t>
            </w:r>
            <w:r>
              <w:rPr>
                <w:rFonts w:hint="eastAsia"/>
                <w:snapToGrid/>
              </w:rPr>
              <w:t>4</w:t>
            </w:r>
          </w:p>
        </w:tc>
        <w:tc>
          <w:tcPr>
            <w:tcW w:w="374" w:type="pct"/>
            <w:tcBorders>
              <w:top w:val="nil"/>
              <w:left w:val="nil"/>
              <w:bottom w:val="single" w:color="000000" w:sz="8" w:space="0"/>
              <w:right w:val="single" w:color="000000" w:sz="8" w:space="0"/>
            </w:tcBorders>
            <w:vAlign w:val="center"/>
          </w:tcPr>
          <w:p w14:paraId="2E669AF1">
            <w:pPr>
              <w:pStyle w:val="1535"/>
              <w:rPr>
                <w:snapToGrid/>
              </w:rPr>
            </w:pPr>
            <w:r>
              <w:rPr>
                <w:snapToGrid/>
              </w:rPr>
              <w:t>332</w:t>
            </w:r>
          </w:p>
        </w:tc>
        <w:tc>
          <w:tcPr>
            <w:tcW w:w="411" w:type="pct"/>
            <w:tcBorders>
              <w:top w:val="nil"/>
              <w:left w:val="nil"/>
              <w:bottom w:val="single" w:color="000000" w:sz="8" w:space="0"/>
              <w:right w:val="single" w:color="000000" w:sz="8" w:space="0"/>
            </w:tcBorders>
            <w:vAlign w:val="center"/>
          </w:tcPr>
          <w:p w14:paraId="3152DE00">
            <w:pPr>
              <w:pStyle w:val="1535"/>
              <w:rPr>
                <w:snapToGrid/>
              </w:rPr>
            </w:pPr>
            <w:r>
              <w:rPr>
                <w:snapToGrid/>
              </w:rPr>
              <w:t>25</w:t>
            </w:r>
          </w:p>
        </w:tc>
        <w:tc>
          <w:tcPr>
            <w:tcW w:w="411" w:type="pct"/>
            <w:tcBorders>
              <w:top w:val="nil"/>
              <w:left w:val="nil"/>
              <w:bottom w:val="single" w:color="000000" w:sz="8" w:space="0"/>
              <w:right w:val="single" w:color="000000" w:sz="8" w:space="0"/>
            </w:tcBorders>
            <w:vAlign w:val="center"/>
          </w:tcPr>
          <w:p w14:paraId="531B86A8">
            <w:pPr>
              <w:pStyle w:val="1535"/>
              <w:rPr>
                <w:snapToGrid/>
              </w:rPr>
            </w:pPr>
            <w:r>
              <w:rPr>
                <w:snapToGrid/>
              </w:rPr>
              <w:t>0.8</w:t>
            </w:r>
          </w:p>
        </w:tc>
        <w:tc>
          <w:tcPr>
            <w:tcW w:w="454" w:type="pct"/>
            <w:tcBorders>
              <w:top w:val="nil"/>
              <w:left w:val="nil"/>
              <w:bottom w:val="single" w:color="000000" w:sz="8" w:space="0"/>
              <w:right w:val="single" w:color="000000" w:sz="8" w:space="0"/>
            </w:tcBorders>
            <w:vAlign w:val="center"/>
          </w:tcPr>
          <w:p w14:paraId="6209C102">
            <w:pPr>
              <w:pStyle w:val="1535"/>
              <w:rPr>
                <w:snapToGrid/>
              </w:rPr>
            </w:pPr>
            <w:r>
              <w:rPr>
                <w:snapToGrid/>
              </w:rPr>
              <w:t>25</w:t>
            </w:r>
          </w:p>
        </w:tc>
        <w:tc>
          <w:tcPr>
            <w:tcW w:w="466" w:type="pct"/>
            <w:tcBorders>
              <w:top w:val="nil"/>
              <w:left w:val="nil"/>
              <w:bottom w:val="single" w:color="000000" w:sz="8" w:space="0"/>
              <w:right w:val="single" w:color="000000" w:sz="8" w:space="0"/>
            </w:tcBorders>
            <w:vAlign w:val="center"/>
          </w:tcPr>
          <w:p w14:paraId="2B3E4BBC">
            <w:pPr>
              <w:pStyle w:val="1535"/>
              <w:rPr>
                <w:snapToGrid/>
              </w:rPr>
            </w:pPr>
            <w:r>
              <w:rPr>
                <w:snapToGrid/>
              </w:rPr>
              <w:t>20000</w:t>
            </w:r>
          </w:p>
        </w:tc>
        <w:tc>
          <w:tcPr>
            <w:tcW w:w="339" w:type="pct"/>
            <w:tcBorders>
              <w:top w:val="nil"/>
              <w:left w:val="nil"/>
              <w:bottom w:val="single" w:color="000000" w:sz="8" w:space="0"/>
              <w:right w:val="single" w:color="000000" w:sz="8" w:space="0"/>
            </w:tcBorders>
            <w:vAlign w:val="center"/>
          </w:tcPr>
          <w:p w14:paraId="0FEC3541">
            <w:pPr>
              <w:pStyle w:val="1535"/>
              <w:rPr>
                <w:snapToGrid/>
              </w:rPr>
            </w:pPr>
            <w:r>
              <w:rPr>
                <w:snapToGrid/>
              </w:rPr>
              <w:t>7200</w:t>
            </w:r>
          </w:p>
        </w:tc>
        <w:tc>
          <w:tcPr>
            <w:tcW w:w="268" w:type="pct"/>
            <w:tcBorders>
              <w:top w:val="nil"/>
              <w:left w:val="nil"/>
              <w:bottom w:val="single" w:color="000000" w:sz="8" w:space="0"/>
              <w:right w:val="single" w:color="000000" w:sz="8" w:space="0"/>
            </w:tcBorders>
            <w:vAlign w:val="center"/>
          </w:tcPr>
          <w:p w14:paraId="73C3BCCD">
            <w:pPr>
              <w:pStyle w:val="1535"/>
              <w:rPr>
                <w:snapToGrid/>
              </w:rPr>
            </w:pPr>
            <w:r>
              <w:rPr>
                <w:snapToGrid/>
              </w:rPr>
              <w:t>正常</w:t>
            </w:r>
          </w:p>
        </w:tc>
        <w:tc>
          <w:tcPr>
            <w:tcW w:w="361" w:type="pct"/>
            <w:tcBorders>
              <w:top w:val="nil"/>
              <w:left w:val="nil"/>
              <w:bottom w:val="single" w:color="000000" w:sz="8" w:space="0"/>
              <w:right w:val="single" w:color="000000" w:sz="8" w:space="0"/>
            </w:tcBorders>
            <w:noWrap/>
            <w:vAlign w:val="center"/>
          </w:tcPr>
          <w:p w14:paraId="372EFB89">
            <w:pPr>
              <w:pStyle w:val="1535"/>
              <w:rPr>
                <w:snapToGrid/>
              </w:rPr>
            </w:pPr>
            <w:r>
              <w:rPr>
                <w:snapToGrid/>
              </w:rPr>
              <w:t>/</w:t>
            </w:r>
          </w:p>
        </w:tc>
        <w:tc>
          <w:tcPr>
            <w:tcW w:w="361" w:type="pct"/>
            <w:tcBorders>
              <w:top w:val="nil"/>
              <w:left w:val="nil"/>
              <w:bottom w:val="single" w:color="000000" w:sz="8" w:space="0"/>
              <w:right w:val="single" w:color="000000" w:sz="8" w:space="0"/>
            </w:tcBorders>
            <w:noWrap/>
            <w:vAlign w:val="center"/>
          </w:tcPr>
          <w:p w14:paraId="20748260">
            <w:pPr>
              <w:pStyle w:val="1535"/>
              <w:rPr>
                <w:snapToGrid/>
              </w:rPr>
            </w:pPr>
            <w:r>
              <w:rPr>
                <w:snapToGrid/>
              </w:rPr>
              <w:t>0.03</w:t>
            </w:r>
            <w:r>
              <w:rPr>
                <w:rFonts w:hint="eastAsia"/>
                <w:snapToGrid/>
              </w:rPr>
              <w:t>9</w:t>
            </w:r>
          </w:p>
        </w:tc>
        <w:tc>
          <w:tcPr>
            <w:tcW w:w="294" w:type="pct"/>
            <w:tcBorders>
              <w:top w:val="nil"/>
              <w:left w:val="nil"/>
              <w:bottom w:val="single" w:color="000000" w:sz="8" w:space="0"/>
              <w:right w:val="single" w:color="000000" w:sz="8" w:space="0"/>
            </w:tcBorders>
            <w:noWrap/>
            <w:vAlign w:val="center"/>
          </w:tcPr>
          <w:p w14:paraId="30BA5AEB">
            <w:pPr>
              <w:pStyle w:val="1535"/>
              <w:rPr>
                <w:snapToGrid/>
              </w:rPr>
            </w:pPr>
            <w:r>
              <w:rPr>
                <w:rFonts w:hint="eastAsia"/>
                <w:snapToGrid/>
              </w:rPr>
              <w:t>0.006</w:t>
            </w:r>
          </w:p>
        </w:tc>
        <w:tc>
          <w:tcPr>
            <w:tcW w:w="322" w:type="pct"/>
            <w:tcBorders>
              <w:top w:val="nil"/>
              <w:left w:val="nil"/>
              <w:bottom w:val="single" w:color="000000" w:sz="8" w:space="0"/>
              <w:right w:val="single" w:color="000000" w:sz="8" w:space="0"/>
            </w:tcBorders>
            <w:noWrap/>
            <w:vAlign w:val="center"/>
          </w:tcPr>
          <w:p w14:paraId="783EAC21">
            <w:pPr>
              <w:pStyle w:val="1535"/>
              <w:rPr>
                <w:snapToGrid/>
              </w:rPr>
            </w:pPr>
            <w:r>
              <w:rPr>
                <w:rFonts w:hint="eastAsia"/>
                <w:snapToGrid/>
              </w:rPr>
              <w:t>/</w:t>
            </w:r>
          </w:p>
        </w:tc>
        <w:tc>
          <w:tcPr>
            <w:tcW w:w="513" w:type="pct"/>
            <w:tcBorders>
              <w:top w:val="nil"/>
              <w:left w:val="nil"/>
              <w:bottom w:val="single" w:color="000000" w:sz="8" w:space="0"/>
              <w:right w:val="single" w:color="000000" w:sz="8" w:space="0"/>
            </w:tcBorders>
            <w:noWrap/>
            <w:vAlign w:val="center"/>
          </w:tcPr>
          <w:p w14:paraId="175E6820">
            <w:pPr>
              <w:pStyle w:val="1535"/>
              <w:rPr>
                <w:snapToGrid/>
              </w:rPr>
            </w:pPr>
            <w:r>
              <w:rPr>
                <w:rFonts w:hint="eastAsia"/>
                <w:snapToGrid/>
              </w:rPr>
              <w:t>0.059</w:t>
            </w:r>
          </w:p>
        </w:tc>
      </w:tr>
      <w:tr w14:paraId="114CB9F6">
        <w:tblPrEx>
          <w:tblCellMar>
            <w:top w:w="0" w:type="dxa"/>
            <w:left w:w="108" w:type="dxa"/>
            <w:bottom w:w="0" w:type="dxa"/>
            <w:right w:w="108" w:type="dxa"/>
          </w:tblCellMar>
        </w:tblPrEx>
        <w:trPr>
          <w:trHeight w:val="585" w:hRule="atLeast"/>
          <w:jc w:val="center"/>
        </w:trPr>
        <w:tc>
          <w:tcPr>
            <w:tcW w:w="426" w:type="pct"/>
            <w:tcBorders>
              <w:top w:val="nil"/>
              <w:left w:val="single" w:color="000000" w:sz="8" w:space="0"/>
              <w:bottom w:val="single" w:color="000000" w:sz="8" w:space="0"/>
              <w:right w:val="single" w:color="000000" w:sz="8" w:space="0"/>
            </w:tcBorders>
            <w:vAlign w:val="center"/>
          </w:tcPr>
          <w:p w14:paraId="2DA07CF2">
            <w:pPr>
              <w:pStyle w:val="1535"/>
              <w:rPr>
                <w:snapToGrid/>
              </w:rPr>
            </w:pPr>
            <w:r>
              <w:rPr>
                <w:snapToGrid/>
              </w:rPr>
              <w:t>排气筒DA00</w:t>
            </w:r>
            <w:r>
              <w:rPr>
                <w:rFonts w:hint="eastAsia"/>
                <w:snapToGrid/>
              </w:rPr>
              <w:t>5</w:t>
            </w:r>
          </w:p>
        </w:tc>
        <w:tc>
          <w:tcPr>
            <w:tcW w:w="374" w:type="pct"/>
            <w:tcBorders>
              <w:top w:val="nil"/>
              <w:left w:val="nil"/>
              <w:bottom w:val="single" w:color="000000" w:sz="8" w:space="0"/>
              <w:right w:val="single" w:color="000000" w:sz="8" w:space="0"/>
            </w:tcBorders>
            <w:vAlign w:val="center"/>
          </w:tcPr>
          <w:p w14:paraId="00E61DEB">
            <w:pPr>
              <w:pStyle w:val="1535"/>
              <w:rPr>
                <w:snapToGrid/>
              </w:rPr>
            </w:pPr>
            <w:r>
              <w:rPr>
                <w:snapToGrid/>
              </w:rPr>
              <w:t>332</w:t>
            </w:r>
          </w:p>
        </w:tc>
        <w:tc>
          <w:tcPr>
            <w:tcW w:w="411" w:type="pct"/>
            <w:tcBorders>
              <w:top w:val="nil"/>
              <w:left w:val="nil"/>
              <w:bottom w:val="single" w:color="000000" w:sz="8" w:space="0"/>
              <w:right w:val="single" w:color="000000" w:sz="8" w:space="0"/>
            </w:tcBorders>
            <w:vAlign w:val="center"/>
          </w:tcPr>
          <w:p w14:paraId="17167739">
            <w:pPr>
              <w:pStyle w:val="1535"/>
              <w:rPr>
                <w:snapToGrid/>
              </w:rPr>
            </w:pPr>
            <w:r>
              <w:rPr>
                <w:rFonts w:hint="eastAsia"/>
                <w:snapToGrid/>
              </w:rPr>
              <w:t>1</w:t>
            </w:r>
            <w:r>
              <w:rPr>
                <w:snapToGrid/>
              </w:rPr>
              <w:t>5</w:t>
            </w:r>
          </w:p>
        </w:tc>
        <w:tc>
          <w:tcPr>
            <w:tcW w:w="411" w:type="pct"/>
            <w:tcBorders>
              <w:top w:val="nil"/>
              <w:left w:val="nil"/>
              <w:bottom w:val="single" w:color="000000" w:sz="8" w:space="0"/>
              <w:right w:val="single" w:color="000000" w:sz="8" w:space="0"/>
            </w:tcBorders>
            <w:vAlign w:val="center"/>
          </w:tcPr>
          <w:p w14:paraId="53E877AF">
            <w:pPr>
              <w:pStyle w:val="1535"/>
              <w:rPr>
                <w:snapToGrid/>
              </w:rPr>
            </w:pPr>
            <w:r>
              <w:rPr>
                <w:rFonts w:hint="eastAsia"/>
                <w:snapToGrid/>
              </w:rPr>
              <w:t>0.8</w:t>
            </w:r>
          </w:p>
        </w:tc>
        <w:tc>
          <w:tcPr>
            <w:tcW w:w="454" w:type="pct"/>
            <w:tcBorders>
              <w:top w:val="nil"/>
              <w:left w:val="nil"/>
              <w:bottom w:val="single" w:color="000000" w:sz="8" w:space="0"/>
              <w:right w:val="single" w:color="000000" w:sz="8" w:space="0"/>
            </w:tcBorders>
            <w:vAlign w:val="center"/>
          </w:tcPr>
          <w:p w14:paraId="18445FD6">
            <w:pPr>
              <w:pStyle w:val="1535"/>
              <w:rPr>
                <w:snapToGrid/>
              </w:rPr>
            </w:pPr>
            <w:r>
              <w:rPr>
                <w:snapToGrid/>
              </w:rPr>
              <w:t>25</w:t>
            </w:r>
          </w:p>
        </w:tc>
        <w:tc>
          <w:tcPr>
            <w:tcW w:w="466" w:type="pct"/>
            <w:tcBorders>
              <w:top w:val="nil"/>
              <w:left w:val="nil"/>
              <w:bottom w:val="single" w:color="000000" w:sz="8" w:space="0"/>
              <w:right w:val="single" w:color="000000" w:sz="8" w:space="0"/>
            </w:tcBorders>
            <w:vAlign w:val="center"/>
          </w:tcPr>
          <w:p w14:paraId="121D5C14">
            <w:pPr>
              <w:pStyle w:val="1535"/>
              <w:rPr>
                <w:snapToGrid/>
              </w:rPr>
            </w:pPr>
            <w:r>
              <w:rPr>
                <w:rFonts w:hint="eastAsia"/>
                <w:snapToGrid/>
              </w:rPr>
              <w:t>2000</w:t>
            </w:r>
          </w:p>
        </w:tc>
        <w:tc>
          <w:tcPr>
            <w:tcW w:w="339" w:type="pct"/>
            <w:tcBorders>
              <w:top w:val="nil"/>
              <w:left w:val="nil"/>
              <w:bottom w:val="single" w:color="000000" w:sz="8" w:space="0"/>
              <w:right w:val="single" w:color="000000" w:sz="8" w:space="0"/>
            </w:tcBorders>
            <w:vAlign w:val="center"/>
          </w:tcPr>
          <w:p w14:paraId="0B621BBF">
            <w:pPr>
              <w:pStyle w:val="1535"/>
              <w:rPr>
                <w:snapToGrid/>
              </w:rPr>
            </w:pPr>
            <w:r>
              <w:rPr>
                <w:rFonts w:hint="eastAsia"/>
                <w:snapToGrid/>
              </w:rPr>
              <w:t>72</w:t>
            </w:r>
            <w:r>
              <w:rPr>
                <w:snapToGrid/>
              </w:rPr>
              <w:t>00</w:t>
            </w:r>
          </w:p>
        </w:tc>
        <w:tc>
          <w:tcPr>
            <w:tcW w:w="268" w:type="pct"/>
            <w:tcBorders>
              <w:top w:val="nil"/>
              <w:left w:val="nil"/>
              <w:bottom w:val="single" w:color="000000" w:sz="8" w:space="0"/>
              <w:right w:val="single" w:color="000000" w:sz="8" w:space="0"/>
            </w:tcBorders>
            <w:vAlign w:val="center"/>
          </w:tcPr>
          <w:p w14:paraId="4DCF35DE">
            <w:pPr>
              <w:pStyle w:val="1535"/>
              <w:rPr>
                <w:snapToGrid/>
              </w:rPr>
            </w:pPr>
            <w:r>
              <w:rPr>
                <w:snapToGrid/>
              </w:rPr>
              <w:t>正常</w:t>
            </w:r>
          </w:p>
        </w:tc>
        <w:tc>
          <w:tcPr>
            <w:tcW w:w="361" w:type="pct"/>
            <w:tcBorders>
              <w:top w:val="nil"/>
              <w:left w:val="nil"/>
              <w:bottom w:val="single" w:color="000000" w:sz="8" w:space="0"/>
              <w:right w:val="single" w:color="000000" w:sz="8" w:space="0"/>
            </w:tcBorders>
            <w:noWrap/>
            <w:vAlign w:val="center"/>
          </w:tcPr>
          <w:p w14:paraId="21526A6E">
            <w:pPr>
              <w:pStyle w:val="1535"/>
              <w:rPr>
                <w:snapToGrid/>
              </w:rPr>
            </w:pPr>
            <w:r>
              <w:rPr>
                <w:snapToGrid/>
              </w:rPr>
              <w:t>0.00</w:t>
            </w:r>
            <w:r>
              <w:rPr>
                <w:rFonts w:hint="eastAsia"/>
                <w:snapToGrid/>
              </w:rPr>
              <w:t>2</w:t>
            </w:r>
          </w:p>
        </w:tc>
        <w:tc>
          <w:tcPr>
            <w:tcW w:w="361" w:type="pct"/>
            <w:tcBorders>
              <w:top w:val="nil"/>
              <w:left w:val="nil"/>
              <w:bottom w:val="single" w:color="000000" w:sz="8" w:space="0"/>
              <w:right w:val="single" w:color="000000" w:sz="8" w:space="0"/>
            </w:tcBorders>
            <w:noWrap/>
            <w:vAlign w:val="center"/>
          </w:tcPr>
          <w:p w14:paraId="71C9BD33">
            <w:pPr>
              <w:pStyle w:val="1535"/>
              <w:rPr>
                <w:snapToGrid/>
              </w:rPr>
            </w:pPr>
            <w:r>
              <w:rPr>
                <w:rFonts w:hint="eastAsia"/>
                <w:snapToGrid/>
              </w:rPr>
              <w:t>/</w:t>
            </w:r>
          </w:p>
        </w:tc>
        <w:tc>
          <w:tcPr>
            <w:tcW w:w="294" w:type="pct"/>
            <w:tcBorders>
              <w:top w:val="nil"/>
              <w:left w:val="nil"/>
              <w:bottom w:val="single" w:color="000000" w:sz="8" w:space="0"/>
              <w:right w:val="single" w:color="000000" w:sz="8" w:space="0"/>
            </w:tcBorders>
            <w:noWrap/>
            <w:vAlign w:val="center"/>
          </w:tcPr>
          <w:p w14:paraId="636C330E">
            <w:pPr>
              <w:pStyle w:val="1535"/>
              <w:rPr>
                <w:snapToGrid/>
              </w:rPr>
            </w:pPr>
            <w:r>
              <w:rPr>
                <w:snapToGrid/>
              </w:rPr>
              <w:t>/</w:t>
            </w:r>
          </w:p>
        </w:tc>
        <w:tc>
          <w:tcPr>
            <w:tcW w:w="322" w:type="pct"/>
            <w:tcBorders>
              <w:top w:val="nil"/>
              <w:left w:val="nil"/>
              <w:bottom w:val="single" w:color="000000" w:sz="8" w:space="0"/>
              <w:right w:val="single" w:color="000000" w:sz="8" w:space="0"/>
            </w:tcBorders>
            <w:noWrap/>
            <w:vAlign w:val="center"/>
          </w:tcPr>
          <w:p w14:paraId="48EF7EB8">
            <w:pPr>
              <w:pStyle w:val="1535"/>
              <w:rPr>
                <w:snapToGrid/>
              </w:rPr>
            </w:pPr>
            <w:r>
              <w:rPr>
                <w:snapToGrid/>
              </w:rPr>
              <w:t>/</w:t>
            </w:r>
          </w:p>
        </w:tc>
        <w:tc>
          <w:tcPr>
            <w:tcW w:w="513" w:type="pct"/>
            <w:tcBorders>
              <w:top w:val="nil"/>
              <w:left w:val="nil"/>
              <w:bottom w:val="single" w:color="000000" w:sz="8" w:space="0"/>
              <w:right w:val="single" w:color="000000" w:sz="8" w:space="0"/>
            </w:tcBorders>
            <w:noWrap/>
            <w:vAlign w:val="center"/>
          </w:tcPr>
          <w:p w14:paraId="26DD427F">
            <w:pPr>
              <w:pStyle w:val="1535"/>
              <w:rPr>
                <w:snapToGrid/>
              </w:rPr>
            </w:pPr>
            <w:r>
              <w:rPr>
                <w:snapToGrid/>
              </w:rPr>
              <w:t>/</w:t>
            </w:r>
          </w:p>
        </w:tc>
      </w:tr>
      <w:tr w14:paraId="360B12AB">
        <w:tblPrEx>
          <w:tblCellMar>
            <w:top w:w="0" w:type="dxa"/>
            <w:left w:w="108" w:type="dxa"/>
            <w:bottom w:w="0" w:type="dxa"/>
            <w:right w:w="108" w:type="dxa"/>
          </w:tblCellMar>
        </w:tblPrEx>
        <w:trPr>
          <w:trHeight w:val="585" w:hRule="atLeast"/>
          <w:jc w:val="center"/>
        </w:trPr>
        <w:tc>
          <w:tcPr>
            <w:tcW w:w="426" w:type="pct"/>
            <w:tcBorders>
              <w:top w:val="nil"/>
              <w:left w:val="single" w:color="000000" w:sz="8" w:space="0"/>
              <w:bottom w:val="single" w:color="000000" w:sz="8" w:space="0"/>
              <w:right w:val="single" w:color="000000" w:sz="8" w:space="0"/>
            </w:tcBorders>
            <w:vAlign w:val="center"/>
          </w:tcPr>
          <w:p w14:paraId="4786D235">
            <w:pPr>
              <w:pStyle w:val="1535"/>
              <w:rPr>
                <w:snapToGrid/>
              </w:rPr>
            </w:pPr>
            <w:r>
              <w:rPr>
                <w:snapToGrid/>
              </w:rPr>
              <w:t>排气筒DA0</w:t>
            </w:r>
            <w:r>
              <w:rPr>
                <w:rFonts w:hint="eastAsia"/>
                <w:snapToGrid/>
              </w:rPr>
              <w:t>16</w:t>
            </w:r>
          </w:p>
        </w:tc>
        <w:tc>
          <w:tcPr>
            <w:tcW w:w="374" w:type="pct"/>
            <w:tcBorders>
              <w:top w:val="nil"/>
              <w:left w:val="nil"/>
              <w:bottom w:val="single" w:color="000000" w:sz="8" w:space="0"/>
              <w:right w:val="single" w:color="000000" w:sz="8" w:space="0"/>
            </w:tcBorders>
            <w:vAlign w:val="center"/>
          </w:tcPr>
          <w:p w14:paraId="1A3B0BCE">
            <w:pPr>
              <w:pStyle w:val="1535"/>
              <w:rPr>
                <w:snapToGrid/>
              </w:rPr>
            </w:pPr>
            <w:r>
              <w:rPr>
                <w:snapToGrid/>
              </w:rPr>
              <w:t>332</w:t>
            </w:r>
          </w:p>
        </w:tc>
        <w:tc>
          <w:tcPr>
            <w:tcW w:w="411" w:type="pct"/>
            <w:tcBorders>
              <w:top w:val="nil"/>
              <w:left w:val="nil"/>
              <w:bottom w:val="single" w:color="000000" w:sz="8" w:space="0"/>
              <w:right w:val="single" w:color="000000" w:sz="8" w:space="0"/>
            </w:tcBorders>
            <w:vAlign w:val="center"/>
          </w:tcPr>
          <w:p w14:paraId="66409B6D">
            <w:pPr>
              <w:pStyle w:val="1535"/>
              <w:rPr>
                <w:snapToGrid/>
              </w:rPr>
            </w:pPr>
            <w:r>
              <w:rPr>
                <w:snapToGrid/>
              </w:rPr>
              <w:t>15</w:t>
            </w:r>
          </w:p>
        </w:tc>
        <w:tc>
          <w:tcPr>
            <w:tcW w:w="411" w:type="pct"/>
            <w:tcBorders>
              <w:top w:val="nil"/>
              <w:left w:val="nil"/>
              <w:bottom w:val="single" w:color="000000" w:sz="8" w:space="0"/>
              <w:right w:val="single" w:color="000000" w:sz="8" w:space="0"/>
            </w:tcBorders>
            <w:vAlign w:val="center"/>
          </w:tcPr>
          <w:p w14:paraId="57978A46">
            <w:pPr>
              <w:pStyle w:val="1535"/>
              <w:rPr>
                <w:snapToGrid/>
              </w:rPr>
            </w:pPr>
            <w:r>
              <w:rPr>
                <w:snapToGrid/>
              </w:rPr>
              <w:t>0.2</w:t>
            </w:r>
          </w:p>
        </w:tc>
        <w:tc>
          <w:tcPr>
            <w:tcW w:w="454" w:type="pct"/>
            <w:tcBorders>
              <w:top w:val="nil"/>
              <w:left w:val="nil"/>
              <w:bottom w:val="single" w:color="000000" w:sz="8" w:space="0"/>
              <w:right w:val="single" w:color="000000" w:sz="8" w:space="0"/>
            </w:tcBorders>
            <w:vAlign w:val="center"/>
          </w:tcPr>
          <w:p w14:paraId="6BA08BEC">
            <w:pPr>
              <w:pStyle w:val="1535"/>
              <w:rPr>
                <w:snapToGrid/>
              </w:rPr>
            </w:pPr>
            <w:r>
              <w:rPr>
                <w:snapToGrid/>
              </w:rPr>
              <w:t>25</w:t>
            </w:r>
          </w:p>
        </w:tc>
        <w:tc>
          <w:tcPr>
            <w:tcW w:w="466" w:type="pct"/>
            <w:tcBorders>
              <w:top w:val="nil"/>
              <w:left w:val="nil"/>
              <w:bottom w:val="single" w:color="000000" w:sz="8" w:space="0"/>
              <w:right w:val="single" w:color="000000" w:sz="8" w:space="0"/>
            </w:tcBorders>
            <w:vAlign w:val="center"/>
          </w:tcPr>
          <w:p w14:paraId="0924DD8A">
            <w:pPr>
              <w:pStyle w:val="1535"/>
              <w:rPr>
                <w:snapToGrid/>
              </w:rPr>
            </w:pPr>
            <w:r>
              <w:rPr>
                <w:snapToGrid/>
              </w:rPr>
              <w:t>3000</w:t>
            </w:r>
          </w:p>
        </w:tc>
        <w:tc>
          <w:tcPr>
            <w:tcW w:w="339" w:type="pct"/>
            <w:tcBorders>
              <w:top w:val="nil"/>
              <w:left w:val="nil"/>
              <w:bottom w:val="single" w:color="000000" w:sz="8" w:space="0"/>
              <w:right w:val="single" w:color="000000" w:sz="8" w:space="0"/>
            </w:tcBorders>
            <w:vAlign w:val="center"/>
          </w:tcPr>
          <w:p w14:paraId="6653B3E6">
            <w:pPr>
              <w:pStyle w:val="1535"/>
              <w:rPr>
                <w:snapToGrid/>
              </w:rPr>
            </w:pPr>
            <w:r>
              <w:rPr>
                <w:rFonts w:hint="eastAsia"/>
                <w:snapToGrid/>
              </w:rPr>
              <w:t>48</w:t>
            </w:r>
            <w:r>
              <w:rPr>
                <w:snapToGrid/>
              </w:rPr>
              <w:t>00</w:t>
            </w:r>
          </w:p>
        </w:tc>
        <w:tc>
          <w:tcPr>
            <w:tcW w:w="268" w:type="pct"/>
            <w:tcBorders>
              <w:top w:val="nil"/>
              <w:left w:val="nil"/>
              <w:bottom w:val="single" w:color="000000" w:sz="8" w:space="0"/>
              <w:right w:val="single" w:color="000000" w:sz="8" w:space="0"/>
            </w:tcBorders>
            <w:vAlign w:val="center"/>
          </w:tcPr>
          <w:p w14:paraId="3429644F">
            <w:pPr>
              <w:pStyle w:val="1535"/>
              <w:rPr>
                <w:snapToGrid/>
              </w:rPr>
            </w:pPr>
            <w:r>
              <w:rPr>
                <w:snapToGrid/>
              </w:rPr>
              <w:t>正常</w:t>
            </w:r>
          </w:p>
        </w:tc>
        <w:tc>
          <w:tcPr>
            <w:tcW w:w="361" w:type="pct"/>
            <w:tcBorders>
              <w:top w:val="nil"/>
              <w:left w:val="nil"/>
              <w:bottom w:val="single" w:color="000000" w:sz="8" w:space="0"/>
              <w:right w:val="single" w:color="000000" w:sz="8" w:space="0"/>
            </w:tcBorders>
            <w:noWrap/>
            <w:vAlign w:val="center"/>
          </w:tcPr>
          <w:p w14:paraId="32F9F7CD">
            <w:pPr>
              <w:pStyle w:val="1535"/>
              <w:rPr>
                <w:snapToGrid/>
              </w:rPr>
            </w:pPr>
            <w:r>
              <w:rPr>
                <w:snapToGrid/>
              </w:rPr>
              <w:t>/</w:t>
            </w:r>
          </w:p>
        </w:tc>
        <w:tc>
          <w:tcPr>
            <w:tcW w:w="361" w:type="pct"/>
            <w:tcBorders>
              <w:top w:val="nil"/>
              <w:left w:val="nil"/>
              <w:bottom w:val="single" w:color="000000" w:sz="8" w:space="0"/>
              <w:right w:val="single" w:color="000000" w:sz="8" w:space="0"/>
            </w:tcBorders>
            <w:noWrap/>
            <w:vAlign w:val="center"/>
          </w:tcPr>
          <w:p w14:paraId="3AA449CA">
            <w:pPr>
              <w:pStyle w:val="1535"/>
              <w:rPr>
                <w:snapToGrid/>
              </w:rPr>
            </w:pPr>
            <w:r>
              <w:rPr>
                <w:snapToGrid/>
              </w:rPr>
              <w:t>/</w:t>
            </w:r>
          </w:p>
        </w:tc>
        <w:tc>
          <w:tcPr>
            <w:tcW w:w="294" w:type="pct"/>
            <w:tcBorders>
              <w:top w:val="nil"/>
              <w:left w:val="nil"/>
              <w:bottom w:val="single" w:color="000000" w:sz="8" w:space="0"/>
              <w:right w:val="single" w:color="000000" w:sz="8" w:space="0"/>
            </w:tcBorders>
            <w:noWrap/>
            <w:vAlign w:val="center"/>
          </w:tcPr>
          <w:p w14:paraId="4BAFADD0">
            <w:pPr>
              <w:pStyle w:val="1535"/>
              <w:rPr>
                <w:snapToGrid/>
              </w:rPr>
            </w:pPr>
            <w:r>
              <w:rPr>
                <w:snapToGrid/>
              </w:rPr>
              <w:t>/</w:t>
            </w:r>
          </w:p>
        </w:tc>
        <w:tc>
          <w:tcPr>
            <w:tcW w:w="322" w:type="pct"/>
            <w:tcBorders>
              <w:top w:val="nil"/>
              <w:left w:val="nil"/>
              <w:bottom w:val="single" w:color="000000" w:sz="8" w:space="0"/>
              <w:right w:val="single" w:color="000000" w:sz="8" w:space="0"/>
            </w:tcBorders>
            <w:noWrap/>
            <w:vAlign w:val="center"/>
          </w:tcPr>
          <w:p w14:paraId="2DABDFD4">
            <w:pPr>
              <w:pStyle w:val="1535"/>
              <w:rPr>
                <w:snapToGrid/>
              </w:rPr>
            </w:pPr>
            <w:r>
              <w:rPr>
                <w:snapToGrid/>
              </w:rPr>
              <w:t>0.00</w:t>
            </w:r>
            <w:r>
              <w:rPr>
                <w:rFonts w:hint="eastAsia"/>
                <w:snapToGrid/>
              </w:rPr>
              <w:t>04</w:t>
            </w:r>
            <w:r>
              <w:rPr>
                <w:snapToGrid/>
              </w:rPr>
              <w:t xml:space="preserve"> </w:t>
            </w:r>
          </w:p>
        </w:tc>
        <w:tc>
          <w:tcPr>
            <w:tcW w:w="513" w:type="pct"/>
            <w:tcBorders>
              <w:top w:val="nil"/>
              <w:left w:val="nil"/>
              <w:bottom w:val="single" w:color="000000" w:sz="8" w:space="0"/>
              <w:right w:val="single" w:color="000000" w:sz="8" w:space="0"/>
            </w:tcBorders>
            <w:noWrap/>
            <w:vAlign w:val="center"/>
          </w:tcPr>
          <w:p w14:paraId="35B684A2">
            <w:pPr>
              <w:pStyle w:val="1535"/>
              <w:rPr>
                <w:snapToGrid/>
              </w:rPr>
            </w:pPr>
            <w:r>
              <w:rPr>
                <w:snapToGrid/>
              </w:rPr>
              <w:t>/</w:t>
            </w:r>
          </w:p>
        </w:tc>
      </w:tr>
      <w:tr w14:paraId="0E06905F">
        <w:tblPrEx>
          <w:tblCellMar>
            <w:top w:w="0" w:type="dxa"/>
            <w:left w:w="108" w:type="dxa"/>
            <w:bottom w:w="0" w:type="dxa"/>
            <w:right w:w="108" w:type="dxa"/>
          </w:tblCellMar>
        </w:tblPrEx>
        <w:trPr>
          <w:trHeight w:val="315" w:hRule="atLeast"/>
          <w:jc w:val="center"/>
        </w:trPr>
        <w:tc>
          <w:tcPr>
            <w:tcW w:w="426" w:type="pct"/>
            <w:tcBorders>
              <w:top w:val="nil"/>
              <w:left w:val="single" w:color="000000" w:sz="8" w:space="0"/>
              <w:bottom w:val="single" w:color="000000" w:sz="8" w:space="0"/>
              <w:right w:val="single" w:color="000000" w:sz="8" w:space="0"/>
            </w:tcBorders>
            <w:vAlign w:val="center"/>
          </w:tcPr>
          <w:p w14:paraId="61D7FF76">
            <w:pPr>
              <w:pStyle w:val="1535"/>
              <w:rPr>
                <w:snapToGrid/>
              </w:rPr>
            </w:pPr>
            <w:r>
              <w:rPr>
                <w:snapToGrid/>
              </w:rPr>
              <w:t>1#厂房</w:t>
            </w:r>
          </w:p>
        </w:tc>
        <w:tc>
          <w:tcPr>
            <w:tcW w:w="374" w:type="pct"/>
            <w:tcBorders>
              <w:top w:val="nil"/>
              <w:left w:val="nil"/>
              <w:bottom w:val="single" w:color="000000" w:sz="8" w:space="0"/>
              <w:right w:val="single" w:color="000000" w:sz="8" w:space="0"/>
            </w:tcBorders>
            <w:vAlign w:val="center"/>
          </w:tcPr>
          <w:p w14:paraId="36704DCD">
            <w:pPr>
              <w:pStyle w:val="1535"/>
              <w:rPr>
                <w:snapToGrid/>
              </w:rPr>
            </w:pPr>
            <w:r>
              <w:rPr>
                <w:snapToGrid/>
              </w:rPr>
              <w:t>332</w:t>
            </w:r>
          </w:p>
        </w:tc>
        <w:tc>
          <w:tcPr>
            <w:tcW w:w="1742" w:type="pct"/>
            <w:gridSpan w:val="4"/>
            <w:tcBorders>
              <w:top w:val="nil"/>
              <w:left w:val="nil"/>
              <w:bottom w:val="single" w:color="000000" w:sz="8" w:space="0"/>
              <w:right w:val="single" w:color="000000" w:sz="8" w:space="0"/>
            </w:tcBorders>
            <w:vAlign w:val="center"/>
          </w:tcPr>
          <w:p w14:paraId="0D657596">
            <w:pPr>
              <w:pStyle w:val="1535"/>
              <w:rPr>
                <w:snapToGrid/>
              </w:rPr>
            </w:pPr>
            <w:r>
              <w:rPr>
                <w:snapToGrid/>
              </w:rPr>
              <w:t>73m×73.6m×11m（长×宽×高）</w:t>
            </w:r>
          </w:p>
        </w:tc>
        <w:tc>
          <w:tcPr>
            <w:tcW w:w="339" w:type="pct"/>
            <w:tcBorders>
              <w:top w:val="nil"/>
              <w:left w:val="nil"/>
              <w:bottom w:val="single" w:color="000000" w:sz="8" w:space="0"/>
              <w:right w:val="single" w:color="000000" w:sz="8" w:space="0"/>
            </w:tcBorders>
            <w:vAlign w:val="center"/>
          </w:tcPr>
          <w:p w14:paraId="085CB33E">
            <w:pPr>
              <w:pStyle w:val="1535"/>
              <w:rPr>
                <w:snapToGrid/>
              </w:rPr>
            </w:pPr>
            <w:r>
              <w:rPr>
                <w:rFonts w:hint="eastAsia"/>
                <w:snapToGrid/>
              </w:rPr>
              <w:t>72</w:t>
            </w:r>
            <w:r>
              <w:rPr>
                <w:snapToGrid/>
              </w:rPr>
              <w:t>00</w:t>
            </w:r>
          </w:p>
        </w:tc>
        <w:tc>
          <w:tcPr>
            <w:tcW w:w="268" w:type="pct"/>
            <w:tcBorders>
              <w:top w:val="nil"/>
              <w:left w:val="nil"/>
              <w:bottom w:val="single" w:color="000000" w:sz="8" w:space="0"/>
              <w:right w:val="single" w:color="000000" w:sz="8" w:space="0"/>
            </w:tcBorders>
            <w:vAlign w:val="center"/>
          </w:tcPr>
          <w:p w14:paraId="67550A64">
            <w:pPr>
              <w:pStyle w:val="1535"/>
              <w:rPr>
                <w:snapToGrid/>
              </w:rPr>
            </w:pPr>
            <w:r>
              <w:rPr>
                <w:snapToGrid/>
              </w:rPr>
              <w:t>正常</w:t>
            </w:r>
          </w:p>
        </w:tc>
        <w:tc>
          <w:tcPr>
            <w:tcW w:w="361" w:type="pct"/>
            <w:tcBorders>
              <w:top w:val="nil"/>
              <w:left w:val="nil"/>
              <w:bottom w:val="single" w:color="000000" w:sz="8" w:space="0"/>
              <w:right w:val="single" w:color="000000" w:sz="8" w:space="0"/>
            </w:tcBorders>
            <w:noWrap/>
            <w:vAlign w:val="center"/>
          </w:tcPr>
          <w:p w14:paraId="447C995C">
            <w:pPr>
              <w:pStyle w:val="1535"/>
              <w:rPr>
                <w:snapToGrid/>
              </w:rPr>
            </w:pPr>
            <w:r>
              <w:rPr>
                <w:rFonts w:hint="eastAsia"/>
                <w:snapToGrid/>
              </w:rPr>
              <w:t>/</w:t>
            </w:r>
            <w:r>
              <w:rPr>
                <w:snapToGrid/>
              </w:rPr>
              <w:t xml:space="preserve"> </w:t>
            </w:r>
          </w:p>
        </w:tc>
        <w:tc>
          <w:tcPr>
            <w:tcW w:w="361" w:type="pct"/>
            <w:tcBorders>
              <w:top w:val="nil"/>
              <w:left w:val="nil"/>
              <w:bottom w:val="single" w:color="000000" w:sz="8" w:space="0"/>
              <w:right w:val="single" w:color="000000" w:sz="8" w:space="0"/>
            </w:tcBorders>
            <w:noWrap/>
            <w:vAlign w:val="center"/>
          </w:tcPr>
          <w:p w14:paraId="7B144200">
            <w:pPr>
              <w:pStyle w:val="1535"/>
              <w:rPr>
                <w:snapToGrid/>
              </w:rPr>
            </w:pPr>
            <w:r>
              <w:rPr>
                <w:snapToGrid/>
              </w:rPr>
              <w:t>/</w:t>
            </w:r>
          </w:p>
        </w:tc>
        <w:tc>
          <w:tcPr>
            <w:tcW w:w="294" w:type="pct"/>
            <w:tcBorders>
              <w:top w:val="nil"/>
              <w:left w:val="nil"/>
              <w:bottom w:val="single" w:color="000000" w:sz="8" w:space="0"/>
              <w:right w:val="single" w:color="000000" w:sz="8" w:space="0"/>
            </w:tcBorders>
            <w:noWrap/>
            <w:vAlign w:val="center"/>
          </w:tcPr>
          <w:p w14:paraId="5334E333">
            <w:pPr>
              <w:pStyle w:val="1535"/>
              <w:rPr>
                <w:snapToGrid/>
              </w:rPr>
            </w:pPr>
            <w:r>
              <w:rPr>
                <w:snapToGrid/>
              </w:rPr>
              <w:t>/</w:t>
            </w:r>
          </w:p>
        </w:tc>
        <w:tc>
          <w:tcPr>
            <w:tcW w:w="322" w:type="pct"/>
            <w:tcBorders>
              <w:top w:val="nil"/>
              <w:left w:val="nil"/>
              <w:bottom w:val="single" w:color="000000" w:sz="8" w:space="0"/>
              <w:right w:val="single" w:color="000000" w:sz="8" w:space="0"/>
            </w:tcBorders>
            <w:noWrap/>
            <w:vAlign w:val="center"/>
          </w:tcPr>
          <w:p w14:paraId="2EFCF644">
            <w:pPr>
              <w:pStyle w:val="1535"/>
              <w:rPr>
                <w:snapToGrid/>
              </w:rPr>
            </w:pPr>
            <w:r>
              <w:rPr>
                <w:rFonts w:hint="eastAsia"/>
                <w:snapToGrid/>
              </w:rPr>
              <w:t>0.001</w:t>
            </w:r>
          </w:p>
        </w:tc>
        <w:tc>
          <w:tcPr>
            <w:tcW w:w="513" w:type="pct"/>
            <w:tcBorders>
              <w:top w:val="nil"/>
              <w:left w:val="nil"/>
              <w:bottom w:val="single" w:color="000000" w:sz="8" w:space="0"/>
              <w:right w:val="single" w:color="000000" w:sz="8" w:space="0"/>
            </w:tcBorders>
            <w:noWrap/>
            <w:vAlign w:val="center"/>
          </w:tcPr>
          <w:p w14:paraId="39806745">
            <w:pPr>
              <w:pStyle w:val="1535"/>
              <w:rPr>
                <w:snapToGrid/>
              </w:rPr>
            </w:pPr>
            <w:r>
              <w:rPr>
                <w:snapToGrid/>
              </w:rPr>
              <w:t>/</w:t>
            </w:r>
          </w:p>
        </w:tc>
      </w:tr>
      <w:bookmarkEnd w:id="256"/>
    </w:tbl>
    <w:p w14:paraId="2CDD38DF">
      <w:pPr>
        <w:spacing w:line="240" w:lineRule="auto"/>
        <w:ind w:firstLine="420"/>
        <w:jc w:val="left"/>
        <w:rPr>
          <w:color w:val="000000" w:themeColor="text1"/>
          <w:sz w:val="21"/>
          <w:szCs w:val="21"/>
          <w14:textFill>
            <w14:solidFill>
              <w14:schemeClr w14:val="tx1"/>
            </w14:solidFill>
          </w14:textFill>
        </w:rPr>
        <w:sectPr>
          <w:pgSz w:w="16838" w:h="11906" w:orient="landscape"/>
          <w:pgMar w:top="1134" w:right="1701" w:bottom="1701" w:left="1418" w:header="851" w:footer="992" w:gutter="0"/>
          <w:cols w:space="720" w:num="1"/>
          <w:docGrid w:type="lines" w:linePitch="326" w:charSpace="0"/>
        </w:sectPr>
      </w:pPr>
    </w:p>
    <w:p w14:paraId="3DDB8ADE">
      <w:pPr>
        <w:pStyle w:val="5"/>
        <w:rPr>
          <w:color w:val="000000" w:themeColor="text1"/>
          <w14:textFill>
            <w14:solidFill>
              <w14:schemeClr w14:val="tx1"/>
            </w14:solidFill>
          </w14:textFill>
        </w:rPr>
      </w:pPr>
      <w:r>
        <w:rPr>
          <w:color w:val="000000" w:themeColor="text1"/>
          <w14:textFill>
            <w14:solidFill>
              <w14:schemeClr w14:val="tx1"/>
            </w14:solidFill>
          </w14:textFill>
        </w:rPr>
        <w:t>估算模型计算结果</w:t>
      </w:r>
    </w:p>
    <w:p w14:paraId="2A6B47E8">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扩建项目废气预测结果见</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图。</w:t>
      </w:r>
    </w:p>
    <w:p w14:paraId="70B26047">
      <w:pPr>
        <w:spacing w:line="240" w:lineRule="auto"/>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5760085" cy="2385695"/>
            <wp:effectExtent l="0" t="0" r="0" b="0"/>
            <wp:docPr id="1029405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05741" name="图片 1"/>
                    <pic:cNvPicPr>
                      <a:picLocks noChangeAspect="1"/>
                    </pic:cNvPicPr>
                  </pic:nvPicPr>
                  <pic:blipFill>
                    <a:blip r:embed="rId61"/>
                    <a:stretch>
                      <a:fillRect/>
                    </a:stretch>
                  </pic:blipFill>
                  <pic:spPr>
                    <a:xfrm>
                      <a:off x="0" y="0"/>
                      <a:ext cx="5760085" cy="2385695"/>
                    </a:xfrm>
                    <a:prstGeom prst="rect">
                      <a:avLst/>
                    </a:prstGeom>
                  </pic:spPr>
                </pic:pic>
              </a:graphicData>
            </a:graphic>
          </wp:inline>
        </w:drawing>
      </w:r>
    </w:p>
    <w:p w14:paraId="06246B33">
      <w:pPr>
        <w:spacing w:before="32"/>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项目各源</w:t>
      </w:r>
      <w:r>
        <w:rPr>
          <w:color w:val="000000" w:themeColor="text1"/>
          <w14:textFill>
            <w14:solidFill>
              <w14:schemeClr w14:val="tx1"/>
            </w14:solidFill>
          </w14:textFill>
        </w:rPr>
        <w:t>预测结果</w:t>
      </w:r>
    </w:p>
    <w:p w14:paraId="3E312A1E">
      <w:pPr>
        <w:spacing w:before="32"/>
        <w:ind w:firstLine="520"/>
        <w:jc w:val="center"/>
        <w:rPr>
          <w:color w:val="000000" w:themeColor="text1"/>
          <w14:textFill>
            <w14:solidFill>
              <w14:schemeClr w14:val="tx1"/>
            </w14:solidFill>
          </w14:textFill>
        </w:rPr>
      </w:pPr>
    </w:p>
    <w:p w14:paraId="7F298947">
      <w:pPr>
        <w:spacing w:before="32"/>
        <w:ind w:firstLine="520"/>
        <w:rPr>
          <w:color w:val="000000" w:themeColor="text1"/>
          <w14:textFill>
            <w14:solidFill>
              <w14:schemeClr w14:val="tx1"/>
            </w14:solidFill>
          </w14:textFill>
        </w:rPr>
        <w:sectPr>
          <w:pgSz w:w="11906" w:h="16838"/>
          <w:pgMar w:top="1701" w:right="1701" w:bottom="1417" w:left="1134" w:header="851" w:footer="992" w:gutter="0"/>
          <w:cols w:space="0" w:num="1"/>
          <w:docGrid w:type="lines" w:linePitch="326" w:charSpace="0"/>
        </w:sectPr>
      </w:pPr>
    </w:p>
    <w:p w14:paraId="77845476">
      <w:pPr>
        <w:spacing w:before="32"/>
        <w:ind w:firstLine="520"/>
        <w:rPr>
          <w:color w:val="000000" w:themeColor="text1"/>
          <w14:textFill>
            <w14:solidFill>
              <w14:schemeClr w14:val="tx1"/>
            </w14:solidFill>
          </w14:textFill>
        </w:rPr>
      </w:pPr>
      <w:r>
        <w:rPr>
          <w:color w:val="000000" w:themeColor="text1"/>
          <w14:textFill>
            <w14:solidFill>
              <w14:schemeClr w14:val="tx1"/>
            </w14:solidFill>
          </w14:textFill>
        </w:rPr>
        <w:t>各污染因子估算模式预测结果统计见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_Ref160553540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表6.1</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2AA933D2">
      <w:pPr>
        <w:spacing w:before="32"/>
        <w:ind w:firstLine="0" w:firstLineChars="0"/>
        <w:jc w:val="center"/>
        <w:rPr>
          <w:color w:val="000000" w:themeColor="text1"/>
          <w14:textFill>
            <w14:solidFill>
              <w14:schemeClr w14:val="tx1"/>
            </w14:solidFill>
          </w14:textFill>
        </w:rPr>
      </w:pPr>
      <w:bookmarkStart w:id="264" w:name="_Ref160553540"/>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4</w:t>
      </w:r>
      <w:r>
        <w:rPr>
          <w:color w:val="000000" w:themeColor="text1"/>
          <w:szCs w:val="26"/>
          <w14:textFill>
            <w14:solidFill>
              <w14:schemeClr w14:val="tx1"/>
            </w14:solidFill>
          </w14:textFill>
        </w:rPr>
        <w:fldChar w:fldCharType="end"/>
      </w:r>
      <w:bookmarkEnd w:id="264"/>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各污染因子最大落地浓度预测统计结果</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4"/>
        <w:gridCol w:w="2051"/>
        <w:gridCol w:w="1538"/>
        <w:gridCol w:w="1636"/>
        <w:gridCol w:w="1603"/>
        <w:gridCol w:w="1851"/>
        <w:gridCol w:w="2492"/>
      </w:tblGrid>
      <w:tr w14:paraId="68D7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pct"/>
            <w:vMerge w:val="restart"/>
            <w:tcBorders>
              <w:tl2br w:val="nil"/>
              <w:tr2bl w:val="nil"/>
            </w:tcBorders>
            <w:vAlign w:val="center"/>
          </w:tcPr>
          <w:p w14:paraId="3835C9FE">
            <w:pPr>
              <w:pStyle w:val="1535"/>
            </w:pPr>
            <w:r>
              <w:t>污染源名称</w:t>
            </w:r>
          </w:p>
        </w:tc>
        <w:tc>
          <w:tcPr>
            <w:tcW w:w="736" w:type="pct"/>
            <w:vMerge w:val="restart"/>
            <w:tcBorders>
              <w:tl2br w:val="nil"/>
              <w:tr2bl w:val="nil"/>
            </w:tcBorders>
            <w:vAlign w:val="center"/>
          </w:tcPr>
          <w:p w14:paraId="0292F2CA">
            <w:pPr>
              <w:pStyle w:val="1535"/>
            </w:pPr>
            <w:r>
              <w:t>最大落地浓度离源距离</w:t>
            </w:r>
          </w:p>
        </w:tc>
        <w:tc>
          <w:tcPr>
            <w:tcW w:w="3272" w:type="pct"/>
            <w:gridSpan w:val="5"/>
            <w:tcBorders>
              <w:tl2br w:val="nil"/>
              <w:tr2bl w:val="nil"/>
            </w:tcBorders>
            <w:vAlign w:val="center"/>
          </w:tcPr>
          <w:p w14:paraId="5A78D6DE">
            <w:pPr>
              <w:pStyle w:val="1535"/>
            </w:pPr>
            <w:r>
              <w:t>最大占标率%/D10%（m）</w:t>
            </w:r>
          </w:p>
        </w:tc>
      </w:tr>
      <w:tr w14:paraId="1CBB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pct"/>
            <w:vMerge w:val="continue"/>
            <w:vAlign w:val="center"/>
          </w:tcPr>
          <w:p w14:paraId="405D001B">
            <w:pPr>
              <w:pStyle w:val="1535"/>
            </w:pPr>
          </w:p>
        </w:tc>
        <w:tc>
          <w:tcPr>
            <w:tcW w:w="736" w:type="pct"/>
            <w:vMerge w:val="continue"/>
            <w:vAlign w:val="center"/>
          </w:tcPr>
          <w:p w14:paraId="4AD9E1C0">
            <w:pPr>
              <w:pStyle w:val="1535"/>
            </w:pPr>
          </w:p>
        </w:tc>
        <w:tc>
          <w:tcPr>
            <w:tcW w:w="552" w:type="pct"/>
            <w:noWrap/>
            <w:vAlign w:val="center"/>
          </w:tcPr>
          <w:p w14:paraId="23B669B4">
            <w:pPr>
              <w:pStyle w:val="1535"/>
            </w:pPr>
            <w:r>
              <w:rPr>
                <w:snapToGrid/>
              </w:rPr>
              <w:t>氟化物</w:t>
            </w:r>
          </w:p>
        </w:tc>
        <w:tc>
          <w:tcPr>
            <w:tcW w:w="587" w:type="pct"/>
            <w:noWrap/>
            <w:vAlign w:val="center"/>
          </w:tcPr>
          <w:p w14:paraId="2801E7E6">
            <w:pPr>
              <w:pStyle w:val="1535"/>
            </w:pPr>
            <w:r>
              <w:rPr>
                <w:snapToGrid/>
              </w:rPr>
              <w:t>氯化氢</w:t>
            </w:r>
          </w:p>
        </w:tc>
        <w:tc>
          <w:tcPr>
            <w:tcW w:w="575" w:type="pct"/>
            <w:noWrap/>
            <w:vAlign w:val="center"/>
          </w:tcPr>
          <w:p w14:paraId="6C2A1D4C">
            <w:pPr>
              <w:pStyle w:val="1535"/>
            </w:pPr>
            <w:r>
              <w:rPr>
                <w:snapToGrid/>
              </w:rPr>
              <w:t>PM</w:t>
            </w:r>
            <w:r>
              <w:rPr>
                <w:snapToGrid/>
                <w:vertAlign w:val="subscript"/>
              </w:rPr>
              <w:t>10</w:t>
            </w:r>
          </w:p>
        </w:tc>
        <w:tc>
          <w:tcPr>
            <w:tcW w:w="664" w:type="pct"/>
            <w:noWrap/>
            <w:vAlign w:val="center"/>
          </w:tcPr>
          <w:p w14:paraId="26B2D609">
            <w:pPr>
              <w:pStyle w:val="1535"/>
            </w:pPr>
            <w:r>
              <w:rPr>
                <w:snapToGrid/>
              </w:rPr>
              <w:t>PM</w:t>
            </w:r>
            <w:r>
              <w:rPr>
                <w:snapToGrid/>
                <w:vertAlign w:val="subscript"/>
              </w:rPr>
              <w:t>2.5</w:t>
            </w:r>
          </w:p>
        </w:tc>
        <w:tc>
          <w:tcPr>
            <w:tcW w:w="894" w:type="pct"/>
            <w:noWrap/>
            <w:vAlign w:val="center"/>
          </w:tcPr>
          <w:p w14:paraId="35C9E0A0">
            <w:pPr>
              <w:pStyle w:val="1535"/>
            </w:pPr>
            <w:r>
              <w:rPr>
                <w:snapToGrid/>
              </w:rPr>
              <w:t>非甲烷总烃</w:t>
            </w:r>
          </w:p>
        </w:tc>
      </w:tr>
      <w:tr w14:paraId="7531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pct"/>
            <w:noWrap/>
            <w:vAlign w:val="center"/>
          </w:tcPr>
          <w:p w14:paraId="53C587E9">
            <w:pPr>
              <w:pStyle w:val="1535"/>
            </w:pPr>
            <w:r>
              <w:rPr>
                <w:snapToGrid/>
              </w:rPr>
              <w:t>排气筒DA00</w:t>
            </w:r>
            <w:r>
              <w:rPr>
                <w:rFonts w:hint="eastAsia"/>
                <w:snapToGrid/>
              </w:rPr>
              <w:t>4</w:t>
            </w:r>
          </w:p>
        </w:tc>
        <w:tc>
          <w:tcPr>
            <w:tcW w:w="736" w:type="pct"/>
            <w:noWrap/>
            <w:vAlign w:val="center"/>
          </w:tcPr>
          <w:p w14:paraId="5BFBE489">
            <w:pPr>
              <w:pStyle w:val="1535"/>
            </w:pPr>
            <w:r>
              <w:rPr>
                <w:rFonts w:hint="eastAsia"/>
              </w:rPr>
              <w:t>152</w:t>
            </w:r>
          </w:p>
        </w:tc>
        <w:tc>
          <w:tcPr>
            <w:tcW w:w="552" w:type="pct"/>
            <w:noWrap/>
            <w:vAlign w:val="center"/>
          </w:tcPr>
          <w:p w14:paraId="697B5560">
            <w:pPr>
              <w:pStyle w:val="1535"/>
            </w:pPr>
            <w:r>
              <w:rPr>
                <w:rFonts w:hint="eastAsia"/>
              </w:rPr>
              <w:t>/</w:t>
            </w:r>
          </w:p>
        </w:tc>
        <w:tc>
          <w:tcPr>
            <w:tcW w:w="587" w:type="pct"/>
            <w:noWrap/>
            <w:vAlign w:val="center"/>
          </w:tcPr>
          <w:p w14:paraId="3B873C83">
            <w:pPr>
              <w:pStyle w:val="1535"/>
            </w:pPr>
            <w:r>
              <w:rPr>
                <w:rFonts w:hint="eastAsia"/>
              </w:rPr>
              <w:t>2.90</w:t>
            </w:r>
            <w:r>
              <w:t>/0</w:t>
            </w:r>
          </w:p>
        </w:tc>
        <w:tc>
          <w:tcPr>
            <w:tcW w:w="575" w:type="pct"/>
            <w:noWrap/>
            <w:vAlign w:val="center"/>
          </w:tcPr>
          <w:p w14:paraId="4E293200">
            <w:pPr>
              <w:pStyle w:val="1535"/>
            </w:pPr>
            <w:r>
              <w:t>0.0</w:t>
            </w:r>
            <w:r>
              <w:rPr>
                <w:rFonts w:hint="eastAsia"/>
              </w:rPr>
              <w:t>5</w:t>
            </w:r>
            <w:r>
              <w:t>/0</w:t>
            </w:r>
          </w:p>
        </w:tc>
        <w:tc>
          <w:tcPr>
            <w:tcW w:w="664" w:type="pct"/>
            <w:noWrap/>
            <w:vAlign w:val="center"/>
          </w:tcPr>
          <w:p w14:paraId="1D6FFD9F">
            <w:pPr>
              <w:pStyle w:val="1535"/>
            </w:pPr>
            <w:r>
              <w:rPr>
                <w:rFonts w:hint="eastAsia"/>
              </w:rPr>
              <w:t>/</w:t>
            </w:r>
          </w:p>
        </w:tc>
        <w:tc>
          <w:tcPr>
            <w:tcW w:w="894" w:type="pct"/>
            <w:noWrap/>
            <w:vAlign w:val="center"/>
          </w:tcPr>
          <w:p w14:paraId="6C618B82">
            <w:pPr>
              <w:pStyle w:val="1535"/>
            </w:pPr>
            <w:r>
              <w:t>0.</w:t>
            </w:r>
            <w:r>
              <w:rPr>
                <w:rFonts w:hint="eastAsia"/>
              </w:rPr>
              <w:t>11</w:t>
            </w:r>
            <w:r>
              <w:t>/0</w:t>
            </w:r>
          </w:p>
        </w:tc>
      </w:tr>
      <w:tr w14:paraId="0902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pct"/>
            <w:noWrap/>
            <w:vAlign w:val="center"/>
          </w:tcPr>
          <w:p w14:paraId="18D4461F">
            <w:pPr>
              <w:pStyle w:val="1535"/>
            </w:pPr>
            <w:r>
              <w:rPr>
                <w:snapToGrid/>
              </w:rPr>
              <w:t>排气筒DA00</w:t>
            </w:r>
            <w:r>
              <w:rPr>
                <w:rFonts w:hint="eastAsia"/>
                <w:snapToGrid/>
              </w:rPr>
              <w:t>5</w:t>
            </w:r>
          </w:p>
        </w:tc>
        <w:tc>
          <w:tcPr>
            <w:tcW w:w="736" w:type="pct"/>
            <w:noWrap/>
            <w:vAlign w:val="center"/>
          </w:tcPr>
          <w:p w14:paraId="2292DE6B">
            <w:pPr>
              <w:pStyle w:val="1535"/>
            </w:pPr>
            <w:r>
              <w:rPr>
                <w:rFonts w:hint="eastAsia"/>
              </w:rPr>
              <w:t>74</w:t>
            </w:r>
          </w:p>
        </w:tc>
        <w:tc>
          <w:tcPr>
            <w:tcW w:w="552" w:type="pct"/>
            <w:noWrap/>
            <w:vAlign w:val="center"/>
          </w:tcPr>
          <w:p w14:paraId="776B6976">
            <w:pPr>
              <w:pStyle w:val="1535"/>
            </w:pPr>
            <w:r>
              <w:t>0.0</w:t>
            </w:r>
            <w:r>
              <w:rPr>
                <w:rFonts w:hint="eastAsia"/>
              </w:rPr>
              <w:t>0</w:t>
            </w:r>
            <w:r>
              <w:t>/0</w:t>
            </w:r>
          </w:p>
        </w:tc>
        <w:tc>
          <w:tcPr>
            <w:tcW w:w="587" w:type="pct"/>
            <w:noWrap/>
            <w:vAlign w:val="center"/>
          </w:tcPr>
          <w:p w14:paraId="6EB9D5B7">
            <w:pPr>
              <w:pStyle w:val="1535"/>
            </w:pPr>
            <w:r>
              <w:rPr>
                <w:rFonts w:hint="eastAsia"/>
              </w:rPr>
              <w:t>/</w:t>
            </w:r>
          </w:p>
        </w:tc>
        <w:tc>
          <w:tcPr>
            <w:tcW w:w="575" w:type="pct"/>
            <w:noWrap/>
            <w:vAlign w:val="center"/>
          </w:tcPr>
          <w:p w14:paraId="6A48C570">
            <w:pPr>
              <w:pStyle w:val="1535"/>
            </w:pPr>
            <w:r>
              <w:rPr>
                <w:rFonts w:hint="eastAsia"/>
              </w:rPr>
              <w:t>/</w:t>
            </w:r>
          </w:p>
        </w:tc>
        <w:tc>
          <w:tcPr>
            <w:tcW w:w="664" w:type="pct"/>
            <w:noWrap/>
            <w:vAlign w:val="center"/>
          </w:tcPr>
          <w:p w14:paraId="04CB528D">
            <w:pPr>
              <w:pStyle w:val="1535"/>
            </w:pPr>
            <w:r>
              <w:rPr>
                <w:rFonts w:hint="eastAsia"/>
              </w:rPr>
              <w:t>/</w:t>
            </w:r>
          </w:p>
        </w:tc>
        <w:tc>
          <w:tcPr>
            <w:tcW w:w="894" w:type="pct"/>
            <w:noWrap/>
            <w:vAlign w:val="center"/>
          </w:tcPr>
          <w:p w14:paraId="072A9E2D">
            <w:pPr>
              <w:pStyle w:val="1535"/>
            </w:pPr>
            <w:r>
              <w:rPr>
                <w:rFonts w:hint="eastAsia"/>
              </w:rPr>
              <w:t>/</w:t>
            </w:r>
          </w:p>
        </w:tc>
      </w:tr>
      <w:tr w14:paraId="34168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pct"/>
            <w:noWrap/>
            <w:vAlign w:val="center"/>
          </w:tcPr>
          <w:p w14:paraId="5015692E">
            <w:pPr>
              <w:pStyle w:val="1535"/>
            </w:pPr>
            <w:r>
              <w:rPr>
                <w:snapToGrid/>
              </w:rPr>
              <w:t>排气筒DA0</w:t>
            </w:r>
            <w:r>
              <w:rPr>
                <w:rFonts w:hint="eastAsia"/>
                <w:snapToGrid/>
              </w:rPr>
              <w:t>16</w:t>
            </w:r>
          </w:p>
        </w:tc>
        <w:tc>
          <w:tcPr>
            <w:tcW w:w="736" w:type="pct"/>
            <w:noWrap/>
            <w:vAlign w:val="center"/>
          </w:tcPr>
          <w:p w14:paraId="6070FBAD">
            <w:pPr>
              <w:pStyle w:val="1535"/>
            </w:pPr>
            <w:r>
              <w:rPr>
                <w:rFonts w:hint="eastAsia"/>
              </w:rPr>
              <w:t>74</w:t>
            </w:r>
          </w:p>
        </w:tc>
        <w:tc>
          <w:tcPr>
            <w:tcW w:w="552" w:type="pct"/>
            <w:noWrap/>
            <w:vAlign w:val="center"/>
          </w:tcPr>
          <w:p w14:paraId="69740040">
            <w:pPr>
              <w:pStyle w:val="1535"/>
            </w:pPr>
            <w:r>
              <w:t>0.0</w:t>
            </w:r>
            <w:r>
              <w:rPr>
                <w:rFonts w:hint="eastAsia"/>
              </w:rPr>
              <w:t>0</w:t>
            </w:r>
            <w:r>
              <w:t>/0</w:t>
            </w:r>
          </w:p>
        </w:tc>
        <w:tc>
          <w:tcPr>
            <w:tcW w:w="587" w:type="pct"/>
            <w:noWrap/>
            <w:vAlign w:val="center"/>
          </w:tcPr>
          <w:p w14:paraId="223A8060">
            <w:pPr>
              <w:pStyle w:val="1535"/>
            </w:pPr>
            <w:r>
              <w:rPr>
                <w:rFonts w:hint="eastAsia"/>
              </w:rPr>
              <w:t>/</w:t>
            </w:r>
          </w:p>
        </w:tc>
        <w:tc>
          <w:tcPr>
            <w:tcW w:w="575" w:type="pct"/>
            <w:noWrap/>
            <w:vAlign w:val="center"/>
          </w:tcPr>
          <w:p w14:paraId="395BB6A5">
            <w:pPr>
              <w:pStyle w:val="1535"/>
            </w:pPr>
            <w:r>
              <w:rPr>
                <w:rFonts w:hint="eastAsia"/>
              </w:rPr>
              <w:t>/</w:t>
            </w:r>
          </w:p>
        </w:tc>
        <w:tc>
          <w:tcPr>
            <w:tcW w:w="664" w:type="pct"/>
            <w:noWrap/>
            <w:vAlign w:val="center"/>
          </w:tcPr>
          <w:p w14:paraId="0E7AB4A2">
            <w:pPr>
              <w:pStyle w:val="1535"/>
            </w:pPr>
            <w:r>
              <w:rPr>
                <w:rFonts w:hint="eastAsia"/>
              </w:rPr>
              <w:t>0.02</w:t>
            </w:r>
            <w:r>
              <w:t>/0</w:t>
            </w:r>
          </w:p>
        </w:tc>
        <w:tc>
          <w:tcPr>
            <w:tcW w:w="894" w:type="pct"/>
            <w:noWrap/>
            <w:vAlign w:val="center"/>
          </w:tcPr>
          <w:p w14:paraId="1470526B">
            <w:pPr>
              <w:pStyle w:val="1535"/>
            </w:pPr>
            <w:r>
              <w:rPr>
                <w:rFonts w:hint="eastAsia"/>
              </w:rPr>
              <w:t>/</w:t>
            </w:r>
          </w:p>
        </w:tc>
      </w:tr>
      <w:tr w14:paraId="1C19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pct"/>
            <w:noWrap/>
            <w:vAlign w:val="center"/>
          </w:tcPr>
          <w:p w14:paraId="5EA2DC36">
            <w:pPr>
              <w:pStyle w:val="1535"/>
            </w:pPr>
            <w:r>
              <w:rPr>
                <w:snapToGrid/>
              </w:rPr>
              <w:t>1#厂房</w:t>
            </w:r>
            <w:r>
              <w:rPr>
                <w:rFonts w:hint="eastAsia"/>
                <w:snapToGrid/>
              </w:rPr>
              <w:t>面源</w:t>
            </w:r>
          </w:p>
        </w:tc>
        <w:tc>
          <w:tcPr>
            <w:tcW w:w="736" w:type="pct"/>
            <w:noWrap/>
            <w:vAlign w:val="center"/>
          </w:tcPr>
          <w:p w14:paraId="28E6E301">
            <w:pPr>
              <w:pStyle w:val="1535"/>
            </w:pPr>
            <w:r>
              <w:rPr>
                <w:rFonts w:hint="eastAsia"/>
              </w:rPr>
              <w:t>52</w:t>
            </w:r>
          </w:p>
        </w:tc>
        <w:tc>
          <w:tcPr>
            <w:tcW w:w="552" w:type="pct"/>
            <w:noWrap/>
            <w:vAlign w:val="center"/>
          </w:tcPr>
          <w:p w14:paraId="3C9F599B">
            <w:pPr>
              <w:pStyle w:val="1535"/>
            </w:pPr>
            <w:r>
              <w:rPr>
                <w:rFonts w:hint="eastAsia"/>
              </w:rPr>
              <w:t>/</w:t>
            </w:r>
          </w:p>
        </w:tc>
        <w:tc>
          <w:tcPr>
            <w:tcW w:w="587" w:type="pct"/>
            <w:noWrap/>
            <w:vAlign w:val="center"/>
          </w:tcPr>
          <w:p w14:paraId="483D6AA5">
            <w:pPr>
              <w:pStyle w:val="1535"/>
            </w:pPr>
            <w:r>
              <w:t>0.0</w:t>
            </w:r>
            <w:r>
              <w:rPr>
                <w:rFonts w:hint="eastAsia"/>
              </w:rPr>
              <w:t>0</w:t>
            </w:r>
            <w:r>
              <w:t>/0</w:t>
            </w:r>
          </w:p>
        </w:tc>
        <w:tc>
          <w:tcPr>
            <w:tcW w:w="575" w:type="pct"/>
            <w:noWrap/>
            <w:vAlign w:val="center"/>
          </w:tcPr>
          <w:p w14:paraId="773125E3">
            <w:pPr>
              <w:pStyle w:val="1535"/>
            </w:pPr>
            <w:r>
              <w:rPr>
                <w:rFonts w:hint="eastAsia"/>
              </w:rPr>
              <w:t>/</w:t>
            </w:r>
          </w:p>
        </w:tc>
        <w:tc>
          <w:tcPr>
            <w:tcW w:w="664" w:type="pct"/>
            <w:noWrap/>
            <w:vAlign w:val="center"/>
          </w:tcPr>
          <w:p w14:paraId="33876F86">
            <w:pPr>
              <w:pStyle w:val="1535"/>
            </w:pPr>
            <w:r>
              <w:t>0.0</w:t>
            </w:r>
            <w:r>
              <w:rPr>
                <w:rFonts w:hint="eastAsia"/>
              </w:rPr>
              <w:t>0</w:t>
            </w:r>
            <w:r>
              <w:t>/0</w:t>
            </w:r>
          </w:p>
        </w:tc>
        <w:tc>
          <w:tcPr>
            <w:tcW w:w="894" w:type="pct"/>
            <w:noWrap/>
            <w:vAlign w:val="center"/>
          </w:tcPr>
          <w:p w14:paraId="6DCE3D78">
            <w:pPr>
              <w:pStyle w:val="1535"/>
            </w:pPr>
            <w:r>
              <w:rPr>
                <w:rFonts w:hint="eastAsia"/>
              </w:rPr>
              <w:t>/</w:t>
            </w:r>
          </w:p>
        </w:tc>
      </w:tr>
      <w:tr w14:paraId="43D5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2" w:type="pct"/>
            <w:noWrap/>
            <w:vAlign w:val="center"/>
          </w:tcPr>
          <w:p w14:paraId="0B85D935">
            <w:pPr>
              <w:pStyle w:val="1535"/>
            </w:pPr>
            <w:r>
              <w:t>最大占标率</w:t>
            </w:r>
          </w:p>
        </w:tc>
        <w:tc>
          <w:tcPr>
            <w:tcW w:w="736" w:type="pct"/>
            <w:noWrap/>
            <w:vAlign w:val="center"/>
          </w:tcPr>
          <w:p w14:paraId="28EA8040">
            <w:pPr>
              <w:pStyle w:val="1535"/>
            </w:pPr>
            <w:r>
              <w:t>/</w:t>
            </w:r>
          </w:p>
        </w:tc>
        <w:tc>
          <w:tcPr>
            <w:tcW w:w="552" w:type="pct"/>
            <w:noWrap/>
            <w:vAlign w:val="center"/>
          </w:tcPr>
          <w:p w14:paraId="4746E15B">
            <w:pPr>
              <w:pStyle w:val="1535"/>
            </w:pPr>
            <w:r>
              <w:t>0.0</w:t>
            </w:r>
            <w:r>
              <w:rPr>
                <w:rFonts w:hint="eastAsia"/>
              </w:rPr>
              <w:t>0</w:t>
            </w:r>
            <w:r>
              <w:t>/0</w:t>
            </w:r>
          </w:p>
        </w:tc>
        <w:tc>
          <w:tcPr>
            <w:tcW w:w="587" w:type="pct"/>
            <w:noWrap/>
            <w:vAlign w:val="center"/>
          </w:tcPr>
          <w:p w14:paraId="05402C31">
            <w:pPr>
              <w:pStyle w:val="1535"/>
            </w:pPr>
            <w:r>
              <w:rPr>
                <w:rFonts w:hint="eastAsia"/>
              </w:rPr>
              <w:t>2.90</w:t>
            </w:r>
            <w:r>
              <w:t>/0</w:t>
            </w:r>
          </w:p>
        </w:tc>
        <w:tc>
          <w:tcPr>
            <w:tcW w:w="575" w:type="pct"/>
            <w:noWrap/>
            <w:vAlign w:val="center"/>
          </w:tcPr>
          <w:p w14:paraId="09EBF5E6">
            <w:pPr>
              <w:pStyle w:val="1535"/>
            </w:pPr>
            <w:r>
              <w:t>0.0</w:t>
            </w:r>
            <w:r>
              <w:rPr>
                <w:rFonts w:hint="eastAsia"/>
              </w:rPr>
              <w:t>5</w:t>
            </w:r>
            <w:r>
              <w:t>/0</w:t>
            </w:r>
          </w:p>
        </w:tc>
        <w:tc>
          <w:tcPr>
            <w:tcW w:w="664" w:type="pct"/>
            <w:noWrap/>
            <w:vAlign w:val="center"/>
          </w:tcPr>
          <w:p w14:paraId="3C451E78">
            <w:pPr>
              <w:pStyle w:val="1535"/>
            </w:pPr>
            <w:r>
              <w:rPr>
                <w:rFonts w:hint="eastAsia"/>
              </w:rPr>
              <w:t>0.02</w:t>
            </w:r>
            <w:r>
              <w:t>/0</w:t>
            </w:r>
          </w:p>
        </w:tc>
        <w:tc>
          <w:tcPr>
            <w:tcW w:w="894" w:type="pct"/>
            <w:noWrap/>
            <w:vAlign w:val="center"/>
          </w:tcPr>
          <w:p w14:paraId="42AEB7FC">
            <w:pPr>
              <w:pStyle w:val="1535"/>
            </w:pPr>
            <w:r>
              <w:t>0.</w:t>
            </w:r>
            <w:r>
              <w:rPr>
                <w:rFonts w:hint="eastAsia"/>
              </w:rPr>
              <w:t>11</w:t>
            </w:r>
            <w:r>
              <w:t>/0</w:t>
            </w:r>
          </w:p>
        </w:tc>
      </w:tr>
    </w:tbl>
    <w:p w14:paraId="6390A30E">
      <w:pPr>
        <w:ind w:firstLine="520"/>
        <w:rPr>
          <w:color w:val="000000" w:themeColor="text1"/>
          <w14:textFill>
            <w14:solidFill>
              <w14:schemeClr w14:val="tx1"/>
            </w14:solidFill>
          </w14:textFill>
        </w:rPr>
      </w:pPr>
      <w:r>
        <w:rPr>
          <w:color w:val="000000" w:themeColor="text1"/>
          <w14:textFill>
            <w14:solidFill>
              <w14:schemeClr w14:val="tx1"/>
            </w14:solidFill>
          </w14:textFill>
        </w:rPr>
        <w:t>由上表可知，经过估算模式计算，</w:t>
      </w: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Pmax=</w:t>
      </w:r>
      <w:r>
        <w:rPr>
          <w:rFonts w:hint="eastAsia"/>
          <w:color w:val="000000" w:themeColor="text1"/>
          <w14:textFill>
            <w14:solidFill>
              <w14:schemeClr w14:val="tx1"/>
            </w14:solidFill>
          </w14:textFill>
        </w:rPr>
        <w:t>2.90</w:t>
      </w:r>
      <w:r>
        <w:rPr>
          <w:color w:val="000000" w:themeColor="text1"/>
          <w14:textFill>
            <w14:solidFill>
              <w14:schemeClr w14:val="tx1"/>
            </w14:solidFill>
          </w14:textFill>
        </w:rPr>
        <w:t>%，1%≤Pmax&lt;10%。按照《环境影响评价技术导则大气环境》（HJ2.2-2018）有关评价等级划分方法，项目环境空气评价等级确定为二级，不需进行进一步预测。</w:t>
      </w:r>
    </w:p>
    <w:p w14:paraId="3ECC3371">
      <w:pPr>
        <w:spacing w:before="32"/>
        <w:ind w:firstLine="520"/>
        <w:rPr>
          <w:color w:val="000000" w:themeColor="text1"/>
          <w14:textFill>
            <w14:solidFill>
              <w14:schemeClr w14:val="tx1"/>
            </w14:solidFill>
          </w14:textFill>
        </w:rPr>
        <w:sectPr>
          <w:pgSz w:w="16838" w:h="11906" w:orient="landscape"/>
          <w:pgMar w:top="1134" w:right="1701" w:bottom="1701" w:left="1418" w:header="851" w:footer="992" w:gutter="0"/>
          <w:cols w:space="720" w:num="1"/>
          <w:docGrid w:type="lines" w:linePitch="326" w:charSpace="0"/>
        </w:sectPr>
      </w:pPr>
    </w:p>
    <w:p w14:paraId="3ADE4A59">
      <w:pPr>
        <w:pStyle w:val="5"/>
        <w:rPr>
          <w:color w:val="000000" w:themeColor="text1"/>
          <w14:textFill>
            <w14:solidFill>
              <w14:schemeClr w14:val="tx1"/>
            </w14:solidFill>
          </w14:textFill>
        </w:rPr>
      </w:pPr>
      <w:r>
        <w:rPr>
          <w:color w:val="000000" w:themeColor="text1"/>
          <w14:textFill>
            <w14:solidFill>
              <w14:schemeClr w14:val="tx1"/>
            </w14:solidFill>
          </w14:textFill>
        </w:rPr>
        <w:t>大气环境防护距离</w:t>
      </w:r>
    </w:p>
    <w:p w14:paraId="7CD6F911">
      <w:pPr>
        <w:ind w:firstLine="52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根据《环境影响评价技术导则-大气环境导则》（HJ2.2-2018），采用推荐模式中的大气环境防护距离模式计算各有组织源的大气环境防护距离。经计算，落地浓度无超标情况，不设大气环境防护距离。</w:t>
      </w:r>
    </w:p>
    <w:p w14:paraId="5E1DFEFB">
      <w:pPr>
        <w:pStyle w:val="5"/>
        <w:rPr>
          <w:color w:val="000000" w:themeColor="text1"/>
          <w14:textFill>
            <w14:solidFill>
              <w14:schemeClr w14:val="tx1"/>
            </w14:solidFill>
          </w14:textFill>
        </w:rPr>
      </w:pPr>
      <w:r>
        <w:rPr>
          <w:color w:val="000000" w:themeColor="text1"/>
          <w14:textFill>
            <w14:solidFill>
              <w14:schemeClr w14:val="tx1"/>
            </w14:solidFill>
          </w14:textFill>
        </w:rPr>
        <w:t>污染物排放量核算</w:t>
      </w:r>
    </w:p>
    <w:p w14:paraId="3FCBBC20">
      <w:pPr>
        <w:ind w:firstLine="520"/>
        <w:rPr>
          <w:color w:val="000000" w:themeColor="text1"/>
          <w14:textFill>
            <w14:solidFill>
              <w14:schemeClr w14:val="tx1"/>
            </w14:solidFill>
          </w14:textFill>
        </w:rPr>
      </w:pPr>
      <w:r>
        <w:rPr>
          <w:color w:val="000000" w:themeColor="text1"/>
          <w14:textFill>
            <w14:solidFill>
              <w14:schemeClr w14:val="tx1"/>
            </w14:solidFill>
          </w14:textFill>
        </w:rPr>
        <w:t>项目大气污染物有组织排放量核算见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_Ref160554060 \h  \* MERGEFORMAT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表6.1</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t>，大气环境影响评价自查表见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_Ref160554191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表6.1</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05FCE268">
      <w:pPr>
        <w:spacing w:before="32"/>
        <w:ind w:firstLine="0" w:firstLineChars="0"/>
        <w:jc w:val="center"/>
        <w:rPr>
          <w:color w:val="000000" w:themeColor="text1"/>
          <w14:textFill>
            <w14:solidFill>
              <w14:schemeClr w14:val="tx1"/>
            </w14:solidFill>
          </w14:textFill>
        </w:rPr>
      </w:pPr>
      <w:bookmarkStart w:id="265" w:name="_Ref160554060"/>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5</w:t>
      </w:r>
      <w:r>
        <w:rPr>
          <w:color w:val="000000" w:themeColor="text1"/>
          <w:szCs w:val="26"/>
          <w14:textFill>
            <w14:solidFill>
              <w14:schemeClr w14:val="tx1"/>
            </w14:solidFill>
          </w14:textFill>
        </w:rPr>
        <w:fldChar w:fldCharType="end"/>
      </w:r>
      <w:bookmarkEnd w:id="265"/>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大气污染物有组织排放量核算</w:t>
      </w:r>
    </w:p>
    <w:tbl>
      <w:tblPr>
        <w:tblStyle w:val="88"/>
        <w:tblW w:w="47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2"/>
        <w:gridCol w:w="16"/>
        <w:gridCol w:w="3290"/>
        <w:gridCol w:w="3352"/>
      </w:tblGrid>
      <w:tr w14:paraId="2713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4" w:type="pct"/>
            <w:tcBorders>
              <w:tl2br w:val="nil"/>
              <w:tr2bl w:val="nil"/>
            </w:tcBorders>
            <w:vAlign w:val="center"/>
          </w:tcPr>
          <w:p w14:paraId="51866DE5">
            <w:pPr>
              <w:pStyle w:val="1535"/>
            </w:pPr>
            <w:r>
              <w:t>类别</w:t>
            </w:r>
          </w:p>
        </w:tc>
        <w:tc>
          <w:tcPr>
            <w:tcW w:w="1855" w:type="pct"/>
            <w:gridSpan w:val="2"/>
            <w:tcBorders>
              <w:tl2br w:val="nil"/>
              <w:tr2bl w:val="nil"/>
            </w:tcBorders>
            <w:vAlign w:val="center"/>
          </w:tcPr>
          <w:p w14:paraId="2D32DA49">
            <w:pPr>
              <w:pStyle w:val="1535"/>
            </w:pPr>
            <w:r>
              <w:t>污染物</w:t>
            </w:r>
          </w:p>
        </w:tc>
        <w:tc>
          <w:tcPr>
            <w:tcW w:w="1881" w:type="pct"/>
            <w:tcBorders>
              <w:tl2br w:val="nil"/>
              <w:tr2bl w:val="nil"/>
            </w:tcBorders>
            <w:vAlign w:val="center"/>
          </w:tcPr>
          <w:p w14:paraId="12ECF22C">
            <w:pPr>
              <w:pStyle w:val="1535"/>
            </w:pPr>
            <w:r>
              <w:t>核算年排放量/（t/a）</w:t>
            </w:r>
          </w:p>
        </w:tc>
      </w:tr>
      <w:tr w14:paraId="693F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vAlign w:val="center"/>
          </w:tcPr>
          <w:p w14:paraId="27725BFB">
            <w:pPr>
              <w:pStyle w:val="1535"/>
            </w:pPr>
            <w:r>
              <w:t>全厂有组织排放总计</w:t>
            </w:r>
          </w:p>
        </w:tc>
      </w:tr>
      <w:tr w14:paraId="12ED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4" w:type="pct"/>
            <w:vMerge w:val="restart"/>
            <w:vAlign w:val="center"/>
          </w:tcPr>
          <w:p w14:paraId="4164EFA0">
            <w:pPr>
              <w:pStyle w:val="1535"/>
            </w:pPr>
            <w:r>
              <w:t>全厂有组织排放总计</w:t>
            </w:r>
          </w:p>
        </w:tc>
        <w:tc>
          <w:tcPr>
            <w:tcW w:w="1855" w:type="pct"/>
            <w:gridSpan w:val="2"/>
            <w:vAlign w:val="center"/>
          </w:tcPr>
          <w:p w14:paraId="58499AE6">
            <w:pPr>
              <w:pStyle w:val="1535"/>
            </w:pPr>
            <w:r>
              <w:t>氟化物</w:t>
            </w:r>
          </w:p>
        </w:tc>
        <w:tc>
          <w:tcPr>
            <w:tcW w:w="1881" w:type="pct"/>
            <w:vAlign w:val="center"/>
          </w:tcPr>
          <w:p w14:paraId="1AC8583A">
            <w:pPr>
              <w:pStyle w:val="1535"/>
            </w:pPr>
            <w:r>
              <w:rPr>
                <w:rFonts w:hint="eastAsia"/>
                <w:snapToGrid/>
              </w:rPr>
              <w:t>0.002</w:t>
            </w:r>
          </w:p>
        </w:tc>
      </w:tr>
      <w:tr w14:paraId="4CF3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4" w:type="pct"/>
            <w:vMerge w:val="continue"/>
            <w:vAlign w:val="center"/>
          </w:tcPr>
          <w:p w14:paraId="38A505C8">
            <w:pPr>
              <w:pStyle w:val="1535"/>
            </w:pPr>
          </w:p>
        </w:tc>
        <w:tc>
          <w:tcPr>
            <w:tcW w:w="1855" w:type="pct"/>
            <w:gridSpan w:val="2"/>
            <w:vAlign w:val="center"/>
          </w:tcPr>
          <w:p w14:paraId="2DDB8CF1">
            <w:pPr>
              <w:pStyle w:val="1535"/>
            </w:pPr>
            <w:r>
              <w:t>氯化氢</w:t>
            </w:r>
          </w:p>
        </w:tc>
        <w:tc>
          <w:tcPr>
            <w:tcW w:w="1881" w:type="pct"/>
            <w:vAlign w:val="center"/>
          </w:tcPr>
          <w:p w14:paraId="5ABAD7BC">
            <w:pPr>
              <w:pStyle w:val="1535"/>
            </w:pPr>
            <w:r>
              <w:rPr>
                <w:rFonts w:hint="eastAsia"/>
                <w:snapToGrid/>
              </w:rPr>
              <w:t>0.004</w:t>
            </w:r>
          </w:p>
        </w:tc>
      </w:tr>
      <w:tr w14:paraId="08B2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4" w:type="pct"/>
            <w:vMerge w:val="continue"/>
            <w:vAlign w:val="center"/>
          </w:tcPr>
          <w:p w14:paraId="2825580D">
            <w:pPr>
              <w:pStyle w:val="1535"/>
            </w:pPr>
          </w:p>
        </w:tc>
        <w:tc>
          <w:tcPr>
            <w:tcW w:w="1855" w:type="pct"/>
            <w:gridSpan w:val="2"/>
            <w:vAlign w:val="center"/>
          </w:tcPr>
          <w:p w14:paraId="3BAFA850">
            <w:pPr>
              <w:pStyle w:val="1535"/>
            </w:pPr>
            <w:r>
              <w:rPr>
                <w:rFonts w:hint="eastAsia"/>
              </w:rPr>
              <w:t>碳黑尘</w:t>
            </w:r>
          </w:p>
        </w:tc>
        <w:tc>
          <w:tcPr>
            <w:tcW w:w="1881" w:type="pct"/>
            <w:vAlign w:val="center"/>
          </w:tcPr>
          <w:p w14:paraId="5CD8EABD">
            <w:pPr>
              <w:pStyle w:val="1535"/>
            </w:pPr>
            <w:r>
              <w:rPr>
                <w:snapToGrid/>
              </w:rPr>
              <w:t>0.0</w:t>
            </w:r>
            <w:r>
              <w:rPr>
                <w:rFonts w:hint="eastAsia"/>
                <w:snapToGrid/>
              </w:rPr>
              <w:t>64</w:t>
            </w:r>
            <w:r>
              <w:rPr>
                <w:snapToGrid/>
              </w:rPr>
              <w:t xml:space="preserve"> </w:t>
            </w:r>
          </w:p>
        </w:tc>
      </w:tr>
      <w:tr w14:paraId="6CF3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4" w:type="pct"/>
            <w:vMerge w:val="continue"/>
            <w:vAlign w:val="center"/>
          </w:tcPr>
          <w:p w14:paraId="397A75F8">
            <w:pPr>
              <w:pStyle w:val="1535"/>
            </w:pPr>
          </w:p>
        </w:tc>
        <w:tc>
          <w:tcPr>
            <w:tcW w:w="1855" w:type="pct"/>
            <w:gridSpan w:val="2"/>
            <w:vAlign w:val="center"/>
          </w:tcPr>
          <w:p w14:paraId="2A0C8E27">
            <w:pPr>
              <w:pStyle w:val="1535"/>
            </w:pPr>
            <w:r>
              <w:t>非甲烷总烃</w:t>
            </w:r>
          </w:p>
        </w:tc>
        <w:tc>
          <w:tcPr>
            <w:tcW w:w="1881" w:type="pct"/>
            <w:vAlign w:val="center"/>
          </w:tcPr>
          <w:p w14:paraId="3EB62697">
            <w:pPr>
              <w:pStyle w:val="1535"/>
            </w:pPr>
            <w:r>
              <w:rPr>
                <w:rFonts w:hint="eastAsia"/>
                <w:snapToGrid/>
              </w:rPr>
              <w:t>0.005</w:t>
            </w:r>
          </w:p>
        </w:tc>
      </w:tr>
      <w:tr w14:paraId="2AB0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vAlign w:val="center"/>
          </w:tcPr>
          <w:p w14:paraId="4AEE1535">
            <w:pPr>
              <w:pStyle w:val="1535"/>
            </w:pPr>
            <w:r>
              <w:t>全厂无组织排放总计</w:t>
            </w:r>
          </w:p>
        </w:tc>
      </w:tr>
      <w:tr w14:paraId="536E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3" w:type="pct"/>
            <w:gridSpan w:val="2"/>
            <w:vMerge w:val="restart"/>
            <w:vAlign w:val="center"/>
          </w:tcPr>
          <w:p w14:paraId="4F298FA1">
            <w:pPr>
              <w:pStyle w:val="1535"/>
            </w:pPr>
            <w:r>
              <w:t>全厂无组织排放总计</w:t>
            </w:r>
          </w:p>
        </w:tc>
        <w:tc>
          <w:tcPr>
            <w:tcW w:w="1846" w:type="pct"/>
            <w:vAlign w:val="center"/>
          </w:tcPr>
          <w:p w14:paraId="0877F07A">
            <w:pPr>
              <w:pStyle w:val="1535"/>
            </w:pPr>
            <w:r>
              <w:t>氟化物</w:t>
            </w:r>
          </w:p>
        </w:tc>
        <w:tc>
          <w:tcPr>
            <w:tcW w:w="1881" w:type="pct"/>
            <w:vAlign w:val="center"/>
          </w:tcPr>
          <w:p w14:paraId="7C513BC1">
            <w:pPr>
              <w:pStyle w:val="1535"/>
            </w:pPr>
            <w:r>
              <w:rPr>
                <w:snapToGrid/>
              </w:rPr>
              <w:t>0.0</w:t>
            </w:r>
            <w:r>
              <w:rPr>
                <w:rFonts w:hint="eastAsia"/>
                <w:snapToGrid/>
              </w:rPr>
              <w:t>04</w:t>
            </w:r>
          </w:p>
        </w:tc>
      </w:tr>
      <w:tr w14:paraId="61B5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3" w:type="pct"/>
            <w:gridSpan w:val="2"/>
            <w:vMerge w:val="continue"/>
            <w:vAlign w:val="center"/>
          </w:tcPr>
          <w:p w14:paraId="48AFA6D5">
            <w:pPr>
              <w:pStyle w:val="1535"/>
            </w:pPr>
          </w:p>
        </w:tc>
        <w:tc>
          <w:tcPr>
            <w:tcW w:w="1846" w:type="pct"/>
            <w:vAlign w:val="center"/>
          </w:tcPr>
          <w:p w14:paraId="15A011A6">
            <w:pPr>
              <w:pStyle w:val="1535"/>
            </w:pPr>
            <w:r>
              <w:rPr>
                <w:rFonts w:hint="eastAsia"/>
              </w:rPr>
              <w:t>碳黑尘</w:t>
            </w:r>
          </w:p>
        </w:tc>
        <w:tc>
          <w:tcPr>
            <w:tcW w:w="1881" w:type="pct"/>
            <w:vAlign w:val="center"/>
          </w:tcPr>
          <w:p w14:paraId="38D1BFBB">
            <w:pPr>
              <w:pStyle w:val="1535"/>
            </w:pPr>
            <w:r>
              <w:rPr>
                <w:snapToGrid/>
              </w:rPr>
              <w:t>0.00</w:t>
            </w:r>
            <w:r>
              <w:rPr>
                <w:rFonts w:hint="eastAsia"/>
                <w:snapToGrid/>
              </w:rPr>
              <w:t>4</w:t>
            </w:r>
          </w:p>
        </w:tc>
      </w:tr>
    </w:tbl>
    <w:p w14:paraId="0336C771">
      <w:pPr>
        <w:pStyle w:val="5"/>
        <w:rPr>
          <w:color w:val="000000" w:themeColor="text1"/>
          <w14:textFill>
            <w14:solidFill>
              <w14:schemeClr w14:val="tx1"/>
            </w14:solidFill>
          </w14:textFill>
        </w:rPr>
      </w:pPr>
      <w:r>
        <w:rPr>
          <w:color w:val="000000" w:themeColor="text1"/>
          <w14:textFill>
            <w14:solidFill>
              <w14:schemeClr w14:val="tx1"/>
            </w14:solidFill>
          </w14:textFill>
        </w:rPr>
        <w:t>影响评价小结</w:t>
      </w:r>
    </w:p>
    <w:p w14:paraId="678DDCAA">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建成后，各污染物均可实现达标排放。项目上风向距离周边环境空气敏感点的最近距离约0.48km，下风向距离周边环境空气敏感点的最近距离约1.9km，环境空气敏感程度不高，与周边大气环境相容性好，无需设置大气防护距离，在采取相应的废气治理设施后，环境空气影响可以接受。</w:t>
      </w:r>
    </w:p>
    <w:p w14:paraId="485762D1">
      <w:pPr>
        <w:spacing w:before="32"/>
        <w:ind w:firstLine="520"/>
        <w:rPr>
          <w:color w:val="000000" w:themeColor="text1"/>
          <w14:textFill>
            <w14:solidFill>
              <w14:schemeClr w14:val="tx1"/>
            </w14:solidFill>
          </w14:textFill>
        </w:rPr>
        <w:sectPr>
          <w:pgSz w:w="11906" w:h="16838"/>
          <w:pgMar w:top="1701" w:right="1701" w:bottom="1418" w:left="1134" w:header="851" w:footer="992" w:gutter="0"/>
          <w:cols w:space="720" w:num="1"/>
          <w:docGrid w:type="lines" w:linePitch="326" w:charSpace="0"/>
        </w:sectPr>
      </w:pPr>
    </w:p>
    <w:p w14:paraId="5B76BC79">
      <w:pPr>
        <w:spacing w:before="32"/>
        <w:ind w:firstLine="0" w:firstLineChars="0"/>
        <w:jc w:val="center"/>
        <w:rPr>
          <w:color w:val="000000" w:themeColor="text1"/>
          <w14:textFill>
            <w14:solidFill>
              <w14:schemeClr w14:val="tx1"/>
            </w14:solidFill>
          </w14:textFill>
        </w:rPr>
      </w:pPr>
      <w:bookmarkStart w:id="266" w:name="_Ref160554191"/>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w:t>
      </w:r>
      <w:r>
        <w:rPr>
          <w:color w:val="000000" w:themeColor="text1"/>
          <w:szCs w:val="26"/>
          <w14:textFill>
            <w14:solidFill>
              <w14:schemeClr w14:val="tx1"/>
            </w14:solidFill>
          </w14:textFill>
        </w:rPr>
        <w:fldChar w:fldCharType="end"/>
      </w:r>
      <w:bookmarkEnd w:id="266"/>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建设项目大气环境影响评价自查表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1492"/>
        <w:gridCol w:w="1097"/>
        <w:gridCol w:w="195"/>
        <w:gridCol w:w="385"/>
        <w:gridCol w:w="199"/>
        <w:gridCol w:w="26"/>
        <w:gridCol w:w="324"/>
        <w:gridCol w:w="180"/>
        <w:gridCol w:w="356"/>
        <w:gridCol w:w="548"/>
        <w:gridCol w:w="174"/>
        <w:gridCol w:w="118"/>
        <w:gridCol w:w="56"/>
        <w:gridCol w:w="163"/>
        <w:gridCol w:w="172"/>
        <w:gridCol w:w="719"/>
        <w:gridCol w:w="253"/>
        <w:gridCol w:w="170"/>
        <w:gridCol w:w="686"/>
        <w:gridCol w:w="44"/>
        <w:gridCol w:w="329"/>
        <w:gridCol w:w="257"/>
        <w:gridCol w:w="363"/>
      </w:tblGrid>
      <w:tr w14:paraId="0195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pct"/>
            <w:gridSpan w:val="2"/>
            <w:vAlign w:val="center"/>
          </w:tcPr>
          <w:p w14:paraId="752951E9">
            <w:pPr>
              <w:pStyle w:val="1535"/>
            </w:pPr>
            <w:r>
              <w:t>工作内容</w:t>
            </w:r>
          </w:p>
        </w:tc>
        <w:tc>
          <w:tcPr>
            <w:tcW w:w="3448" w:type="pct"/>
            <w:gridSpan w:val="22"/>
            <w:vAlign w:val="center"/>
          </w:tcPr>
          <w:p w14:paraId="4D383D52">
            <w:pPr>
              <w:pStyle w:val="1535"/>
            </w:pPr>
            <w:r>
              <w:t>自查项目</w:t>
            </w:r>
          </w:p>
        </w:tc>
      </w:tr>
      <w:tr w14:paraId="6834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restart"/>
            <w:vAlign w:val="center"/>
          </w:tcPr>
          <w:p w14:paraId="5A782DD4">
            <w:pPr>
              <w:pStyle w:val="1535"/>
            </w:pPr>
            <w:r>
              <w:t>评价等级与范围</w:t>
            </w:r>
          </w:p>
        </w:tc>
        <w:tc>
          <w:tcPr>
            <w:tcW w:w="914" w:type="pct"/>
            <w:vAlign w:val="center"/>
          </w:tcPr>
          <w:p w14:paraId="4F82FCF3">
            <w:pPr>
              <w:pStyle w:val="1535"/>
            </w:pPr>
            <w:r>
              <w:t>评价等级</w:t>
            </w:r>
          </w:p>
        </w:tc>
        <w:tc>
          <w:tcPr>
            <w:tcW w:w="1102" w:type="pct"/>
            <w:gridSpan w:val="7"/>
            <w:vAlign w:val="center"/>
          </w:tcPr>
          <w:p w14:paraId="6F2EE0E6">
            <w:pPr>
              <w:pStyle w:val="1535"/>
            </w:pPr>
            <w:r>
              <w:t>一级□</w:t>
            </w:r>
          </w:p>
        </w:tc>
        <w:tc>
          <w:tcPr>
            <w:tcW w:w="1230" w:type="pct"/>
            <w:gridSpan w:val="10"/>
            <w:vAlign w:val="center"/>
          </w:tcPr>
          <w:p w14:paraId="7476C399">
            <w:pPr>
              <w:pStyle w:val="1535"/>
            </w:pPr>
            <w:r>
              <w:t>二级√</w:t>
            </w:r>
          </w:p>
        </w:tc>
        <w:tc>
          <w:tcPr>
            <w:tcW w:w="1116" w:type="pct"/>
            <w:gridSpan w:val="5"/>
            <w:vAlign w:val="center"/>
          </w:tcPr>
          <w:p w14:paraId="0B3AC217">
            <w:pPr>
              <w:pStyle w:val="1535"/>
            </w:pPr>
            <w:r>
              <w:t>三级□</w:t>
            </w:r>
          </w:p>
        </w:tc>
      </w:tr>
      <w:tr w14:paraId="6ADC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47546F7F">
            <w:pPr>
              <w:pStyle w:val="1535"/>
            </w:pPr>
          </w:p>
        </w:tc>
        <w:tc>
          <w:tcPr>
            <w:tcW w:w="914" w:type="pct"/>
            <w:vAlign w:val="center"/>
          </w:tcPr>
          <w:p w14:paraId="0D463E1F">
            <w:pPr>
              <w:pStyle w:val="1535"/>
            </w:pPr>
            <w:r>
              <w:t>评价范围</w:t>
            </w:r>
          </w:p>
        </w:tc>
        <w:tc>
          <w:tcPr>
            <w:tcW w:w="1102" w:type="pct"/>
            <w:gridSpan w:val="7"/>
            <w:vAlign w:val="center"/>
          </w:tcPr>
          <w:p w14:paraId="5AC9DCB7">
            <w:pPr>
              <w:pStyle w:val="1535"/>
            </w:pPr>
            <w:r>
              <w:t>边长＝50km□</w:t>
            </w:r>
          </w:p>
        </w:tc>
        <w:tc>
          <w:tcPr>
            <w:tcW w:w="1230" w:type="pct"/>
            <w:gridSpan w:val="10"/>
            <w:vAlign w:val="center"/>
          </w:tcPr>
          <w:p w14:paraId="0D252DD4">
            <w:pPr>
              <w:pStyle w:val="1535"/>
            </w:pPr>
            <w:r>
              <w:t>边长5~50km□</w:t>
            </w:r>
          </w:p>
        </w:tc>
        <w:tc>
          <w:tcPr>
            <w:tcW w:w="1116" w:type="pct"/>
            <w:gridSpan w:val="5"/>
            <w:vAlign w:val="center"/>
          </w:tcPr>
          <w:p w14:paraId="665BCD38">
            <w:pPr>
              <w:pStyle w:val="1535"/>
            </w:pPr>
            <w:r>
              <w:t>边长＝5km√</w:t>
            </w:r>
          </w:p>
        </w:tc>
      </w:tr>
      <w:tr w14:paraId="4BA0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restart"/>
            <w:vAlign w:val="center"/>
          </w:tcPr>
          <w:p w14:paraId="32EA7B09">
            <w:pPr>
              <w:pStyle w:val="1535"/>
            </w:pPr>
            <w:r>
              <w:t>评价因子</w:t>
            </w:r>
          </w:p>
        </w:tc>
        <w:tc>
          <w:tcPr>
            <w:tcW w:w="914" w:type="pct"/>
            <w:vAlign w:val="center"/>
          </w:tcPr>
          <w:p w14:paraId="687EE780">
            <w:pPr>
              <w:pStyle w:val="1535"/>
            </w:pPr>
            <w:r>
              <w:t>SO</w:t>
            </w:r>
            <w:r>
              <w:rPr>
                <w:vertAlign w:val="subscript"/>
              </w:rPr>
              <w:t>2</w:t>
            </w:r>
            <w:r>
              <w:t>+NO</w:t>
            </w:r>
            <w:r>
              <w:rPr>
                <w:rFonts w:hint="eastAsia"/>
              </w:rPr>
              <w:t>x</w:t>
            </w:r>
            <w:r>
              <w:t>排放量</w:t>
            </w:r>
          </w:p>
        </w:tc>
        <w:tc>
          <w:tcPr>
            <w:tcW w:w="1102" w:type="pct"/>
            <w:gridSpan w:val="7"/>
            <w:vAlign w:val="center"/>
          </w:tcPr>
          <w:p w14:paraId="67841488">
            <w:pPr>
              <w:pStyle w:val="1535"/>
            </w:pPr>
            <w:r>
              <w:t>≥2000t/a□</w:t>
            </w:r>
          </w:p>
        </w:tc>
        <w:tc>
          <w:tcPr>
            <w:tcW w:w="1230" w:type="pct"/>
            <w:gridSpan w:val="10"/>
            <w:vAlign w:val="center"/>
          </w:tcPr>
          <w:p w14:paraId="511488FC">
            <w:pPr>
              <w:pStyle w:val="1535"/>
            </w:pPr>
            <w:r>
              <w:t>500~2000t/a□</w:t>
            </w:r>
          </w:p>
        </w:tc>
        <w:tc>
          <w:tcPr>
            <w:tcW w:w="1116" w:type="pct"/>
            <w:gridSpan w:val="5"/>
            <w:vAlign w:val="center"/>
          </w:tcPr>
          <w:p w14:paraId="1BD814C0">
            <w:pPr>
              <w:pStyle w:val="1535"/>
            </w:pPr>
            <w:r>
              <w:t>&lt;500t/a√</w:t>
            </w:r>
          </w:p>
        </w:tc>
      </w:tr>
      <w:tr w14:paraId="1AE1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70AAAA30">
            <w:pPr>
              <w:pStyle w:val="1535"/>
            </w:pPr>
          </w:p>
        </w:tc>
        <w:tc>
          <w:tcPr>
            <w:tcW w:w="914" w:type="pct"/>
            <w:vAlign w:val="center"/>
          </w:tcPr>
          <w:p w14:paraId="5E4FE819">
            <w:pPr>
              <w:pStyle w:val="1535"/>
            </w:pPr>
            <w:r>
              <w:t>评价因子</w:t>
            </w:r>
          </w:p>
        </w:tc>
        <w:tc>
          <w:tcPr>
            <w:tcW w:w="1756" w:type="pct"/>
            <w:gridSpan w:val="13"/>
            <w:vAlign w:val="center"/>
          </w:tcPr>
          <w:p w14:paraId="3A88003E">
            <w:pPr>
              <w:pStyle w:val="1535"/>
            </w:pPr>
            <w:r>
              <w:t>基本污染物（PM</w:t>
            </w:r>
            <w:r>
              <w:rPr>
                <w:vertAlign w:val="subscript"/>
              </w:rPr>
              <w:t>10</w:t>
            </w:r>
            <w:r>
              <w:t>、PM</w:t>
            </w:r>
            <w:r>
              <w:rPr>
                <w:vertAlign w:val="subscript"/>
              </w:rPr>
              <w:t>2.5</w:t>
            </w:r>
            <w:r>
              <w:t>）</w:t>
            </w:r>
          </w:p>
          <w:p w14:paraId="0E7E195A">
            <w:pPr>
              <w:pStyle w:val="1535"/>
            </w:pPr>
            <w:r>
              <w:t>其他污染物（氟化物、氯化氢、非甲烷总烃、）</w:t>
            </w:r>
          </w:p>
        </w:tc>
        <w:tc>
          <w:tcPr>
            <w:tcW w:w="1692" w:type="pct"/>
            <w:gridSpan w:val="9"/>
            <w:vAlign w:val="center"/>
          </w:tcPr>
          <w:p w14:paraId="169F4879">
            <w:pPr>
              <w:pStyle w:val="1535"/>
            </w:pPr>
            <w:r>
              <w:t>包括二次PM</w:t>
            </w:r>
            <w:r>
              <w:rPr>
                <w:vertAlign w:val="subscript"/>
              </w:rPr>
              <w:t>2.5</w:t>
            </w:r>
            <w:r>
              <w:t>□</w:t>
            </w:r>
          </w:p>
          <w:p w14:paraId="77ABF4F6">
            <w:pPr>
              <w:pStyle w:val="1535"/>
            </w:pPr>
            <w:r>
              <w:t>不包括二次PM</w:t>
            </w:r>
            <w:r>
              <w:rPr>
                <w:vertAlign w:val="subscript"/>
              </w:rPr>
              <w:t>2.5</w:t>
            </w:r>
            <w:r>
              <w:t>√</w:t>
            </w:r>
          </w:p>
        </w:tc>
      </w:tr>
      <w:tr w14:paraId="15B8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Align w:val="center"/>
          </w:tcPr>
          <w:p w14:paraId="59B5BE74">
            <w:pPr>
              <w:pStyle w:val="1535"/>
            </w:pPr>
            <w:r>
              <w:t>评价标准</w:t>
            </w:r>
          </w:p>
        </w:tc>
        <w:tc>
          <w:tcPr>
            <w:tcW w:w="914" w:type="pct"/>
            <w:vAlign w:val="center"/>
          </w:tcPr>
          <w:p w14:paraId="2C585FBA">
            <w:pPr>
              <w:pStyle w:val="1535"/>
            </w:pPr>
            <w:r>
              <w:t>评价标准</w:t>
            </w:r>
          </w:p>
        </w:tc>
        <w:tc>
          <w:tcPr>
            <w:tcW w:w="870" w:type="pct"/>
            <w:gridSpan w:val="5"/>
            <w:vAlign w:val="center"/>
          </w:tcPr>
          <w:p w14:paraId="555D3883">
            <w:pPr>
              <w:pStyle w:val="1535"/>
            </w:pPr>
            <w:r>
              <w:t>国家标准√</w:t>
            </w:r>
          </w:p>
        </w:tc>
        <w:tc>
          <w:tcPr>
            <w:tcW w:w="886" w:type="pct"/>
            <w:gridSpan w:val="8"/>
            <w:vAlign w:val="center"/>
          </w:tcPr>
          <w:p w14:paraId="744DE08A">
            <w:pPr>
              <w:pStyle w:val="1535"/>
            </w:pPr>
            <w:r>
              <w:t>地方标准√</w:t>
            </w:r>
          </w:p>
        </w:tc>
        <w:tc>
          <w:tcPr>
            <w:tcW w:w="879" w:type="pct"/>
            <w:gridSpan w:val="6"/>
            <w:vAlign w:val="center"/>
          </w:tcPr>
          <w:p w14:paraId="6AABFE00">
            <w:pPr>
              <w:pStyle w:val="1535"/>
            </w:pPr>
            <w:r>
              <w:t>附录D√</w:t>
            </w:r>
          </w:p>
        </w:tc>
        <w:tc>
          <w:tcPr>
            <w:tcW w:w="813" w:type="pct"/>
            <w:gridSpan w:val="3"/>
            <w:vAlign w:val="center"/>
          </w:tcPr>
          <w:p w14:paraId="633C272E">
            <w:pPr>
              <w:pStyle w:val="1535"/>
            </w:pPr>
            <w:r>
              <w:t>其他标准□</w:t>
            </w:r>
          </w:p>
        </w:tc>
      </w:tr>
      <w:tr w14:paraId="2232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restart"/>
            <w:vAlign w:val="center"/>
          </w:tcPr>
          <w:p w14:paraId="4EE8D0F8">
            <w:pPr>
              <w:pStyle w:val="1535"/>
            </w:pPr>
            <w:r>
              <w:t>现状评价</w:t>
            </w:r>
          </w:p>
        </w:tc>
        <w:tc>
          <w:tcPr>
            <w:tcW w:w="914" w:type="pct"/>
            <w:vAlign w:val="center"/>
          </w:tcPr>
          <w:p w14:paraId="54A586AB">
            <w:pPr>
              <w:pStyle w:val="1535"/>
            </w:pPr>
            <w:r>
              <w:t>环境功能区</w:t>
            </w:r>
          </w:p>
        </w:tc>
        <w:tc>
          <w:tcPr>
            <w:tcW w:w="767" w:type="pct"/>
            <w:gridSpan w:val="3"/>
            <w:vAlign w:val="center"/>
          </w:tcPr>
          <w:p w14:paraId="6D2C4062">
            <w:pPr>
              <w:pStyle w:val="1535"/>
            </w:pPr>
            <w:r>
              <w:t>一类区□</w:t>
            </w:r>
          </w:p>
        </w:tc>
        <w:tc>
          <w:tcPr>
            <w:tcW w:w="913" w:type="pct"/>
            <w:gridSpan w:val="9"/>
            <w:vAlign w:val="center"/>
          </w:tcPr>
          <w:p w14:paraId="55AEEFE1">
            <w:pPr>
              <w:pStyle w:val="1535"/>
            </w:pPr>
            <w:r>
              <w:t>二类区√</w:t>
            </w:r>
          </w:p>
        </w:tc>
        <w:tc>
          <w:tcPr>
            <w:tcW w:w="1768" w:type="pct"/>
            <w:gridSpan w:val="10"/>
            <w:vAlign w:val="center"/>
          </w:tcPr>
          <w:p w14:paraId="33356361">
            <w:pPr>
              <w:pStyle w:val="1535"/>
            </w:pPr>
            <w:r>
              <w:t>一类区和二类区□</w:t>
            </w:r>
          </w:p>
        </w:tc>
      </w:tr>
      <w:tr w14:paraId="65DA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00072AD5">
            <w:pPr>
              <w:pStyle w:val="1535"/>
            </w:pPr>
          </w:p>
        </w:tc>
        <w:tc>
          <w:tcPr>
            <w:tcW w:w="914" w:type="pct"/>
            <w:vAlign w:val="center"/>
          </w:tcPr>
          <w:p w14:paraId="2E02CF3F">
            <w:pPr>
              <w:pStyle w:val="1535"/>
            </w:pPr>
            <w:r>
              <w:t>评价基准年</w:t>
            </w:r>
          </w:p>
        </w:tc>
        <w:tc>
          <w:tcPr>
            <w:tcW w:w="3448" w:type="pct"/>
            <w:gridSpan w:val="22"/>
            <w:vAlign w:val="center"/>
          </w:tcPr>
          <w:p w14:paraId="3CD581A0">
            <w:pPr>
              <w:pStyle w:val="1535"/>
            </w:pPr>
            <w:r>
              <w:t>（202</w:t>
            </w:r>
            <w:r>
              <w:rPr>
                <w:rFonts w:hint="eastAsia"/>
              </w:rPr>
              <w:t>4</w:t>
            </w:r>
            <w:r>
              <w:t>）年</w:t>
            </w:r>
          </w:p>
        </w:tc>
      </w:tr>
      <w:tr w14:paraId="202F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0F6540B1">
            <w:pPr>
              <w:pStyle w:val="1535"/>
            </w:pPr>
          </w:p>
        </w:tc>
        <w:tc>
          <w:tcPr>
            <w:tcW w:w="914" w:type="pct"/>
            <w:vAlign w:val="center"/>
          </w:tcPr>
          <w:p w14:paraId="3A6F92E1">
            <w:pPr>
              <w:pStyle w:val="1535"/>
            </w:pPr>
            <w:r>
              <w:t>环境空气质量现状调查数据来源</w:t>
            </w:r>
          </w:p>
        </w:tc>
        <w:tc>
          <w:tcPr>
            <w:tcW w:w="1266" w:type="pct"/>
            <w:gridSpan w:val="8"/>
            <w:vAlign w:val="center"/>
          </w:tcPr>
          <w:p w14:paraId="65628DA4">
            <w:pPr>
              <w:pStyle w:val="1535"/>
            </w:pPr>
            <w:r>
              <w:t>长期例行监测数据√</w:t>
            </w:r>
          </w:p>
        </w:tc>
        <w:tc>
          <w:tcPr>
            <w:tcW w:w="1328" w:type="pct"/>
            <w:gridSpan w:val="10"/>
            <w:vAlign w:val="center"/>
          </w:tcPr>
          <w:p w14:paraId="10E0A67F">
            <w:pPr>
              <w:pStyle w:val="1535"/>
            </w:pPr>
            <w:r>
              <w:t>主管部门发布的数据√</w:t>
            </w:r>
          </w:p>
        </w:tc>
        <w:tc>
          <w:tcPr>
            <w:tcW w:w="853" w:type="pct"/>
            <w:gridSpan w:val="4"/>
            <w:vAlign w:val="center"/>
          </w:tcPr>
          <w:p w14:paraId="1560086B">
            <w:pPr>
              <w:pStyle w:val="1535"/>
            </w:pPr>
            <w:r>
              <w:t>现状补充监测√</w:t>
            </w:r>
          </w:p>
        </w:tc>
      </w:tr>
      <w:tr w14:paraId="3348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5E1163E4">
            <w:pPr>
              <w:pStyle w:val="1535"/>
            </w:pPr>
          </w:p>
        </w:tc>
        <w:tc>
          <w:tcPr>
            <w:tcW w:w="914" w:type="pct"/>
            <w:vAlign w:val="center"/>
          </w:tcPr>
          <w:p w14:paraId="5C32106C">
            <w:pPr>
              <w:pStyle w:val="1535"/>
            </w:pPr>
            <w:r>
              <w:t>现状评价</w:t>
            </w:r>
          </w:p>
        </w:tc>
        <w:tc>
          <w:tcPr>
            <w:tcW w:w="1654" w:type="pct"/>
            <w:gridSpan w:val="11"/>
            <w:vAlign w:val="center"/>
          </w:tcPr>
          <w:p w14:paraId="07ACDCF9">
            <w:pPr>
              <w:pStyle w:val="1535"/>
            </w:pPr>
            <w:r>
              <w:t>达标区√</w:t>
            </w:r>
          </w:p>
        </w:tc>
        <w:tc>
          <w:tcPr>
            <w:tcW w:w="1794" w:type="pct"/>
            <w:gridSpan w:val="11"/>
            <w:vAlign w:val="center"/>
          </w:tcPr>
          <w:p w14:paraId="0DA5F8DA">
            <w:pPr>
              <w:pStyle w:val="1535"/>
            </w:pPr>
            <w:r>
              <w:t>不达标区</w:t>
            </w:r>
            <w:r>
              <w:rPr/>
              <w:sym w:font="Wingdings 2" w:char="00A3"/>
            </w:r>
          </w:p>
        </w:tc>
      </w:tr>
      <w:tr w14:paraId="538B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Align w:val="center"/>
          </w:tcPr>
          <w:p w14:paraId="004D9B85">
            <w:pPr>
              <w:pStyle w:val="1535"/>
            </w:pPr>
            <w:r>
              <w:t>污染源调查</w:t>
            </w:r>
          </w:p>
        </w:tc>
        <w:tc>
          <w:tcPr>
            <w:tcW w:w="914" w:type="pct"/>
            <w:vAlign w:val="center"/>
          </w:tcPr>
          <w:p w14:paraId="3C53EB66">
            <w:pPr>
              <w:pStyle w:val="1535"/>
            </w:pPr>
            <w:r>
              <w:t>调查内容</w:t>
            </w:r>
          </w:p>
        </w:tc>
        <w:tc>
          <w:tcPr>
            <w:tcW w:w="1266" w:type="pct"/>
            <w:gridSpan w:val="8"/>
            <w:vAlign w:val="center"/>
          </w:tcPr>
          <w:p w14:paraId="7A7A76BA">
            <w:pPr>
              <w:pStyle w:val="1535"/>
            </w:pPr>
            <w:r>
              <w:t>扩建项目正常排放源√</w:t>
            </w:r>
          </w:p>
          <w:p w14:paraId="4729C185">
            <w:pPr>
              <w:pStyle w:val="1535"/>
            </w:pPr>
            <w:r>
              <w:t>扩建项目非正常排放源√</w:t>
            </w:r>
          </w:p>
          <w:p w14:paraId="27F1E036">
            <w:pPr>
              <w:pStyle w:val="1535"/>
            </w:pPr>
            <w:r>
              <w:t>现有污染源</w:t>
            </w:r>
            <w:r>
              <w:rPr/>
              <w:sym w:font="Wingdings 2" w:char="00A3"/>
            </w:r>
          </w:p>
        </w:tc>
        <w:tc>
          <w:tcPr>
            <w:tcW w:w="904" w:type="pct"/>
            <w:gridSpan w:val="7"/>
            <w:vAlign w:val="center"/>
          </w:tcPr>
          <w:p w14:paraId="053349BE">
            <w:pPr>
              <w:pStyle w:val="1535"/>
            </w:pPr>
            <w:r>
              <w:t>拟替代的污染源</w:t>
            </w:r>
            <w:r>
              <w:rPr/>
              <w:sym w:font="Wingdings 2" w:char="00A3"/>
            </w:r>
          </w:p>
        </w:tc>
        <w:tc>
          <w:tcPr>
            <w:tcW w:w="762" w:type="pct"/>
            <w:gridSpan w:val="5"/>
            <w:vAlign w:val="center"/>
          </w:tcPr>
          <w:p w14:paraId="1BA0B480">
            <w:pPr>
              <w:pStyle w:val="1535"/>
            </w:pPr>
            <w:r>
              <w:t>其他在建、扩建项目污染源□</w:t>
            </w:r>
          </w:p>
        </w:tc>
        <w:tc>
          <w:tcPr>
            <w:tcW w:w="515" w:type="pct"/>
            <w:gridSpan w:val="2"/>
            <w:vAlign w:val="center"/>
          </w:tcPr>
          <w:p w14:paraId="7F3947FF">
            <w:pPr>
              <w:pStyle w:val="1535"/>
            </w:pPr>
            <w:r>
              <w:t>区域污染源□</w:t>
            </w:r>
          </w:p>
        </w:tc>
      </w:tr>
      <w:tr w14:paraId="41A7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restart"/>
            <w:vAlign w:val="center"/>
          </w:tcPr>
          <w:p w14:paraId="3B693B49">
            <w:pPr>
              <w:pStyle w:val="1535"/>
            </w:pPr>
            <w:r>
              <w:t>大气环境影响预测与评价</w:t>
            </w:r>
          </w:p>
        </w:tc>
        <w:tc>
          <w:tcPr>
            <w:tcW w:w="914" w:type="pct"/>
            <w:vAlign w:val="center"/>
          </w:tcPr>
          <w:p w14:paraId="4F143ED4">
            <w:pPr>
              <w:pStyle w:val="1535"/>
            </w:pPr>
            <w:r>
              <w:t>预测模型</w:t>
            </w:r>
          </w:p>
        </w:tc>
        <w:tc>
          <w:tcPr>
            <w:tcW w:w="502" w:type="pct"/>
            <w:tcMar>
              <w:left w:w="0" w:type="dxa"/>
              <w:right w:w="0" w:type="dxa"/>
            </w:tcMar>
            <w:vAlign w:val="center"/>
          </w:tcPr>
          <w:p w14:paraId="56BB26A7">
            <w:pPr>
              <w:pStyle w:val="1535"/>
            </w:pPr>
            <w:r>
              <w:t>AERMOD□</w:t>
            </w:r>
          </w:p>
        </w:tc>
        <w:tc>
          <w:tcPr>
            <w:tcW w:w="356" w:type="pct"/>
            <w:gridSpan w:val="3"/>
            <w:tcMar>
              <w:left w:w="0" w:type="dxa"/>
              <w:right w:w="0" w:type="dxa"/>
            </w:tcMar>
            <w:vAlign w:val="center"/>
          </w:tcPr>
          <w:p w14:paraId="64C6B420">
            <w:pPr>
              <w:pStyle w:val="1535"/>
            </w:pPr>
            <w:r>
              <w:t>ADMS□</w:t>
            </w:r>
          </w:p>
        </w:tc>
        <w:tc>
          <w:tcPr>
            <w:tcW w:w="660" w:type="pct"/>
            <w:gridSpan w:val="5"/>
            <w:tcMar>
              <w:left w:w="0" w:type="dxa"/>
              <w:right w:w="0" w:type="dxa"/>
            </w:tcMar>
            <w:vAlign w:val="center"/>
          </w:tcPr>
          <w:p w14:paraId="35F91933">
            <w:pPr>
              <w:pStyle w:val="1535"/>
            </w:pPr>
            <w:r>
              <w:t>AUSTAL2000□</w:t>
            </w:r>
          </w:p>
        </w:tc>
        <w:tc>
          <w:tcPr>
            <w:tcW w:w="651" w:type="pct"/>
            <w:gridSpan w:val="6"/>
            <w:tcMar>
              <w:left w:w="0" w:type="dxa"/>
              <w:right w:w="0" w:type="dxa"/>
            </w:tcMar>
            <w:vAlign w:val="center"/>
          </w:tcPr>
          <w:p w14:paraId="304890BF">
            <w:pPr>
              <w:pStyle w:val="1535"/>
            </w:pPr>
            <w:r>
              <w:t>EDMS/AEDT□</w:t>
            </w:r>
          </w:p>
        </w:tc>
        <w:tc>
          <w:tcPr>
            <w:tcW w:w="424" w:type="pct"/>
            <w:gridSpan w:val="3"/>
            <w:tcMar>
              <w:left w:w="0" w:type="dxa"/>
              <w:right w:w="0" w:type="dxa"/>
            </w:tcMar>
            <w:vAlign w:val="center"/>
          </w:tcPr>
          <w:p w14:paraId="6AE5B358">
            <w:pPr>
              <w:pStyle w:val="1535"/>
            </w:pPr>
            <w:r>
              <w:t>CALPUFF□</w:t>
            </w:r>
          </w:p>
        </w:tc>
        <w:tc>
          <w:tcPr>
            <w:tcW w:w="569" w:type="pct"/>
            <w:gridSpan w:val="3"/>
            <w:tcMar>
              <w:left w:w="0" w:type="dxa"/>
              <w:right w:w="0" w:type="dxa"/>
            </w:tcMar>
            <w:vAlign w:val="center"/>
          </w:tcPr>
          <w:p w14:paraId="091E2D82">
            <w:pPr>
              <w:pStyle w:val="1535"/>
            </w:pPr>
            <w:r>
              <w:t>网格模型□</w:t>
            </w:r>
          </w:p>
        </w:tc>
        <w:tc>
          <w:tcPr>
            <w:tcW w:w="284" w:type="pct"/>
            <w:tcMar>
              <w:left w:w="0" w:type="dxa"/>
              <w:right w:w="0" w:type="dxa"/>
            </w:tcMar>
            <w:vAlign w:val="center"/>
          </w:tcPr>
          <w:p w14:paraId="65C4957D">
            <w:pPr>
              <w:pStyle w:val="1535"/>
            </w:pPr>
            <w:r>
              <w:t>其他□</w:t>
            </w:r>
          </w:p>
        </w:tc>
      </w:tr>
      <w:tr w14:paraId="7A34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5B3B1915">
            <w:pPr>
              <w:pStyle w:val="1535"/>
            </w:pPr>
          </w:p>
        </w:tc>
        <w:tc>
          <w:tcPr>
            <w:tcW w:w="914" w:type="pct"/>
            <w:vAlign w:val="center"/>
          </w:tcPr>
          <w:p w14:paraId="053E276E">
            <w:pPr>
              <w:pStyle w:val="1535"/>
            </w:pPr>
            <w:r>
              <w:t>预测范围</w:t>
            </w:r>
          </w:p>
        </w:tc>
        <w:tc>
          <w:tcPr>
            <w:tcW w:w="1019" w:type="pct"/>
            <w:gridSpan w:val="6"/>
            <w:vAlign w:val="center"/>
          </w:tcPr>
          <w:p w14:paraId="3C7B508C">
            <w:pPr>
              <w:pStyle w:val="1535"/>
            </w:pPr>
            <w:r>
              <w:t>边长≥50km□</w:t>
            </w:r>
          </w:p>
        </w:tc>
        <w:tc>
          <w:tcPr>
            <w:tcW w:w="1248" w:type="pct"/>
            <w:gridSpan w:val="10"/>
            <w:vAlign w:val="center"/>
          </w:tcPr>
          <w:p w14:paraId="61CDDD6E">
            <w:pPr>
              <w:pStyle w:val="1535"/>
            </w:pPr>
            <w:r>
              <w:t>边长5~50km□</w:t>
            </w:r>
          </w:p>
        </w:tc>
        <w:tc>
          <w:tcPr>
            <w:tcW w:w="1181" w:type="pct"/>
            <w:gridSpan w:val="6"/>
            <w:vAlign w:val="center"/>
          </w:tcPr>
          <w:p w14:paraId="31B4A53F">
            <w:pPr>
              <w:pStyle w:val="1535"/>
            </w:pPr>
            <w:r>
              <w:t>边长＝5km□</w:t>
            </w:r>
          </w:p>
        </w:tc>
      </w:tr>
      <w:tr w14:paraId="2427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3D7D276E">
            <w:pPr>
              <w:pStyle w:val="1535"/>
            </w:pPr>
          </w:p>
        </w:tc>
        <w:tc>
          <w:tcPr>
            <w:tcW w:w="914" w:type="pct"/>
            <w:vAlign w:val="center"/>
          </w:tcPr>
          <w:p w14:paraId="055E6F1F">
            <w:pPr>
              <w:pStyle w:val="1535"/>
            </w:pPr>
            <w:r>
              <w:t>预测因子</w:t>
            </w:r>
          </w:p>
        </w:tc>
        <w:tc>
          <w:tcPr>
            <w:tcW w:w="1836" w:type="pct"/>
            <w:gridSpan w:val="14"/>
            <w:vAlign w:val="center"/>
          </w:tcPr>
          <w:p w14:paraId="12D9A8AB">
            <w:pPr>
              <w:pStyle w:val="1535"/>
            </w:pPr>
            <w:r>
              <w:t>预测因子（）</w:t>
            </w:r>
          </w:p>
        </w:tc>
        <w:tc>
          <w:tcPr>
            <w:tcW w:w="1612" w:type="pct"/>
            <w:gridSpan w:val="8"/>
            <w:vAlign w:val="center"/>
          </w:tcPr>
          <w:p w14:paraId="432868A2">
            <w:pPr>
              <w:pStyle w:val="1535"/>
            </w:pPr>
            <w:r>
              <w:t>包括二次PM</w:t>
            </w:r>
            <w:r>
              <w:rPr>
                <w:vertAlign w:val="subscript"/>
              </w:rPr>
              <w:t>2.5</w:t>
            </w:r>
            <w:r>
              <w:t>□</w:t>
            </w:r>
          </w:p>
          <w:p w14:paraId="0042F7C1">
            <w:pPr>
              <w:pStyle w:val="1535"/>
            </w:pPr>
            <w:r>
              <w:t>不包括二次PM</w:t>
            </w:r>
            <w:r>
              <w:rPr>
                <w:vertAlign w:val="subscript"/>
              </w:rPr>
              <w:t>2.5</w:t>
            </w:r>
            <w:r>
              <w:t>□</w:t>
            </w:r>
          </w:p>
        </w:tc>
      </w:tr>
      <w:tr w14:paraId="1BE7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168010E0">
            <w:pPr>
              <w:pStyle w:val="1535"/>
            </w:pPr>
          </w:p>
        </w:tc>
        <w:tc>
          <w:tcPr>
            <w:tcW w:w="914" w:type="pct"/>
            <w:vAlign w:val="center"/>
          </w:tcPr>
          <w:p w14:paraId="4A141633">
            <w:pPr>
              <w:pStyle w:val="1535"/>
            </w:pPr>
            <w:r>
              <w:t>正常排放短期浓度贡献值</w:t>
            </w:r>
          </w:p>
        </w:tc>
        <w:tc>
          <w:tcPr>
            <w:tcW w:w="1836" w:type="pct"/>
            <w:gridSpan w:val="14"/>
            <w:vAlign w:val="center"/>
          </w:tcPr>
          <w:p w14:paraId="7FA47E89">
            <w:pPr>
              <w:pStyle w:val="1535"/>
            </w:pPr>
            <w:r>
              <w:t>C扩建项目最大占标率≤100%□</w:t>
            </w:r>
          </w:p>
        </w:tc>
        <w:tc>
          <w:tcPr>
            <w:tcW w:w="1612" w:type="pct"/>
            <w:gridSpan w:val="8"/>
            <w:vAlign w:val="center"/>
          </w:tcPr>
          <w:p w14:paraId="64975011">
            <w:pPr>
              <w:pStyle w:val="1535"/>
            </w:pPr>
            <w:r>
              <w:t>C扩建项目最大占标率&gt;10%□</w:t>
            </w:r>
          </w:p>
        </w:tc>
      </w:tr>
      <w:tr w14:paraId="59B7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1EAF0F30">
            <w:pPr>
              <w:pStyle w:val="1535"/>
            </w:pPr>
          </w:p>
        </w:tc>
        <w:tc>
          <w:tcPr>
            <w:tcW w:w="914" w:type="pct"/>
            <w:vMerge w:val="restart"/>
            <w:vAlign w:val="center"/>
          </w:tcPr>
          <w:p w14:paraId="3CE67908">
            <w:pPr>
              <w:pStyle w:val="1535"/>
            </w:pPr>
            <w:r>
              <w:t>正常排放年均浓度贡献值</w:t>
            </w:r>
          </w:p>
        </w:tc>
        <w:tc>
          <w:tcPr>
            <w:tcW w:w="591" w:type="pct"/>
            <w:gridSpan w:val="2"/>
            <w:vAlign w:val="center"/>
          </w:tcPr>
          <w:p w14:paraId="70BE0484">
            <w:pPr>
              <w:pStyle w:val="1535"/>
            </w:pPr>
            <w:r>
              <w:t>一类区</w:t>
            </w:r>
          </w:p>
        </w:tc>
        <w:tc>
          <w:tcPr>
            <w:tcW w:w="1245" w:type="pct"/>
            <w:gridSpan w:val="12"/>
            <w:vAlign w:val="center"/>
          </w:tcPr>
          <w:p w14:paraId="44C02946">
            <w:pPr>
              <w:pStyle w:val="1535"/>
            </w:pPr>
            <w:r>
              <w:t>C扩建项目最大占标率≤10%□</w:t>
            </w:r>
          </w:p>
        </w:tc>
        <w:tc>
          <w:tcPr>
            <w:tcW w:w="1612" w:type="pct"/>
            <w:gridSpan w:val="8"/>
            <w:vAlign w:val="center"/>
          </w:tcPr>
          <w:p w14:paraId="1AFC3CDF">
            <w:pPr>
              <w:pStyle w:val="1535"/>
            </w:pPr>
            <w:r>
              <w:t>C扩建项目最大占标率&gt;10%□</w:t>
            </w:r>
          </w:p>
        </w:tc>
      </w:tr>
      <w:tr w14:paraId="33DC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010D1F2E">
            <w:pPr>
              <w:pStyle w:val="1535"/>
            </w:pPr>
          </w:p>
        </w:tc>
        <w:tc>
          <w:tcPr>
            <w:tcW w:w="914" w:type="pct"/>
            <w:vMerge w:val="continue"/>
            <w:vAlign w:val="center"/>
          </w:tcPr>
          <w:p w14:paraId="6F71D291">
            <w:pPr>
              <w:pStyle w:val="1535"/>
            </w:pPr>
          </w:p>
        </w:tc>
        <w:tc>
          <w:tcPr>
            <w:tcW w:w="591" w:type="pct"/>
            <w:gridSpan w:val="2"/>
            <w:vAlign w:val="center"/>
          </w:tcPr>
          <w:p w14:paraId="7CA800FB">
            <w:pPr>
              <w:pStyle w:val="1535"/>
            </w:pPr>
            <w:r>
              <w:t>二类区</w:t>
            </w:r>
          </w:p>
        </w:tc>
        <w:tc>
          <w:tcPr>
            <w:tcW w:w="1245" w:type="pct"/>
            <w:gridSpan w:val="12"/>
            <w:vAlign w:val="center"/>
          </w:tcPr>
          <w:p w14:paraId="543A8FC0">
            <w:pPr>
              <w:pStyle w:val="1535"/>
            </w:pPr>
            <w:r>
              <w:t>C扩建项目最大占标率≤30%□</w:t>
            </w:r>
          </w:p>
        </w:tc>
        <w:tc>
          <w:tcPr>
            <w:tcW w:w="1612" w:type="pct"/>
            <w:gridSpan w:val="8"/>
            <w:vAlign w:val="center"/>
          </w:tcPr>
          <w:p w14:paraId="65A9883F">
            <w:pPr>
              <w:pStyle w:val="1535"/>
            </w:pPr>
            <w:r>
              <w:t>C扩建项目最大占标率&gt;30%□</w:t>
            </w:r>
          </w:p>
        </w:tc>
      </w:tr>
      <w:tr w14:paraId="7768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38E60B86">
            <w:pPr>
              <w:pStyle w:val="1535"/>
            </w:pPr>
          </w:p>
        </w:tc>
        <w:tc>
          <w:tcPr>
            <w:tcW w:w="914" w:type="pct"/>
            <w:vAlign w:val="center"/>
          </w:tcPr>
          <w:p w14:paraId="6C54D491">
            <w:pPr>
              <w:pStyle w:val="1535"/>
            </w:pPr>
            <w:r>
              <w:t>非正常排放1h浓度贡献值</w:t>
            </w:r>
          </w:p>
        </w:tc>
        <w:tc>
          <w:tcPr>
            <w:tcW w:w="858" w:type="pct"/>
            <w:gridSpan w:val="4"/>
            <w:vAlign w:val="center"/>
          </w:tcPr>
          <w:p w14:paraId="0D6BA40F">
            <w:pPr>
              <w:pStyle w:val="1535"/>
            </w:pPr>
            <w:r>
              <w:t>非正常持续时长（2）h</w:t>
            </w:r>
          </w:p>
        </w:tc>
        <w:tc>
          <w:tcPr>
            <w:tcW w:w="1312" w:type="pct"/>
            <w:gridSpan w:val="11"/>
            <w:vAlign w:val="center"/>
          </w:tcPr>
          <w:p w14:paraId="75817DC8">
            <w:pPr>
              <w:pStyle w:val="1535"/>
            </w:pPr>
            <w:r>
              <w:t>C非正常占标率≤100%□</w:t>
            </w:r>
          </w:p>
        </w:tc>
        <w:tc>
          <w:tcPr>
            <w:tcW w:w="1278" w:type="pct"/>
            <w:gridSpan w:val="7"/>
            <w:vAlign w:val="center"/>
          </w:tcPr>
          <w:p w14:paraId="03C3538D">
            <w:pPr>
              <w:pStyle w:val="1535"/>
            </w:pPr>
            <w:r>
              <w:t>C非正常占标率&gt;100%□</w:t>
            </w:r>
          </w:p>
        </w:tc>
      </w:tr>
      <w:tr w14:paraId="22D3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1216CD7F">
            <w:pPr>
              <w:pStyle w:val="1535"/>
            </w:pPr>
          </w:p>
        </w:tc>
        <w:tc>
          <w:tcPr>
            <w:tcW w:w="914" w:type="pct"/>
            <w:vAlign w:val="center"/>
          </w:tcPr>
          <w:p w14:paraId="0FD62E52">
            <w:pPr>
              <w:pStyle w:val="1535"/>
            </w:pPr>
            <w:r>
              <w:t>保证率日平均浓度和年平均浓度叠加值</w:t>
            </w:r>
          </w:p>
        </w:tc>
        <w:tc>
          <w:tcPr>
            <w:tcW w:w="1599" w:type="pct"/>
            <w:gridSpan w:val="10"/>
            <w:vAlign w:val="center"/>
          </w:tcPr>
          <w:p w14:paraId="26BBC792">
            <w:pPr>
              <w:pStyle w:val="1535"/>
            </w:pPr>
            <w:r>
              <w:t>C叠加达标□</w:t>
            </w:r>
          </w:p>
        </w:tc>
        <w:tc>
          <w:tcPr>
            <w:tcW w:w="1848" w:type="pct"/>
            <w:gridSpan w:val="12"/>
            <w:vAlign w:val="center"/>
          </w:tcPr>
          <w:p w14:paraId="0CE40655">
            <w:pPr>
              <w:pStyle w:val="1535"/>
            </w:pPr>
            <w:r>
              <w:t>C叠加不达标□</w:t>
            </w:r>
          </w:p>
        </w:tc>
      </w:tr>
      <w:tr w14:paraId="6F3F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2AB9C2E1">
            <w:pPr>
              <w:pStyle w:val="1535"/>
            </w:pPr>
          </w:p>
        </w:tc>
        <w:tc>
          <w:tcPr>
            <w:tcW w:w="914" w:type="pct"/>
            <w:vAlign w:val="center"/>
          </w:tcPr>
          <w:p w14:paraId="33760236">
            <w:pPr>
              <w:pStyle w:val="1535"/>
            </w:pPr>
            <w:r>
              <w:t>区域环境质量的整体变化情况</w:t>
            </w:r>
          </w:p>
        </w:tc>
        <w:tc>
          <w:tcPr>
            <w:tcW w:w="1599" w:type="pct"/>
            <w:gridSpan w:val="10"/>
            <w:vAlign w:val="center"/>
          </w:tcPr>
          <w:p w14:paraId="513FAE9A">
            <w:pPr>
              <w:pStyle w:val="1535"/>
            </w:pPr>
            <w:r>
              <w:t>k≤-20%□</w:t>
            </w:r>
          </w:p>
        </w:tc>
        <w:tc>
          <w:tcPr>
            <w:tcW w:w="1848" w:type="pct"/>
            <w:gridSpan w:val="12"/>
            <w:vAlign w:val="center"/>
          </w:tcPr>
          <w:p w14:paraId="131A33BF">
            <w:pPr>
              <w:pStyle w:val="1535"/>
            </w:pPr>
            <w:r>
              <w:t>k&gt;-20%□</w:t>
            </w:r>
          </w:p>
        </w:tc>
      </w:tr>
      <w:tr w14:paraId="1229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restart"/>
            <w:vAlign w:val="center"/>
          </w:tcPr>
          <w:p w14:paraId="02532568">
            <w:pPr>
              <w:pStyle w:val="1535"/>
            </w:pPr>
            <w:r>
              <w:t>环境监测计划</w:t>
            </w:r>
          </w:p>
        </w:tc>
        <w:tc>
          <w:tcPr>
            <w:tcW w:w="914" w:type="pct"/>
            <w:vAlign w:val="center"/>
          </w:tcPr>
          <w:p w14:paraId="4ACEB1DD">
            <w:pPr>
              <w:pStyle w:val="1535"/>
            </w:pPr>
            <w:r>
              <w:t>污染源监测</w:t>
            </w:r>
          </w:p>
        </w:tc>
        <w:tc>
          <w:tcPr>
            <w:tcW w:w="1599" w:type="pct"/>
            <w:gridSpan w:val="10"/>
            <w:vAlign w:val="center"/>
          </w:tcPr>
          <w:p w14:paraId="768A5622">
            <w:pPr>
              <w:pStyle w:val="1535"/>
            </w:pPr>
            <w:r>
              <w:t>监测因子：（氯化氢、氟化物、非甲烷总烃、颗粒物）</w:t>
            </w:r>
          </w:p>
        </w:tc>
        <w:tc>
          <w:tcPr>
            <w:tcW w:w="995" w:type="pct"/>
            <w:gridSpan w:val="8"/>
            <w:vAlign w:val="center"/>
          </w:tcPr>
          <w:p w14:paraId="341747F2">
            <w:pPr>
              <w:pStyle w:val="1535"/>
            </w:pPr>
            <w:r>
              <w:t>有组织废气监测√</w:t>
            </w:r>
          </w:p>
          <w:p w14:paraId="7C2FD079">
            <w:pPr>
              <w:pStyle w:val="1535"/>
            </w:pPr>
            <w:r>
              <w:t>无组织废气监测√</w:t>
            </w:r>
          </w:p>
        </w:tc>
        <w:tc>
          <w:tcPr>
            <w:tcW w:w="853" w:type="pct"/>
            <w:gridSpan w:val="4"/>
            <w:vAlign w:val="center"/>
          </w:tcPr>
          <w:p w14:paraId="515DAFB0">
            <w:pPr>
              <w:pStyle w:val="1535"/>
            </w:pPr>
            <w:r>
              <w:t>无监测□</w:t>
            </w:r>
          </w:p>
        </w:tc>
      </w:tr>
      <w:tr w14:paraId="5F3E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6776CD6A">
            <w:pPr>
              <w:pStyle w:val="1535"/>
            </w:pPr>
          </w:p>
        </w:tc>
        <w:tc>
          <w:tcPr>
            <w:tcW w:w="914" w:type="pct"/>
            <w:vAlign w:val="center"/>
          </w:tcPr>
          <w:p w14:paraId="53B33B7D">
            <w:pPr>
              <w:pStyle w:val="1535"/>
            </w:pPr>
            <w:r>
              <w:t>环境质量监测</w:t>
            </w:r>
          </w:p>
        </w:tc>
        <w:tc>
          <w:tcPr>
            <w:tcW w:w="1599" w:type="pct"/>
            <w:gridSpan w:val="10"/>
            <w:vAlign w:val="center"/>
          </w:tcPr>
          <w:p w14:paraId="1DFE1E67">
            <w:pPr>
              <w:pStyle w:val="1535"/>
            </w:pPr>
            <w:r>
              <w:t>监测因子：（氯化氢、氟化物、非甲烷总烃）</w:t>
            </w:r>
          </w:p>
        </w:tc>
        <w:tc>
          <w:tcPr>
            <w:tcW w:w="995" w:type="pct"/>
            <w:gridSpan w:val="8"/>
            <w:vAlign w:val="center"/>
          </w:tcPr>
          <w:p w14:paraId="38E10FCA">
            <w:pPr>
              <w:pStyle w:val="1535"/>
            </w:pPr>
            <w:r>
              <w:t>监测点位数（1）</w:t>
            </w:r>
          </w:p>
        </w:tc>
        <w:tc>
          <w:tcPr>
            <w:tcW w:w="853" w:type="pct"/>
            <w:gridSpan w:val="4"/>
            <w:vAlign w:val="center"/>
          </w:tcPr>
          <w:p w14:paraId="2D277EF7">
            <w:pPr>
              <w:pStyle w:val="1535"/>
            </w:pPr>
            <w:r>
              <w:t>无监测□</w:t>
            </w:r>
          </w:p>
        </w:tc>
      </w:tr>
      <w:tr w14:paraId="6775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restart"/>
            <w:vAlign w:val="center"/>
          </w:tcPr>
          <w:p w14:paraId="01B122BB">
            <w:pPr>
              <w:pStyle w:val="1535"/>
            </w:pPr>
            <w:r>
              <w:t>评价结果</w:t>
            </w:r>
          </w:p>
        </w:tc>
        <w:tc>
          <w:tcPr>
            <w:tcW w:w="914" w:type="pct"/>
            <w:vAlign w:val="center"/>
          </w:tcPr>
          <w:p w14:paraId="038E1A9B">
            <w:pPr>
              <w:pStyle w:val="1535"/>
            </w:pPr>
            <w:r>
              <w:t>环境影响</w:t>
            </w:r>
          </w:p>
        </w:tc>
        <w:tc>
          <w:tcPr>
            <w:tcW w:w="3448" w:type="pct"/>
            <w:gridSpan w:val="22"/>
            <w:vAlign w:val="center"/>
          </w:tcPr>
          <w:p w14:paraId="7D9F6866">
            <w:pPr>
              <w:pStyle w:val="1535"/>
            </w:pPr>
            <w:r>
              <w:t>可以接受√</w:t>
            </w:r>
            <w:r>
              <w:rPr>
                <w:rFonts w:hint="eastAsia"/>
              </w:rPr>
              <w:t xml:space="preserve"> </w:t>
            </w:r>
            <w:r>
              <w:t>不可以接受□</w:t>
            </w:r>
          </w:p>
        </w:tc>
      </w:tr>
      <w:tr w14:paraId="0537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39" w:type="pct"/>
            <w:vMerge w:val="continue"/>
            <w:vAlign w:val="center"/>
          </w:tcPr>
          <w:p w14:paraId="12B8D48E">
            <w:pPr>
              <w:pStyle w:val="1535"/>
            </w:pPr>
          </w:p>
        </w:tc>
        <w:tc>
          <w:tcPr>
            <w:tcW w:w="914" w:type="pct"/>
            <w:vAlign w:val="center"/>
          </w:tcPr>
          <w:p w14:paraId="57BF04D4">
            <w:pPr>
              <w:pStyle w:val="1535"/>
            </w:pPr>
            <w:r>
              <w:t>大气环境防护距离</w:t>
            </w:r>
          </w:p>
        </w:tc>
        <w:tc>
          <w:tcPr>
            <w:tcW w:w="3448" w:type="pct"/>
            <w:gridSpan w:val="22"/>
            <w:vAlign w:val="center"/>
          </w:tcPr>
          <w:p w14:paraId="56293086">
            <w:pPr>
              <w:pStyle w:val="1535"/>
            </w:pPr>
            <w:r>
              <w:t>距（）厂界最远（）m</w:t>
            </w:r>
          </w:p>
        </w:tc>
      </w:tr>
      <w:tr w14:paraId="089E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3C50D687">
            <w:pPr>
              <w:pStyle w:val="1535"/>
            </w:pPr>
          </w:p>
        </w:tc>
        <w:tc>
          <w:tcPr>
            <w:tcW w:w="914" w:type="pct"/>
            <w:vMerge w:val="restart"/>
            <w:vAlign w:val="center"/>
          </w:tcPr>
          <w:p w14:paraId="0442C22D">
            <w:pPr>
              <w:pStyle w:val="1535"/>
            </w:pPr>
            <w:r>
              <w:t>污染源年排放量</w:t>
            </w:r>
          </w:p>
        </w:tc>
        <w:tc>
          <w:tcPr>
            <w:tcW w:w="870" w:type="pct"/>
            <w:gridSpan w:val="5"/>
            <w:tcMar>
              <w:left w:w="0" w:type="dxa"/>
              <w:right w:w="0" w:type="dxa"/>
            </w:tcMar>
            <w:vAlign w:val="center"/>
          </w:tcPr>
          <w:p w14:paraId="101FF69E">
            <w:pPr>
              <w:pStyle w:val="1535"/>
            </w:pPr>
            <w:r>
              <w:t>氯化氢：（0.004）t/a</w:t>
            </w:r>
          </w:p>
        </w:tc>
        <w:tc>
          <w:tcPr>
            <w:tcW w:w="784" w:type="pct"/>
            <w:gridSpan w:val="6"/>
            <w:tcMar>
              <w:left w:w="0" w:type="dxa"/>
              <w:right w:w="0" w:type="dxa"/>
            </w:tcMar>
            <w:vAlign w:val="center"/>
          </w:tcPr>
          <w:p w14:paraId="3544BCB4">
            <w:pPr>
              <w:pStyle w:val="1535"/>
            </w:pPr>
            <w:r>
              <w:t>颗粒物：（0.064）t/a</w:t>
            </w:r>
          </w:p>
        </w:tc>
        <w:tc>
          <w:tcPr>
            <w:tcW w:w="941" w:type="pct"/>
            <w:gridSpan w:val="7"/>
            <w:tcMar>
              <w:left w:w="0" w:type="dxa"/>
              <w:right w:w="0" w:type="dxa"/>
            </w:tcMar>
            <w:vAlign w:val="center"/>
          </w:tcPr>
          <w:p w14:paraId="29080CCD">
            <w:pPr>
              <w:pStyle w:val="1535"/>
            </w:pPr>
            <w:r>
              <w:t>非甲烷总烃：（0.005）t/a</w:t>
            </w:r>
          </w:p>
        </w:tc>
        <w:tc>
          <w:tcPr>
            <w:tcW w:w="853" w:type="pct"/>
            <w:gridSpan w:val="4"/>
            <w:tcMar>
              <w:left w:w="0" w:type="dxa"/>
              <w:right w:w="0" w:type="dxa"/>
            </w:tcMar>
            <w:vAlign w:val="center"/>
          </w:tcPr>
          <w:p w14:paraId="34DFCBEC">
            <w:pPr>
              <w:pStyle w:val="1535"/>
            </w:pPr>
            <w:r>
              <w:t>氟化物：（0.002）t/a</w:t>
            </w:r>
          </w:p>
        </w:tc>
      </w:tr>
      <w:tr w14:paraId="6979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9" w:type="pct"/>
            <w:vMerge w:val="continue"/>
            <w:vAlign w:val="center"/>
          </w:tcPr>
          <w:p w14:paraId="5207DDDF">
            <w:pPr>
              <w:pStyle w:val="1535"/>
            </w:pPr>
          </w:p>
        </w:tc>
        <w:tc>
          <w:tcPr>
            <w:tcW w:w="914" w:type="pct"/>
            <w:vMerge w:val="continue"/>
            <w:vAlign w:val="center"/>
          </w:tcPr>
          <w:p w14:paraId="12D79619">
            <w:pPr>
              <w:pStyle w:val="1535"/>
            </w:pPr>
          </w:p>
        </w:tc>
        <w:tc>
          <w:tcPr>
            <w:tcW w:w="870" w:type="pct"/>
            <w:gridSpan w:val="5"/>
            <w:tcMar>
              <w:left w:w="0" w:type="dxa"/>
              <w:right w:w="0" w:type="dxa"/>
            </w:tcMar>
            <w:vAlign w:val="center"/>
          </w:tcPr>
          <w:p w14:paraId="73A5E7A3">
            <w:pPr>
              <w:pStyle w:val="1535"/>
            </w:pPr>
          </w:p>
        </w:tc>
        <w:tc>
          <w:tcPr>
            <w:tcW w:w="784" w:type="pct"/>
            <w:gridSpan w:val="6"/>
            <w:tcMar>
              <w:left w:w="0" w:type="dxa"/>
              <w:right w:w="0" w:type="dxa"/>
            </w:tcMar>
            <w:vAlign w:val="center"/>
          </w:tcPr>
          <w:p w14:paraId="3EB45F03">
            <w:pPr>
              <w:pStyle w:val="1535"/>
            </w:pPr>
          </w:p>
        </w:tc>
        <w:tc>
          <w:tcPr>
            <w:tcW w:w="941" w:type="pct"/>
            <w:gridSpan w:val="7"/>
            <w:tcMar>
              <w:left w:w="0" w:type="dxa"/>
              <w:right w:w="0" w:type="dxa"/>
            </w:tcMar>
            <w:vAlign w:val="center"/>
          </w:tcPr>
          <w:p w14:paraId="28ADC73D">
            <w:pPr>
              <w:pStyle w:val="1535"/>
            </w:pPr>
          </w:p>
        </w:tc>
        <w:tc>
          <w:tcPr>
            <w:tcW w:w="853" w:type="pct"/>
            <w:gridSpan w:val="4"/>
            <w:tcMar>
              <w:left w:w="0" w:type="dxa"/>
              <w:right w:w="0" w:type="dxa"/>
            </w:tcMar>
            <w:vAlign w:val="center"/>
          </w:tcPr>
          <w:p w14:paraId="2DC13E23">
            <w:pPr>
              <w:pStyle w:val="1535"/>
            </w:pPr>
          </w:p>
        </w:tc>
      </w:tr>
      <w:tr w14:paraId="08C2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24"/>
            <w:vAlign w:val="center"/>
          </w:tcPr>
          <w:p w14:paraId="7699E3BA">
            <w:pPr>
              <w:pStyle w:val="1535"/>
            </w:pPr>
            <w:r>
              <w:t>注：“□”为勾选项，填“√”；“（）”为内容填写项</w:t>
            </w:r>
          </w:p>
        </w:tc>
      </w:tr>
      <w:bookmarkEnd w:id="257"/>
      <w:bookmarkEnd w:id="258"/>
      <w:bookmarkEnd w:id="259"/>
      <w:bookmarkEnd w:id="260"/>
      <w:bookmarkEnd w:id="261"/>
      <w:bookmarkEnd w:id="262"/>
      <w:bookmarkEnd w:id="263"/>
    </w:tbl>
    <w:p w14:paraId="1E65EB45">
      <w:pPr>
        <w:pStyle w:val="4"/>
        <w:rPr>
          <w:color w:val="000000" w:themeColor="text1"/>
          <w14:textFill>
            <w14:solidFill>
              <w14:schemeClr w14:val="tx1"/>
            </w14:solidFill>
          </w14:textFill>
        </w:rPr>
      </w:pPr>
      <w:bookmarkStart w:id="267" w:name="_Toc371967510"/>
      <w:bookmarkStart w:id="268" w:name="_Toc376940295"/>
      <w:bookmarkStart w:id="269" w:name="_Toc407808615"/>
      <w:bookmarkStart w:id="270" w:name="_Toc478715887"/>
      <w:bookmarkStart w:id="271" w:name="_Toc32639"/>
      <w:bookmarkStart w:id="272" w:name="_Toc534876531"/>
      <w:bookmarkStart w:id="273" w:name="_Toc55506333"/>
      <w:bookmarkStart w:id="274" w:name="_Toc5168"/>
      <w:bookmarkStart w:id="275" w:name="_Toc55522444"/>
      <w:r>
        <w:rPr>
          <w:color w:val="000000" w:themeColor="text1"/>
          <w14:textFill>
            <w14:solidFill>
              <w14:schemeClr w14:val="tx1"/>
            </w14:solidFill>
          </w14:textFill>
        </w:rPr>
        <w:t>地表水影响</w:t>
      </w:r>
      <w:bookmarkEnd w:id="267"/>
      <w:bookmarkEnd w:id="268"/>
      <w:bookmarkEnd w:id="269"/>
      <w:r>
        <w:rPr>
          <w:color w:val="000000" w:themeColor="text1"/>
          <w14:textFill>
            <w14:solidFill>
              <w14:schemeClr w14:val="tx1"/>
            </w14:solidFill>
          </w14:textFill>
        </w:rPr>
        <w:t>分析</w:t>
      </w:r>
      <w:bookmarkEnd w:id="270"/>
      <w:bookmarkEnd w:id="271"/>
      <w:bookmarkEnd w:id="272"/>
      <w:bookmarkEnd w:id="273"/>
      <w:bookmarkEnd w:id="274"/>
      <w:bookmarkEnd w:id="275"/>
    </w:p>
    <w:p w14:paraId="46FF8471">
      <w:pPr>
        <w:ind w:firstLine="52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根据《环境影响评价技术导则地表水环境》（HJ2.3-2018），水污染影响型三级B评价，可不进行水环境影响和预测，其主要评价内容包括：</w:t>
      </w:r>
      <w:r>
        <w:rPr>
          <w:rFonts w:hint="eastAsia"/>
          <w:color w:val="000000" w:themeColor="text1"/>
          <w14:textFill>
            <w14:solidFill>
              <w14:schemeClr w14:val="tx1"/>
            </w14:solidFill>
          </w14:textFill>
        </w:rPr>
        <w:t>水污染控制和水环境影响减缓措施有效性评价；依托污水处理设施的环境可行性评价。具体如下：</w:t>
      </w:r>
    </w:p>
    <w:p w14:paraId="5388BCBD">
      <w:pPr>
        <w:pStyle w:val="5"/>
        <w:rPr>
          <w:color w:val="000000" w:themeColor="text1"/>
          <w14:textFill>
            <w14:solidFill>
              <w14:schemeClr w14:val="tx1"/>
            </w14:solidFill>
          </w14:textFill>
        </w:rPr>
      </w:pPr>
      <w:r>
        <w:rPr>
          <w:color w:val="000000" w:themeColor="text1"/>
          <w14:textFill>
            <w14:solidFill>
              <w14:schemeClr w14:val="tx1"/>
            </w14:solidFill>
          </w14:textFill>
        </w:rPr>
        <w:t>水污染控制和水环境影响减缓措施有效性评价</w:t>
      </w:r>
    </w:p>
    <w:p w14:paraId="3FBD88C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项目臻宝半导体公司厂区</w:t>
      </w:r>
      <w:r>
        <w:rPr>
          <w:color w:val="000000" w:themeColor="text1"/>
          <w14:textFill>
            <w14:solidFill>
              <w14:schemeClr w14:val="tx1"/>
            </w14:solidFill>
          </w14:textFill>
        </w:rPr>
        <w:t>废水排放量</w:t>
      </w:r>
      <w:r>
        <w:rPr>
          <w:rFonts w:hint="eastAsia"/>
          <w:color w:val="000000" w:themeColor="text1"/>
          <w14:textFill>
            <w14:solidFill>
              <w14:schemeClr w14:val="tx1"/>
            </w14:solidFill>
          </w14:textFill>
        </w:rPr>
        <w:t>9.37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/d。废水种类主要为清洗</w:t>
      </w:r>
      <w:r>
        <w:rPr>
          <w:rFonts w:hint="eastAsia"/>
          <w:color w:val="000000" w:themeColor="text1"/>
          <w14:textFill>
            <w14:solidFill>
              <w14:schemeClr w14:val="tx1"/>
            </w14:solidFill>
          </w14:textFill>
        </w:rPr>
        <w:t>废水</w:t>
      </w:r>
      <w:r>
        <w:rPr>
          <w:color w:val="000000" w:themeColor="text1"/>
          <w14:textFill>
            <w14:solidFill>
              <w14:schemeClr w14:val="tx1"/>
            </w14:solidFill>
          </w14:textFill>
        </w:rPr>
        <w:t>及生活污水。生产废水经厂区综合污水处理站处理达《电子工业水污染物排放标准》（GB39731-2020）间接排放标准；生活污水经生化池处理达《电子工业水污染物排放标准》（GB39731-2020）间接排放标准（动植物油执行《污水综合排放标准》（GB8978-1996）三级标准）后，经市政管网排入西彭工业园区污水处理厂，近期处理达《污水综合排放标准》（GB8978-1996）一级标准后排放至长江，远期西彭污水处理厂扩建工程完成后，废水处理达《城镇污水处理厂污染物排放标准》（GB18918-2002）一级A标准，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-N、TP处理达《地表水环境质量标准》（GB3838-2002）IV类标准后排放。项目排水采取上述措施后，对地表水的影响较小。</w:t>
      </w:r>
    </w:p>
    <w:p w14:paraId="65345C1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项目位于租赁臻宝科技公司厂区建设内容废水排放量为0.45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，主要为抛光废水主要污染物为SS，依托臻宝科技</w:t>
      </w:r>
      <w:r>
        <w:rPr>
          <w:color w:val="000000" w:themeColor="text1"/>
          <w14:textFill>
            <w14:solidFill>
              <w14:schemeClr w14:val="tx1"/>
            </w14:solidFill>
          </w14:textFill>
        </w:rPr>
        <w:t>综合污水处理站处理</w:t>
      </w:r>
      <w:r>
        <w:rPr>
          <w:rFonts w:hint="eastAsia"/>
          <w:color w:val="000000" w:themeColor="text1"/>
          <w14:textFill>
            <w14:solidFill>
              <w14:schemeClr w14:val="tx1"/>
            </w14:solidFill>
          </w14:textFill>
        </w:rPr>
        <w:t>，设计处理能力为80m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/d，设计处理量为33.46m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/d，剩余处理能力为46.54m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/d，处理工艺为 “调节+气浮+三级絮凝沉淀”，本次依托可行，废水经</w:t>
      </w:r>
      <w:r>
        <w:rPr>
          <w:color w:val="000000" w:themeColor="text1"/>
          <w14:textFill>
            <w14:solidFill>
              <w14:schemeClr w14:val="tx1"/>
            </w14:solidFill>
          </w14:textFill>
        </w:rPr>
        <w:t>达《电子工业水污染物排放标准》（GB39731-2020）间接排放标准；生活污水经生化池处理达《电子工业水污染物排放标准》（GB39731-2020）间接排放标准（动植物油执行《污水综合排放标准》（GB8978-1996）三级标准）后，经市政管网排入西彭工业园区污水处理厂，近期处理达《污水综合排放标准》（GB8978-1996）一级标准后排放至长江，远期西彭污水处理厂扩建工程完成后，废水处理达《城镇污水处理厂污染物排放标准》（GB18918-2002）一级A标准，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-N、TP处理达《地表水环境质量标准》（GB3838-2002）IV类标准后排放。</w:t>
      </w:r>
    </w:p>
    <w:p w14:paraId="24BE6BA6">
      <w:pPr>
        <w:ind w:firstLine="520"/>
        <w:rPr>
          <w:color w:val="000000" w:themeColor="text1"/>
          <w14:textFill>
            <w14:solidFill>
              <w14:schemeClr w14:val="tx1"/>
            </w14:solidFill>
          </w14:textFill>
        </w:rPr>
      </w:pPr>
      <w:r>
        <w:rPr>
          <w:color w:val="000000" w:themeColor="text1"/>
          <w14:textFill>
            <w14:solidFill>
              <w14:schemeClr w14:val="tx1"/>
            </w14:solidFill>
          </w14:textFill>
        </w:rPr>
        <w:t>项目排水采取上述措施后，对地表水的影响较小。</w:t>
      </w:r>
    </w:p>
    <w:p w14:paraId="3834921A">
      <w:pPr>
        <w:pStyle w:val="5"/>
        <w:rPr>
          <w:color w:val="000000" w:themeColor="text1"/>
          <w14:textFill>
            <w14:solidFill>
              <w14:schemeClr w14:val="tx1"/>
            </w14:solidFill>
          </w14:textFill>
        </w:rPr>
      </w:pPr>
      <w:r>
        <w:rPr>
          <w:color w:val="000000" w:themeColor="text1"/>
          <w14:textFill>
            <w14:solidFill>
              <w14:schemeClr w14:val="tx1"/>
            </w14:solidFill>
          </w14:textFill>
        </w:rPr>
        <w:t>依托污水处理设施环境可行性评价</w:t>
      </w:r>
    </w:p>
    <w:p w14:paraId="53D5BE45">
      <w:pPr>
        <w:ind w:firstLine="520"/>
        <w:jc w:val="left"/>
        <w:rPr>
          <w:color w:val="000000" w:themeColor="text1"/>
          <w:szCs w:val="22"/>
          <w:lang w:bidi="ar"/>
          <w14:textFill>
            <w14:solidFill>
              <w14:schemeClr w14:val="tx1"/>
            </w14:solidFill>
          </w14:textFill>
        </w:rPr>
      </w:pPr>
      <w:r>
        <w:rPr>
          <w:color w:val="000000" w:themeColor="text1"/>
          <w14:textFill>
            <w14:solidFill>
              <w14:schemeClr w14:val="tx1"/>
            </w14:solidFill>
          </w14:textFill>
        </w:rPr>
        <w:t>西彭工业园区污水处理厂于2011年建成，位于西彭工业园区A64-3/01地块，占地面积为3490m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szCs w:val="22"/>
          <w:lang w:bidi="ar"/>
          <w14:textFill>
            <w14:solidFill>
              <w14:schemeClr w14:val="tx1"/>
            </w14:solidFill>
          </w14:textFill>
        </w:rPr>
        <w:t>目前，</w:t>
      </w:r>
      <w:r>
        <w:rPr>
          <w:color w:val="000000" w:themeColor="text1"/>
          <w:szCs w:val="22"/>
          <w:lang w:bidi="ar"/>
          <w14:textFill>
            <w14:solidFill>
              <w14:schemeClr w14:val="tx1"/>
            </w14:solidFill>
          </w14:textFill>
        </w:rPr>
        <w:t>设计处理规模0.7万m</w:t>
      </w:r>
      <w:r>
        <w:rPr>
          <w:color w:val="000000" w:themeColor="text1"/>
          <w:szCs w:val="22"/>
          <w:vertAlign w:val="superscript"/>
          <w:lang w:bidi="ar"/>
          <w14:textFill>
            <w14:solidFill>
              <w14:schemeClr w14:val="tx1"/>
            </w14:solidFill>
          </w14:textFill>
        </w:rPr>
        <w:t>3</w:t>
      </w:r>
      <w:r>
        <w:rPr>
          <w:color w:val="000000" w:themeColor="text1"/>
          <w:szCs w:val="22"/>
          <w:lang w:bidi="ar"/>
          <w14:textFill>
            <w14:solidFill>
              <w14:schemeClr w14:val="tx1"/>
            </w14:solidFill>
          </w14:textFill>
        </w:rPr>
        <w:t>/d（含2000t/d的应急处理能力）</w:t>
      </w:r>
      <w:r>
        <w:rPr>
          <w:rFonts w:hint="eastAsia"/>
          <w:color w:val="000000" w:themeColor="text1"/>
          <w:szCs w:val="22"/>
          <w:lang w:bidi="ar"/>
          <w14:textFill>
            <w14:solidFill>
              <w14:schemeClr w14:val="tx1"/>
            </w14:solidFill>
          </w14:textFill>
        </w:rPr>
        <w:t>，实际处理规模约0.5</w:t>
      </w:r>
      <w:r>
        <w:rPr>
          <w:color w:val="000000" w:themeColor="text1"/>
          <w:szCs w:val="22"/>
          <w:lang w:bidi="ar"/>
          <w14:textFill>
            <w14:solidFill>
              <w14:schemeClr w14:val="tx1"/>
            </w14:solidFill>
          </w14:textFill>
        </w:rPr>
        <w:t>万m</w:t>
      </w:r>
      <w:r>
        <w:rPr>
          <w:color w:val="000000" w:themeColor="text1"/>
          <w:szCs w:val="22"/>
          <w:vertAlign w:val="superscript"/>
          <w:lang w:bidi="ar"/>
          <w14:textFill>
            <w14:solidFill>
              <w14:schemeClr w14:val="tx1"/>
            </w14:solidFill>
          </w14:textFill>
        </w:rPr>
        <w:t>3</w:t>
      </w:r>
      <w:r>
        <w:rPr>
          <w:color w:val="000000" w:themeColor="text1"/>
          <w:szCs w:val="22"/>
          <w:lang w:bidi="ar"/>
          <w14:textFill>
            <w14:solidFill>
              <w14:schemeClr w14:val="tx1"/>
            </w14:solidFill>
          </w14:textFill>
        </w:rPr>
        <w:t>/d，采用“粗格栅、污水提升泵房+初沉调节池+浅层气浮+水解酸化+生物接触氧化+二沉池+计量渠排水”污水处理工艺，出水水质执行《污水综合排放标准》（GB 8978-1996）一级标准。</w:t>
      </w:r>
    </w:p>
    <w:p w14:paraId="49F13A34">
      <w:pPr>
        <w:ind w:firstLine="520"/>
        <w:rPr>
          <w:color w:val="000000" w:themeColor="text1"/>
          <w14:textFill>
            <w14:solidFill>
              <w14:schemeClr w14:val="tx1"/>
            </w14:solidFill>
          </w14:textFill>
        </w:rPr>
      </w:pPr>
      <w:r>
        <w:rPr>
          <w:color w:val="000000" w:themeColor="text1"/>
          <w:szCs w:val="22"/>
          <w:lang w:bidi="ar"/>
          <w14:textFill>
            <w14:solidFill>
              <w14:schemeClr w14:val="tx1"/>
            </w14:solidFill>
          </w14:textFill>
        </w:rPr>
        <w:t>根据调查，西彭工业园区污水处理厂正在实施提标扩建工程，目前已基本完成土建工程建设，预计2025年7月投运。提标扩建工程主要建设内容为：（1）在西彭镇污水处理厂南侧预留用地扩建西彭工业污水处理厂新厂区，新厂区预处理段、生化处理段设计规模1.0万m</w:t>
      </w:r>
      <w:r>
        <w:rPr>
          <w:color w:val="000000" w:themeColor="text1"/>
          <w:szCs w:val="22"/>
          <w:vertAlign w:val="superscript"/>
          <w:lang w:bidi="ar"/>
          <w14:textFill>
            <w14:solidFill>
              <w14:schemeClr w14:val="tx1"/>
            </w14:solidFill>
          </w14:textFill>
        </w:rPr>
        <w:t>3</w:t>
      </w:r>
      <w:r>
        <w:rPr>
          <w:color w:val="000000" w:themeColor="text1"/>
          <w:szCs w:val="22"/>
          <w:lang w:bidi="ar"/>
          <w14:textFill>
            <w14:solidFill>
              <w14:schemeClr w14:val="tx1"/>
            </w14:solidFill>
          </w14:textFill>
        </w:rPr>
        <w:t>/d，深度处理段设计规模1.5万m</w:t>
      </w:r>
      <w:r>
        <w:rPr>
          <w:color w:val="000000" w:themeColor="text1"/>
          <w:szCs w:val="22"/>
          <w:vertAlign w:val="superscript"/>
          <w:lang w:bidi="ar"/>
          <w14:textFill>
            <w14:solidFill>
              <w14:schemeClr w14:val="tx1"/>
            </w14:solidFill>
          </w14:textFill>
        </w:rPr>
        <w:t>3</w:t>
      </w:r>
      <w:r>
        <w:rPr>
          <w:color w:val="000000" w:themeColor="text1"/>
          <w:szCs w:val="22"/>
          <w:lang w:bidi="ar"/>
          <w14:textFill>
            <w14:solidFill>
              <w14:schemeClr w14:val="tx1"/>
            </w14:solidFill>
          </w14:textFill>
        </w:rPr>
        <w:t>/d，</w:t>
      </w:r>
      <w:r>
        <w:rPr>
          <w:color w:val="000000" w:themeColor="text1"/>
          <w:szCs w:val="22"/>
          <w:lang w:eastAsia="zh" w:bidi="ar"/>
          <w14:textFill>
            <w14:solidFill>
              <w14:schemeClr w14:val="tx1"/>
            </w14:solidFill>
          </w14:textFill>
        </w:rPr>
        <w:t>污染物</w:t>
      </w:r>
      <w:r>
        <w:rPr>
          <w:color w:val="000000" w:themeColor="text1"/>
          <w:szCs w:val="22"/>
          <w:lang w:bidi="ar"/>
          <w14:textFill>
            <w14:solidFill>
              <w14:schemeClr w14:val="tx1"/>
            </w14:solidFill>
          </w14:textFill>
        </w:rPr>
        <w:t>COD、氨氮、TP达《地表水环境质量标准》（GB 3838-2002）Ⅳ类标准，其他因子达《城镇污水处理厂污染物排放标准》（GB 18918-2002）一级A标准后排入桥头河</w:t>
      </w:r>
      <w:r>
        <w:rPr>
          <w:color w:val="000000" w:themeColor="text1"/>
          <w14:textFill>
            <w14:solidFill>
              <w14:schemeClr w14:val="tx1"/>
            </w14:solidFill>
          </w14:textFill>
        </w:rPr>
        <w:t>。目前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实际进水量约为</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/d，运行正常，各污染物稳定达标排放。根据《西彭工业园区污水处理厂环境影响报告书》地表水环境预测结论，污水厂来水处理后达标排水对长江的影响较小。</w:t>
      </w:r>
    </w:p>
    <w:p w14:paraId="4652AE4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周边市政污水管完善，西彭工业园区污水厂目前剩余处理能力</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/d，能满足扩建项目新增废水</w:t>
      </w:r>
      <w:r>
        <w:rPr>
          <w:rFonts w:hint="eastAsia"/>
          <w:color w:val="000000" w:themeColor="text1"/>
          <w14:textFill>
            <w14:solidFill>
              <w14:schemeClr w14:val="tx1"/>
            </w14:solidFill>
          </w14:textFill>
        </w:rPr>
        <w:t>10.81</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/d的处理要求，污染物主要为COD、BOD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、SS、氨氮、石油类、氟化物，无TP排放，对该污水处理厂处理规模负荷冲击不大，扩建项目产生的废水经预处理达标后再进入西彭工业园区工业污水处理厂进行处理是可行的。</w:t>
      </w:r>
    </w:p>
    <w:p w14:paraId="6CF42438">
      <w:pPr>
        <w:ind w:firstLine="520"/>
        <w:rPr>
          <w:color w:val="000000" w:themeColor="text1"/>
          <w14:textFill>
            <w14:solidFill>
              <w14:schemeClr w14:val="tx1"/>
            </w14:solidFill>
          </w14:textFill>
        </w:rPr>
      </w:pPr>
      <w:r>
        <w:rPr>
          <w:color w:val="000000" w:themeColor="text1"/>
          <w14:textFill>
            <w14:solidFill>
              <w14:schemeClr w14:val="tx1"/>
            </w14:solidFill>
          </w14:textFill>
        </w:rPr>
        <w:t>此外，建设单位应加强对生产设施的维护与监管，杜绝由于发生事故溢出生产废水污染环境的情况发生。在污水处理站发生事故时，扩建项目应及时采取应急措施，杜绝生产废水未经过处理直接排入地表环境情况发生。</w:t>
      </w:r>
    </w:p>
    <w:p w14:paraId="6D1E570D">
      <w:pPr>
        <w:spacing w:before="32"/>
        <w:ind w:firstLine="520"/>
        <w:rPr>
          <w:color w:val="000000" w:themeColor="text1"/>
          <w14:textFill>
            <w14:solidFill>
              <w14:schemeClr w14:val="tx1"/>
            </w14:solidFill>
          </w14:textFill>
        </w:rPr>
        <w:sectPr>
          <w:pgSz w:w="11906" w:h="16838"/>
          <w:pgMar w:top="1701" w:right="1701" w:bottom="1418" w:left="1134" w:header="851" w:footer="992" w:gutter="0"/>
          <w:cols w:space="720" w:num="1"/>
          <w:docGrid w:type="lines" w:linePitch="326" w:charSpace="0"/>
        </w:sectPr>
      </w:pPr>
    </w:p>
    <w:p w14:paraId="3FFE7E57">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rFonts w:hint="eastAsia"/>
          <w:color w:val="000000" w:themeColor="text1"/>
          <w:szCs w:val="26"/>
          <w14:textFill>
            <w14:solidFill>
              <w14:schemeClr w14:val="tx1"/>
            </w14:solidFill>
          </w14:textFill>
        </w:rPr>
        <w:t xml:space="preserve">  </w:t>
      </w:r>
      <w:r>
        <w:rPr>
          <w:color w:val="000000" w:themeColor="text1"/>
          <w14:textFill>
            <w14:solidFill>
              <w14:schemeClr w14:val="tx1"/>
            </w14:solidFill>
          </w14:textFill>
        </w:rPr>
        <w:t>地表水环境影响评价自查表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486"/>
        <w:gridCol w:w="3380"/>
        <w:gridCol w:w="573"/>
        <w:gridCol w:w="474"/>
        <w:gridCol w:w="295"/>
        <w:gridCol w:w="939"/>
        <w:gridCol w:w="899"/>
        <w:gridCol w:w="1002"/>
        <w:gridCol w:w="1141"/>
        <w:gridCol w:w="2931"/>
      </w:tblGrid>
      <w:tr w14:paraId="4BA3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55" w:type="dxa"/>
            <w:gridSpan w:val="2"/>
            <w:vAlign w:val="center"/>
          </w:tcPr>
          <w:p w14:paraId="2141A9BF">
            <w:pPr>
              <w:pStyle w:val="1535"/>
            </w:pPr>
            <w:r>
              <w:t>工作内容</w:t>
            </w:r>
          </w:p>
        </w:tc>
        <w:tc>
          <w:tcPr>
            <w:tcW w:w="11634" w:type="dxa"/>
            <w:gridSpan w:val="9"/>
            <w:vAlign w:val="center"/>
          </w:tcPr>
          <w:p w14:paraId="6F19CB91">
            <w:pPr>
              <w:pStyle w:val="1535"/>
            </w:pPr>
            <w:r>
              <w:t>自查项目</w:t>
            </w:r>
          </w:p>
        </w:tc>
      </w:tr>
      <w:tr w14:paraId="14C2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vAlign w:val="center"/>
          </w:tcPr>
          <w:p w14:paraId="56FDDBB6">
            <w:pPr>
              <w:pStyle w:val="1535"/>
            </w:pPr>
            <w:r>
              <w:t>影响识别</w:t>
            </w:r>
          </w:p>
        </w:tc>
        <w:tc>
          <w:tcPr>
            <w:tcW w:w="1486" w:type="dxa"/>
            <w:vAlign w:val="center"/>
          </w:tcPr>
          <w:p w14:paraId="63E2C01D">
            <w:pPr>
              <w:pStyle w:val="1535"/>
            </w:pPr>
            <w:r>
              <w:t>影响类型</w:t>
            </w:r>
          </w:p>
        </w:tc>
        <w:tc>
          <w:tcPr>
            <w:tcW w:w="11634" w:type="dxa"/>
            <w:gridSpan w:val="9"/>
            <w:vAlign w:val="center"/>
          </w:tcPr>
          <w:p w14:paraId="0CF10110">
            <w:pPr>
              <w:pStyle w:val="1535"/>
            </w:pPr>
            <w:r>
              <w:t>水污染影响型√；水文要素影响型□</w:t>
            </w:r>
          </w:p>
        </w:tc>
      </w:tr>
      <w:tr w14:paraId="55F6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57CCCD3">
            <w:pPr>
              <w:pStyle w:val="1535"/>
            </w:pPr>
          </w:p>
        </w:tc>
        <w:tc>
          <w:tcPr>
            <w:tcW w:w="1486" w:type="dxa"/>
            <w:vMerge w:val="restart"/>
            <w:vAlign w:val="center"/>
          </w:tcPr>
          <w:p w14:paraId="1FCA5F38">
            <w:pPr>
              <w:pStyle w:val="1535"/>
            </w:pPr>
            <w:r>
              <w:t>水环境保护目标</w:t>
            </w:r>
          </w:p>
        </w:tc>
        <w:tc>
          <w:tcPr>
            <w:tcW w:w="11634" w:type="dxa"/>
            <w:gridSpan w:val="9"/>
            <w:vAlign w:val="center"/>
          </w:tcPr>
          <w:p w14:paraId="31B3B366">
            <w:pPr>
              <w:pStyle w:val="1535"/>
            </w:pPr>
            <w:r>
              <w:t>饮用水水源保护区□；饮用水取水□；涉水的自然保护区□；重要湿地□；</w:t>
            </w:r>
          </w:p>
        </w:tc>
      </w:tr>
      <w:tr w14:paraId="1616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C0BD1E5">
            <w:pPr>
              <w:pStyle w:val="1535"/>
            </w:pPr>
          </w:p>
        </w:tc>
        <w:tc>
          <w:tcPr>
            <w:tcW w:w="1486" w:type="dxa"/>
            <w:vMerge w:val="continue"/>
            <w:vAlign w:val="center"/>
          </w:tcPr>
          <w:p w14:paraId="4C801435">
            <w:pPr>
              <w:pStyle w:val="1535"/>
            </w:pPr>
          </w:p>
        </w:tc>
        <w:tc>
          <w:tcPr>
            <w:tcW w:w="11634" w:type="dxa"/>
            <w:gridSpan w:val="9"/>
            <w:vAlign w:val="center"/>
          </w:tcPr>
          <w:p w14:paraId="6894232C">
            <w:pPr>
              <w:pStyle w:val="1535"/>
            </w:pPr>
            <w:r>
              <w:t>重点保护与珍稀水生生物的栖息地R；重要水生生物的自然产卵场及索饵场、越冬场和洄游通道、天然渔场等渔业水体□；涉水的风景名胜区□；其他□</w:t>
            </w:r>
          </w:p>
        </w:tc>
      </w:tr>
      <w:tr w14:paraId="7FBD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6DD7F96A">
            <w:pPr>
              <w:pStyle w:val="1535"/>
            </w:pPr>
          </w:p>
        </w:tc>
        <w:tc>
          <w:tcPr>
            <w:tcW w:w="1486" w:type="dxa"/>
            <w:vMerge w:val="restart"/>
            <w:vAlign w:val="center"/>
          </w:tcPr>
          <w:p w14:paraId="11883D6A">
            <w:pPr>
              <w:pStyle w:val="1535"/>
            </w:pPr>
            <w:r>
              <w:t>影响途径</w:t>
            </w:r>
          </w:p>
        </w:tc>
        <w:tc>
          <w:tcPr>
            <w:tcW w:w="4722" w:type="dxa"/>
            <w:gridSpan w:val="4"/>
            <w:vAlign w:val="center"/>
          </w:tcPr>
          <w:p w14:paraId="32A8C02F">
            <w:pPr>
              <w:pStyle w:val="1535"/>
            </w:pPr>
            <w:r>
              <w:t>水污染影响型</w:t>
            </w:r>
          </w:p>
        </w:tc>
        <w:tc>
          <w:tcPr>
            <w:tcW w:w="6912" w:type="dxa"/>
            <w:gridSpan w:val="5"/>
            <w:vAlign w:val="center"/>
          </w:tcPr>
          <w:p w14:paraId="0EE19927">
            <w:pPr>
              <w:pStyle w:val="1535"/>
            </w:pPr>
            <w:r>
              <w:t>水文要素影响型</w:t>
            </w:r>
          </w:p>
        </w:tc>
      </w:tr>
      <w:tr w14:paraId="1FB2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1726D9C5">
            <w:pPr>
              <w:pStyle w:val="1535"/>
            </w:pPr>
          </w:p>
        </w:tc>
        <w:tc>
          <w:tcPr>
            <w:tcW w:w="1486" w:type="dxa"/>
            <w:vMerge w:val="continue"/>
            <w:vAlign w:val="center"/>
          </w:tcPr>
          <w:p w14:paraId="487D1456">
            <w:pPr>
              <w:pStyle w:val="1535"/>
            </w:pPr>
          </w:p>
        </w:tc>
        <w:tc>
          <w:tcPr>
            <w:tcW w:w="4722" w:type="dxa"/>
            <w:gridSpan w:val="4"/>
            <w:vAlign w:val="center"/>
          </w:tcPr>
          <w:p w14:paraId="018202CF">
            <w:pPr>
              <w:pStyle w:val="1535"/>
            </w:pPr>
            <w:r>
              <w:t>直接排放□；间接排放√；其他□</w:t>
            </w:r>
          </w:p>
        </w:tc>
        <w:tc>
          <w:tcPr>
            <w:tcW w:w="6912" w:type="dxa"/>
            <w:gridSpan w:val="5"/>
            <w:vAlign w:val="center"/>
          </w:tcPr>
          <w:p w14:paraId="73B27153">
            <w:pPr>
              <w:pStyle w:val="1535"/>
            </w:pPr>
            <w:r>
              <w:t>水温□；径流□；水域面积□</w:t>
            </w:r>
          </w:p>
        </w:tc>
      </w:tr>
      <w:tr w14:paraId="3A99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1AB9E937">
            <w:pPr>
              <w:pStyle w:val="1535"/>
            </w:pPr>
          </w:p>
        </w:tc>
        <w:tc>
          <w:tcPr>
            <w:tcW w:w="1486" w:type="dxa"/>
            <w:vAlign w:val="center"/>
          </w:tcPr>
          <w:p w14:paraId="6934A969">
            <w:pPr>
              <w:pStyle w:val="1535"/>
            </w:pPr>
            <w:r>
              <w:t>影响因子</w:t>
            </w:r>
          </w:p>
        </w:tc>
        <w:tc>
          <w:tcPr>
            <w:tcW w:w="4722" w:type="dxa"/>
            <w:gridSpan w:val="4"/>
            <w:vAlign w:val="center"/>
          </w:tcPr>
          <w:p w14:paraId="24541775">
            <w:pPr>
              <w:pStyle w:val="1535"/>
            </w:pPr>
            <w:r>
              <w:t>持久性污染物□；有毒有害污染物□；非持久性污染物R；pH值R；热污染□；富营养化□；其他□</w:t>
            </w:r>
          </w:p>
        </w:tc>
        <w:tc>
          <w:tcPr>
            <w:tcW w:w="6912" w:type="dxa"/>
            <w:gridSpan w:val="5"/>
            <w:vAlign w:val="center"/>
          </w:tcPr>
          <w:p w14:paraId="4914B613">
            <w:pPr>
              <w:pStyle w:val="1535"/>
            </w:pPr>
            <w:r>
              <w:t>水温□；水位（水深）□；流速□；流量□；其他□</w:t>
            </w:r>
          </w:p>
        </w:tc>
      </w:tr>
      <w:tr w14:paraId="5BAC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55" w:type="dxa"/>
            <w:gridSpan w:val="2"/>
            <w:vMerge w:val="restart"/>
            <w:vAlign w:val="center"/>
          </w:tcPr>
          <w:p w14:paraId="3AE10F93">
            <w:pPr>
              <w:pStyle w:val="1535"/>
            </w:pPr>
            <w:r>
              <w:t>评价等级</w:t>
            </w:r>
          </w:p>
        </w:tc>
        <w:tc>
          <w:tcPr>
            <w:tcW w:w="4722" w:type="dxa"/>
            <w:gridSpan w:val="4"/>
            <w:vAlign w:val="center"/>
          </w:tcPr>
          <w:p w14:paraId="671F4AA6">
            <w:pPr>
              <w:pStyle w:val="1535"/>
            </w:pPr>
            <w:r>
              <w:t>水污染影响型</w:t>
            </w:r>
          </w:p>
        </w:tc>
        <w:tc>
          <w:tcPr>
            <w:tcW w:w="6912" w:type="dxa"/>
            <w:gridSpan w:val="5"/>
            <w:vAlign w:val="center"/>
          </w:tcPr>
          <w:p w14:paraId="367FB0C0">
            <w:pPr>
              <w:pStyle w:val="1535"/>
            </w:pPr>
            <w:r>
              <w:t>水文要素影响型</w:t>
            </w:r>
          </w:p>
        </w:tc>
      </w:tr>
      <w:tr w14:paraId="542A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55" w:type="dxa"/>
            <w:gridSpan w:val="2"/>
            <w:vMerge w:val="continue"/>
            <w:vAlign w:val="center"/>
          </w:tcPr>
          <w:p w14:paraId="048C36DC">
            <w:pPr>
              <w:pStyle w:val="1535"/>
            </w:pPr>
          </w:p>
        </w:tc>
        <w:tc>
          <w:tcPr>
            <w:tcW w:w="4722" w:type="dxa"/>
            <w:gridSpan w:val="4"/>
            <w:vAlign w:val="center"/>
          </w:tcPr>
          <w:p w14:paraId="12215816">
            <w:pPr>
              <w:pStyle w:val="1535"/>
            </w:pPr>
            <w:r>
              <w:t>一级□；二级□；三级A□；三级B√</w:t>
            </w:r>
          </w:p>
        </w:tc>
        <w:tc>
          <w:tcPr>
            <w:tcW w:w="6912" w:type="dxa"/>
            <w:gridSpan w:val="5"/>
            <w:vAlign w:val="center"/>
          </w:tcPr>
          <w:p w14:paraId="243D0661">
            <w:pPr>
              <w:pStyle w:val="1535"/>
            </w:pPr>
            <w:r>
              <w:t>一级□；二级□；三级□</w:t>
            </w:r>
          </w:p>
        </w:tc>
      </w:tr>
      <w:tr w14:paraId="0B98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vAlign w:val="center"/>
          </w:tcPr>
          <w:p w14:paraId="7FAAC255">
            <w:pPr>
              <w:pStyle w:val="1535"/>
            </w:pPr>
            <w:r>
              <w:t>现状调查</w:t>
            </w:r>
          </w:p>
        </w:tc>
        <w:tc>
          <w:tcPr>
            <w:tcW w:w="1486" w:type="dxa"/>
            <w:vMerge w:val="restart"/>
            <w:vAlign w:val="center"/>
          </w:tcPr>
          <w:p w14:paraId="54EE294B">
            <w:pPr>
              <w:pStyle w:val="1535"/>
            </w:pPr>
            <w:r>
              <w:t>区域污染源</w:t>
            </w:r>
          </w:p>
        </w:tc>
        <w:tc>
          <w:tcPr>
            <w:tcW w:w="4722" w:type="dxa"/>
            <w:gridSpan w:val="4"/>
            <w:vAlign w:val="center"/>
          </w:tcPr>
          <w:p w14:paraId="4FB30A2C">
            <w:pPr>
              <w:pStyle w:val="1535"/>
            </w:pPr>
            <w:r>
              <w:t>调查项目</w:t>
            </w:r>
          </w:p>
        </w:tc>
        <w:tc>
          <w:tcPr>
            <w:tcW w:w="6912" w:type="dxa"/>
            <w:gridSpan w:val="5"/>
            <w:vAlign w:val="center"/>
          </w:tcPr>
          <w:p w14:paraId="229A115A">
            <w:pPr>
              <w:pStyle w:val="1535"/>
            </w:pPr>
            <w:r>
              <w:t>数据来源</w:t>
            </w:r>
          </w:p>
        </w:tc>
      </w:tr>
      <w:tr w14:paraId="4778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3CA3E26">
            <w:pPr>
              <w:pStyle w:val="1535"/>
            </w:pPr>
          </w:p>
        </w:tc>
        <w:tc>
          <w:tcPr>
            <w:tcW w:w="1486" w:type="dxa"/>
            <w:vMerge w:val="continue"/>
            <w:vAlign w:val="center"/>
          </w:tcPr>
          <w:p w14:paraId="30BF2008">
            <w:pPr>
              <w:pStyle w:val="1535"/>
            </w:pPr>
          </w:p>
        </w:tc>
        <w:tc>
          <w:tcPr>
            <w:tcW w:w="3380" w:type="dxa"/>
            <w:vAlign w:val="center"/>
          </w:tcPr>
          <w:p w14:paraId="2F3C9FDC">
            <w:pPr>
              <w:pStyle w:val="1535"/>
            </w:pPr>
            <w:r>
              <w:t>已建□；在建□；拟建□；其他□</w:t>
            </w:r>
          </w:p>
        </w:tc>
        <w:tc>
          <w:tcPr>
            <w:tcW w:w="1342" w:type="dxa"/>
            <w:gridSpan w:val="3"/>
            <w:vAlign w:val="center"/>
          </w:tcPr>
          <w:p w14:paraId="43CD834D">
            <w:pPr>
              <w:pStyle w:val="1535"/>
            </w:pPr>
            <w:r>
              <w:t>拟替代的污染源□</w:t>
            </w:r>
          </w:p>
        </w:tc>
        <w:tc>
          <w:tcPr>
            <w:tcW w:w="6912" w:type="dxa"/>
            <w:gridSpan w:val="5"/>
            <w:vAlign w:val="center"/>
          </w:tcPr>
          <w:p w14:paraId="3E330CA5">
            <w:pPr>
              <w:pStyle w:val="1535"/>
            </w:pPr>
            <w:r>
              <w:t>排污许可证□；环评□；环保验收□；既有实测□；现场监测□；入河排放口数据□；其他□</w:t>
            </w:r>
          </w:p>
        </w:tc>
      </w:tr>
      <w:tr w14:paraId="25F4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5AD7C2B">
            <w:pPr>
              <w:pStyle w:val="1535"/>
            </w:pPr>
          </w:p>
        </w:tc>
        <w:tc>
          <w:tcPr>
            <w:tcW w:w="1486" w:type="dxa"/>
            <w:vMerge w:val="restart"/>
            <w:vAlign w:val="center"/>
          </w:tcPr>
          <w:p w14:paraId="6B8131EB">
            <w:pPr>
              <w:pStyle w:val="1535"/>
            </w:pPr>
            <w:r>
              <w:t>受影响水体水环境质量</w:t>
            </w:r>
          </w:p>
        </w:tc>
        <w:tc>
          <w:tcPr>
            <w:tcW w:w="4722" w:type="dxa"/>
            <w:gridSpan w:val="4"/>
            <w:vAlign w:val="center"/>
          </w:tcPr>
          <w:p w14:paraId="5664FC55">
            <w:pPr>
              <w:pStyle w:val="1535"/>
            </w:pPr>
            <w:r>
              <w:t>调查时期</w:t>
            </w:r>
          </w:p>
        </w:tc>
        <w:tc>
          <w:tcPr>
            <w:tcW w:w="6912" w:type="dxa"/>
            <w:gridSpan w:val="5"/>
            <w:vAlign w:val="center"/>
          </w:tcPr>
          <w:p w14:paraId="7B311B5F">
            <w:pPr>
              <w:pStyle w:val="1535"/>
            </w:pPr>
            <w:r>
              <w:t>数据来源</w:t>
            </w:r>
          </w:p>
        </w:tc>
      </w:tr>
      <w:tr w14:paraId="2B7B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1E5E1E0F">
            <w:pPr>
              <w:pStyle w:val="1535"/>
            </w:pPr>
          </w:p>
        </w:tc>
        <w:tc>
          <w:tcPr>
            <w:tcW w:w="1486" w:type="dxa"/>
            <w:vMerge w:val="continue"/>
            <w:vAlign w:val="center"/>
          </w:tcPr>
          <w:p w14:paraId="1BB3F553">
            <w:pPr>
              <w:pStyle w:val="1535"/>
            </w:pPr>
          </w:p>
        </w:tc>
        <w:tc>
          <w:tcPr>
            <w:tcW w:w="4722" w:type="dxa"/>
            <w:gridSpan w:val="4"/>
            <w:vAlign w:val="center"/>
          </w:tcPr>
          <w:p w14:paraId="61D73CC1">
            <w:pPr>
              <w:pStyle w:val="1535"/>
            </w:pPr>
            <w:r>
              <w:t>丰水期□；平水期□；枯水期□；冰封期□</w:t>
            </w:r>
          </w:p>
        </w:tc>
        <w:tc>
          <w:tcPr>
            <w:tcW w:w="6912" w:type="dxa"/>
            <w:gridSpan w:val="5"/>
            <w:vMerge w:val="restart"/>
            <w:vAlign w:val="center"/>
          </w:tcPr>
          <w:p w14:paraId="19429C85">
            <w:pPr>
              <w:pStyle w:val="1535"/>
            </w:pPr>
            <w:r>
              <w:t>生态环境保护主管部门□；补充监测□；其他□</w:t>
            </w:r>
          </w:p>
        </w:tc>
      </w:tr>
      <w:tr w14:paraId="481B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36AE9C09">
            <w:pPr>
              <w:pStyle w:val="1535"/>
            </w:pPr>
          </w:p>
        </w:tc>
        <w:tc>
          <w:tcPr>
            <w:tcW w:w="1486" w:type="dxa"/>
            <w:vMerge w:val="continue"/>
            <w:vAlign w:val="center"/>
          </w:tcPr>
          <w:p w14:paraId="63A4E1F4">
            <w:pPr>
              <w:pStyle w:val="1535"/>
            </w:pPr>
          </w:p>
        </w:tc>
        <w:tc>
          <w:tcPr>
            <w:tcW w:w="4722" w:type="dxa"/>
            <w:gridSpan w:val="4"/>
            <w:vAlign w:val="center"/>
          </w:tcPr>
          <w:p w14:paraId="477D41EE">
            <w:pPr>
              <w:pStyle w:val="1535"/>
            </w:pPr>
            <w:r>
              <w:t>春季□；夏季□；秋季□；冬季□</w:t>
            </w:r>
          </w:p>
        </w:tc>
        <w:tc>
          <w:tcPr>
            <w:tcW w:w="6912" w:type="dxa"/>
            <w:gridSpan w:val="5"/>
            <w:vMerge w:val="continue"/>
            <w:vAlign w:val="center"/>
          </w:tcPr>
          <w:p w14:paraId="2B571DB4">
            <w:pPr>
              <w:pStyle w:val="1535"/>
            </w:pPr>
          </w:p>
        </w:tc>
      </w:tr>
      <w:tr w14:paraId="15A3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D12B094">
            <w:pPr>
              <w:pStyle w:val="1535"/>
            </w:pPr>
          </w:p>
        </w:tc>
        <w:tc>
          <w:tcPr>
            <w:tcW w:w="1486" w:type="dxa"/>
            <w:vAlign w:val="center"/>
          </w:tcPr>
          <w:p w14:paraId="310D005F">
            <w:pPr>
              <w:pStyle w:val="1535"/>
            </w:pPr>
            <w:r>
              <w:t>区域水资源开发利用状况</w:t>
            </w:r>
          </w:p>
        </w:tc>
        <w:tc>
          <w:tcPr>
            <w:tcW w:w="11634" w:type="dxa"/>
            <w:gridSpan w:val="9"/>
            <w:vAlign w:val="center"/>
          </w:tcPr>
          <w:p w14:paraId="5AD417D9">
            <w:pPr>
              <w:pStyle w:val="1535"/>
            </w:pPr>
            <w:r>
              <w:t>未开发□；开发量40%以下□；开发量40%以上□</w:t>
            </w:r>
          </w:p>
        </w:tc>
      </w:tr>
      <w:tr w14:paraId="4F13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4780D15A">
            <w:pPr>
              <w:pStyle w:val="1535"/>
            </w:pPr>
          </w:p>
        </w:tc>
        <w:tc>
          <w:tcPr>
            <w:tcW w:w="1486" w:type="dxa"/>
            <w:vMerge w:val="restart"/>
            <w:vAlign w:val="center"/>
          </w:tcPr>
          <w:p w14:paraId="33EC3F6A">
            <w:pPr>
              <w:pStyle w:val="1535"/>
            </w:pPr>
            <w:r>
              <w:t>水文情势调查</w:t>
            </w:r>
          </w:p>
        </w:tc>
        <w:tc>
          <w:tcPr>
            <w:tcW w:w="4722" w:type="dxa"/>
            <w:gridSpan w:val="4"/>
            <w:vAlign w:val="center"/>
          </w:tcPr>
          <w:p w14:paraId="0949978F">
            <w:pPr>
              <w:pStyle w:val="1535"/>
            </w:pPr>
            <w:r>
              <w:t>调查时期</w:t>
            </w:r>
          </w:p>
        </w:tc>
        <w:tc>
          <w:tcPr>
            <w:tcW w:w="6912" w:type="dxa"/>
            <w:gridSpan w:val="5"/>
            <w:vAlign w:val="center"/>
          </w:tcPr>
          <w:p w14:paraId="6747F874">
            <w:pPr>
              <w:pStyle w:val="1535"/>
            </w:pPr>
            <w:r>
              <w:t>数据来源</w:t>
            </w:r>
          </w:p>
        </w:tc>
      </w:tr>
      <w:tr w14:paraId="4448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34754B40">
            <w:pPr>
              <w:pStyle w:val="1535"/>
            </w:pPr>
          </w:p>
        </w:tc>
        <w:tc>
          <w:tcPr>
            <w:tcW w:w="1486" w:type="dxa"/>
            <w:vMerge w:val="continue"/>
            <w:vAlign w:val="center"/>
          </w:tcPr>
          <w:p w14:paraId="12D4B6FC">
            <w:pPr>
              <w:pStyle w:val="1535"/>
            </w:pPr>
          </w:p>
        </w:tc>
        <w:tc>
          <w:tcPr>
            <w:tcW w:w="4722" w:type="dxa"/>
            <w:gridSpan w:val="4"/>
            <w:vAlign w:val="center"/>
          </w:tcPr>
          <w:p w14:paraId="057CA822">
            <w:pPr>
              <w:pStyle w:val="1535"/>
            </w:pPr>
            <w:r>
              <w:t>丰水期□；平水期□；枯水期□；冰封期□</w:t>
            </w:r>
          </w:p>
        </w:tc>
        <w:tc>
          <w:tcPr>
            <w:tcW w:w="6912" w:type="dxa"/>
            <w:gridSpan w:val="5"/>
            <w:vMerge w:val="restart"/>
            <w:vAlign w:val="center"/>
          </w:tcPr>
          <w:p w14:paraId="1A4AD7E0">
            <w:pPr>
              <w:pStyle w:val="1535"/>
            </w:pPr>
            <w:r>
              <w:t>水行政主管部门□；补充监测□；其他□</w:t>
            </w:r>
          </w:p>
        </w:tc>
      </w:tr>
      <w:tr w14:paraId="7CC2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2AFEB86D">
            <w:pPr>
              <w:pStyle w:val="1535"/>
            </w:pPr>
          </w:p>
        </w:tc>
        <w:tc>
          <w:tcPr>
            <w:tcW w:w="1486" w:type="dxa"/>
            <w:vMerge w:val="continue"/>
            <w:vAlign w:val="center"/>
          </w:tcPr>
          <w:p w14:paraId="08F5E9B2">
            <w:pPr>
              <w:pStyle w:val="1535"/>
            </w:pPr>
          </w:p>
        </w:tc>
        <w:tc>
          <w:tcPr>
            <w:tcW w:w="4722" w:type="dxa"/>
            <w:gridSpan w:val="4"/>
            <w:vAlign w:val="center"/>
          </w:tcPr>
          <w:p w14:paraId="5D12F8B3">
            <w:pPr>
              <w:pStyle w:val="1535"/>
            </w:pPr>
            <w:r>
              <w:t>春季□；夏季□；秋季□；冬季□</w:t>
            </w:r>
          </w:p>
        </w:tc>
        <w:tc>
          <w:tcPr>
            <w:tcW w:w="6912" w:type="dxa"/>
            <w:gridSpan w:val="5"/>
            <w:vMerge w:val="continue"/>
            <w:vAlign w:val="center"/>
          </w:tcPr>
          <w:p w14:paraId="3BDBDD38">
            <w:pPr>
              <w:pStyle w:val="1535"/>
            </w:pPr>
          </w:p>
        </w:tc>
      </w:tr>
      <w:tr w14:paraId="69E0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4CC073A5">
            <w:pPr>
              <w:pStyle w:val="1535"/>
            </w:pPr>
          </w:p>
        </w:tc>
        <w:tc>
          <w:tcPr>
            <w:tcW w:w="1486" w:type="dxa"/>
            <w:vMerge w:val="restart"/>
            <w:vAlign w:val="center"/>
          </w:tcPr>
          <w:p w14:paraId="0E2155FD">
            <w:pPr>
              <w:pStyle w:val="1535"/>
            </w:pPr>
            <w:r>
              <w:t>补充监测</w:t>
            </w:r>
          </w:p>
        </w:tc>
        <w:tc>
          <w:tcPr>
            <w:tcW w:w="4722" w:type="dxa"/>
            <w:gridSpan w:val="4"/>
            <w:vAlign w:val="center"/>
          </w:tcPr>
          <w:p w14:paraId="2FEC849B">
            <w:pPr>
              <w:pStyle w:val="1535"/>
            </w:pPr>
            <w:r>
              <w:t>监测时期</w:t>
            </w:r>
          </w:p>
        </w:tc>
        <w:tc>
          <w:tcPr>
            <w:tcW w:w="3981" w:type="dxa"/>
            <w:gridSpan w:val="4"/>
            <w:vAlign w:val="center"/>
          </w:tcPr>
          <w:p w14:paraId="1FA802E8">
            <w:pPr>
              <w:pStyle w:val="1535"/>
            </w:pPr>
            <w:r>
              <w:t>监测因子</w:t>
            </w:r>
          </w:p>
        </w:tc>
        <w:tc>
          <w:tcPr>
            <w:tcW w:w="2931" w:type="dxa"/>
            <w:vAlign w:val="center"/>
          </w:tcPr>
          <w:p w14:paraId="0B843488">
            <w:pPr>
              <w:pStyle w:val="1535"/>
            </w:pPr>
            <w:r>
              <w:t>监测断面或点位</w:t>
            </w:r>
          </w:p>
        </w:tc>
      </w:tr>
      <w:tr w14:paraId="6369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3472626">
            <w:pPr>
              <w:pStyle w:val="1535"/>
            </w:pPr>
          </w:p>
        </w:tc>
        <w:tc>
          <w:tcPr>
            <w:tcW w:w="1486" w:type="dxa"/>
            <w:vMerge w:val="continue"/>
            <w:vAlign w:val="center"/>
          </w:tcPr>
          <w:p w14:paraId="6B8F5BE4">
            <w:pPr>
              <w:pStyle w:val="1535"/>
            </w:pPr>
          </w:p>
        </w:tc>
        <w:tc>
          <w:tcPr>
            <w:tcW w:w="4722" w:type="dxa"/>
            <w:gridSpan w:val="4"/>
            <w:vAlign w:val="center"/>
          </w:tcPr>
          <w:p w14:paraId="75C51CBB">
            <w:pPr>
              <w:pStyle w:val="1535"/>
            </w:pPr>
            <w:r>
              <w:t>丰水期□；平水期□；枯水期□；冰封期□</w:t>
            </w:r>
          </w:p>
        </w:tc>
        <w:tc>
          <w:tcPr>
            <w:tcW w:w="3981" w:type="dxa"/>
            <w:gridSpan w:val="4"/>
            <w:vMerge w:val="restart"/>
            <w:vAlign w:val="center"/>
          </w:tcPr>
          <w:p w14:paraId="25EC2925">
            <w:pPr>
              <w:pStyle w:val="1535"/>
            </w:pPr>
            <w:r>
              <w:t>（）</w:t>
            </w:r>
          </w:p>
        </w:tc>
        <w:tc>
          <w:tcPr>
            <w:tcW w:w="2931" w:type="dxa"/>
            <w:vAlign w:val="center"/>
          </w:tcPr>
          <w:p w14:paraId="6FF349FA">
            <w:pPr>
              <w:pStyle w:val="1535"/>
            </w:pPr>
            <w:r>
              <w:t>监测断面或点位个数</w:t>
            </w:r>
          </w:p>
        </w:tc>
      </w:tr>
      <w:tr w14:paraId="33F7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44F5FFD">
            <w:pPr>
              <w:pStyle w:val="1535"/>
            </w:pPr>
          </w:p>
        </w:tc>
        <w:tc>
          <w:tcPr>
            <w:tcW w:w="1486" w:type="dxa"/>
            <w:vMerge w:val="continue"/>
            <w:vAlign w:val="center"/>
          </w:tcPr>
          <w:p w14:paraId="24226DF0">
            <w:pPr>
              <w:pStyle w:val="1535"/>
            </w:pPr>
          </w:p>
        </w:tc>
        <w:tc>
          <w:tcPr>
            <w:tcW w:w="4722" w:type="dxa"/>
            <w:gridSpan w:val="4"/>
            <w:vAlign w:val="center"/>
          </w:tcPr>
          <w:p w14:paraId="57E061EF">
            <w:pPr>
              <w:pStyle w:val="1535"/>
            </w:pPr>
            <w:r>
              <w:t>春季□；夏季□；秋季□；冬季□</w:t>
            </w:r>
          </w:p>
        </w:tc>
        <w:tc>
          <w:tcPr>
            <w:tcW w:w="3981" w:type="dxa"/>
            <w:gridSpan w:val="4"/>
            <w:vMerge w:val="continue"/>
            <w:vAlign w:val="center"/>
          </w:tcPr>
          <w:p w14:paraId="5619EE2E">
            <w:pPr>
              <w:pStyle w:val="1535"/>
            </w:pPr>
          </w:p>
        </w:tc>
        <w:tc>
          <w:tcPr>
            <w:tcW w:w="2931" w:type="dxa"/>
            <w:vAlign w:val="center"/>
          </w:tcPr>
          <w:p w14:paraId="3BD34B2E">
            <w:pPr>
              <w:pStyle w:val="1535"/>
            </w:pPr>
            <w:r>
              <w:t>（）个</w:t>
            </w:r>
          </w:p>
        </w:tc>
      </w:tr>
      <w:tr w14:paraId="47F4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vAlign w:val="center"/>
          </w:tcPr>
          <w:p w14:paraId="49B8D390">
            <w:pPr>
              <w:pStyle w:val="1535"/>
            </w:pPr>
            <w:r>
              <w:t>现状评价</w:t>
            </w:r>
          </w:p>
        </w:tc>
        <w:tc>
          <w:tcPr>
            <w:tcW w:w="1486" w:type="dxa"/>
            <w:vAlign w:val="center"/>
          </w:tcPr>
          <w:p w14:paraId="52990797">
            <w:pPr>
              <w:pStyle w:val="1535"/>
            </w:pPr>
            <w:r>
              <w:t>评价范围</w:t>
            </w:r>
          </w:p>
        </w:tc>
        <w:tc>
          <w:tcPr>
            <w:tcW w:w="11634" w:type="dxa"/>
            <w:gridSpan w:val="9"/>
            <w:vAlign w:val="center"/>
          </w:tcPr>
          <w:p w14:paraId="53C5023F">
            <w:pPr>
              <w:pStyle w:val="1535"/>
            </w:pPr>
            <w:r>
              <w:t>河流：长度（）km；湖库、河口及近岸海域：面积（）k</w:t>
            </w:r>
            <w:r>
              <w:rPr>
                <w:rFonts w:hint="eastAsia"/>
              </w:rPr>
              <w:t xml:space="preserve"> m</w:t>
            </w:r>
            <w:r>
              <w:rPr>
                <w:rFonts w:hint="eastAsia"/>
                <w:vertAlign w:val="superscript"/>
              </w:rPr>
              <w:t>2</w:t>
            </w:r>
          </w:p>
        </w:tc>
      </w:tr>
      <w:tr w14:paraId="2992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9E168A8">
            <w:pPr>
              <w:pStyle w:val="1535"/>
            </w:pPr>
          </w:p>
        </w:tc>
        <w:tc>
          <w:tcPr>
            <w:tcW w:w="1486" w:type="dxa"/>
            <w:vAlign w:val="center"/>
          </w:tcPr>
          <w:p w14:paraId="5778FEC0">
            <w:pPr>
              <w:pStyle w:val="1535"/>
            </w:pPr>
            <w:r>
              <w:t>评价因子</w:t>
            </w:r>
          </w:p>
        </w:tc>
        <w:tc>
          <w:tcPr>
            <w:tcW w:w="11634" w:type="dxa"/>
            <w:gridSpan w:val="9"/>
            <w:vAlign w:val="center"/>
          </w:tcPr>
          <w:p w14:paraId="57D1E031">
            <w:pPr>
              <w:pStyle w:val="1535"/>
            </w:pPr>
            <w:r>
              <w:t>COD、SS、NH</w:t>
            </w:r>
            <w:r>
              <w:rPr>
                <w:vertAlign w:val="subscript"/>
              </w:rPr>
              <w:t>3</w:t>
            </w:r>
            <w:r>
              <w:t>-N、石油类、氟化物、动植物油</w:t>
            </w:r>
          </w:p>
        </w:tc>
      </w:tr>
      <w:tr w14:paraId="5627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AFD834D">
            <w:pPr>
              <w:pStyle w:val="1535"/>
            </w:pPr>
          </w:p>
        </w:tc>
        <w:tc>
          <w:tcPr>
            <w:tcW w:w="1486" w:type="dxa"/>
            <w:vMerge w:val="restart"/>
            <w:vAlign w:val="center"/>
          </w:tcPr>
          <w:p w14:paraId="6AA320F3">
            <w:pPr>
              <w:pStyle w:val="1535"/>
            </w:pPr>
            <w:r>
              <w:t>评价标准</w:t>
            </w:r>
          </w:p>
        </w:tc>
        <w:tc>
          <w:tcPr>
            <w:tcW w:w="11634" w:type="dxa"/>
            <w:gridSpan w:val="9"/>
            <w:vAlign w:val="center"/>
          </w:tcPr>
          <w:p w14:paraId="0F33ED69">
            <w:pPr>
              <w:pStyle w:val="1535"/>
            </w:pPr>
            <w:r>
              <w:t>河流、湖库、河口：Ⅰ类□；Ⅱ类□；Ⅲ类√；Ⅳ类R；Ⅴ类□</w:t>
            </w:r>
          </w:p>
        </w:tc>
      </w:tr>
      <w:tr w14:paraId="47D8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477A18DF">
            <w:pPr>
              <w:pStyle w:val="1535"/>
            </w:pPr>
          </w:p>
        </w:tc>
        <w:tc>
          <w:tcPr>
            <w:tcW w:w="1486" w:type="dxa"/>
            <w:vMerge w:val="continue"/>
            <w:vAlign w:val="center"/>
          </w:tcPr>
          <w:p w14:paraId="3218F955">
            <w:pPr>
              <w:pStyle w:val="1535"/>
            </w:pPr>
          </w:p>
        </w:tc>
        <w:tc>
          <w:tcPr>
            <w:tcW w:w="11634" w:type="dxa"/>
            <w:gridSpan w:val="9"/>
            <w:vAlign w:val="center"/>
          </w:tcPr>
          <w:p w14:paraId="0321EEF3">
            <w:pPr>
              <w:pStyle w:val="1535"/>
            </w:pPr>
            <w:r>
              <w:t>近岸海域：第一类□；第二类□；第三类□；第四类□</w:t>
            </w:r>
          </w:p>
        </w:tc>
      </w:tr>
      <w:tr w14:paraId="1898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ADFC254">
            <w:pPr>
              <w:pStyle w:val="1535"/>
            </w:pPr>
          </w:p>
        </w:tc>
        <w:tc>
          <w:tcPr>
            <w:tcW w:w="1486" w:type="dxa"/>
            <w:vMerge w:val="continue"/>
            <w:vAlign w:val="center"/>
          </w:tcPr>
          <w:p w14:paraId="552EFF55">
            <w:pPr>
              <w:pStyle w:val="1535"/>
            </w:pPr>
          </w:p>
        </w:tc>
        <w:tc>
          <w:tcPr>
            <w:tcW w:w="11634" w:type="dxa"/>
            <w:gridSpan w:val="9"/>
            <w:vAlign w:val="center"/>
          </w:tcPr>
          <w:p w14:paraId="07065286">
            <w:pPr>
              <w:pStyle w:val="1535"/>
            </w:pPr>
            <w:r>
              <w:t>规划年评价标准（202</w:t>
            </w:r>
            <w:r>
              <w:rPr>
                <w:rFonts w:hint="eastAsia"/>
              </w:rPr>
              <w:t>4</w:t>
            </w:r>
            <w:r>
              <w:t>年）</w:t>
            </w:r>
          </w:p>
        </w:tc>
      </w:tr>
      <w:tr w14:paraId="7FCB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2FA7A027">
            <w:pPr>
              <w:pStyle w:val="1535"/>
            </w:pPr>
          </w:p>
        </w:tc>
        <w:tc>
          <w:tcPr>
            <w:tcW w:w="1486" w:type="dxa"/>
            <w:vMerge w:val="restart"/>
            <w:vAlign w:val="center"/>
          </w:tcPr>
          <w:p w14:paraId="4CB7CF4F">
            <w:pPr>
              <w:pStyle w:val="1535"/>
            </w:pPr>
            <w:r>
              <w:t>评价时期</w:t>
            </w:r>
          </w:p>
        </w:tc>
        <w:tc>
          <w:tcPr>
            <w:tcW w:w="11634" w:type="dxa"/>
            <w:gridSpan w:val="9"/>
            <w:vAlign w:val="center"/>
          </w:tcPr>
          <w:p w14:paraId="4298ED0E">
            <w:pPr>
              <w:pStyle w:val="1535"/>
            </w:pPr>
            <w:r>
              <w:t>丰水期□；平水期√；枯水期□；冰封期□</w:t>
            </w:r>
          </w:p>
        </w:tc>
      </w:tr>
      <w:tr w14:paraId="6887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2AC09E57">
            <w:pPr>
              <w:pStyle w:val="1535"/>
            </w:pPr>
          </w:p>
        </w:tc>
        <w:tc>
          <w:tcPr>
            <w:tcW w:w="1486" w:type="dxa"/>
            <w:vMerge w:val="continue"/>
            <w:vAlign w:val="center"/>
          </w:tcPr>
          <w:p w14:paraId="3A87470C">
            <w:pPr>
              <w:pStyle w:val="1535"/>
            </w:pPr>
          </w:p>
        </w:tc>
        <w:tc>
          <w:tcPr>
            <w:tcW w:w="11634" w:type="dxa"/>
            <w:gridSpan w:val="9"/>
            <w:vAlign w:val="center"/>
          </w:tcPr>
          <w:p w14:paraId="72BD7039">
            <w:pPr>
              <w:pStyle w:val="1535"/>
            </w:pPr>
            <w:r>
              <w:t>春季□；夏季√；秋季□；冬季□</w:t>
            </w:r>
          </w:p>
        </w:tc>
      </w:tr>
      <w:tr w14:paraId="34CC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239EB46A">
            <w:pPr>
              <w:pStyle w:val="1535"/>
            </w:pPr>
          </w:p>
        </w:tc>
        <w:tc>
          <w:tcPr>
            <w:tcW w:w="1486" w:type="dxa"/>
            <w:vMerge w:val="restart"/>
            <w:vAlign w:val="center"/>
          </w:tcPr>
          <w:p w14:paraId="1A7C16D5">
            <w:pPr>
              <w:pStyle w:val="1535"/>
            </w:pPr>
            <w:r>
              <w:t>评价结论</w:t>
            </w:r>
          </w:p>
        </w:tc>
        <w:tc>
          <w:tcPr>
            <w:tcW w:w="8703" w:type="dxa"/>
            <w:gridSpan w:val="8"/>
            <w:vAlign w:val="center"/>
          </w:tcPr>
          <w:p w14:paraId="2584B86E">
            <w:pPr>
              <w:pStyle w:val="1535"/>
            </w:pPr>
            <w:r>
              <w:t>水环境功能区或水功能区、近岸海域环境功能区水质达标状况□：达标√；不达标□</w:t>
            </w:r>
          </w:p>
        </w:tc>
        <w:tc>
          <w:tcPr>
            <w:tcW w:w="2931" w:type="dxa"/>
            <w:vMerge w:val="restart"/>
            <w:vAlign w:val="center"/>
          </w:tcPr>
          <w:p w14:paraId="6FA41FA3">
            <w:pPr>
              <w:pStyle w:val="1535"/>
            </w:pPr>
            <w:r>
              <w:t>达标区√</w:t>
            </w:r>
          </w:p>
          <w:p w14:paraId="065E9B97">
            <w:pPr>
              <w:pStyle w:val="1535"/>
            </w:pPr>
          </w:p>
          <w:p w14:paraId="7683AE91">
            <w:pPr>
              <w:pStyle w:val="1535"/>
            </w:pPr>
            <w:r>
              <w:t>不达标□</w:t>
            </w:r>
          </w:p>
        </w:tc>
      </w:tr>
      <w:tr w14:paraId="68B4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35729736">
            <w:pPr>
              <w:pStyle w:val="1535"/>
            </w:pPr>
          </w:p>
        </w:tc>
        <w:tc>
          <w:tcPr>
            <w:tcW w:w="1486" w:type="dxa"/>
            <w:vMerge w:val="continue"/>
            <w:vAlign w:val="center"/>
          </w:tcPr>
          <w:p w14:paraId="081FD2AE">
            <w:pPr>
              <w:pStyle w:val="1535"/>
            </w:pPr>
          </w:p>
        </w:tc>
        <w:tc>
          <w:tcPr>
            <w:tcW w:w="8703" w:type="dxa"/>
            <w:gridSpan w:val="8"/>
            <w:vAlign w:val="center"/>
          </w:tcPr>
          <w:p w14:paraId="47E20B71">
            <w:pPr>
              <w:pStyle w:val="1535"/>
            </w:pPr>
            <w:r>
              <w:t>水环境控制单元或断面水质达标状况□：达标√；不达标□</w:t>
            </w:r>
          </w:p>
        </w:tc>
        <w:tc>
          <w:tcPr>
            <w:tcW w:w="2931" w:type="dxa"/>
            <w:vMerge w:val="continue"/>
            <w:vAlign w:val="center"/>
          </w:tcPr>
          <w:p w14:paraId="45DDCAAA">
            <w:pPr>
              <w:pStyle w:val="1535"/>
            </w:pPr>
          </w:p>
        </w:tc>
      </w:tr>
      <w:tr w14:paraId="729E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4D320D7">
            <w:pPr>
              <w:pStyle w:val="1535"/>
            </w:pPr>
          </w:p>
        </w:tc>
        <w:tc>
          <w:tcPr>
            <w:tcW w:w="1486" w:type="dxa"/>
            <w:vMerge w:val="continue"/>
            <w:vAlign w:val="center"/>
          </w:tcPr>
          <w:p w14:paraId="629FDA8E">
            <w:pPr>
              <w:pStyle w:val="1535"/>
            </w:pPr>
          </w:p>
        </w:tc>
        <w:tc>
          <w:tcPr>
            <w:tcW w:w="8703" w:type="dxa"/>
            <w:gridSpan w:val="8"/>
            <w:vAlign w:val="center"/>
          </w:tcPr>
          <w:p w14:paraId="29905C91">
            <w:pPr>
              <w:pStyle w:val="1535"/>
            </w:pPr>
            <w:r>
              <w:t>水环境保护目标质量状况□：达标√；不达标□</w:t>
            </w:r>
          </w:p>
        </w:tc>
        <w:tc>
          <w:tcPr>
            <w:tcW w:w="2931" w:type="dxa"/>
            <w:vMerge w:val="continue"/>
            <w:vAlign w:val="center"/>
          </w:tcPr>
          <w:p w14:paraId="223BFE7E">
            <w:pPr>
              <w:pStyle w:val="1535"/>
            </w:pPr>
          </w:p>
        </w:tc>
      </w:tr>
      <w:tr w14:paraId="4416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8613D77">
            <w:pPr>
              <w:pStyle w:val="1535"/>
            </w:pPr>
          </w:p>
        </w:tc>
        <w:tc>
          <w:tcPr>
            <w:tcW w:w="1486" w:type="dxa"/>
            <w:vMerge w:val="continue"/>
            <w:vAlign w:val="center"/>
          </w:tcPr>
          <w:p w14:paraId="257FE8DB">
            <w:pPr>
              <w:pStyle w:val="1535"/>
            </w:pPr>
          </w:p>
        </w:tc>
        <w:tc>
          <w:tcPr>
            <w:tcW w:w="8703" w:type="dxa"/>
            <w:gridSpan w:val="8"/>
            <w:vAlign w:val="center"/>
          </w:tcPr>
          <w:p w14:paraId="3714DF3E">
            <w:pPr>
              <w:pStyle w:val="1535"/>
            </w:pPr>
            <w:r>
              <w:t>对照断面、控制断面等代表性断面的水质状况□：达标√；不达标□</w:t>
            </w:r>
          </w:p>
        </w:tc>
        <w:tc>
          <w:tcPr>
            <w:tcW w:w="2931" w:type="dxa"/>
            <w:vMerge w:val="continue"/>
            <w:vAlign w:val="center"/>
          </w:tcPr>
          <w:p w14:paraId="36C52484">
            <w:pPr>
              <w:pStyle w:val="1535"/>
            </w:pPr>
          </w:p>
        </w:tc>
      </w:tr>
      <w:tr w14:paraId="7F4B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359F660D">
            <w:pPr>
              <w:pStyle w:val="1535"/>
            </w:pPr>
          </w:p>
        </w:tc>
        <w:tc>
          <w:tcPr>
            <w:tcW w:w="1486" w:type="dxa"/>
            <w:vMerge w:val="continue"/>
            <w:vAlign w:val="center"/>
          </w:tcPr>
          <w:p w14:paraId="3F1AC0B6">
            <w:pPr>
              <w:pStyle w:val="1535"/>
            </w:pPr>
          </w:p>
        </w:tc>
        <w:tc>
          <w:tcPr>
            <w:tcW w:w="8703" w:type="dxa"/>
            <w:gridSpan w:val="8"/>
            <w:vAlign w:val="center"/>
          </w:tcPr>
          <w:p w14:paraId="005FE49B">
            <w:pPr>
              <w:pStyle w:val="1535"/>
            </w:pPr>
            <w:r>
              <w:t>底泥污染评价□</w:t>
            </w:r>
          </w:p>
        </w:tc>
        <w:tc>
          <w:tcPr>
            <w:tcW w:w="2931" w:type="dxa"/>
            <w:vMerge w:val="continue"/>
            <w:vAlign w:val="center"/>
          </w:tcPr>
          <w:p w14:paraId="79D1C3A8">
            <w:pPr>
              <w:pStyle w:val="1535"/>
            </w:pPr>
          </w:p>
        </w:tc>
      </w:tr>
      <w:tr w14:paraId="5FC4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1E6E7E6C">
            <w:pPr>
              <w:pStyle w:val="1535"/>
            </w:pPr>
          </w:p>
        </w:tc>
        <w:tc>
          <w:tcPr>
            <w:tcW w:w="1486" w:type="dxa"/>
            <w:vMerge w:val="continue"/>
            <w:vAlign w:val="center"/>
          </w:tcPr>
          <w:p w14:paraId="0FF4A8B7">
            <w:pPr>
              <w:pStyle w:val="1535"/>
            </w:pPr>
          </w:p>
        </w:tc>
        <w:tc>
          <w:tcPr>
            <w:tcW w:w="8703" w:type="dxa"/>
            <w:gridSpan w:val="8"/>
            <w:vAlign w:val="center"/>
          </w:tcPr>
          <w:p w14:paraId="37F91FCA">
            <w:pPr>
              <w:pStyle w:val="1535"/>
            </w:pPr>
            <w:r>
              <w:t>水资源与开发利用程度及其水文情势评价□</w:t>
            </w:r>
          </w:p>
        </w:tc>
        <w:tc>
          <w:tcPr>
            <w:tcW w:w="2931" w:type="dxa"/>
            <w:vMerge w:val="continue"/>
            <w:vAlign w:val="center"/>
          </w:tcPr>
          <w:p w14:paraId="6B4561C5">
            <w:pPr>
              <w:pStyle w:val="1535"/>
            </w:pPr>
          </w:p>
        </w:tc>
      </w:tr>
      <w:tr w14:paraId="1688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18B34549">
            <w:pPr>
              <w:pStyle w:val="1535"/>
            </w:pPr>
          </w:p>
        </w:tc>
        <w:tc>
          <w:tcPr>
            <w:tcW w:w="1486" w:type="dxa"/>
            <w:vMerge w:val="continue"/>
            <w:vAlign w:val="center"/>
          </w:tcPr>
          <w:p w14:paraId="3075CD80">
            <w:pPr>
              <w:pStyle w:val="1535"/>
            </w:pPr>
          </w:p>
        </w:tc>
        <w:tc>
          <w:tcPr>
            <w:tcW w:w="8703" w:type="dxa"/>
            <w:gridSpan w:val="8"/>
            <w:vAlign w:val="center"/>
          </w:tcPr>
          <w:p w14:paraId="32596205">
            <w:pPr>
              <w:pStyle w:val="1535"/>
            </w:pPr>
            <w:r>
              <w:t>水环境质量回顾评价□</w:t>
            </w:r>
          </w:p>
        </w:tc>
        <w:tc>
          <w:tcPr>
            <w:tcW w:w="2931" w:type="dxa"/>
            <w:vMerge w:val="continue"/>
            <w:vAlign w:val="center"/>
          </w:tcPr>
          <w:p w14:paraId="2A122E56">
            <w:pPr>
              <w:pStyle w:val="1535"/>
            </w:pPr>
          </w:p>
        </w:tc>
      </w:tr>
      <w:tr w14:paraId="2519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B12C58C">
            <w:pPr>
              <w:pStyle w:val="1535"/>
            </w:pPr>
          </w:p>
        </w:tc>
        <w:tc>
          <w:tcPr>
            <w:tcW w:w="1486" w:type="dxa"/>
            <w:vMerge w:val="continue"/>
            <w:vAlign w:val="center"/>
          </w:tcPr>
          <w:p w14:paraId="6A313F7C">
            <w:pPr>
              <w:pStyle w:val="1535"/>
            </w:pPr>
          </w:p>
        </w:tc>
        <w:tc>
          <w:tcPr>
            <w:tcW w:w="8703" w:type="dxa"/>
            <w:gridSpan w:val="8"/>
            <w:vAlign w:val="center"/>
          </w:tcPr>
          <w:p w14:paraId="7E5D57A7">
            <w:pPr>
              <w:pStyle w:val="1535"/>
            </w:pPr>
            <w:r>
              <w:t>流域（区域）水资源（包括水能资源）与开发利用总体状况、生态流量管理要求与现状满足程度、建设项目占用水域空间的水流状况与河湖演变状况□</w:t>
            </w:r>
          </w:p>
        </w:tc>
        <w:tc>
          <w:tcPr>
            <w:tcW w:w="2931" w:type="dxa"/>
            <w:vMerge w:val="continue"/>
            <w:vAlign w:val="center"/>
          </w:tcPr>
          <w:p w14:paraId="5DF8992D">
            <w:pPr>
              <w:pStyle w:val="1535"/>
            </w:pPr>
          </w:p>
        </w:tc>
      </w:tr>
      <w:tr w14:paraId="5046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vAlign w:val="center"/>
          </w:tcPr>
          <w:p w14:paraId="56092C84">
            <w:pPr>
              <w:pStyle w:val="1535"/>
            </w:pPr>
            <w:r>
              <w:t>影响预测</w:t>
            </w:r>
          </w:p>
        </w:tc>
        <w:tc>
          <w:tcPr>
            <w:tcW w:w="1486" w:type="dxa"/>
            <w:vAlign w:val="center"/>
          </w:tcPr>
          <w:p w14:paraId="38FDAF53">
            <w:pPr>
              <w:pStyle w:val="1535"/>
            </w:pPr>
            <w:r>
              <w:t>预测范围</w:t>
            </w:r>
          </w:p>
        </w:tc>
        <w:tc>
          <w:tcPr>
            <w:tcW w:w="11634" w:type="dxa"/>
            <w:gridSpan w:val="9"/>
            <w:vAlign w:val="center"/>
          </w:tcPr>
          <w:p w14:paraId="773BE827">
            <w:pPr>
              <w:pStyle w:val="1535"/>
            </w:pPr>
            <w:r>
              <w:t>河流：长度（）km；湖库、河口及近岸海域：面积（）k</w:t>
            </w:r>
            <w:r>
              <w:rPr>
                <w:rFonts w:hint="eastAsia"/>
              </w:rPr>
              <w:t xml:space="preserve"> m</w:t>
            </w:r>
            <w:r>
              <w:rPr>
                <w:rFonts w:hint="eastAsia"/>
                <w:vertAlign w:val="superscript"/>
              </w:rPr>
              <w:t>2</w:t>
            </w:r>
          </w:p>
        </w:tc>
      </w:tr>
      <w:tr w14:paraId="0F87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2C7A3817">
            <w:pPr>
              <w:pStyle w:val="1535"/>
            </w:pPr>
          </w:p>
        </w:tc>
        <w:tc>
          <w:tcPr>
            <w:tcW w:w="1486" w:type="dxa"/>
            <w:vAlign w:val="center"/>
          </w:tcPr>
          <w:p w14:paraId="67C68AA4">
            <w:pPr>
              <w:pStyle w:val="1535"/>
            </w:pPr>
            <w:r>
              <w:t>预测因子</w:t>
            </w:r>
          </w:p>
        </w:tc>
        <w:tc>
          <w:tcPr>
            <w:tcW w:w="11634" w:type="dxa"/>
            <w:gridSpan w:val="9"/>
            <w:vAlign w:val="center"/>
          </w:tcPr>
          <w:p w14:paraId="46C1AFF0">
            <w:pPr>
              <w:pStyle w:val="1535"/>
            </w:pPr>
            <w:r>
              <w:rPr>
                <w:rFonts w:hint="eastAsia"/>
              </w:rPr>
              <w:t>/</w:t>
            </w:r>
          </w:p>
        </w:tc>
      </w:tr>
      <w:tr w14:paraId="66F7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5E4AB6F">
            <w:pPr>
              <w:pStyle w:val="1535"/>
            </w:pPr>
          </w:p>
        </w:tc>
        <w:tc>
          <w:tcPr>
            <w:tcW w:w="1486" w:type="dxa"/>
            <w:vMerge w:val="restart"/>
            <w:vAlign w:val="center"/>
          </w:tcPr>
          <w:p w14:paraId="409198B1">
            <w:pPr>
              <w:pStyle w:val="1535"/>
            </w:pPr>
            <w:r>
              <w:t>预测时期</w:t>
            </w:r>
          </w:p>
        </w:tc>
        <w:tc>
          <w:tcPr>
            <w:tcW w:w="11634" w:type="dxa"/>
            <w:gridSpan w:val="9"/>
            <w:vAlign w:val="center"/>
          </w:tcPr>
          <w:p w14:paraId="2C9B9033">
            <w:pPr>
              <w:pStyle w:val="1535"/>
            </w:pPr>
            <w:r>
              <w:t>丰水期□；平水期□；枯水期□；冰封期□</w:t>
            </w:r>
          </w:p>
        </w:tc>
      </w:tr>
      <w:tr w14:paraId="7F42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4905BCBB">
            <w:pPr>
              <w:pStyle w:val="1535"/>
            </w:pPr>
          </w:p>
        </w:tc>
        <w:tc>
          <w:tcPr>
            <w:tcW w:w="1486" w:type="dxa"/>
            <w:vMerge w:val="continue"/>
            <w:vAlign w:val="center"/>
          </w:tcPr>
          <w:p w14:paraId="7C261ECF">
            <w:pPr>
              <w:pStyle w:val="1535"/>
            </w:pPr>
          </w:p>
        </w:tc>
        <w:tc>
          <w:tcPr>
            <w:tcW w:w="11634" w:type="dxa"/>
            <w:gridSpan w:val="9"/>
            <w:vAlign w:val="center"/>
          </w:tcPr>
          <w:p w14:paraId="5D78D2F9">
            <w:pPr>
              <w:pStyle w:val="1535"/>
            </w:pPr>
            <w:r>
              <w:t>春季□；夏季□；秋季□；冬季□</w:t>
            </w:r>
          </w:p>
        </w:tc>
      </w:tr>
      <w:tr w14:paraId="2E97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36C17343">
            <w:pPr>
              <w:pStyle w:val="1535"/>
            </w:pPr>
          </w:p>
        </w:tc>
        <w:tc>
          <w:tcPr>
            <w:tcW w:w="1486" w:type="dxa"/>
            <w:vMerge w:val="continue"/>
            <w:vAlign w:val="center"/>
          </w:tcPr>
          <w:p w14:paraId="366F9467">
            <w:pPr>
              <w:pStyle w:val="1535"/>
            </w:pPr>
          </w:p>
        </w:tc>
        <w:tc>
          <w:tcPr>
            <w:tcW w:w="11634" w:type="dxa"/>
            <w:gridSpan w:val="9"/>
            <w:vAlign w:val="center"/>
          </w:tcPr>
          <w:p w14:paraId="719CFCB2">
            <w:pPr>
              <w:pStyle w:val="1535"/>
            </w:pPr>
            <w:r>
              <w:t>设计水文条件□</w:t>
            </w:r>
          </w:p>
        </w:tc>
      </w:tr>
      <w:tr w14:paraId="295E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86245EE">
            <w:pPr>
              <w:pStyle w:val="1535"/>
            </w:pPr>
          </w:p>
        </w:tc>
        <w:tc>
          <w:tcPr>
            <w:tcW w:w="1486" w:type="dxa"/>
            <w:vMerge w:val="restart"/>
            <w:vAlign w:val="center"/>
          </w:tcPr>
          <w:p w14:paraId="6D21B0F2">
            <w:pPr>
              <w:pStyle w:val="1535"/>
            </w:pPr>
            <w:r>
              <w:t>预测情景</w:t>
            </w:r>
          </w:p>
        </w:tc>
        <w:tc>
          <w:tcPr>
            <w:tcW w:w="11634" w:type="dxa"/>
            <w:gridSpan w:val="9"/>
            <w:vAlign w:val="center"/>
          </w:tcPr>
          <w:p w14:paraId="408E2CEC">
            <w:pPr>
              <w:pStyle w:val="1535"/>
            </w:pPr>
            <w:r>
              <w:t>建设期□；生产运行期□；服务期满后□</w:t>
            </w:r>
          </w:p>
        </w:tc>
      </w:tr>
      <w:tr w14:paraId="79F3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1FF2C8CC">
            <w:pPr>
              <w:pStyle w:val="1535"/>
            </w:pPr>
          </w:p>
        </w:tc>
        <w:tc>
          <w:tcPr>
            <w:tcW w:w="1486" w:type="dxa"/>
            <w:vMerge w:val="continue"/>
            <w:vAlign w:val="center"/>
          </w:tcPr>
          <w:p w14:paraId="400E069D">
            <w:pPr>
              <w:pStyle w:val="1535"/>
            </w:pPr>
          </w:p>
        </w:tc>
        <w:tc>
          <w:tcPr>
            <w:tcW w:w="11634" w:type="dxa"/>
            <w:gridSpan w:val="9"/>
            <w:vAlign w:val="center"/>
          </w:tcPr>
          <w:p w14:paraId="752079F7">
            <w:pPr>
              <w:pStyle w:val="1535"/>
            </w:pPr>
            <w:r>
              <w:t>正常工况□；非正常工况□</w:t>
            </w:r>
          </w:p>
        </w:tc>
      </w:tr>
      <w:tr w14:paraId="3BCC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2042B355">
            <w:pPr>
              <w:pStyle w:val="1535"/>
            </w:pPr>
          </w:p>
        </w:tc>
        <w:tc>
          <w:tcPr>
            <w:tcW w:w="1486" w:type="dxa"/>
            <w:vMerge w:val="continue"/>
            <w:vAlign w:val="center"/>
          </w:tcPr>
          <w:p w14:paraId="39E67D59">
            <w:pPr>
              <w:pStyle w:val="1535"/>
            </w:pPr>
          </w:p>
        </w:tc>
        <w:tc>
          <w:tcPr>
            <w:tcW w:w="11634" w:type="dxa"/>
            <w:gridSpan w:val="9"/>
            <w:vAlign w:val="center"/>
          </w:tcPr>
          <w:p w14:paraId="5A63A562">
            <w:pPr>
              <w:pStyle w:val="1535"/>
            </w:pPr>
            <w:r>
              <w:t>污染控制和减缓措施方案□</w:t>
            </w:r>
          </w:p>
        </w:tc>
      </w:tr>
      <w:tr w14:paraId="1111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30C6B89A">
            <w:pPr>
              <w:pStyle w:val="1535"/>
            </w:pPr>
          </w:p>
        </w:tc>
        <w:tc>
          <w:tcPr>
            <w:tcW w:w="1486" w:type="dxa"/>
            <w:vMerge w:val="continue"/>
            <w:vAlign w:val="center"/>
          </w:tcPr>
          <w:p w14:paraId="52A4AA82">
            <w:pPr>
              <w:pStyle w:val="1535"/>
            </w:pPr>
          </w:p>
        </w:tc>
        <w:tc>
          <w:tcPr>
            <w:tcW w:w="11634" w:type="dxa"/>
            <w:gridSpan w:val="9"/>
            <w:vAlign w:val="center"/>
          </w:tcPr>
          <w:p w14:paraId="122E30C5">
            <w:pPr>
              <w:pStyle w:val="1535"/>
            </w:pPr>
            <w:r>
              <w:t>区（流）域环境质量改善目标要求情景</w:t>
            </w:r>
          </w:p>
        </w:tc>
      </w:tr>
      <w:tr w14:paraId="0A8C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6E1316B7">
            <w:pPr>
              <w:pStyle w:val="1535"/>
            </w:pPr>
          </w:p>
        </w:tc>
        <w:tc>
          <w:tcPr>
            <w:tcW w:w="1486" w:type="dxa"/>
            <w:vMerge w:val="restart"/>
            <w:vAlign w:val="center"/>
          </w:tcPr>
          <w:p w14:paraId="6D5B6C7B">
            <w:pPr>
              <w:pStyle w:val="1535"/>
            </w:pPr>
            <w:r>
              <w:t>预测方法</w:t>
            </w:r>
          </w:p>
        </w:tc>
        <w:tc>
          <w:tcPr>
            <w:tcW w:w="11634" w:type="dxa"/>
            <w:gridSpan w:val="9"/>
            <w:vAlign w:val="center"/>
          </w:tcPr>
          <w:p w14:paraId="675D8A37">
            <w:pPr>
              <w:pStyle w:val="1535"/>
            </w:pPr>
            <w:r>
              <w:t>数值解□；解析解□；其他□</w:t>
            </w:r>
          </w:p>
        </w:tc>
      </w:tr>
      <w:tr w14:paraId="5A52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43FCD7A5">
            <w:pPr>
              <w:pStyle w:val="1535"/>
            </w:pPr>
          </w:p>
        </w:tc>
        <w:tc>
          <w:tcPr>
            <w:tcW w:w="1486" w:type="dxa"/>
            <w:vMerge w:val="continue"/>
            <w:vAlign w:val="center"/>
          </w:tcPr>
          <w:p w14:paraId="55E9BB84">
            <w:pPr>
              <w:pStyle w:val="1535"/>
            </w:pPr>
          </w:p>
        </w:tc>
        <w:tc>
          <w:tcPr>
            <w:tcW w:w="11634" w:type="dxa"/>
            <w:gridSpan w:val="9"/>
            <w:vAlign w:val="center"/>
          </w:tcPr>
          <w:p w14:paraId="02CBAA59">
            <w:pPr>
              <w:pStyle w:val="1535"/>
            </w:pPr>
            <w:r>
              <w:t>导则推荐模式□；其他□</w:t>
            </w:r>
          </w:p>
        </w:tc>
      </w:tr>
      <w:tr w14:paraId="15C8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vAlign w:val="center"/>
          </w:tcPr>
          <w:p w14:paraId="33CF27FB">
            <w:pPr>
              <w:pStyle w:val="1535"/>
            </w:pPr>
            <w:r>
              <w:t>影响评价</w:t>
            </w:r>
          </w:p>
        </w:tc>
        <w:tc>
          <w:tcPr>
            <w:tcW w:w="1486" w:type="dxa"/>
            <w:vAlign w:val="center"/>
          </w:tcPr>
          <w:p w14:paraId="2D3D93B6">
            <w:pPr>
              <w:pStyle w:val="1535"/>
            </w:pPr>
            <w:r>
              <w:t>水污染控制和水环境影响减缓措施有效性评价</w:t>
            </w:r>
          </w:p>
        </w:tc>
        <w:tc>
          <w:tcPr>
            <w:tcW w:w="11634" w:type="dxa"/>
            <w:gridSpan w:val="9"/>
            <w:vAlign w:val="center"/>
          </w:tcPr>
          <w:p w14:paraId="2E588A8E">
            <w:pPr>
              <w:pStyle w:val="1535"/>
            </w:pPr>
            <w:r>
              <w:t>区（流）域水环境质量改善目标□；替代削减源□</w:t>
            </w:r>
          </w:p>
        </w:tc>
      </w:tr>
      <w:tr w14:paraId="4B1F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3BF83EFD">
            <w:pPr>
              <w:pStyle w:val="1535"/>
            </w:pPr>
          </w:p>
        </w:tc>
        <w:tc>
          <w:tcPr>
            <w:tcW w:w="1486" w:type="dxa"/>
            <w:vMerge w:val="restart"/>
            <w:vAlign w:val="center"/>
          </w:tcPr>
          <w:p w14:paraId="3D95501E">
            <w:pPr>
              <w:pStyle w:val="1535"/>
            </w:pPr>
            <w:r>
              <w:t>水环境影响评价</w:t>
            </w:r>
          </w:p>
        </w:tc>
        <w:tc>
          <w:tcPr>
            <w:tcW w:w="11634" w:type="dxa"/>
            <w:gridSpan w:val="9"/>
            <w:vAlign w:val="center"/>
          </w:tcPr>
          <w:p w14:paraId="242F716E">
            <w:pPr>
              <w:pStyle w:val="1535"/>
            </w:pPr>
            <w:r>
              <w:t>排放口混合区外满足水环境管理要求□</w:t>
            </w:r>
          </w:p>
        </w:tc>
      </w:tr>
      <w:tr w14:paraId="29F7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D4C4D97">
            <w:pPr>
              <w:pStyle w:val="1535"/>
            </w:pPr>
          </w:p>
        </w:tc>
        <w:tc>
          <w:tcPr>
            <w:tcW w:w="1486" w:type="dxa"/>
            <w:vMerge w:val="continue"/>
            <w:vAlign w:val="center"/>
          </w:tcPr>
          <w:p w14:paraId="434946D0">
            <w:pPr>
              <w:pStyle w:val="1535"/>
            </w:pPr>
          </w:p>
        </w:tc>
        <w:tc>
          <w:tcPr>
            <w:tcW w:w="11634" w:type="dxa"/>
            <w:gridSpan w:val="9"/>
            <w:vAlign w:val="center"/>
          </w:tcPr>
          <w:p w14:paraId="6D2E72CD">
            <w:pPr>
              <w:pStyle w:val="1535"/>
            </w:pPr>
            <w:r>
              <w:t>水环境功能区或水功能区、近岸海域环境功能区水质达标□</w:t>
            </w:r>
          </w:p>
        </w:tc>
      </w:tr>
      <w:tr w14:paraId="6884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525E4C6">
            <w:pPr>
              <w:pStyle w:val="1535"/>
            </w:pPr>
          </w:p>
        </w:tc>
        <w:tc>
          <w:tcPr>
            <w:tcW w:w="1486" w:type="dxa"/>
            <w:vMerge w:val="continue"/>
            <w:vAlign w:val="center"/>
          </w:tcPr>
          <w:p w14:paraId="19C632BC">
            <w:pPr>
              <w:pStyle w:val="1535"/>
            </w:pPr>
          </w:p>
        </w:tc>
        <w:tc>
          <w:tcPr>
            <w:tcW w:w="11634" w:type="dxa"/>
            <w:gridSpan w:val="9"/>
            <w:vAlign w:val="center"/>
          </w:tcPr>
          <w:p w14:paraId="63950F9D">
            <w:pPr>
              <w:pStyle w:val="1535"/>
            </w:pPr>
            <w:r>
              <w:t>满足水环境保护目标水域水环境质量要求□</w:t>
            </w:r>
          </w:p>
        </w:tc>
      </w:tr>
      <w:tr w14:paraId="7B3F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03EAACE">
            <w:pPr>
              <w:pStyle w:val="1535"/>
            </w:pPr>
          </w:p>
        </w:tc>
        <w:tc>
          <w:tcPr>
            <w:tcW w:w="1486" w:type="dxa"/>
            <w:vMerge w:val="continue"/>
            <w:vAlign w:val="center"/>
          </w:tcPr>
          <w:p w14:paraId="0F2B8C49">
            <w:pPr>
              <w:pStyle w:val="1535"/>
            </w:pPr>
          </w:p>
        </w:tc>
        <w:tc>
          <w:tcPr>
            <w:tcW w:w="11634" w:type="dxa"/>
            <w:gridSpan w:val="9"/>
            <w:vAlign w:val="center"/>
          </w:tcPr>
          <w:p w14:paraId="14B19222">
            <w:pPr>
              <w:pStyle w:val="1535"/>
            </w:pPr>
            <w:r>
              <w:t>水环境控制单元或断面水质达标□</w:t>
            </w:r>
          </w:p>
        </w:tc>
      </w:tr>
      <w:tr w14:paraId="7CF2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98268A1">
            <w:pPr>
              <w:pStyle w:val="1535"/>
            </w:pPr>
          </w:p>
        </w:tc>
        <w:tc>
          <w:tcPr>
            <w:tcW w:w="1486" w:type="dxa"/>
            <w:vMerge w:val="continue"/>
            <w:vAlign w:val="center"/>
          </w:tcPr>
          <w:p w14:paraId="7AF4C4B9">
            <w:pPr>
              <w:pStyle w:val="1535"/>
            </w:pPr>
          </w:p>
        </w:tc>
        <w:tc>
          <w:tcPr>
            <w:tcW w:w="11634" w:type="dxa"/>
            <w:gridSpan w:val="9"/>
            <w:vAlign w:val="center"/>
          </w:tcPr>
          <w:p w14:paraId="1B2BDE0D">
            <w:pPr>
              <w:pStyle w:val="1535"/>
            </w:pPr>
            <w:r>
              <w:t>满足重点水污染物排放总量控制指标要求，重点行业建设项目，主要污染物排放满足等量或减量替代要求□</w:t>
            </w:r>
          </w:p>
        </w:tc>
      </w:tr>
      <w:tr w14:paraId="3DAB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9926D78">
            <w:pPr>
              <w:pStyle w:val="1535"/>
            </w:pPr>
          </w:p>
        </w:tc>
        <w:tc>
          <w:tcPr>
            <w:tcW w:w="1486" w:type="dxa"/>
            <w:vMerge w:val="continue"/>
            <w:vAlign w:val="center"/>
          </w:tcPr>
          <w:p w14:paraId="017E8105">
            <w:pPr>
              <w:pStyle w:val="1535"/>
            </w:pPr>
          </w:p>
        </w:tc>
        <w:tc>
          <w:tcPr>
            <w:tcW w:w="11634" w:type="dxa"/>
            <w:gridSpan w:val="9"/>
            <w:vAlign w:val="center"/>
          </w:tcPr>
          <w:p w14:paraId="6D2849FF">
            <w:pPr>
              <w:pStyle w:val="1535"/>
            </w:pPr>
            <w:r>
              <w:t>满足区（流）域水环境质量改善目标要求□</w:t>
            </w:r>
          </w:p>
        </w:tc>
      </w:tr>
      <w:tr w14:paraId="5EFF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D9D437B">
            <w:pPr>
              <w:pStyle w:val="1535"/>
            </w:pPr>
          </w:p>
        </w:tc>
        <w:tc>
          <w:tcPr>
            <w:tcW w:w="1486" w:type="dxa"/>
            <w:vMerge w:val="continue"/>
            <w:vAlign w:val="center"/>
          </w:tcPr>
          <w:p w14:paraId="1532C01F">
            <w:pPr>
              <w:pStyle w:val="1535"/>
            </w:pPr>
          </w:p>
        </w:tc>
        <w:tc>
          <w:tcPr>
            <w:tcW w:w="11634" w:type="dxa"/>
            <w:gridSpan w:val="9"/>
            <w:vAlign w:val="center"/>
          </w:tcPr>
          <w:p w14:paraId="5701113E">
            <w:pPr>
              <w:pStyle w:val="1535"/>
            </w:pPr>
            <w:r>
              <w:t>水文要素影响型建设项目同时应包括水文情势变化评价、主要水文特征值影响评价、生态流量符合性评价□</w:t>
            </w:r>
          </w:p>
        </w:tc>
      </w:tr>
      <w:tr w14:paraId="3D0E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7762535">
            <w:pPr>
              <w:pStyle w:val="1535"/>
            </w:pPr>
          </w:p>
        </w:tc>
        <w:tc>
          <w:tcPr>
            <w:tcW w:w="1486" w:type="dxa"/>
            <w:vMerge w:val="continue"/>
            <w:vAlign w:val="center"/>
          </w:tcPr>
          <w:p w14:paraId="5A7E0B03">
            <w:pPr>
              <w:pStyle w:val="1535"/>
            </w:pPr>
          </w:p>
        </w:tc>
        <w:tc>
          <w:tcPr>
            <w:tcW w:w="11634" w:type="dxa"/>
            <w:gridSpan w:val="9"/>
            <w:vAlign w:val="center"/>
          </w:tcPr>
          <w:p w14:paraId="30796B1A">
            <w:pPr>
              <w:pStyle w:val="1535"/>
            </w:pPr>
            <w:r>
              <w:t>对于新设或调整入河（湖库、近岸海域）排放口的建设项目，应包括排放口设置的环境合理性评价□</w:t>
            </w:r>
          </w:p>
        </w:tc>
      </w:tr>
      <w:tr w14:paraId="015A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11DF341">
            <w:pPr>
              <w:pStyle w:val="1535"/>
            </w:pPr>
          </w:p>
        </w:tc>
        <w:tc>
          <w:tcPr>
            <w:tcW w:w="1486" w:type="dxa"/>
            <w:vMerge w:val="continue"/>
            <w:vAlign w:val="center"/>
          </w:tcPr>
          <w:p w14:paraId="2509FB9A">
            <w:pPr>
              <w:pStyle w:val="1535"/>
            </w:pPr>
          </w:p>
        </w:tc>
        <w:tc>
          <w:tcPr>
            <w:tcW w:w="11634" w:type="dxa"/>
            <w:gridSpan w:val="9"/>
            <w:vAlign w:val="center"/>
          </w:tcPr>
          <w:p w14:paraId="0B060782">
            <w:pPr>
              <w:pStyle w:val="1535"/>
            </w:pPr>
            <w:r>
              <w:t>满足生态保护红线、水环境质量底线、资源利用上线和环境准入清单管理要求R</w:t>
            </w:r>
          </w:p>
        </w:tc>
      </w:tr>
      <w:tr w14:paraId="65D4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11BB12BF">
            <w:pPr>
              <w:pStyle w:val="1535"/>
            </w:pPr>
          </w:p>
        </w:tc>
        <w:tc>
          <w:tcPr>
            <w:tcW w:w="1486" w:type="dxa"/>
            <w:vMerge w:val="restart"/>
            <w:vAlign w:val="center"/>
          </w:tcPr>
          <w:p w14:paraId="50CAD9F1">
            <w:pPr>
              <w:pStyle w:val="1535"/>
            </w:pPr>
            <w:r>
              <w:t>污染源排放量核算</w:t>
            </w:r>
          </w:p>
        </w:tc>
        <w:tc>
          <w:tcPr>
            <w:tcW w:w="3380" w:type="dxa"/>
            <w:vAlign w:val="center"/>
          </w:tcPr>
          <w:p w14:paraId="1117CC81">
            <w:pPr>
              <w:pStyle w:val="1535"/>
            </w:pPr>
            <w:r>
              <w:t>污染物名称</w:t>
            </w:r>
          </w:p>
        </w:tc>
        <w:tc>
          <w:tcPr>
            <w:tcW w:w="2281" w:type="dxa"/>
            <w:gridSpan w:val="4"/>
            <w:vAlign w:val="center"/>
          </w:tcPr>
          <w:p w14:paraId="590D39D8">
            <w:pPr>
              <w:pStyle w:val="1535"/>
            </w:pPr>
            <w:r>
              <w:t>排放量/（t/a）</w:t>
            </w:r>
          </w:p>
        </w:tc>
        <w:tc>
          <w:tcPr>
            <w:tcW w:w="5973" w:type="dxa"/>
            <w:gridSpan w:val="4"/>
            <w:vAlign w:val="center"/>
          </w:tcPr>
          <w:p w14:paraId="6B70EA29">
            <w:pPr>
              <w:pStyle w:val="1535"/>
            </w:pPr>
            <w:r>
              <w:t>排放浓度/（mg/L）</w:t>
            </w:r>
          </w:p>
        </w:tc>
      </w:tr>
      <w:tr w14:paraId="015C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1215D37F">
            <w:pPr>
              <w:pStyle w:val="1535"/>
            </w:pPr>
          </w:p>
        </w:tc>
        <w:tc>
          <w:tcPr>
            <w:tcW w:w="1486" w:type="dxa"/>
            <w:vMerge w:val="continue"/>
            <w:vAlign w:val="center"/>
          </w:tcPr>
          <w:p w14:paraId="6A5F6DA0">
            <w:pPr>
              <w:pStyle w:val="1535"/>
            </w:pPr>
          </w:p>
        </w:tc>
        <w:tc>
          <w:tcPr>
            <w:tcW w:w="3380" w:type="dxa"/>
            <w:vAlign w:val="center"/>
          </w:tcPr>
          <w:p w14:paraId="69FD7FB2">
            <w:pPr>
              <w:pStyle w:val="1535"/>
            </w:pPr>
            <w:r>
              <w:t>COD</w:t>
            </w:r>
          </w:p>
        </w:tc>
        <w:tc>
          <w:tcPr>
            <w:tcW w:w="2281" w:type="dxa"/>
            <w:gridSpan w:val="4"/>
            <w:vAlign w:val="center"/>
          </w:tcPr>
          <w:p w14:paraId="3D18B112">
            <w:pPr>
              <w:pStyle w:val="1535"/>
            </w:pPr>
            <w:r>
              <w:rPr>
                <w:snapToGrid/>
              </w:rPr>
              <w:t>0.1</w:t>
            </w:r>
            <w:r>
              <w:rPr>
                <w:rFonts w:hint="eastAsia"/>
                <w:snapToGrid/>
              </w:rPr>
              <w:t>0</w:t>
            </w:r>
            <w:r>
              <w:rPr>
                <w:snapToGrid/>
              </w:rPr>
              <w:t>5</w:t>
            </w:r>
          </w:p>
        </w:tc>
        <w:tc>
          <w:tcPr>
            <w:tcW w:w="5973" w:type="dxa"/>
            <w:gridSpan w:val="4"/>
            <w:vAlign w:val="center"/>
          </w:tcPr>
          <w:p w14:paraId="774DDE78">
            <w:pPr>
              <w:pStyle w:val="1535"/>
            </w:pPr>
            <w:r>
              <w:t>100</w:t>
            </w:r>
          </w:p>
        </w:tc>
      </w:tr>
      <w:tr w14:paraId="5C7D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A83F7BF">
            <w:pPr>
              <w:pStyle w:val="1535"/>
            </w:pPr>
          </w:p>
        </w:tc>
        <w:tc>
          <w:tcPr>
            <w:tcW w:w="1486" w:type="dxa"/>
            <w:vMerge w:val="continue"/>
            <w:vAlign w:val="center"/>
          </w:tcPr>
          <w:p w14:paraId="13C45007">
            <w:pPr>
              <w:pStyle w:val="1535"/>
            </w:pPr>
          </w:p>
        </w:tc>
        <w:tc>
          <w:tcPr>
            <w:tcW w:w="3380" w:type="dxa"/>
            <w:vAlign w:val="center"/>
          </w:tcPr>
          <w:p w14:paraId="6D3EE239">
            <w:pPr>
              <w:pStyle w:val="1535"/>
            </w:pPr>
            <w:r>
              <w:t>SS</w:t>
            </w:r>
          </w:p>
        </w:tc>
        <w:tc>
          <w:tcPr>
            <w:tcW w:w="2281" w:type="dxa"/>
            <w:gridSpan w:val="4"/>
            <w:vAlign w:val="center"/>
          </w:tcPr>
          <w:p w14:paraId="2079A210">
            <w:pPr>
              <w:pStyle w:val="1535"/>
            </w:pPr>
            <w:r>
              <w:rPr>
                <w:snapToGrid/>
              </w:rPr>
              <w:t>0.</w:t>
            </w:r>
            <w:r>
              <w:rPr>
                <w:rFonts w:hint="eastAsia"/>
                <w:snapToGrid/>
              </w:rPr>
              <w:t>197</w:t>
            </w:r>
          </w:p>
        </w:tc>
        <w:tc>
          <w:tcPr>
            <w:tcW w:w="5973" w:type="dxa"/>
            <w:gridSpan w:val="4"/>
            <w:vAlign w:val="center"/>
          </w:tcPr>
          <w:p w14:paraId="754B154E">
            <w:pPr>
              <w:pStyle w:val="1535"/>
            </w:pPr>
            <w:r>
              <w:t>70</w:t>
            </w:r>
          </w:p>
        </w:tc>
      </w:tr>
      <w:tr w14:paraId="36F6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4A60FE56">
            <w:pPr>
              <w:pStyle w:val="1535"/>
            </w:pPr>
          </w:p>
        </w:tc>
        <w:tc>
          <w:tcPr>
            <w:tcW w:w="1486" w:type="dxa"/>
            <w:vMerge w:val="continue"/>
            <w:vAlign w:val="center"/>
          </w:tcPr>
          <w:p w14:paraId="060A081B">
            <w:pPr>
              <w:pStyle w:val="1535"/>
            </w:pPr>
          </w:p>
        </w:tc>
        <w:tc>
          <w:tcPr>
            <w:tcW w:w="3380" w:type="dxa"/>
            <w:vAlign w:val="center"/>
          </w:tcPr>
          <w:p w14:paraId="49E5A5A3">
            <w:pPr>
              <w:pStyle w:val="1535"/>
            </w:pPr>
            <w:r>
              <w:t>氨氮</w:t>
            </w:r>
          </w:p>
        </w:tc>
        <w:tc>
          <w:tcPr>
            <w:tcW w:w="2281" w:type="dxa"/>
            <w:gridSpan w:val="4"/>
            <w:vAlign w:val="center"/>
          </w:tcPr>
          <w:p w14:paraId="0A10300A">
            <w:pPr>
              <w:pStyle w:val="1535"/>
            </w:pPr>
            <w:r>
              <w:rPr>
                <w:snapToGrid/>
              </w:rPr>
              <w:t>0.0</w:t>
            </w:r>
            <w:r>
              <w:rPr>
                <w:rFonts w:hint="eastAsia"/>
                <w:snapToGrid/>
              </w:rPr>
              <w:t>09</w:t>
            </w:r>
          </w:p>
        </w:tc>
        <w:tc>
          <w:tcPr>
            <w:tcW w:w="5973" w:type="dxa"/>
            <w:gridSpan w:val="4"/>
            <w:vAlign w:val="center"/>
          </w:tcPr>
          <w:p w14:paraId="2A0FB099">
            <w:pPr>
              <w:pStyle w:val="1535"/>
            </w:pPr>
            <w:r>
              <w:t>15</w:t>
            </w:r>
          </w:p>
        </w:tc>
      </w:tr>
      <w:tr w14:paraId="5FDD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2EEDBE2E">
            <w:pPr>
              <w:pStyle w:val="1535"/>
            </w:pPr>
          </w:p>
        </w:tc>
        <w:tc>
          <w:tcPr>
            <w:tcW w:w="1486" w:type="dxa"/>
            <w:vMerge w:val="continue"/>
            <w:vAlign w:val="center"/>
          </w:tcPr>
          <w:p w14:paraId="71A5AFA4">
            <w:pPr>
              <w:pStyle w:val="1535"/>
            </w:pPr>
          </w:p>
        </w:tc>
        <w:tc>
          <w:tcPr>
            <w:tcW w:w="3380" w:type="dxa"/>
            <w:vAlign w:val="center"/>
          </w:tcPr>
          <w:p w14:paraId="7C502AF9">
            <w:pPr>
              <w:pStyle w:val="1535"/>
            </w:pPr>
            <w:r>
              <w:t>动植物油</w:t>
            </w:r>
          </w:p>
        </w:tc>
        <w:tc>
          <w:tcPr>
            <w:tcW w:w="2281" w:type="dxa"/>
            <w:gridSpan w:val="4"/>
            <w:vAlign w:val="center"/>
          </w:tcPr>
          <w:p w14:paraId="2A8D912A">
            <w:pPr>
              <w:pStyle w:val="1535"/>
            </w:pPr>
            <w:r>
              <w:rPr>
                <w:snapToGrid/>
              </w:rPr>
              <w:t xml:space="preserve">0.009 </w:t>
            </w:r>
          </w:p>
        </w:tc>
        <w:tc>
          <w:tcPr>
            <w:tcW w:w="5973" w:type="dxa"/>
            <w:gridSpan w:val="4"/>
            <w:vAlign w:val="center"/>
          </w:tcPr>
          <w:p w14:paraId="1406B1BB">
            <w:pPr>
              <w:pStyle w:val="1535"/>
            </w:pPr>
            <w:r>
              <w:t>10</w:t>
            </w:r>
          </w:p>
        </w:tc>
      </w:tr>
      <w:tr w14:paraId="2A1B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3F2046BD">
            <w:pPr>
              <w:pStyle w:val="1535"/>
            </w:pPr>
          </w:p>
        </w:tc>
        <w:tc>
          <w:tcPr>
            <w:tcW w:w="1486" w:type="dxa"/>
            <w:vMerge w:val="restart"/>
            <w:vAlign w:val="center"/>
          </w:tcPr>
          <w:p w14:paraId="5446867E">
            <w:pPr>
              <w:pStyle w:val="1535"/>
            </w:pPr>
            <w:r>
              <w:t>替代源排放情况</w:t>
            </w:r>
          </w:p>
        </w:tc>
        <w:tc>
          <w:tcPr>
            <w:tcW w:w="3380" w:type="dxa"/>
            <w:vAlign w:val="center"/>
          </w:tcPr>
          <w:p w14:paraId="30A274B4">
            <w:pPr>
              <w:pStyle w:val="1535"/>
            </w:pPr>
            <w:r>
              <w:t>污染源名称</w:t>
            </w:r>
          </w:p>
        </w:tc>
        <w:tc>
          <w:tcPr>
            <w:tcW w:w="1047" w:type="dxa"/>
            <w:gridSpan w:val="2"/>
            <w:vAlign w:val="center"/>
          </w:tcPr>
          <w:p w14:paraId="6363EA91">
            <w:pPr>
              <w:pStyle w:val="1535"/>
            </w:pPr>
            <w:r>
              <w:t>排污许可证编号</w:t>
            </w:r>
          </w:p>
        </w:tc>
        <w:tc>
          <w:tcPr>
            <w:tcW w:w="2133" w:type="dxa"/>
            <w:gridSpan w:val="3"/>
            <w:vAlign w:val="center"/>
          </w:tcPr>
          <w:p w14:paraId="0B2A99F7">
            <w:pPr>
              <w:pStyle w:val="1535"/>
            </w:pPr>
            <w:r>
              <w:t>污染物名称</w:t>
            </w:r>
          </w:p>
        </w:tc>
        <w:tc>
          <w:tcPr>
            <w:tcW w:w="2143" w:type="dxa"/>
            <w:gridSpan w:val="2"/>
            <w:vAlign w:val="center"/>
          </w:tcPr>
          <w:p w14:paraId="7C6151AC">
            <w:pPr>
              <w:pStyle w:val="1535"/>
            </w:pPr>
            <w:r>
              <w:t>排放量/（t/a）</w:t>
            </w:r>
          </w:p>
        </w:tc>
        <w:tc>
          <w:tcPr>
            <w:tcW w:w="2931" w:type="dxa"/>
            <w:vAlign w:val="center"/>
          </w:tcPr>
          <w:p w14:paraId="3C87357C">
            <w:pPr>
              <w:pStyle w:val="1535"/>
            </w:pPr>
            <w:r>
              <w:t>排放浓度/（mg/L）</w:t>
            </w:r>
          </w:p>
        </w:tc>
      </w:tr>
      <w:tr w14:paraId="245B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411DF50">
            <w:pPr>
              <w:pStyle w:val="1535"/>
            </w:pPr>
          </w:p>
        </w:tc>
        <w:tc>
          <w:tcPr>
            <w:tcW w:w="1486" w:type="dxa"/>
            <w:vMerge w:val="continue"/>
            <w:vAlign w:val="center"/>
          </w:tcPr>
          <w:p w14:paraId="3CB0ACCC">
            <w:pPr>
              <w:pStyle w:val="1535"/>
            </w:pPr>
          </w:p>
        </w:tc>
        <w:tc>
          <w:tcPr>
            <w:tcW w:w="3380" w:type="dxa"/>
            <w:vAlign w:val="center"/>
          </w:tcPr>
          <w:p w14:paraId="60E1D271">
            <w:pPr>
              <w:pStyle w:val="1535"/>
            </w:pPr>
            <w:r>
              <w:t>（）</w:t>
            </w:r>
          </w:p>
        </w:tc>
        <w:tc>
          <w:tcPr>
            <w:tcW w:w="1047" w:type="dxa"/>
            <w:gridSpan w:val="2"/>
            <w:vAlign w:val="center"/>
          </w:tcPr>
          <w:p w14:paraId="52532C11">
            <w:pPr>
              <w:pStyle w:val="1535"/>
            </w:pPr>
            <w:r>
              <w:t>（）</w:t>
            </w:r>
          </w:p>
        </w:tc>
        <w:tc>
          <w:tcPr>
            <w:tcW w:w="2133" w:type="dxa"/>
            <w:gridSpan w:val="3"/>
            <w:vAlign w:val="center"/>
          </w:tcPr>
          <w:p w14:paraId="5BCE5B0C">
            <w:pPr>
              <w:pStyle w:val="1535"/>
            </w:pPr>
            <w:r>
              <w:t>（）</w:t>
            </w:r>
          </w:p>
        </w:tc>
        <w:tc>
          <w:tcPr>
            <w:tcW w:w="2143" w:type="dxa"/>
            <w:gridSpan w:val="2"/>
            <w:vAlign w:val="center"/>
          </w:tcPr>
          <w:p w14:paraId="1687B128">
            <w:pPr>
              <w:pStyle w:val="1535"/>
            </w:pPr>
            <w:r>
              <w:t>（）</w:t>
            </w:r>
          </w:p>
        </w:tc>
        <w:tc>
          <w:tcPr>
            <w:tcW w:w="2931" w:type="dxa"/>
            <w:vAlign w:val="center"/>
          </w:tcPr>
          <w:p w14:paraId="6EA3FE2E">
            <w:pPr>
              <w:pStyle w:val="1535"/>
            </w:pPr>
            <w:r>
              <w:t>（）</w:t>
            </w:r>
          </w:p>
        </w:tc>
      </w:tr>
      <w:tr w14:paraId="76B7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5753B2B8">
            <w:pPr>
              <w:pStyle w:val="1535"/>
            </w:pPr>
          </w:p>
        </w:tc>
        <w:tc>
          <w:tcPr>
            <w:tcW w:w="1486" w:type="dxa"/>
            <w:vMerge w:val="restart"/>
            <w:vAlign w:val="center"/>
          </w:tcPr>
          <w:p w14:paraId="40FC3448">
            <w:pPr>
              <w:pStyle w:val="1535"/>
            </w:pPr>
            <w:r>
              <w:t>生态流量确定</w:t>
            </w:r>
          </w:p>
        </w:tc>
        <w:tc>
          <w:tcPr>
            <w:tcW w:w="11634" w:type="dxa"/>
            <w:gridSpan w:val="9"/>
            <w:vAlign w:val="center"/>
          </w:tcPr>
          <w:p w14:paraId="266E762A">
            <w:pPr>
              <w:pStyle w:val="1535"/>
            </w:pPr>
            <w:r>
              <w:t>生态流量：一般水期（）</w:t>
            </w:r>
            <w:r>
              <w:rPr>
                <w:rFonts w:hint="eastAsia"/>
              </w:rPr>
              <w:t>m</w:t>
            </w:r>
            <w:r>
              <w:rPr>
                <w:rFonts w:hint="eastAsia"/>
                <w:vertAlign w:val="superscript"/>
              </w:rPr>
              <w:t>3</w:t>
            </w:r>
            <w:r>
              <w:t>/s；鱼类繁殖期（）</w:t>
            </w:r>
            <w:r>
              <w:rPr>
                <w:rFonts w:hint="eastAsia"/>
              </w:rPr>
              <w:t>m</w:t>
            </w:r>
            <w:r>
              <w:rPr>
                <w:rFonts w:hint="eastAsia"/>
                <w:vertAlign w:val="superscript"/>
              </w:rPr>
              <w:t>3</w:t>
            </w:r>
            <w:r>
              <w:t>/s；其他（）</w:t>
            </w:r>
            <w:r>
              <w:rPr>
                <w:rFonts w:hint="eastAsia"/>
              </w:rPr>
              <w:t>m</w:t>
            </w:r>
            <w:r>
              <w:rPr>
                <w:rFonts w:hint="eastAsia"/>
                <w:vertAlign w:val="superscript"/>
              </w:rPr>
              <w:t>3</w:t>
            </w:r>
            <w:r>
              <w:t>/s</w:t>
            </w:r>
          </w:p>
        </w:tc>
      </w:tr>
      <w:tr w14:paraId="6B15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9CF251D">
            <w:pPr>
              <w:pStyle w:val="1535"/>
            </w:pPr>
          </w:p>
        </w:tc>
        <w:tc>
          <w:tcPr>
            <w:tcW w:w="1486" w:type="dxa"/>
            <w:vMerge w:val="continue"/>
            <w:vAlign w:val="center"/>
          </w:tcPr>
          <w:p w14:paraId="6ACF8B65">
            <w:pPr>
              <w:pStyle w:val="1535"/>
            </w:pPr>
          </w:p>
        </w:tc>
        <w:tc>
          <w:tcPr>
            <w:tcW w:w="11634" w:type="dxa"/>
            <w:gridSpan w:val="9"/>
            <w:vAlign w:val="center"/>
          </w:tcPr>
          <w:p w14:paraId="372394EF">
            <w:pPr>
              <w:pStyle w:val="1535"/>
            </w:pPr>
            <w:r>
              <w:t>生态水位：一般水期（）m；鱼类繁殖期（）m；其他（）m</w:t>
            </w:r>
          </w:p>
        </w:tc>
      </w:tr>
      <w:tr w14:paraId="3F96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vAlign w:val="center"/>
          </w:tcPr>
          <w:p w14:paraId="2C9FEB55">
            <w:pPr>
              <w:pStyle w:val="1535"/>
            </w:pPr>
            <w:r>
              <w:t>防治措施</w:t>
            </w:r>
          </w:p>
        </w:tc>
        <w:tc>
          <w:tcPr>
            <w:tcW w:w="1486" w:type="dxa"/>
            <w:vAlign w:val="center"/>
          </w:tcPr>
          <w:p w14:paraId="0E13EDEE">
            <w:pPr>
              <w:pStyle w:val="1535"/>
            </w:pPr>
            <w:r>
              <w:t>环保措施</w:t>
            </w:r>
          </w:p>
        </w:tc>
        <w:tc>
          <w:tcPr>
            <w:tcW w:w="11634" w:type="dxa"/>
            <w:gridSpan w:val="9"/>
            <w:vAlign w:val="center"/>
          </w:tcPr>
          <w:p w14:paraId="2D9B72F8">
            <w:pPr>
              <w:pStyle w:val="1535"/>
            </w:pPr>
            <w:r>
              <w:t>污水处理设施√；水文减缓设施□；生态流量保障设施□；区域削减□；依托其他工程措施□；其他□</w:t>
            </w:r>
          </w:p>
        </w:tc>
      </w:tr>
      <w:tr w14:paraId="6F26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430331C">
            <w:pPr>
              <w:pStyle w:val="1535"/>
            </w:pPr>
          </w:p>
        </w:tc>
        <w:tc>
          <w:tcPr>
            <w:tcW w:w="1486" w:type="dxa"/>
            <w:vMerge w:val="restart"/>
            <w:vAlign w:val="center"/>
          </w:tcPr>
          <w:p w14:paraId="4825738A">
            <w:pPr>
              <w:pStyle w:val="1535"/>
            </w:pPr>
            <w:r>
              <w:t>监测计划</w:t>
            </w:r>
          </w:p>
        </w:tc>
        <w:tc>
          <w:tcPr>
            <w:tcW w:w="3953" w:type="dxa"/>
            <w:gridSpan w:val="2"/>
            <w:vAlign w:val="center"/>
          </w:tcPr>
          <w:p w14:paraId="5FCE6214">
            <w:pPr>
              <w:pStyle w:val="1535"/>
            </w:pPr>
          </w:p>
        </w:tc>
        <w:tc>
          <w:tcPr>
            <w:tcW w:w="3609" w:type="dxa"/>
            <w:gridSpan w:val="5"/>
            <w:vAlign w:val="center"/>
          </w:tcPr>
          <w:p w14:paraId="0B957728">
            <w:pPr>
              <w:pStyle w:val="1535"/>
            </w:pPr>
            <w:r>
              <w:t>环境质量</w:t>
            </w:r>
          </w:p>
        </w:tc>
        <w:tc>
          <w:tcPr>
            <w:tcW w:w="4072" w:type="dxa"/>
            <w:gridSpan w:val="2"/>
            <w:vAlign w:val="center"/>
          </w:tcPr>
          <w:p w14:paraId="0008DD80">
            <w:pPr>
              <w:pStyle w:val="1535"/>
            </w:pPr>
            <w:r>
              <w:t>污染源</w:t>
            </w:r>
          </w:p>
        </w:tc>
      </w:tr>
      <w:tr w14:paraId="00BD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275F7E15">
            <w:pPr>
              <w:pStyle w:val="1535"/>
            </w:pPr>
          </w:p>
        </w:tc>
        <w:tc>
          <w:tcPr>
            <w:tcW w:w="1486" w:type="dxa"/>
            <w:vMerge w:val="continue"/>
            <w:vAlign w:val="center"/>
          </w:tcPr>
          <w:p w14:paraId="1574A075">
            <w:pPr>
              <w:pStyle w:val="1535"/>
            </w:pPr>
          </w:p>
        </w:tc>
        <w:tc>
          <w:tcPr>
            <w:tcW w:w="3953" w:type="dxa"/>
            <w:gridSpan w:val="2"/>
            <w:vAlign w:val="center"/>
          </w:tcPr>
          <w:p w14:paraId="363C5E27">
            <w:pPr>
              <w:pStyle w:val="1535"/>
            </w:pPr>
            <w:r>
              <w:t>监测方式</w:t>
            </w:r>
          </w:p>
        </w:tc>
        <w:tc>
          <w:tcPr>
            <w:tcW w:w="3609" w:type="dxa"/>
            <w:gridSpan w:val="5"/>
            <w:vAlign w:val="center"/>
          </w:tcPr>
          <w:p w14:paraId="44F4DA1B">
            <w:pPr>
              <w:pStyle w:val="1535"/>
            </w:pPr>
            <w:r>
              <w:t>手动□；自动□；无监测□</w:t>
            </w:r>
          </w:p>
        </w:tc>
        <w:tc>
          <w:tcPr>
            <w:tcW w:w="4072" w:type="dxa"/>
            <w:gridSpan w:val="2"/>
            <w:vAlign w:val="center"/>
          </w:tcPr>
          <w:p w14:paraId="006012C8">
            <w:pPr>
              <w:pStyle w:val="1535"/>
            </w:pPr>
            <w:r>
              <w:t>手动√；自动√；无监测□</w:t>
            </w:r>
          </w:p>
        </w:tc>
      </w:tr>
      <w:tr w14:paraId="1FE0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5B5C951">
            <w:pPr>
              <w:pStyle w:val="1535"/>
            </w:pPr>
          </w:p>
        </w:tc>
        <w:tc>
          <w:tcPr>
            <w:tcW w:w="1486" w:type="dxa"/>
            <w:vMerge w:val="continue"/>
            <w:vAlign w:val="center"/>
          </w:tcPr>
          <w:p w14:paraId="59F91309">
            <w:pPr>
              <w:pStyle w:val="1535"/>
            </w:pPr>
          </w:p>
        </w:tc>
        <w:tc>
          <w:tcPr>
            <w:tcW w:w="3953" w:type="dxa"/>
            <w:gridSpan w:val="2"/>
            <w:vAlign w:val="center"/>
          </w:tcPr>
          <w:p w14:paraId="435C2101">
            <w:pPr>
              <w:pStyle w:val="1535"/>
            </w:pPr>
            <w:r>
              <w:t>监测点位</w:t>
            </w:r>
          </w:p>
        </w:tc>
        <w:tc>
          <w:tcPr>
            <w:tcW w:w="3609" w:type="dxa"/>
            <w:gridSpan w:val="5"/>
            <w:vAlign w:val="center"/>
          </w:tcPr>
          <w:p w14:paraId="406AE9F2">
            <w:pPr>
              <w:pStyle w:val="1535"/>
            </w:pPr>
            <w:r>
              <w:t>（）</w:t>
            </w:r>
          </w:p>
        </w:tc>
        <w:tc>
          <w:tcPr>
            <w:tcW w:w="4072" w:type="dxa"/>
            <w:gridSpan w:val="2"/>
            <w:vAlign w:val="center"/>
          </w:tcPr>
          <w:p w14:paraId="609DC6CC">
            <w:pPr>
              <w:pStyle w:val="1535"/>
            </w:pPr>
            <w:r>
              <w:t>（厂区废水处理站总排口）</w:t>
            </w:r>
          </w:p>
        </w:tc>
      </w:tr>
      <w:tr w14:paraId="4998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00544982">
            <w:pPr>
              <w:pStyle w:val="1535"/>
            </w:pPr>
          </w:p>
        </w:tc>
        <w:tc>
          <w:tcPr>
            <w:tcW w:w="1486" w:type="dxa"/>
            <w:vMerge w:val="continue"/>
            <w:vAlign w:val="center"/>
          </w:tcPr>
          <w:p w14:paraId="3C94BC52">
            <w:pPr>
              <w:pStyle w:val="1535"/>
            </w:pPr>
          </w:p>
        </w:tc>
        <w:tc>
          <w:tcPr>
            <w:tcW w:w="3953" w:type="dxa"/>
            <w:gridSpan w:val="2"/>
            <w:vAlign w:val="center"/>
          </w:tcPr>
          <w:p w14:paraId="31096331">
            <w:pPr>
              <w:pStyle w:val="1535"/>
            </w:pPr>
            <w:r>
              <w:t>监测因子</w:t>
            </w:r>
          </w:p>
        </w:tc>
        <w:tc>
          <w:tcPr>
            <w:tcW w:w="3609" w:type="dxa"/>
            <w:gridSpan w:val="5"/>
            <w:vAlign w:val="center"/>
          </w:tcPr>
          <w:p w14:paraId="502F2904">
            <w:pPr>
              <w:pStyle w:val="1535"/>
            </w:pPr>
            <w:r>
              <w:t>（）</w:t>
            </w:r>
          </w:p>
        </w:tc>
        <w:tc>
          <w:tcPr>
            <w:tcW w:w="4072" w:type="dxa"/>
            <w:gridSpan w:val="2"/>
            <w:vAlign w:val="center"/>
          </w:tcPr>
          <w:p w14:paraId="3C454C9B">
            <w:pPr>
              <w:pStyle w:val="1535"/>
            </w:pPr>
            <w:r>
              <w:t>（废水量、pH、COD、SS、NH</w:t>
            </w:r>
            <w:r>
              <w:rPr>
                <w:vertAlign w:val="subscript"/>
              </w:rPr>
              <w:t>3</w:t>
            </w:r>
            <w:r>
              <w:t>-N、石油类、动植物油、氟化物）</w:t>
            </w:r>
          </w:p>
        </w:tc>
      </w:tr>
      <w:tr w14:paraId="060F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vAlign w:val="center"/>
          </w:tcPr>
          <w:p w14:paraId="7E82B7D0">
            <w:pPr>
              <w:pStyle w:val="1535"/>
            </w:pPr>
          </w:p>
        </w:tc>
        <w:tc>
          <w:tcPr>
            <w:tcW w:w="1486" w:type="dxa"/>
            <w:vAlign w:val="center"/>
          </w:tcPr>
          <w:p w14:paraId="77D2AD6E">
            <w:pPr>
              <w:pStyle w:val="1535"/>
            </w:pPr>
            <w:r>
              <w:t>污染物排放清单</w:t>
            </w:r>
          </w:p>
        </w:tc>
        <w:tc>
          <w:tcPr>
            <w:tcW w:w="11634" w:type="dxa"/>
            <w:gridSpan w:val="9"/>
            <w:vAlign w:val="center"/>
          </w:tcPr>
          <w:p w14:paraId="6854535D">
            <w:pPr>
              <w:pStyle w:val="1535"/>
            </w:pPr>
            <w:r>
              <w:t>/</w:t>
            </w:r>
          </w:p>
        </w:tc>
      </w:tr>
      <w:tr w14:paraId="49E9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55" w:type="dxa"/>
            <w:gridSpan w:val="2"/>
            <w:vAlign w:val="center"/>
          </w:tcPr>
          <w:p w14:paraId="08AA5F59">
            <w:pPr>
              <w:pStyle w:val="1535"/>
            </w:pPr>
            <w:r>
              <w:t>评价结论</w:t>
            </w:r>
          </w:p>
        </w:tc>
        <w:tc>
          <w:tcPr>
            <w:tcW w:w="11634" w:type="dxa"/>
            <w:gridSpan w:val="9"/>
            <w:vAlign w:val="center"/>
          </w:tcPr>
          <w:p w14:paraId="0B189A73">
            <w:pPr>
              <w:pStyle w:val="1535"/>
            </w:pPr>
            <w:r>
              <w:t>可以接受√；不可以接受□</w:t>
            </w:r>
          </w:p>
        </w:tc>
      </w:tr>
      <w:tr w14:paraId="5687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89" w:type="dxa"/>
            <w:gridSpan w:val="11"/>
            <w:vAlign w:val="center"/>
          </w:tcPr>
          <w:p w14:paraId="2B903681">
            <w:pPr>
              <w:pStyle w:val="1535"/>
            </w:pPr>
            <w:r>
              <w:t>注：“□”为勾选项，可</w:t>
            </w:r>
            <w:r>
              <w:rPr>
                <w:rFonts w:hint="eastAsia" w:ascii="MS Gothic" w:hAnsi="MS Gothic" w:eastAsia="MS Gothic" w:cs="MS Gothic"/>
              </w:rPr>
              <w:t>✔</w:t>
            </w:r>
            <w:r>
              <w:t>；“（）”为内容填写项；“备注”为其他补充内容</w:t>
            </w:r>
          </w:p>
        </w:tc>
      </w:tr>
    </w:tbl>
    <w:p w14:paraId="2FBFA9DA">
      <w:pPr>
        <w:spacing w:before="32"/>
        <w:ind w:firstLine="520"/>
        <w:rPr>
          <w:color w:val="000000" w:themeColor="text1"/>
          <w14:textFill>
            <w14:solidFill>
              <w14:schemeClr w14:val="tx1"/>
            </w14:solidFill>
          </w14:textFill>
        </w:rPr>
      </w:pPr>
    </w:p>
    <w:p w14:paraId="66E3E59D">
      <w:pPr>
        <w:spacing w:before="32"/>
        <w:ind w:firstLine="520"/>
        <w:rPr>
          <w:color w:val="000000" w:themeColor="text1"/>
          <w14:textFill>
            <w14:solidFill>
              <w14:schemeClr w14:val="tx1"/>
            </w14:solidFill>
          </w14:textFill>
        </w:rPr>
        <w:sectPr>
          <w:pgSz w:w="16838" w:h="11906" w:orient="landscape"/>
          <w:pgMar w:top="1701" w:right="1418" w:bottom="1134" w:left="1701" w:header="851" w:footer="992" w:gutter="0"/>
          <w:cols w:space="720" w:num="1"/>
          <w:docGrid w:type="lines" w:linePitch="326" w:charSpace="0"/>
        </w:sectPr>
      </w:pPr>
    </w:p>
    <w:p w14:paraId="4FEC9492">
      <w:pPr>
        <w:pStyle w:val="4"/>
        <w:rPr>
          <w:color w:val="000000" w:themeColor="text1"/>
          <w14:textFill>
            <w14:solidFill>
              <w14:schemeClr w14:val="tx1"/>
            </w14:solidFill>
          </w14:textFill>
        </w:rPr>
      </w:pPr>
      <w:bookmarkStart w:id="276" w:name="_Toc28029"/>
      <w:bookmarkStart w:id="277" w:name="_Toc534876532"/>
      <w:bookmarkStart w:id="278" w:name="_Toc55506334"/>
      <w:bookmarkStart w:id="279" w:name="_Toc11368"/>
      <w:bookmarkStart w:id="280" w:name="_Toc55522445"/>
      <w:r>
        <w:rPr>
          <w:rFonts w:hint="eastAsia"/>
          <w:color w:val="000000" w:themeColor="text1"/>
          <w14:textFill>
            <w14:solidFill>
              <w14:schemeClr w14:val="tx1"/>
            </w14:solidFill>
          </w14:textFill>
        </w:rPr>
        <w:t>地下水</w:t>
      </w:r>
      <w:r>
        <w:rPr>
          <w:color w:val="000000" w:themeColor="text1"/>
          <w14:textFill>
            <w14:solidFill>
              <w14:schemeClr w14:val="tx1"/>
            </w14:solidFill>
          </w14:textFill>
        </w:rPr>
        <w:t>影响预测与评价</w:t>
      </w:r>
      <w:bookmarkEnd w:id="276"/>
    </w:p>
    <w:p w14:paraId="420C8B6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特点，项目所在的臻宝半导体公司和臻宝科技公司厂区均位于同一水位地质单元，本次整体进行地下水评价。项目可能导致地下水污染的途径主要为地面渗漏、管网渗漏，污染源主要为清洗线各类槽体、化学品仓库及污水处理站。</w:t>
      </w:r>
    </w:p>
    <w:p w14:paraId="764C59C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（1）正常情况</w:t>
      </w:r>
    </w:p>
    <w:p w14:paraId="6A1E5C46">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项目清洗线均位于厂房2F。</w:t>
      </w:r>
      <w:r>
        <w:rPr>
          <w:rFonts w:hint="eastAsia" w:cs="宋体"/>
          <w:color w:val="000000" w:themeColor="text1"/>
          <w14:textFill>
            <w14:solidFill>
              <w14:schemeClr w14:val="tx1"/>
            </w14:solidFill>
          </w14:textFill>
        </w:rPr>
        <w:t>车间作业面和污水排放管均采用防腐蚀材料制作，各槽体、废水收集池均作防腐防渗处理。此外，项目化学品库房、危废贮存设施等均按</w:t>
      </w:r>
      <w:r>
        <w:rPr>
          <w:rFonts w:hint="eastAsia"/>
          <w:color w:val="000000" w:themeColor="text1"/>
          <w14:textFill>
            <w14:solidFill>
              <w14:schemeClr w14:val="tx1"/>
            </w14:solidFill>
          </w14:textFill>
        </w:rPr>
        <w:t>重点防渗区设计，采取上述措施后，项目正常情况下对区域地下水影响很小。</w:t>
      </w:r>
    </w:p>
    <w:p w14:paraId="29C6CFDC">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）非正常情况</w:t>
      </w:r>
    </w:p>
    <w:p w14:paraId="4B20EA03">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项目废水主要为清洗废水，污染物浓度较低，结合项目特点，本次非正常排放按照污水处理站泄露作为预测场景。</w:t>
      </w:r>
    </w:p>
    <w:p w14:paraId="48BE4CAE">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①预测情景设置</w:t>
      </w:r>
    </w:p>
    <w:p w14:paraId="47909603">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污水处理站发生泄漏，主要污染物（氟化物）以一定浓度持续泄漏的情况。</w:t>
      </w:r>
    </w:p>
    <w:p w14:paraId="10D7D306">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②预测因子及源强</w:t>
      </w:r>
    </w:p>
    <w:p w14:paraId="42C7502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选取氟化物为预测因子，废水中氟化物浓度约100mg/L。背景浓度按监控井最大监测值0.42mg/L计。</w:t>
      </w:r>
    </w:p>
    <w:p w14:paraId="735B43E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③预测模式</w:t>
      </w:r>
    </w:p>
    <w:p w14:paraId="0F49F827">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项目地下水评价等级为三级，依照《环境影响评价技术导则地下水环境》（</w:t>
      </w:r>
      <w:r>
        <w:rPr>
          <w:color w:val="000000" w:themeColor="text1"/>
          <w14:textFill>
            <w14:solidFill>
              <w14:schemeClr w14:val="tx1"/>
            </w14:solidFill>
          </w14:textFill>
        </w:rPr>
        <w:t>HJ610-2016</w:t>
      </w:r>
      <w:r>
        <w:rPr>
          <w:rFonts w:hint="eastAsia"/>
          <w:color w:val="000000" w:themeColor="text1"/>
          <w14:textFill>
            <w14:solidFill>
              <w14:schemeClr w14:val="tx1"/>
            </w14:solidFill>
          </w14:textFill>
        </w:rPr>
        <w:t>）采用地下水溶质运移解析法。根据预测情景和场区水文地质条件，将本项目地下水预测模式概化为一维稳定流动一维动力弥散问题中的一维半无线长多孔介质柱体，一端为定浓度边界模型，当取平行地下水流动的方向为</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轴正方向时，则污染物浓度分布模型如下：</w:t>
      </w:r>
    </w:p>
    <w:p w14:paraId="23C198DB">
      <w:pPr>
        <w:spacing w:line="240" w:lineRule="auto"/>
        <w:ind w:firstLine="520"/>
        <w:rPr>
          <w:color w:val="000000" w:themeColor="text1"/>
          <w:szCs w:val="26"/>
          <w14:textFill>
            <w14:solidFill>
              <w14:schemeClr w14:val="tx1"/>
            </w14:solidFill>
          </w14:textFill>
        </w:rPr>
      </w:pPr>
      <w:r>
        <w:rPr>
          <w:color w:val="000000" w:themeColor="text1"/>
          <w14:textFill>
            <w14:solidFill>
              <w14:schemeClr w14:val="tx1"/>
            </w14:solidFill>
          </w14:textFill>
        </w:rPr>
        <w:drawing>
          <wp:inline distT="0" distB="0" distL="0" distR="0">
            <wp:extent cx="5391150" cy="742950"/>
            <wp:effectExtent l="0" t="0" r="0" b="0"/>
            <wp:docPr id="3645346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34666" name="图片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391150" cy="742950"/>
                    </a:xfrm>
                    <a:prstGeom prst="rect">
                      <a:avLst/>
                    </a:prstGeom>
                    <a:noFill/>
                    <a:ln>
                      <a:noFill/>
                    </a:ln>
                  </pic:spPr>
                </pic:pic>
              </a:graphicData>
            </a:graphic>
          </wp:inline>
        </w:drawing>
      </w:r>
    </w:p>
    <w:p w14:paraId="5511D53C">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式中：</w:t>
      </w:r>
      <w:r>
        <w:rPr>
          <w:color w:val="000000" w:themeColor="text1"/>
          <w:szCs w:val="26"/>
          <w14:textFill>
            <w14:solidFill>
              <w14:schemeClr w14:val="tx1"/>
            </w14:solidFill>
          </w14:textFill>
        </w:rPr>
        <w:t>x-</w:t>
      </w:r>
      <w:r>
        <w:rPr>
          <w:rFonts w:hint="eastAsia"/>
          <w:color w:val="000000" w:themeColor="text1"/>
          <w:szCs w:val="26"/>
          <w14:textFill>
            <w14:solidFill>
              <w14:schemeClr w14:val="tx1"/>
            </w14:solidFill>
          </w14:textFill>
        </w:rPr>
        <w:t>距注入点的距离，</w:t>
      </w:r>
      <w:r>
        <w:rPr>
          <w:color w:val="000000" w:themeColor="text1"/>
          <w:szCs w:val="26"/>
          <w14:textFill>
            <w14:solidFill>
              <w14:schemeClr w14:val="tx1"/>
            </w14:solidFill>
          </w14:textFill>
        </w:rPr>
        <w:t>m</w:t>
      </w:r>
      <w:r>
        <w:rPr>
          <w:rFonts w:hint="eastAsia"/>
          <w:color w:val="000000" w:themeColor="text1"/>
          <w:szCs w:val="26"/>
          <w14:textFill>
            <w14:solidFill>
              <w14:schemeClr w14:val="tx1"/>
            </w14:solidFill>
          </w14:textFill>
        </w:rPr>
        <w:t>；</w:t>
      </w:r>
    </w:p>
    <w:p w14:paraId="282E4A2C">
      <w:pPr>
        <w:ind w:firstLine="1300" w:firstLineChars="500"/>
        <w:rPr>
          <w:color w:val="000000" w:themeColor="text1"/>
          <w:szCs w:val="26"/>
          <w14:textFill>
            <w14:solidFill>
              <w14:schemeClr w14:val="tx1"/>
            </w14:solidFill>
          </w14:textFill>
        </w:rPr>
      </w:pPr>
      <w:r>
        <w:rPr>
          <w:color w:val="000000" w:themeColor="text1"/>
          <w:szCs w:val="26"/>
          <w14:textFill>
            <w14:solidFill>
              <w14:schemeClr w14:val="tx1"/>
            </w14:solidFill>
          </w14:textFill>
        </w:rPr>
        <w:t>t-</w:t>
      </w:r>
      <w:r>
        <w:rPr>
          <w:rFonts w:hint="eastAsia"/>
          <w:color w:val="000000" w:themeColor="text1"/>
          <w:szCs w:val="26"/>
          <w14:textFill>
            <w14:solidFill>
              <w14:schemeClr w14:val="tx1"/>
            </w14:solidFill>
          </w14:textFill>
        </w:rPr>
        <w:t>时间，</w:t>
      </w:r>
      <w:r>
        <w:rPr>
          <w:color w:val="000000" w:themeColor="text1"/>
          <w:szCs w:val="26"/>
          <w14:textFill>
            <w14:solidFill>
              <w14:schemeClr w14:val="tx1"/>
            </w14:solidFill>
          </w14:textFill>
        </w:rPr>
        <w:t>d</w:t>
      </w:r>
      <w:r>
        <w:rPr>
          <w:rFonts w:hint="eastAsia"/>
          <w:color w:val="000000" w:themeColor="text1"/>
          <w:szCs w:val="26"/>
          <w14:textFill>
            <w14:solidFill>
              <w14:schemeClr w14:val="tx1"/>
            </w14:solidFill>
          </w14:textFill>
        </w:rPr>
        <w:t>；</w:t>
      </w:r>
    </w:p>
    <w:p w14:paraId="12E038A1">
      <w:pPr>
        <w:ind w:firstLine="1300" w:firstLineChars="500"/>
        <w:rPr>
          <w:color w:val="000000" w:themeColor="text1"/>
          <w:szCs w:val="26"/>
          <w14:textFill>
            <w14:solidFill>
              <w14:schemeClr w14:val="tx1"/>
            </w14:solidFill>
          </w14:textFill>
        </w:rPr>
      </w:pPr>
      <w:r>
        <w:rPr>
          <w:color w:val="000000" w:themeColor="text1"/>
          <w:szCs w:val="26"/>
          <w14:textFill>
            <w14:solidFill>
              <w14:schemeClr w14:val="tx1"/>
            </w14:solidFill>
          </w14:textFill>
        </w:rPr>
        <w:t>C(x,t)-t</w:t>
      </w:r>
      <w:r>
        <w:rPr>
          <w:rFonts w:hint="eastAsia"/>
          <w:color w:val="000000" w:themeColor="text1"/>
          <w:szCs w:val="26"/>
          <w14:textFill>
            <w14:solidFill>
              <w14:schemeClr w14:val="tx1"/>
            </w14:solidFill>
          </w14:textFill>
        </w:rPr>
        <w:t>时刻点</w:t>
      </w:r>
      <w:r>
        <w:rPr>
          <w:color w:val="000000" w:themeColor="text1"/>
          <w:szCs w:val="26"/>
          <w14:textFill>
            <w14:solidFill>
              <w14:schemeClr w14:val="tx1"/>
            </w14:solidFill>
          </w14:textFill>
        </w:rPr>
        <w:t>x</w:t>
      </w:r>
      <w:r>
        <w:rPr>
          <w:rFonts w:hint="eastAsia"/>
          <w:color w:val="000000" w:themeColor="text1"/>
          <w:szCs w:val="26"/>
          <w14:textFill>
            <w14:solidFill>
              <w14:schemeClr w14:val="tx1"/>
            </w14:solidFill>
          </w14:textFill>
        </w:rPr>
        <w:t>处的示踪剂浓度，</w:t>
      </w:r>
      <w:r>
        <w:rPr>
          <w:color w:val="000000" w:themeColor="text1"/>
          <w:szCs w:val="26"/>
          <w14:textFill>
            <w14:solidFill>
              <w14:schemeClr w14:val="tx1"/>
            </w14:solidFill>
          </w14:textFill>
        </w:rPr>
        <w:t>g/L</w:t>
      </w:r>
      <w:r>
        <w:rPr>
          <w:rFonts w:hint="eastAsia"/>
          <w:color w:val="000000" w:themeColor="text1"/>
          <w:szCs w:val="26"/>
          <w14:textFill>
            <w14:solidFill>
              <w14:schemeClr w14:val="tx1"/>
            </w14:solidFill>
          </w14:textFill>
        </w:rPr>
        <w:t>；</w:t>
      </w:r>
    </w:p>
    <w:p w14:paraId="3EE92645">
      <w:pPr>
        <w:ind w:firstLine="1300" w:firstLineChars="500"/>
        <w:rPr>
          <w:color w:val="000000" w:themeColor="text1"/>
          <w:szCs w:val="26"/>
          <w14:textFill>
            <w14:solidFill>
              <w14:schemeClr w14:val="tx1"/>
            </w14:solidFill>
          </w14:textFill>
        </w:rPr>
      </w:pPr>
      <w:r>
        <w:rPr>
          <w:color w:val="000000" w:themeColor="text1"/>
          <w:szCs w:val="26"/>
          <w14:textFill>
            <w14:solidFill>
              <w14:schemeClr w14:val="tx1"/>
            </w14:solidFill>
          </w14:textFill>
        </w:rPr>
        <w:t>C</w:t>
      </w:r>
      <w:r>
        <w:rPr>
          <w:color w:val="000000" w:themeColor="text1"/>
          <w:szCs w:val="26"/>
          <w:vertAlign w:val="subscript"/>
          <w14:textFill>
            <w14:solidFill>
              <w14:schemeClr w14:val="tx1"/>
            </w14:solidFill>
          </w14:textFill>
        </w:rPr>
        <w:t>0</w:t>
      </w:r>
      <w:r>
        <w:rPr>
          <w:color w:val="000000" w:themeColor="text1"/>
          <w:szCs w:val="26"/>
          <w14:textFill>
            <w14:solidFill>
              <w14:schemeClr w14:val="tx1"/>
            </w14:solidFill>
          </w14:textFill>
        </w:rPr>
        <w:t>-</w:t>
      </w:r>
      <w:r>
        <w:rPr>
          <w:rFonts w:hint="eastAsia"/>
          <w:color w:val="000000" w:themeColor="text1"/>
          <w:szCs w:val="26"/>
          <w14:textFill>
            <w14:solidFill>
              <w14:schemeClr w14:val="tx1"/>
            </w14:solidFill>
          </w14:textFill>
        </w:rPr>
        <w:t>注入的示踪剂浓度；</w:t>
      </w:r>
    </w:p>
    <w:p w14:paraId="116DFE3C">
      <w:pPr>
        <w:ind w:firstLine="1300" w:firstLineChars="500"/>
        <w:rPr>
          <w:color w:val="000000" w:themeColor="text1"/>
          <w:szCs w:val="26"/>
          <w14:textFill>
            <w14:solidFill>
              <w14:schemeClr w14:val="tx1"/>
            </w14:solidFill>
          </w14:textFill>
        </w:rPr>
      </w:pPr>
      <w:r>
        <w:rPr>
          <w:color w:val="000000" w:themeColor="text1"/>
          <w:szCs w:val="26"/>
          <w14:textFill>
            <w14:solidFill>
              <w14:schemeClr w14:val="tx1"/>
            </w14:solidFill>
          </w14:textFill>
        </w:rPr>
        <w:t>u-</w:t>
      </w:r>
      <w:r>
        <w:rPr>
          <w:rFonts w:hint="eastAsia"/>
          <w:color w:val="000000" w:themeColor="text1"/>
          <w:szCs w:val="26"/>
          <w14:textFill>
            <w14:solidFill>
              <w14:schemeClr w14:val="tx1"/>
            </w14:solidFill>
          </w14:textFill>
        </w:rPr>
        <w:t>水流速度，</w:t>
      </w:r>
      <w:r>
        <w:rPr>
          <w:color w:val="000000" w:themeColor="text1"/>
          <w:szCs w:val="26"/>
          <w14:textFill>
            <w14:solidFill>
              <w14:schemeClr w14:val="tx1"/>
            </w14:solidFill>
          </w14:textFill>
        </w:rPr>
        <w:t>m/d</w:t>
      </w:r>
      <w:r>
        <w:rPr>
          <w:rFonts w:hint="eastAsia"/>
          <w:color w:val="000000" w:themeColor="text1"/>
          <w:szCs w:val="26"/>
          <w14:textFill>
            <w14:solidFill>
              <w14:schemeClr w14:val="tx1"/>
            </w14:solidFill>
          </w14:textFill>
        </w:rPr>
        <w:t>；</w:t>
      </w:r>
      <w:r>
        <w:rPr>
          <w:color w:val="000000" w:themeColor="text1"/>
          <w:szCs w:val="26"/>
          <w14:textFill>
            <w14:solidFill>
              <w14:schemeClr w14:val="tx1"/>
            </w14:solidFill>
          </w14:textFill>
        </w:rPr>
        <w:t>u=KI/ne</w:t>
      </w:r>
      <w:r>
        <w:rPr>
          <w:rFonts w:hint="eastAsia"/>
          <w:color w:val="000000" w:themeColor="text1"/>
          <w:szCs w:val="26"/>
          <w14:textFill>
            <w14:solidFill>
              <w14:schemeClr w14:val="tx1"/>
            </w14:solidFill>
          </w14:textFill>
        </w:rPr>
        <w:t>；</w:t>
      </w:r>
    </w:p>
    <w:p w14:paraId="43BEFD1E">
      <w:pPr>
        <w:ind w:firstLine="1300" w:firstLineChars="500"/>
        <w:rPr>
          <w:color w:val="000000" w:themeColor="text1"/>
          <w:szCs w:val="26"/>
          <w14:textFill>
            <w14:solidFill>
              <w14:schemeClr w14:val="tx1"/>
            </w14:solidFill>
          </w14:textFill>
        </w:rPr>
      </w:pPr>
      <w:r>
        <w:rPr>
          <w:color w:val="000000" w:themeColor="text1"/>
          <w:szCs w:val="26"/>
          <w14:textFill>
            <w14:solidFill>
              <w14:schemeClr w14:val="tx1"/>
            </w14:solidFill>
          </w14:textFill>
        </w:rPr>
        <w:t>ne-</w:t>
      </w:r>
      <w:r>
        <w:rPr>
          <w:rFonts w:hint="eastAsia"/>
          <w:color w:val="000000" w:themeColor="text1"/>
          <w:szCs w:val="26"/>
          <w14:textFill>
            <w14:solidFill>
              <w14:schemeClr w14:val="tx1"/>
            </w14:solidFill>
          </w14:textFill>
        </w:rPr>
        <w:t>有效孔隙度；</w:t>
      </w:r>
    </w:p>
    <w:p w14:paraId="11014004">
      <w:pPr>
        <w:ind w:firstLine="1300" w:firstLineChars="500"/>
        <w:rPr>
          <w:color w:val="000000" w:themeColor="text1"/>
          <w:szCs w:val="26"/>
          <w14:textFill>
            <w14:solidFill>
              <w14:schemeClr w14:val="tx1"/>
            </w14:solidFill>
          </w14:textFill>
        </w:rPr>
      </w:pPr>
      <w:r>
        <w:rPr>
          <w:color w:val="000000" w:themeColor="text1"/>
          <w:szCs w:val="26"/>
          <w14:textFill>
            <w14:solidFill>
              <w14:schemeClr w14:val="tx1"/>
            </w14:solidFill>
          </w14:textFill>
        </w:rPr>
        <w:t>K-</w:t>
      </w:r>
      <w:r>
        <w:rPr>
          <w:rFonts w:hint="eastAsia"/>
          <w:color w:val="000000" w:themeColor="text1"/>
          <w:szCs w:val="26"/>
          <w14:textFill>
            <w14:solidFill>
              <w14:schemeClr w14:val="tx1"/>
            </w14:solidFill>
          </w14:textFill>
        </w:rPr>
        <w:t>为含水层渗透系数，</w:t>
      </w:r>
      <w:r>
        <w:rPr>
          <w:color w:val="000000" w:themeColor="text1"/>
          <w:szCs w:val="26"/>
          <w14:textFill>
            <w14:solidFill>
              <w14:schemeClr w14:val="tx1"/>
            </w14:solidFill>
          </w14:textFill>
        </w:rPr>
        <w:t>I-</w:t>
      </w:r>
      <w:r>
        <w:rPr>
          <w:rFonts w:hint="eastAsia"/>
          <w:color w:val="000000" w:themeColor="text1"/>
          <w:szCs w:val="26"/>
          <w14:textFill>
            <w14:solidFill>
              <w14:schemeClr w14:val="tx1"/>
            </w14:solidFill>
          </w14:textFill>
        </w:rPr>
        <w:t>水力坡度取值；</w:t>
      </w:r>
    </w:p>
    <w:p w14:paraId="7801A44E">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DL-</w:t>
      </w:r>
      <w:r>
        <w:rPr>
          <w:rFonts w:hint="eastAsia"/>
          <w:color w:val="000000" w:themeColor="text1"/>
          <w14:textFill>
            <w14:solidFill>
              <w14:schemeClr w14:val="tx1"/>
            </w14:solidFill>
          </w14:textFill>
        </w:rPr>
        <w:t>纵向弥散系数，</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；各参数取值详见下表：</w:t>
      </w:r>
    </w:p>
    <w:p w14:paraId="72092FC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④预测时间和参数</w:t>
      </w:r>
    </w:p>
    <w:p w14:paraId="657AF7C7">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根据《建设项目环境影响评价技术导则—地下水环境》（</w:t>
      </w:r>
      <w:r>
        <w:rPr>
          <w:color w:val="000000" w:themeColor="text1"/>
          <w14:textFill>
            <w14:solidFill>
              <w14:schemeClr w14:val="tx1"/>
            </w14:solidFill>
          </w14:textFill>
        </w:rPr>
        <w:t>HJ610-2016</w:t>
      </w:r>
      <w:r>
        <w:rPr>
          <w:rFonts w:hint="eastAsia"/>
          <w:color w:val="000000" w:themeColor="text1"/>
          <w14:textFill>
            <w14:solidFill>
              <w14:schemeClr w14:val="tx1"/>
            </w14:solidFill>
          </w14:textFill>
        </w:rPr>
        <w:t>），地下水环境影响预测时段应选取可能产生地下水污染的关键时段，至少包括污染发生后</w:t>
      </w:r>
      <w:r>
        <w:rPr>
          <w:color w:val="000000" w:themeColor="text1"/>
          <w14:textFill>
            <w14:solidFill>
              <w14:schemeClr w14:val="tx1"/>
            </w14:solidFill>
          </w14:textFill>
        </w:rPr>
        <w:t>100d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1000d</w:t>
      </w:r>
      <w:r>
        <w:rPr>
          <w:rFonts w:hint="eastAsia"/>
          <w:color w:val="000000" w:themeColor="text1"/>
          <w14:textFill>
            <w14:solidFill>
              <w14:schemeClr w14:val="tx1"/>
            </w14:solidFill>
          </w14:textFill>
        </w:rPr>
        <w:t>，服务年限或能反映特征因子迁移规律的其他重要的时间节点。确定本次地下水评价的预测时段为运行期污染发生后</w:t>
      </w:r>
      <w:r>
        <w:rPr>
          <w:color w:val="000000" w:themeColor="text1"/>
          <w14:textFill>
            <w14:solidFill>
              <w14:schemeClr w14:val="tx1"/>
            </w14:solidFill>
          </w14:textFill>
        </w:rPr>
        <w:t>100d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1000d</w:t>
      </w:r>
      <w:r>
        <w:rPr>
          <w:rFonts w:hint="eastAsia"/>
          <w:color w:val="000000" w:themeColor="text1"/>
          <w14:textFill>
            <w14:solidFill>
              <w14:schemeClr w14:val="tx1"/>
            </w14:solidFill>
          </w14:textFill>
        </w:rPr>
        <w:t>和运营后</w:t>
      </w:r>
      <w:r>
        <w:rPr>
          <w:color w:val="000000" w:themeColor="text1"/>
          <w14:textFill>
            <w14:solidFill>
              <w14:schemeClr w14:val="tx1"/>
            </w14:solidFill>
          </w14:textFill>
        </w:rPr>
        <w:t>5a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1825d</w:t>
      </w:r>
      <w:r>
        <w:rPr>
          <w:rFonts w:hint="eastAsia"/>
          <w:color w:val="000000" w:themeColor="text1"/>
          <w14:textFill>
            <w14:solidFill>
              <w14:schemeClr w14:val="tx1"/>
            </w14:solidFill>
          </w14:textFill>
        </w:rPr>
        <w:t>）。</w:t>
      </w:r>
    </w:p>
    <w:p w14:paraId="39806B5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其他预测参数详见表6.2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；水文地质参数选自《重庆市主城区西彭组团</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L</w:t>
      </w:r>
      <w:r>
        <w:rPr>
          <w:rFonts w:hint="eastAsia"/>
          <w:color w:val="000000" w:themeColor="text1"/>
          <w14:textFill>
            <w14:solidFill>
              <w14:schemeClr w14:val="tx1"/>
            </w14:solidFill>
          </w14:textFill>
        </w:rPr>
        <w:t>标准分区控制性详细规划环境影响报告书》确定的区域地质资料。</w:t>
      </w:r>
    </w:p>
    <w:p w14:paraId="0EA24DC9">
      <w:pPr>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表6.2-1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地下水预测参数</w:t>
      </w:r>
    </w:p>
    <w:tbl>
      <w:tblPr>
        <w:tblStyle w:val="88"/>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311"/>
        <w:gridCol w:w="2497"/>
        <w:gridCol w:w="2650"/>
      </w:tblGrid>
      <w:tr w14:paraId="76730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2279"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038ECA73">
            <w:pPr>
              <w:pStyle w:val="1535"/>
            </w:pPr>
            <w:r>
              <w:rPr>
                <w:rFonts w:hint="eastAsia"/>
              </w:rPr>
              <w:t>参数名称</w:t>
            </w:r>
          </w:p>
        </w:tc>
        <w:tc>
          <w:tcPr>
            <w:tcW w:w="1320"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17F95A9F">
            <w:pPr>
              <w:pStyle w:val="1535"/>
            </w:pPr>
            <w:r>
              <w:rPr>
                <w:rFonts w:hint="eastAsia"/>
              </w:rPr>
              <w:t>数值</w:t>
            </w:r>
          </w:p>
        </w:tc>
        <w:tc>
          <w:tcPr>
            <w:tcW w:w="1401"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54164C1E">
            <w:pPr>
              <w:pStyle w:val="1535"/>
            </w:pPr>
            <w:r>
              <w:rPr>
                <w:rFonts w:hint="eastAsia"/>
              </w:rPr>
              <w:t>单位</w:t>
            </w:r>
          </w:p>
        </w:tc>
      </w:tr>
      <w:tr w14:paraId="1F5E0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2279"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365CC337">
            <w:pPr>
              <w:pStyle w:val="1535"/>
            </w:pPr>
            <w:r>
              <w:rPr>
                <w:rFonts w:hint="eastAsia"/>
              </w:rPr>
              <w:t>含水层渗透系数</w:t>
            </w:r>
            <w:r>
              <w:t>K</w:t>
            </w:r>
          </w:p>
        </w:tc>
        <w:tc>
          <w:tcPr>
            <w:tcW w:w="1320"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1FB9F4F7">
            <w:pPr>
              <w:pStyle w:val="1535"/>
            </w:pPr>
            <w:r>
              <w:t>0.22</w:t>
            </w:r>
          </w:p>
        </w:tc>
        <w:tc>
          <w:tcPr>
            <w:tcW w:w="1401"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3BF7755B">
            <w:pPr>
              <w:pStyle w:val="1535"/>
            </w:pPr>
            <w:r>
              <w:t>m/d</w:t>
            </w:r>
          </w:p>
        </w:tc>
      </w:tr>
      <w:tr w14:paraId="2EC86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2279"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74EAA653">
            <w:pPr>
              <w:pStyle w:val="1535"/>
            </w:pPr>
            <w:r>
              <w:rPr>
                <w:rFonts w:hint="eastAsia"/>
              </w:rPr>
              <w:t>有效孔隙度</w:t>
            </w:r>
          </w:p>
        </w:tc>
        <w:tc>
          <w:tcPr>
            <w:tcW w:w="1320"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68FBC266">
            <w:pPr>
              <w:pStyle w:val="1535"/>
            </w:pPr>
            <w:r>
              <w:t>0.15</w:t>
            </w:r>
          </w:p>
        </w:tc>
        <w:tc>
          <w:tcPr>
            <w:tcW w:w="1401"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1D5DB3D3">
            <w:pPr>
              <w:pStyle w:val="1535"/>
            </w:pPr>
            <w:r>
              <w:t>/</w:t>
            </w:r>
          </w:p>
        </w:tc>
      </w:tr>
      <w:tr w14:paraId="1F205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2279"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592F6037">
            <w:pPr>
              <w:pStyle w:val="1535"/>
            </w:pPr>
            <w:r>
              <w:rPr>
                <w:rFonts w:hint="eastAsia"/>
              </w:rPr>
              <w:t>长江标高</w:t>
            </w:r>
          </w:p>
        </w:tc>
        <w:tc>
          <w:tcPr>
            <w:tcW w:w="1320"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098B121F">
            <w:pPr>
              <w:pStyle w:val="1535"/>
            </w:pPr>
            <w:r>
              <w:rPr>
                <w:rFonts w:hint="eastAsia"/>
              </w:rPr>
              <w:t>179</w:t>
            </w:r>
          </w:p>
        </w:tc>
        <w:tc>
          <w:tcPr>
            <w:tcW w:w="1401"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3742F792">
            <w:pPr>
              <w:pStyle w:val="1535"/>
            </w:pPr>
            <w:r>
              <w:t>/</w:t>
            </w:r>
          </w:p>
        </w:tc>
      </w:tr>
      <w:tr w14:paraId="5D4D5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2279"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373819E0">
            <w:pPr>
              <w:pStyle w:val="1535"/>
            </w:pPr>
            <w:r>
              <w:rPr>
                <w:rFonts w:hint="eastAsia"/>
              </w:rPr>
              <w:t>水力坡度</w:t>
            </w:r>
          </w:p>
        </w:tc>
        <w:tc>
          <w:tcPr>
            <w:tcW w:w="1320"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7E4569A8">
            <w:pPr>
              <w:pStyle w:val="1535"/>
            </w:pPr>
            <w:r>
              <w:t>0.0</w:t>
            </w:r>
            <w:r>
              <w:rPr>
                <w:rFonts w:hint="eastAsia"/>
              </w:rPr>
              <w:t>41</w:t>
            </w:r>
          </w:p>
        </w:tc>
        <w:tc>
          <w:tcPr>
            <w:tcW w:w="1401"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47F35694">
            <w:pPr>
              <w:pStyle w:val="1535"/>
            </w:pPr>
            <w:r>
              <w:rPr>
                <w:rFonts w:hint="eastAsia"/>
              </w:rPr>
              <w:t>/</w:t>
            </w:r>
          </w:p>
        </w:tc>
      </w:tr>
      <w:tr w14:paraId="389A0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2279"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7A514782">
            <w:pPr>
              <w:pStyle w:val="1535"/>
            </w:pPr>
            <w:r>
              <w:rPr>
                <w:rFonts w:hint="eastAsia"/>
              </w:rPr>
              <w:t>纵向弥散系数</w:t>
            </w:r>
          </w:p>
        </w:tc>
        <w:tc>
          <w:tcPr>
            <w:tcW w:w="1320"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1B314C6D">
            <w:pPr>
              <w:pStyle w:val="1535"/>
            </w:pPr>
            <w:r>
              <w:t>0.661</w:t>
            </w:r>
          </w:p>
        </w:tc>
        <w:tc>
          <w:tcPr>
            <w:tcW w:w="1401" w:type="pct"/>
            <w:tcBorders>
              <w:top w:val="single" w:color="000000" w:sz="2" w:space="0"/>
              <w:left w:val="single" w:color="000000" w:sz="2" w:space="0"/>
              <w:bottom w:val="single" w:color="000000" w:sz="2" w:space="0"/>
              <w:right w:val="single" w:color="000000" w:sz="2" w:space="0"/>
            </w:tcBorders>
            <w:tcMar>
              <w:top w:w="15" w:type="dxa"/>
              <w:left w:w="108" w:type="dxa"/>
              <w:bottom w:w="15" w:type="dxa"/>
              <w:right w:w="108" w:type="dxa"/>
            </w:tcMar>
            <w:vAlign w:val="center"/>
          </w:tcPr>
          <w:p w14:paraId="4D4DB15C">
            <w:pPr>
              <w:pStyle w:val="1535"/>
            </w:pPr>
            <w:r>
              <w:t>m</w:t>
            </w:r>
            <w:r>
              <w:rPr>
                <w:vertAlign w:val="superscript"/>
              </w:rPr>
              <w:t>2</w:t>
            </w:r>
            <w:r>
              <w:t>/d</w:t>
            </w:r>
          </w:p>
        </w:tc>
      </w:tr>
    </w:tbl>
    <w:p w14:paraId="07F305DD">
      <w:pPr>
        <w:spacing w:before="163" w:beforeLines="50"/>
        <w:ind w:firstLine="520"/>
        <w:textAlignment w:val="center"/>
        <w:rPr>
          <w:color w:val="000000" w:themeColor="text1"/>
          <w:kern w:val="2"/>
          <w:szCs w:val="26"/>
          <w14:textFill>
            <w14:solidFill>
              <w14:schemeClr w14:val="tx1"/>
            </w14:solidFill>
          </w14:textFill>
        </w:rPr>
      </w:pPr>
      <w:r>
        <w:rPr>
          <w:rFonts w:hint="eastAsia"/>
          <w:color w:val="000000" w:themeColor="text1"/>
          <w:szCs w:val="26"/>
          <w14:textFill>
            <w14:solidFill>
              <w14:schemeClr w14:val="tx1"/>
            </w14:solidFill>
          </w14:textFill>
        </w:rPr>
        <w:t>⑤评价标准</w:t>
      </w:r>
    </w:p>
    <w:p w14:paraId="1134AE3A">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氟化物按《地下水质量标准》（GB/T 14848-2017）Ⅲ类标准：氟化物</w:t>
      </w:r>
      <w:r>
        <w:rPr>
          <w:color w:val="000000" w:themeColor="text1"/>
          <w:szCs w:val="26"/>
          <w14:textFill>
            <w14:solidFill>
              <w14:schemeClr w14:val="tx1"/>
            </w14:solidFill>
          </w14:textFill>
        </w:rPr>
        <w:t>≤</w:t>
      </w:r>
      <w:r>
        <w:rPr>
          <w:rFonts w:hint="eastAsia"/>
          <w:color w:val="000000" w:themeColor="text1"/>
          <w:szCs w:val="26"/>
          <w14:textFill>
            <w14:solidFill>
              <w14:schemeClr w14:val="tx1"/>
            </w14:solidFill>
          </w14:textFill>
        </w:rPr>
        <w:t>1.0</w:t>
      </w:r>
      <w:r>
        <w:rPr>
          <w:color w:val="000000" w:themeColor="text1"/>
          <w:szCs w:val="26"/>
          <w14:textFill>
            <w14:solidFill>
              <w14:schemeClr w14:val="tx1"/>
            </w14:solidFill>
          </w14:textFill>
        </w:rPr>
        <w:t>mg/L</w:t>
      </w:r>
      <w:r>
        <w:rPr>
          <w:rFonts w:hint="eastAsia"/>
          <w:color w:val="000000" w:themeColor="text1"/>
          <w:szCs w:val="26"/>
          <w14:textFill>
            <w14:solidFill>
              <w14:schemeClr w14:val="tx1"/>
            </w14:solidFill>
          </w14:textFill>
        </w:rPr>
        <w:t>。</w:t>
      </w:r>
    </w:p>
    <w:p w14:paraId="2D0CB0BA">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w:t>
      </w:r>
      <w:r>
        <w:rPr>
          <w:color w:val="000000" w:themeColor="text1"/>
          <w:szCs w:val="26"/>
          <w14:textFill>
            <w14:solidFill>
              <w14:schemeClr w14:val="tx1"/>
            </w14:solidFill>
          </w14:textFill>
        </w:rPr>
        <w:t>6</w:t>
      </w:r>
      <w:r>
        <w:rPr>
          <w:rFonts w:hint="eastAsia"/>
          <w:color w:val="000000" w:themeColor="text1"/>
          <w:szCs w:val="26"/>
          <w14:textFill>
            <w14:solidFill>
              <w14:schemeClr w14:val="tx1"/>
            </w14:solidFill>
          </w14:textFill>
        </w:rPr>
        <w:t>）预测结果</w:t>
      </w:r>
    </w:p>
    <w:p w14:paraId="5AE49840">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预测结果详见表6</w:t>
      </w:r>
      <w:r>
        <w:rPr>
          <w:color w:val="000000" w:themeColor="text1"/>
          <w:szCs w:val="26"/>
          <w14:textFill>
            <w14:solidFill>
              <w14:schemeClr w14:val="tx1"/>
            </w14:solidFill>
          </w14:textFill>
        </w:rPr>
        <w:t>.3-2</w:t>
      </w:r>
      <w:r>
        <w:rPr>
          <w:rFonts w:hint="eastAsia"/>
          <w:color w:val="000000" w:themeColor="text1"/>
          <w:szCs w:val="26"/>
          <w14:textFill>
            <w14:solidFill>
              <w14:schemeClr w14:val="tx1"/>
            </w14:solidFill>
          </w14:textFill>
        </w:rPr>
        <w:t>及图6.3-1~图6.3-3。</w:t>
      </w:r>
    </w:p>
    <w:p w14:paraId="0EB1B06F">
      <w:pPr>
        <w:spacing w:before="163" w:beforeLines="50"/>
        <w:ind w:firstLine="520"/>
        <w:jc w:val="center"/>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表6.3-2</w:t>
      </w:r>
      <w:r>
        <w:rPr>
          <w:color w:val="000000" w:themeColor="text1"/>
          <w:szCs w:val="26"/>
          <w14:textFill>
            <w14:solidFill>
              <w14:schemeClr w14:val="tx1"/>
            </w14:solidFill>
          </w14:textFill>
        </w:rPr>
        <w:t xml:space="preserve">  </w:t>
      </w:r>
      <w:r>
        <w:rPr>
          <w:rFonts w:hint="eastAsia"/>
          <w:color w:val="000000" w:themeColor="text1"/>
          <w:szCs w:val="26"/>
          <w14:textFill>
            <w14:solidFill>
              <w14:schemeClr w14:val="tx1"/>
            </w14:solidFill>
          </w14:textFill>
        </w:rPr>
        <w:t>污水处理站泄漏对地下水环境的影响预测结果</w:t>
      </w:r>
    </w:p>
    <w:tbl>
      <w:tblPr>
        <w:tblStyle w:val="88"/>
        <w:tblW w:w="5000" w:type="pct"/>
        <w:jc w:val="center"/>
        <w:tblLayout w:type="autofit"/>
        <w:tblCellMar>
          <w:top w:w="0" w:type="dxa"/>
          <w:left w:w="108" w:type="dxa"/>
          <w:bottom w:w="0" w:type="dxa"/>
          <w:right w:w="108" w:type="dxa"/>
        </w:tblCellMar>
      </w:tblPr>
      <w:tblGrid>
        <w:gridCol w:w="2768"/>
        <w:gridCol w:w="1962"/>
        <w:gridCol w:w="1960"/>
        <w:gridCol w:w="2768"/>
      </w:tblGrid>
      <w:tr w14:paraId="6BCA0020">
        <w:tblPrEx>
          <w:tblCellMar>
            <w:top w:w="0" w:type="dxa"/>
            <w:left w:w="108" w:type="dxa"/>
            <w:bottom w:w="0" w:type="dxa"/>
            <w:right w:w="108" w:type="dxa"/>
          </w:tblCellMar>
        </w:tblPrEx>
        <w:trPr>
          <w:trHeight w:val="20" w:hRule="atLeast"/>
          <w:jc w:val="center"/>
        </w:trPr>
        <w:tc>
          <w:tcPr>
            <w:tcW w:w="1463" w:type="pct"/>
            <w:tcBorders>
              <w:top w:val="single" w:color="000000" w:sz="4" w:space="0"/>
              <w:left w:val="single" w:color="000000" w:sz="4" w:space="0"/>
              <w:bottom w:val="single" w:color="000000" w:sz="4" w:space="0"/>
              <w:right w:val="single" w:color="000000" w:sz="4" w:space="0"/>
            </w:tcBorders>
            <w:tcMar>
              <w:top w:w="15" w:type="dxa"/>
              <w:left w:w="108" w:type="dxa"/>
              <w:bottom w:w="15" w:type="dxa"/>
              <w:right w:w="108" w:type="dxa"/>
            </w:tcMar>
            <w:vAlign w:val="center"/>
          </w:tcPr>
          <w:p w14:paraId="51CA5C5A">
            <w:pPr>
              <w:pStyle w:val="1535"/>
            </w:pPr>
            <w:r>
              <w:rPr>
                <w:rFonts w:hint="eastAsia"/>
              </w:rPr>
              <w:t>污染物</w:t>
            </w:r>
          </w:p>
        </w:tc>
        <w:tc>
          <w:tcPr>
            <w:tcW w:w="1037" w:type="pct"/>
            <w:tcBorders>
              <w:top w:val="single" w:color="000000" w:sz="4" w:space="0"/>
              <w:left w:val="single" w:color="000000" w:sz="4" w:space="0"/>
              <w:bottom w:val="single" w:color="000000" w:sz="4" w:space="0"/>
              <w:right w:val="single" w:color="auto" w:sz="4" w:space="0"/>
            </w:tcBorders>
            <w:tcMar>
              <w:top w:w="15" w:type="dxa"/>
              <w:left w:w="108" w:type="dxa"/>
              <w:bottom w:w="15" w:type="dxa"/>
              <w:right w:w="108" w:type="dxa"/>
            </w:tcMar>
            <w:vAlign w:val="center"/>
          </w:tcPr>
          <w:p w14:paraId="5B45D437">
            <w:pPr>
              <w:pStyle w:val="1535"/>
            </w:pPr>
            <w:r>
              <w:rPr>
                <w:rFonts w:hint="eastAsia"/>
              </w:rPr>
              <w:t>预测时间（</w:t>
            </w:r>
            <w:r>
              <w:t>d</w:t>
            </w:r>
            <w:r>
              <w:rPr>
                <w:rFonts w:hint="eastAsia"/>
              </w:rPr>
              <w:t>）</w:t>
            </w:r>
          </w:p>
        </w:tc>
        <w:tc>
          <w:tcPr>
            <w:tcW w:w="1036" w:type="pct"/>
            <w:tcBorders>
              <w:top w:val="single" w:color="000000" w:sz="4" w:space="0"/>
              <w:left w:val="single" w:color="auto" w:sz="4" w:space="0"/>
              <w:bottom w:val="single" w:color="000000" w:sz="4" w:space="0"/>
              <w:right w:val="single" w:color="000000" w:sz="4" w:space="0"/>
            </w:tcBorders>
            <w:vAlign w:val="center"/>
          </w:tcPr>
          <w:p w14:paraId="20EB34EC">
            <w:pPr>
              <w:pStyle w:val="1535"/>
            </w:pPr>
            <w:r>
              <w:rPr>
                <w:rFonts w:hint="eastAsia"/>
              </w:rPr>
              <w:t>运移</w:t>
            </w:r>
            <w:r>
              <w:t>距离（m）</w:t>
            </w:r>
          </w:p>
        </w:tc>
        <w:tc>
          <w:tcPr>
            <w:tcW w:w="1463" w:type="pct"/>
            <w:tcBorders>
              <w:top w:val="single" w:color="000000" w:sz="4" w:space="0"/>
              <w:left w:val="single" w:color="000000" w:sz="4" w:space="0"/>
              <w:bottom w:val="single" w:color="000000" w:sz="4" w:space="0"/>
              <w:right w:val="single" w:color="000000" w:sz="4" w:space="0"/>
            </w:tcBorders>
            <w:tcMar>
              <w:top w:w="15" w:type="dxa"/>
              <w:left w:w="108" w:type="dxa"/>
              <w:bottom w:w="15" w:type="dxa"/>
              <w:right w:w="108" w:type="dxa"/>
            </w:tcMar>
            <w:vAlign w:val="center"/>
          </w:tcPr>
          <w:p w14:paraId="7A5A0DA2">
            <w:pPr>
              <w:pStyle w:val="1535"/>
            </w:pPr>
            <w:r>
              <w:rPr>
                <w:rFonts w:hint="eastAsia"/>
              </w:rPr>
              <w:t>超标距离（</w:t>
            </w:r>
            <w:r>
              <w:t>m</w:t>
            </w:r>
            <w:r>
              <w:rPr>
                <w:rFonts w:hint="eastAsia"/>
              </w:rPr>
              <w:t>）</w:t>
            </w:r>
          </w:p>
        </w:tc>
      </w:tr>
      <w:tr w14:paraId="629EDD26">
        <w:tblPrEx>
          <w:tblCellMar>
            <w:top w:w="0" w:type="dxa"/>
            <w:left w:w="108" w:type="dxa"/>
            <w:bottom w:w="0" w:type="dxa"/>
            <w:right w:w="108" w:type="dxa"/>
          </w:tblCellMar>
        </w:tblPrEx>
        <w:trPr>
          <w:trHeight w:val="20" w:hRule="atLeast"/>
          <w:jc w:val="center"/>
        </w:trPr>
        <w:tc>
          <w:tcPr>
            <w:tcW w:w="1463" w:type="pct"/>
            <w:vMerge w:val="restart"/>
            <w:tcBorders>
              <w:top w:val="single" w:color="000000" w:sz="4" w:space="0"/>
              <w:left w:val="single" w:color="000000" w:sz="4" w:space="0"/>
              <w:bottom w:val="single" w:color="000000" w:sz="4" w:space="0"/>
              <w:right w:val="single" w:color="000000" w:sz="4" w:space="0"/>
            </w:tcBorders>
            <w:tcMar>
              <w:top w:w="15" w:type="dxa"/>
              <w:left w:w="108" w:type="dxa"/>
              <w:bottom w:w="15" w:type="dxa"/>
              <w:right w:w="108" w:type="dxa"/>
            </w:tcMar>
            <w:vAlign w:val="center"/>
          </w:tcPr>
          <w:p w14:paraId="3F73CAA1">
            <w:pPr>
              <w:pStyle w:val="1535"/>
            </w:pPr>
            <w:r>
              <w:rPr>
                <w:rFonts w:hint="eastAsia"/>
              </w:rPr>
              <w:t>氟化物</w:t>
            </w:r>
          </w:p>
        </w:tc>
        <w:tc>
          <w:tcPr>
            <w:tcW w:w="1037" w:type="pct"/>
            <w:tcBorders>
              <w:top w:val="single" w:color="000000" w:sz="4" w:space="0"/>
              <w:left w:val="single" w:color="000000" w:sz="4" w:space="0"/>
              <w:bottom w:val="single" w:color="000000" w:sz="4" w:space="0"/>
              <w:right w:val="single" w:color="auto" w:sz="4" w:space="0"/>
            </w:tcBorders>
            <w:tcMar>
              <w:top w:w="15" w:type="dxa"/>
              <w:left w:w="108" w:type="dxa"/>
              <w:bottom w:w="15" w:type="dxa"/>
              <w:right w:w="108" w:type="dxa"/>
            </w:tcMar>
            <w:vAlign w:val="center"/>
          </w:tcPr>
          <w:p w14:paraId="583157D5">
            <w:pPr>
              <w:pStyle w:val="1535"/>
            </w:pPr>
            <w:r>
              <w:t>100</w:t>
            </w:r>
          </w:p>
        </w:tc>
        <w:tc>
          <w:tcPr>
            <w:tcW w:w="1036" w:type="pct"/>
            <w:tcBorders>
              <w:top w:val="single" w:color="000000" w:sz="4" w:space="0"/>
              <w:left w:val="single" w:color="auto" w:sz="4" w:space="0"/>
              <w:bottom w:val="single" w:color="000000" w:sz="4" w:space="0"/>
              <w:right w:val="single" w:color="000000" w:sz="4" w:space="0"/>
            </w:tcBorders>
            <w:vAlign w:val="center"/>
          </w:tcPr>
          <w:p w14:paraId="78035BF2">
            <w:pPr>
              <w:pStyle w:val="1535"/>
            </w:pPr>
            <w:r>
              <w:rPr>
                <w:rFonts w:hint="eastAsia"/>
              </w:rPr>
              <w:t>90</w:t>
            </w:r>
          </w:p>
        </w:tc>
        <w:tc>
          <w:tcPr>
            <w:tcW w:w="1463" w:type="pct"/>
            <w:tcBorders>
              <w:top w:val="single" w:color="000000" w:sz="4" w:space="0"/>
              <w:left w:val="single" w:color="000000" w:sz="4" w:space="0"/>
              <w:bottom w:val="single" w:color="000000" w:sz="4" w:space="0"/>
              <w:right w:val="single" w:color="000000" w:sz="4" w:space="0"/>
            </w:tcBorders>
            <w:tcMar>
              <w:top w:w="15" w:type="dxa"/>
              <w:left w:w="108" w:type="dxa"/>
              <w:bottom w:w="15" w:type="dxa"/>
              <w:right w:w="108" w:type="dxa"/>
            </w:tcMar>
            <w:vAlign w:val="center"/>
          </w:tcPr>
          <w:p w14:paraId="33EB3D63">
            <w:pPr>
              <w:pStyle w:val="1535"/>
            </w:pPr>
            <w:r>
              <w:rPr>
                <w:rFonts w:hint="eastAsia"/>
              </w:rPr>
              <w:t>50</w:t>
            </w:r>
          </w:p>
        </w:tc>
      </w:tr>
      <w:tr w14:paraId="62D11C5D">
        <w:tblPrEx>
          <w:tblCellMar>
            <w:top w:w="0" w:type="dxa"/>
            <w:left w:w="108" w:type="dxa"/>
            <w:bottom w:w="0" w:type="dxa"/>
            <w:right w:w="108" w:type="dxa"/>
          </w:tblCellMar>
        </w:tblPrEx>
        <w:trPr>
          <w:trHeight w:val="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396E103">
            <w:pPr>
              <w:ind w:firstLine="440"/>
              <w:rPr>
                <w:color w:val="000000" w:themeColor="text1"/>
                <w:kern w:val="2"/>
                <w:sz w:val="22"/>
                <w14:textFill>
                  <w14:solidFill>
                    <w14:schemeClr w14:val="tx1"/>
                  </w14:solidFill>
                </w14:textFill>
              </w:rPr>
            </w:pPr>
          </w:p>
        </w:tc>
        <w:tc>
          <w:tcPr>
            <w:tcW w:w="1037" w:type="pct"/>
            <w:tcBorders>
              <w:top w:val="single" w:color="000000" w:sz="4" w:space="0"/>
              <w:left w:val="single" w:color="000000" w:sz="4" w:space="0"/>
              <w:bottom w:val="single" w:color="000000" w:sz="4" w:space="0"/>
              <w:right w:val="single" w:color="auto" w:sz="4" w:space="0"/>
            </w:tcBorders>
            <w:tcMar>
              <w:top w:w="15" w:type="dxa"/>
              <w:left w:w="108" w:type="dxa"/>
              <w:bottom w:w="15" w:type="dxa"/>
              <w:right w:w="108" w:type="dxa"/>
            </w:tcMar>
            <w:vAlign w:val="center"/>
          </w:tcPr>
          <w:p w14:paraId="4E42DA46">
            <w:pPr>
              <w:pStyle w:val="1535"/>
            </w:pPr>
            <w:r>
              <w:t>1000</w:t>
            </w:r>
          </w:p>
        </w:tc>
        <w:tc>
          <w:tcPr>
            <w:tcW w:w="1036" w:type="pct"/>
            <w:tcBorders>
              <w:top w:val="single" w:color="000000" w:sz="4" w:space="0"/>
              <w:left w:val="single" w:color="auto" w:sz="4" w:space="0"/>
              <w:bottom w:val="single" w:color="000000" w:sz="4" w:space="0"/>
              <w:right w:val="single" w:color="000000" w:sz="4" w:space="0"/>
            </w:tcBorders>
            <w:vAlign w:val="center"/>
          </w:tcPr>
          <w:p w14:paraId="75BC9362">
            <w:pPr>
              <w:pStyle w:val="1535"/>
            </w:pPr>
            <w:r>
              <w:rPr>
                <w:rFonts w:hint="eastAsia"/>
              </w:rPr>
              <w:t>410</w:t>
            </w:r>
          </w:p>
        </w:tc>
        <w:tc>
          <w:tcPr>
            <w:tcW w:w="1463" w:type="pct"/>
            <w:tcBorders>
              <w:top w:val="single" w:color="000000" w:sz="4" w:space="0"/>
              <w:left w:val="single" w:color="000000" w:sz="4" w:space="0"/>
              <w:bottom w:val="single" w:color="000000" w:sz="4" w:space="0"/>
              <w:right w:val="single" w:color="000000" w:sz="4" w:space="0"/>
            </w:tcBorders>
            <w:tcMar>
              <w:top w:w="15" w:type="dxa"/>
              <w:left w:w="108" w:type="dxa"/>
              <w:bottom w:w="15" w:type="dxa"/>
              <w:right w:w="108" w:type="dxa"/>
            </w:tcMar>
            <w:vAlign w:val="center"/>
          </w:tcPr>
          <w:p w14:paraId="5E6EFC47">
            <w:pPr>
              <w:pStyle w:val="1535"/>
            </w:pPr>
            <w:r>
              <w:rPr>
                <w:rFonts w:hint="eastAsia"/>
              </w:rPr>
              <w:t>290</w:t>
            </w:r>
          </w:p>
        </w:tc>
      </w:tr>
      <w:tr w14:paraId="3DEE2E98">
        <w:tblPrEx>
          <w:tblCellMar>
            <w:top w:w="0" w:type="dxa"/>
            <w:left w:w="108" w:type="dxa"/>
            <w:bottom w:w="0" w:type="dxa"/>
            <w:right w:w="108" w:type="dxa"/>
          </w:tblCellMar>
        </w:tblPrEx>
        <w:trPr>
          <w:trHeight w:val="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39FD32">
            <w:pPr>
              <w:ind w:firstLine="440"/>
              <w:rPr>
                <w:color w:val="000000" w:themeColor="text1"/>
                <w:kern w:val="2"/>
                <w:sz w:val="22"/>
                <w14:textFill>
                  <w14:solidFill>
                    <w14:schemeClr w14:val="tx1"/>
                  </w14:solidFill>
                </w14:textFill>
              </w:rPr>
            </w:pPr>
          </w:p>
        </w:tc>
        <w:tc>
          <w:tcPr>
            <w:tcW w:w="1037" w:type="pct"/>
            <w:tcBorders>
              <w:top w:val="single" w:color="000000" w:sz="4" w:space="0"/>
              <w:left w:val="single" w:color="000000" w:sz="4" w:space="0"/>
              <w:bottom w:val="single" w:color="000000" w:sz="4" w:space="0"/>
              <w:right w:val="single" w:color="auto" w:sz="4" w:space="0"/>
            </w:tcBorders>
            <w:tcMar>
              <w:top w:w="15" w:type="dxa"/>
              <w:left w:w="108" w:type="dxa"/>
              <w:bottom w:w="15" w:type="dxa"/>
              <w:right w:w="108" w:type="dxa"/>
            </w:tcMar>
            <w:vAlign w:val="center"/>
          </w:tcPr>
          <w:p w14:paraId="4AB31FBC">
            <w:pPr>
              <w:pStyle w:val="1535"/>
            </w:pPr>
            <w:r>
              <w:t>1825</w:t>
            </w:r>
          </w:p>
        </w:tc>
        <w:tc>
          <w:tcPr>
            <w:tcW w:w="1036" w:type="pct"/>
            <w:tcBorders>
              <w:top w:val="single" w:color="000000" w:sz="4" w:space="0"/>
              <w:left w:val="single" w:color="auto" w:sz="4" w:space="0"/>
              <w:bottom w:val="single" w:color="000000" w:sz="4" w:space="0"/>
              <w:right w:val="single" w:color="000000" w:sz="4" w:space="0"/>
            </w:tcBorders>
            <w:vAlign w:val="center"/>
          </w:tcPr>
          <w:p w14:paraId="54D54E74">
            <w:pPr>
              <w:pStyle w:val="1535"/>
            </w:pPr>
            <w:r>
              <w:rPr>
                <w:rFonts w:hint="eastAsia"/>
              </w:rPr>
              <w:t>670</w:t>
            </w:r>
          </w:p>
        </w:tc>
        <w:tc>
          <w:tcPr>
            <w:tcW w:w="1463" w:type="pct"/>
            <w:tcBorders>
              <w:top w:val="single" w:color="000000" w:sz="4" w:space="0"/>
              <w:left w:val="single" w:color="000000" w:sz="4" w:space="0"/>
              <w:bottom w:val="single" w:color="000000" w:sz="4" w:space="0"/>
              <w:right w:val="single" w:color="000000" w:sz="4" w:space="0"/>
            </w:tcBorders>
            <w:tcMar>
              <w:top w:w="15" w:type="dxa"/>
              <w:left w:w="108" w:type="dxa"/>
              <w:bottom w:w="15" w:type="dxa"/>
              <w:right w:w="108" w:type="dxa"/>
            </w:tcMar>
            <w:vAlign w:val="center"/>
          </w:tcPr>
          <w:p w14:paraId="162FAC35">
            <w:pPr>
              <w:pStyle w:val="1535"/>
            </w:pPr>
            <w:r>
              <w:rPr>
                <w:rFonts w:hint="eastAsia"/>
              </w:rPr>
              <w:t>490</w:t>
            </w:r>
          </w:p>
        </w:tc>
      </w:tr>
    </w:tbl>
    <w:p w14:paraId="757E3FAD">
      <w:pPr>
        <w:spacing w:before="163" w:beforeLines="50" w:line="240" w:lineRule="auto"/>
        <w:ind w:firstLine="0" w:firstLineChars="0"/>
        <w:jc w:val="center"/>
        <w:rPr>
          <w:color w:val="000000" w:themeColor="text1"/>
          <w:kern w:val="2"/>
          <w:szCs w:val="26"/>
          <w14:textFill>
            <w14:solidFill>
              <w14:schemeClr w14:val="tx1"/>
            </w14:solidFill>
          </w14:textFill>
        </w:rPr>
      </w:pPr>
      <w:r>
        <w:rPr>
          <w:snapToGrid/>
          <w:color w:val="000000" w:themeColor="text1"/>
          <w14:textFill>
            <w14:solidFill>
              <w14:schemeClr w14:val="tx1"/>
            </w14:solidFill>
          </w14:textFill>
        </w:rPr>
        <w:drawing>
          <wp:inline distT="0" distB="0" distL="0" distR="0">
            <wp:extent cx="4577080" cy="2561590"/>
            <wp:effectExtent l="0" t="0" r="0" b="0"/>
            <wp:docPr id="1943156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56409" name="图片 1"/>
                    <pic:cNvPicPr>
                      <a:picLocks noChangeAspect="1"/>
                    </pic:cNvPicPr>
                  </pic:nvPicPr>
                  <pic:blipFill>
                    <a:blip r:embed="rId63"/>
                    <a:stretch>
                      <a:fillRect/>
                    </a:stretch>
                  </pic:blipFill>
                  <pic:spPr>
                    <a:xfrm>
                      <a:off x="0" y="0"/>
                      <a:ext cx="4592920" cy="2570574"/>
                    </a:xfrm>
                    <a:prstGeom prst="rect">
                      <a:avLst/>
                    </a:prstGeom>
                  </pic:spPr>
                </pic:pic>
              </a:graphicData>
            </a:graphic>
          </wp:inline>
        </w:drawing>
      </w:r>
    </w:p>
    <w:p w14:paraId="075DD479">
      <w:pPr>
        <w:spacing w:before="163" w:beforeLines="50"/>
        <w:ind w:firstLine="520"/>
        <w:jc w:val="center"/>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图6</w:t>
      </w:r>
      <w:r>
        <w:rPr>
          <w:color w:val="000000" w:themeColor="text1"/>
          <w:szCs w:val="26"/>
          <w14:textFill>
            <w14:solidFill>
              <w14:schemeClr w14:val="tx1"/>
            </w14:solidFill>
          </w14:textFill>
        </w:rPr>
        <w:t>.3-1  100d</w:t>
      </w:r>
      <w:r>
        <w:rPr>
          <w:rFonts w:hint="eastAsia"/>
          <w:color w:val="000000" w:themeColor="text1"/>
          <w:szCs w:val="26"/>
          <w14:textFill>
            <w14:solidFill>
              <w14:schemeClr w14:val="tx1"/>
            </w14:solidFill>
          </w14:textFill>
        </w:rPr>
        <w:t>氟化物污染物浓度与距离变化关系图</w:t>
      </w:r>
    </w:p>
    <w:p w14:paraId="35ACECEA">
      <w:pPr>
        <w:spacing w:before="163" w:beforeLines="50" w:line="240" w:lineRule="auto"/>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4363720" cy="2510155"/>
            <wp:effectExtent l="0" t="0" r="0" b="4445"/>
            <wp:docPr id="679151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51316" name="图片 1"/>
                    <pic:cNvPicPr>
                      <a:picLocks noChangeAspect="1"/>
                    </pic:cNvPicPr>
                  </pic:nvPicPr>
                  <pic:blipFill>
                    <a:blip r:embed="rId64"/>
                    <a:stretch>
                      <a:fillRect/>
                    </a:stretch>
                  </pic:blipFill>
                  <pic:spPr>
                    <a:xfrm>
                      <a:off x="0" y="0"/>
                      <a:ext cx="4380676" cy="2519755"/>
                    </a:xfrm>
                    <a:prstGeom prst="rect">
                      <a:avLst/>
                    </a:prstGeom>
                  </pic:spPr>
                </pic:pic>
              </a:graphicData>
            </a:graphic>
          </wp:inline>
        </w:drawing>
      </w:r>
    </w:p>
    <w:p w14:paraId="4609A75F">
      <w:pPr>
        <w:spacing w:before="163" w:beforeLines="50"/>
        <w:ind w:firstLine="520"/>
        <w:jc w:val="center"/>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图6</w:t>
      </w:r>
      <w:r>
        <w:rPr>
          <w:color w:val="000000" w:themeColor="text1"/>
          <w:szCs w:val="26"/>
          <w14:textFill>
            <w14:solidFill>
              <w14:schemeClr w14:val="tx1"/>
            </w14:solidFill>
          </w14:textFill>
        </w:rPr>
        <w:t>.3-2  1000d</w:t>
      </w:r>
      <w:r>
        <w:rPr>
          <w:rFonts w:hint="eastAsia"/>
          <w:color w:val="000000" w:themeColor="text1"/>
          <w:szCs w:val="26"/>
          <w14:textFill>
            <w14:solidFill>
              <w14:schemeClr w14:val="tx1"/>
            </w14:solidFill>
          </w14:textFill>
        </w:rPr>
        <w:t>氟化物污染物浓度与距离变化关系图</w:t>
      </w:r>
    </w:p>
    <w:p w14:paraId="7B66C398">
      <w:pPr>
        <w:spacing w:before="163" w:beforeLines="50" w:line="240" w:lineRule="auto"/>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4117975" cy="2268220"/>
            <wp:effectExtent l="0" t="0" r="0" b="0"/>
            <wp:docPr id="349910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10702" name="图片 1"/>
                    <pic:cNvPicPr>
                      <a:picLocks noChangeAspect="1"/>
                    </pic:cNvPicPr>
                  </pic:nvPicPr>
                  <pic:blipFill>
                    <a:blip r:embed="rId65"/>
                    <a:stretch>
                      <a:fillRect/>
                    </a:stretch>
                  </pic:blipFill>
                  <pic:spPr>
                    <a:xfrm>
                      <a:off x="0" y="0"/>
                      <a:ext cx="4125616" cy="2272859"/>
                    </a:xfrm>
                    <a:prstGeom prst="rect">
                      <a:avLst/>
                    </a:prstGeom>
                  </pic:spPr>
                </pic:pic>
              </a:graphicData>
            </a:graphic>
          </wp:inline>
        </w:drawing>
      </w:r>
    </w:p>
    <w:p w14:paraId="306AA77D">
      <w:pPr>
        <w:spacing w:before="163" w:beforeLines="50"/>
        <w:ind w:firstLine="520"/>
        <w:jc w:val="center"/>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图6</w:t>
      </w:r>
      <w:r>
        <w:rPr>
          <w:color w:val="000000" w:themeColor="text1"/>
          <w:szCs w:val="26"/>
          <w14:textFill>
            <w14:solidFill>
              <w14:schemeClr w14:val="tx1"/>
            </w14:solidFill>
          </w14:textFill>
        </w:rPr>
        <w:t>.3-3  1825d</w:t>
      </w:r>
      <w:r>
        <w:rPr>
          <w:rFonts w:hint="eastAsia"/>
          <w:color w:val="000000" w:themeColor="text1"/>
          <w:szCs w:val="26"/>
          <w14:textFill>
            <w14:solidFill>
              <w14:schemeClr w14:val="tx1"/>
            </w14:solidFill>
          </w14:textFill>
        </w:rPr>
        <w:t>氟化物污染物浓度与距离变化关系图</w:t>
      </w:r>
    </w:p>
    <w:p w14:paraId="06A83743">
      <w:pPr>
        <w:spacing w:before="163" w:beforeLines="50"/>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由上述预测可知，污水处理站持续泄漏的情况下，污染物向西南侧的长江进行运移。事故发生</w:t>
      </w:r>
      <w:r>
        <w:rPr>
          <w:color w:val="000000" w:themeColor="text1"/>
          <w:szCs w:val="26"/>
          <w14:textFill>
            <w14:solidFill>
              <w14:schemeClr w14:val="tx1"/>
            </w14:solidFill>
          </w14:textFill>
        </w:rPr>
        <w:t>100d</w:t>
      </w:r>
      <w:r>
        <w:rPr>
          <w:rFonts w:hint="eastAsia"/>
          <w:color w:val="000000" w:themeColor="text1"/>
          <w:szCs w:val="26"/>
          <w14:textFill>
            <w14:solidFill>
              <w14:schemeClr w14:val="tx1"/>
            </w14:solidFill>
          </w14:textFill>
        </w:rPr>
        <w:t>时，氟化物超标距离为50</w:t>
      </w:r>
      <w:r>
        <w:rPr>
          <w:color w:val="000000" w:themeColor="text1"/>
          <w:szCs w:val="26"/>
          <w14:textFill>
            <w14:solidFill>
              <w14:schemeClr w14:val="tx1"/>
            </w14:solidFill>
          </w14:textFill>
        </w:rPr>
        <w:t>m</w:t>
      </w:r>
      <w:r>
        <w:rPr>
          <w:rFonts w:hint="eastAsia"/>
          <w:color w:val="000000" w:themeColor="text1"/>
          <w:szCs w:val="26"/>
          <w14:textFill>
            <w14:solidFill>
              <w14:schemeClr w14:val="tx1"/>
            </w14:solidFill>
          </w14:textFill>
        </w:rPr>
        <w:t>，运移距离为90</w:t>
      </w:r>
      <w:r>
        <w:rPr>
          <w:color w:val="000000" w:themeColor="text1"/>
          <w:szCs w:val="26"/>
          <w14:textFill>
            <w14:solidFill>
              <w14:schemeClr w14:val="tx1"/>
            </w14:solidFill>
          </w14:textFill>
        </w:rPr>
        <w:t>m</w:t>
      </w:r>
      <w:r>
        <w:rPr>
          <w:rFonts w:hint="eastAsia"/>
          <w:color w:val="000000" w:themeColor="text1"/>
          <w:szCs w:val="26"/>
          <w14:textFill>
            <w14:solidFill>
              <w14:schemeClr w14:val="tx1"/>
            </w14:solidFill>
          </w14:textFill>
        </w:rPr>
        <w:t>，超标及运移距离位于厂区范围内；在事故发生</w:t>
      </w:r>
      <w:r>
        <w:rPr>
          <w:color w:val="000000" w:themeColor="text1"/>
          <w:szCs w:val="26"/>
          <w14:textFill>
            <w14:solidFill>
              <w14:schemeClr w14:val="tx1"/>
            </w14:solidFill>
          </w14:textFill>
        </w:rPr>
        <w:t>1000d</w:t>
      </w:r>
      <w:r>
        <w:rPr>
          <w:rFonts w:hint="eastAsia"/>
          <w:color w:val="000000" w:themeColor="text1"/>
          <w:szCs w:val="26"/>
          <w14:textFill>
            <w14:solidFill>
              <w14:schemeClr w14:val="tx1"/>
            </w14:solidFill>
          </w14:textFill>
        </w:rPr>
        <w:t>时，最大运移距离为410</w:t>
      </w:r>
      <w:r>
        <w:rPr>
          <w:color w:val="000000" w:themeColor="text1"/>
          <w:szCs w:val="26"/>
          <w14:textFill>
            <w14:solidFill>
              <w14:schemeClr w14:val="tx1"/>
            </w14:solidFill>
          </w14:textFill>
        </w:rPr>
        <w:t>m</w:t>
      </w:r>
      <w:r>
        <w:rPr>
          <w:rFonts w:hint="eastAsia"/>
          <w:color w:val="000000" w:themeColor="text1"/>
          <w:szCs w:val="26"/>
          <w14:textFill>
            <w14:solidFill>
              <w14:schemeClr w14:val="tx1"/>
            </w14:solidFill>
          </w14:textFill>
        </w:rPr>
        <w:t>，超标距离为290</w:t>
      </w:r>
      <w:r>
        <w:rPr>
          <w:color w:val="000000" w:themeColor="text1"/>
          <w:szCs w:val="26"/>
          <w14:textFill>
            <w14:solidFill>
              <w14:schemeClr w14:val="tx1"/>
            </w14:solidFill>
          </w14:textFill>
        </w:rPr>
        <w:t>m</w:t>
      </w:r>
      <w:r>
        <w:rPr>
          <w:rFonts w:hint="eastAsia"/>
          <w:color w:val="000000" w:themeColor="text1"/>
          <w:szCs w:val="26"/>
          <w14:textFill>
            <w14:solidFill>
              <w14:schemeClr w14:val="tx1"/>
            </w14:solidFill>
          </w14:textFill>
        </w:rPr>
        <w:t>；在事故发生</w:t>
      </w:r>
      <w:r>
        <w:rPr>
          <w:color w:val="000000" w:themeColor="text1"/>
          <w:szCs w:val="26"/>
          <w14:textFill>
            <w14:solidFill>
              <w14:schemeClr w14:val="tx1"/>
            </w14:solidFill>
          </w14:textFill>
        </w:rPr>
        <w:t>1825d</w:t>
      </w:r>
      <w:r>
        <w:rPr>
          <w:rFonts w:hint="eastAsia"/>
          <w:color w:val="000000" w:themeColor="text1"/>
          <w:szCs w:val="26"/>
          <w14:textFill>
            <w14:solidFill>
              <w14:schemeClr w14:val="tx1"/>
            </w14:solidFill>
          </w14:textFill>
        </w:rPr>
        <w:t>时，氟化物运移距离为670</w:t>
      </w:r>
      <w:r>
        <w:rPr>
          <w:color w:val="000000" w:themeColor="text1"/>
          <w:szCs w:val="26"/>
          <w14:textFill>
            <w14:solidFill>
              <w14:schemeClr w14:val="tx1"/>
            </w14:solidFill>
          </w14:textFill>
        </w:rPr>
        <w:t>m</w:t>
      </w:r>
      <w:r>
        <w:rPr>
          <w:rFonts w:hint="eastAsia"/>
          <w:color w:val="000000" w:themeColor="text1"/>
          <w:szCs w:val="26"/>
          <w14:textFill>
            <w14:solidFill>
              <w14:schemeClr w14:val="tx1"/>
            </w14:solidFill>
          </w14:textFill>
        </w:rPr>
        <w:t>，超标距离为490m，该超标距离仍在园区范围内，该范围内无居民取用地下水作生产、生活用水，故综合考虑后认为项目对地下水环境的影响较小。</w:t>
      </w:r>
    </w:p>
    <w:p w14:paraId="7E5CB870">
      <w:pPr>
        <w:pStyle w:val="4"/>
        <w:rPr>
          <w:color w:val="000000" w:themeColor="text1"/>
          <w14:textFill>
            <w14:solidFill>
              <w14:schemeClr w14:val="tx1"/>
            </w14:solidFill>
          </w14:textFill>
        </w:rPr>
      </w:pPr>
      <w:bookmarkStart w:id="281" w:name="_Toc27469"/>
      <w:r>
        <w:rPr>
          <w:color w:val="000000" w:themeColor="text1"/>
          <w14:textFill>
            <w14:solidFill>
              <w14:schemeClr w14:val="tx1"/>
            </w14:solidFill>
          </w14:textFill>
        </w:rPr>
        <w:t>噪声影响预测与评价</w:t>
      </w:r>
      <w:bookmarkEnd w:id="277"/>
      <w:bookmarkEnd w:id="278"/>
      <w:bookmarkEnd w:id="279"/>
      <w:bookmarkEnd w:id="280"/>
      <w:bookmarkEnd w:id="281"/>
      <w:bookmarkStart w:id="282" w:name="_Toc323152158"/>
    </w:p>
    <w:p w14:paraId="461C9C3F">
      <w:pPr>
        <w:pStyle w:val="5"/>
        <w:rPr>
          <w:color w:val="000000" w:themeColor="text1"/>
          <w14:textFill>
            <w14:solidFill>
              <w14:schemeClr w14:val="tx1"/>
            </w14:solidFill>
          </w14:textFill>
        </w:rPr>
      </w:pPr>
      <w:bookmarkStart w:id="283" w:name="_Toc55522446"/>
      <w:bookmarkStart w:id="284" w:name="_Toc55506335"/>
      <w:r>
        <w:rPr>
          <w:color w:val="000000" w:themeColor="text1"/>
          <w14:textFill>
            <w14:solidFill>
              <w14:schemeClr w14:val="tx1"/>
            </w14:solidFill>
          </w14:textFill>
        </w:rPr>
        <w:t>噪声源强</w:t>
      </w:r>
      <w:bookmarkEnd w:id="282"/>
      <w:bookmarkEnd w:id="283"/>
      <w:bookmarkEnd w:id="284"/>
    </w:p>
    <w:p w14:paraId="52A2E498">
      <w:pPr>
        <w:ind w:firstLine="520"/>
        <w:rPr>
          <w:color w:val="000000" w:themeColor="text1"/>
          <w14:textFill>
            <w14:solidFill>
              <w14:schemeClr w14:val="tx1"/>
            </w14:solidFill>
          </w14:textFill>
        </w:rPr>
      </w:pPr>
      <w:bookmarkStart w:id="285" w:name="_Toc55522447"/>
      <w:bookmarkStart w:id="286" w:name="_Toc256183487"/>
      <w:bookmarkStart w:id="287" w:name="_Toc55506336"/>
      <w:r>
        <w:rPr>
          <w:rFonts w:hint="eastAsia"/>
          <w:color w:val="000000" w:themeColor="text1"/>
          <w14:textFill>
            <w14:solidFill>
              <w14:schemeClr w14:val="tx1"/>
            </w14:solidFill>
          </w14:textFill>
        </w:rPr>
        <w:t>项目噪声源主要包括生产线上设备运行噪声，噪声源强在65～85dB（A）之间，针对各类声源的发生特征，分别采取减振、隔声、消声等降噪措施，使噪声值降低10～15dB（A）。各产噪设备源强及距离厂区各边界最近距离见表6.4-1</w:t>
      </w:r>
      <w:r>
        <w:rPr>
          <w:color w:val="000000" w:themeColor="text1"/>
          <w14:textFill>
            <w14:solidFill>
              <w14:schemeClr w14:val="tx1"/>
            </w14:solidFill>
          </w14:textFill>
        </w:rPr>
        <w:t>。</w:t>
      </w:r>
    </w:p>
    <w:p w14:paraId="4E286E8A">
      <w:pPr>
        <w:ind w:firstLine="520"/>
        <w:rPr>
          <w:color w:val="000000" w:themeColor="text1"/>
          <w14:textFill>
            <w14:solidFill>
              <w14:schemeClr w14:val="tx1"/>
            </w14:solidFill>
          </w14:textFill>
        </w:rPr>
        <w:sectPr>
          <w:headerReference r:id="rId17" w:type="default"/>
          <w:footerReference r:id="rId18" w:type="default"/>
          <w:pgSz w:w="11907" w:h="16840"/>
          <w:pgMar w:top="1134" w:right="1134" w:bottom="1134" w:left="1134" w:header="283" w:footer="851" w:gutter="397"/>
          <w:cols w:space="720" w:num="1"/>
          <w:docGrid w:type="linesAndChars" w:linePitch="326" w:charSpace="0"/>
        </w:sectPr>
      </w:pPr>
    </w:p>
    <w:p w14:paraId="00257D60">
      <w:pPr>
        <w:ind w:firstLine="522"/>
        <w:jc w:val="center"/>
        <w:rPr>
          <w:b/>
          <w:color w:val="000000" w:themeColor="text1"/>
          <w:lang w:val="pt-BR"/>
          <w14:textFill>
            <w14:solidFill>
              <w14:schemeClr w14:val="tx1"/>
            </w14:solidFill>
          </w14:textFill>
        </w:rPr>
      </w:pPr>
      <w:r>
        <w:rPr>
          <w:rFonts w:hint="eastAsia"/>
          <w:b/>
          <w:color w:val="000000" w:themeColor="text1"/>
          <w:lang w:val="pt-BR"/>
          <w14:textFill>
            <w14:solidFill>
              <w14:schemeClr w14:val="tx1"/>
            </w14:solidFill>
          </w14:textFill>
        </w:rPr>
        <w:t>表5-21  项目主要生产设备距厂界距离一览表</w:t>
      </w:r>
    </w:p>
    <w:tbl>
      <w:tblPr>
        <w:tblStyle w:val="88"/>
        <w:tblW w:w="5000" w:type="pct"/>
        <w:jc w:val="center"/>
        <w:tblLayout w:type="autofit"/>
        <w:tblCellMar>
          <w:top w:w="0" w:type="dxa"/>
          <w:left w:w="108" w:type="dxa"/>
          <w:bottom w:w="0" w:type="dxa"/>
          <w:right w:w="108" w:type="dxa"/>
        </w:tblCellMar>
      </w:tblPr>
      <w:tblGrid>
        <w:gridCol w:w="568"/>
        <w:gridCol w:w="868"/>
        <w:gridCol w:w="1438"/>
        <w:gridCol w:w="1008"/>
        <w:gridCol w:w="863"/>
        <w:gridCol w:w="1007"/>
        <w:gridCol w:w="864"/>
        <w:gridCol w:w="720"/>
        <w:gridCol w:w="719"/>
        <w:gridCol w:w="864"/>
        <w:gridCol w:w="863"/>
        <w:gridCol w:w="1008"/>
        <w:gridCol w:w="719"/>
        <w:gridCol w:w="864"/>
        <w:gridCol w:w="1153"/>
        <w:gridCol w:w="1262"/>
      </w:tblGrid>
      <w:tr w14:paraId="76080617">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14:paraId="39478C2A">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序号</w:t>
            </w:r>
          </w:p>
        </w:tc>
        <w:tc>
          <w:tcPr>
            <w:tcW w:w="855" w:type="dxa"/>
            <w:vMerge w:val="restart"/>
            <w:tcBorders>
              <w:top w:val="single" w:color="000000" w:sz="4" w:space="0"/>
              <w:left w:val="single" w:color="000000" w:sz="4" w:space="0"/>
              <w:bottom w:val="single" w:color="000000" w:sz="4" w:space="0"/>
              <w:right w:val="single" w:color="000000" w:sz="4" w:space="0"/>
            </w:tcBorders>
            <w:vAlign w:val="center"/>
          </w:tcPr>
          <w:p w14:paraId="08D8FB42">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建筑物名称</w:t>
            </w:r>
          </w:p>
        </w:tc>
        <w:tc>
          <w:tcPr>
            <w:tcW w:w="1416" w:type="dxa"/>
            <w:vMerge w:val="restart"/>
            <w:tcBorders>
              <w:top w:val="single" w:color="000000" w:sz="4" w:space="0"/>
              <w:left w:val="single" w:color="000000" w:sz="4" w:space="0"/>
              <w:bottom w:val="single" w:color="000000" w:sz="4" w:space="0"/>
              <w:right w:val="single" w:color="000000" w:sz="4" w:space="0"/>
            </w:tcBorders>
            <w:vAlign w:val="center"/>
          </w:tcPr>
          <w:p w14:paraId="072BC63B">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声源名称</w:t>
            </w:r>
          </w:p>
        </w:tc>
        <w:tc>
          <w:tcPr>
            <w:tcW w:w="184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35608234">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声压级</w:t>
            </w:r>
            <w:r>
              <w:rPr>
                <w:snapToGrid/>
                <w:color w:val="000000" w:themeColor="text1"/>
                <w:sz w:val="21"/>
                <w:szCs w:val="21"/>
                <w14:textFill>
                  <w14:solidFill>
                    <w14:schemeClr w14:val="tx1"/>
                  </w14:solidFill>
                </w14:textFill>
              </w:rPr>
              <w:t>/</w:t>
            </w:r>
            <w:r>
              <w:rPr>
                <w:rFonts w:ascii="宋体" w:hAnsi="宋体" w:cs="宋体"/>
                <w:snapToGrid/>
                <w:color w:val="000000" w:themeColor="text1"/>
                <w:sz w:val="21"/>
                <w:szCs w:val="21"/>
                <w14:textFill>
                  <w14:solidFill>
                    <w14:schemeClr w14:val="tx1"/>
                  </w14:solidFill>
                </w14:textFill>
              </w:rPr>
              <w:t>距声源距离</w:t>
            </w:r>
            <w:r>
              <w:rPr>
                <w:snapToGrid/>
                <w:color w:val="000000" w:themeColor="text1"/>
                <w:sz w:val="21"/>
                <w:szCs w:val="21"/>
                <w14:textFill>
                  <w14:solidFill>
                    <w14:schemeClr w14:val="tx1"/>
                  </w14:solidFill>
                </w14:textFill>
              </w:rPr>
              <w:t>/m</w:t>
            </w:r>
            <w:r>
              <w:rPr>
                <w:rFonts w:ascii="宋体" w:hAnsi="宋体" w:cs="宋体"/>
                <w:snapToGrid/>
                <w:color w:val="000000" w:themeColor="text1"/>
                <w:sz w:val="21"/>
                <w:szCs w:val="21"/>
                <w14:textFill>
                  <w14:solidFill>
                    <w14:schemeClr w14:val="tx1"/>
                  </w14:solidFill>
                </w14:textFill>
              </w:rPr>
              <w:t>）</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526FC447">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声源控制措施</w:t>
            </w:r>
          </w:p>
        </w:tc>
        <w:tc>
          <w:tcPr>
            <w:tcW w:w="2268" w:type="dxa"/>
            <w:gridSpan w:val="3"/>
            <w:tcBorders>
              <w:top w:val="single" w:color="000000" w:sz="4" w:space="0"/>
              <w:left w:val="single" w:color="000000" w:sz="4" w:space="0"/>
              <w:bottom w:val="single" w:color="000000" w:sz="4" w:space="0"/>
              <w:right w:val="single" w:color="000000" w:sz="4" w:space="0"/>
            </w:tcBorders>
            <w:vAlign w:val="center"/>
          </w:tcPr>
          <w:p w14:paraId="24C9CB42">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空间相对位置</w:t>
            </w:r>
            <w:r>
              <w:rPr>
                <w:snapToGrid/>
                <w:color w:val="000000" w:themeColor="text1"/>
                <w:sz w:val="21"/>
                <w:szCs w:val="21"/>
                <w14:textFill>
                  <w14:solidFill>
                    <w14:schemeClr w14:val="tx1"/>
                  </w14:solidFill>
                </w14:textFill>
              </w:rPr>
              <w:t>/m</w:t>
            </w:r>
          </w:p>
        </w:tc>
        <w:tc>
          <w:tcPr>
            <w:tcW w:w="1701"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C87794B">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距室内边界距离</w:t>
            </w:r>
            <w:r>
              <w:rPr>
                <w:snapToGrid/>
                <w:color w:val="000000" w:themeColor="text1"/>
                <w:sz w:val="21"/>
                <w:szCs w:val="21"/>
                <w14:textFill>
                  <w14:solidFill>
                    <w14:schemeClr w14:val="tx1"/>
                  </w14:solidFill>
                </w14:textFill>
              </w:rPr>
              <w:t>/m</w:t>
            </w: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244515AE">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室内边界声级</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095D6930">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运行时段</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5F991A05">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建筑物插入损失</w:t>
            </w:r>
          </w:p>
        </w:tc>
        <w:tc>
          <w:tcPr>
            <w:tcW w:w="2376" w:type="dxa"/>
            <w:gridSpan w:val="2"/>
            <w:tcBorders>
              <w:top w:val="single" w:color="000000" w:sz="4" w:space="0"/>
              <w:left w:val="single" w:color="000000" w:sz="4" w:space="0"/>
              <w:bottom w:val="single" w:color="000000" w:sz="4" w:space="0"/>
              <w:right w:val="single" w:color="000000" w:sz="4" w:space="0"/>
            </w:tcBorders>
            <w:vAlign w:val="center"/>
          </w:tcPr>
          <w:p w14:paraId="0F882BE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建筑物外部噪声</w:t>
            </w:r>
          </w:p>
        </w:tc>
      </w:tr>
      <w:tr w14:paraId="0652B997">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2CDE98C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72976D2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36430B6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84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518EB5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8097E0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4F341A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X</w:t>
            </w:r>
          </w:p>
        </w:tc>
        <w:tc>
          <w:tcPr>
            <w:tcW w:w="709" w:type="dxa"/>
            <w:tcBorders>
              <w:top w:val="single" w:color="000000" w:sz="4" w:space="0"/>
              <w:left w:val="single" w:color="000000" w:sz="4" w:space="0"/>
              <w:bottom w:val="single" w:color="000000" w:sz="4" w:space="0"/>
              <w:right w:val="single" w:color="000000" w:sz="4" w:space="0"/>
            </w:tcBorders>
            <w:vAlign w:val="center"/>
          </w:tcPr>
          <w:p w14:paraId="1CE0B9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Y</w:t>
            </w:r>
          </w:p>
        </w:tc>
        <w:tc>
          <w:tcPr>
            <w:tcW w:w="708" w:type="dxa"/>
            <w:tcBorders>
              <w:top w:val="single" w:color="000000" w:sz="4" w:space="0"/>
              <w:left w:val="single" w:color="000000" w:sz="4" w:space="0"/>
              <w:bottom w:val="single" w:color="000000" w:sz="4" w:space="0"/>
              <w:right w:val="single" w:color="000000" w:sz="4" w:space="0"/>
            </w:tcBorders>
            <w:vAlign w:val="center"/>
          </w:tcPr>
          <w:p w14:paraId="7437A90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Z</w:t>
            </w:r>
          </w:p>
        </w:tc>
        <w:tc>
          <w:tcPr>
            <w:tcW w:w="1701"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65C3E1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6BC7F75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1679FE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F6EA48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2ABBF9E">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声压级</w:t>
            </w:r>
          </w:p>
        </w:tc>
        <w:tc>
          <w:tcPr>
            <w:tcW w:w="1242" w:type="dxa"/>
            <w:tcBorders>
              <w:top w:val="single" w:color="000000" w:sz="4" w:space="0"/>
              <w:left w:val="single" w:color="000000" w:sz="4" w:space="0"/>
              <w:bottom w:val="single" w:color="000000" w:sz="4" w:space="0"/>
              <w:right w:val="single" w:color="000000" w:sz="4" w:space="0"/>
            </w:tcBorders>
            <w:vAlign w:val="center"/>
          </w:tcPr>
          <w:p w14:paraId="51E2D6AE">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建筑物外距离</w:t>
            </w:r>
            <w:r>
              <w:rPr>
                <w:snapToGrid/>
                <w:color w:val="000000" w:themeColor="text1"/>
                <w:sz w:val="21"/>
                <w:szCs w:val="21"/>
                <w14:textFill>
                  <w14:solidFill>
                    <w14:schemeClr w14:val="tx1"/>
                  </w14:solidFill>
                </w14:textFill>
              </w:rPr>
              <w:t>/m</w:t>
            </w:r>
          </w:p>
        </w:tc>
      </w:tr>
      <w:tr w14:paraId="27D1512E">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2EA68A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5" w:type="dxa"/>
            <w:vMerge w:val="restart"/>
            <w:tcBorders>
              <w:top w:val="single" w:color="000000" w:sz="4" w:space="0"/>
              <w:left w:val="single" w:color="000000" w:sz="4" w:space="0"/>
              <w:bottom w:val="single" w:color="000000" w:sz="4" w:space="0"/>
              <w:right w:val="single" w:color="000000" w:sz="4" w:space="0"/>
            </w:tcBorders>
            <w:noWrap/>
            <w:vAlign w:val="center"/>
          </w:tcPr>
          <w:p w14:paraId="4614B1DF">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臻宝半导体公司</w:t>
            </w:r>
            <w:r>
              <w:rPr>
                <w:snapToGrid/>
                <w:color w:val="000000" w:themeColor="text1"/>
                <w:sz w:val="21"/>
                <w:szCs w:val="21"/>
                <w14:textFill>
                  <w14:solidFill>
                    <w14:schemeClr w14:val="tx1"/>
                  </w14:solidFill>
                </w14:textFill>
              </w:rPr>
              <w:t>1#</w:t>
            </w:r>
            <w:r>
              <w:rPr>
                <w:rFonts w:ascii="宋体" w:hAnsi="宋体" w:cs="宋体"/>
                <w:snapToGrid/>
                <w:color w:val="000000" w:themeColor="text1"/>
                <w:sz w:val="21"/>
                <w:szCs w:val="21"/>
                <w14:textFill>
                  <w14:solidFill>
                    <w14:schemeClr w14:val="tx1"/>
                  </w14:solidFill>
                </w14:textFill>
              </w:rPr>
              <w:t>厂房</w:t>
            </w: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22F8823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纯化炉</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32A764E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5AD68F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restart"/>
            <w:tcBorders>
              <w:top w:val="single" w:color="000000" w:sz="4" w:space="0"/>
              <w:left w:val="single" w:color="000000" w:sz="4" w:space="0"/>
              <w:bottom w:val="single" w:color="000000" w:sz="4" w:space="0"/>
              <w:right w:val="single" w:color="000000" w:sz="4" w:space="0"/>
            </w:tcBorders>
            <w:noWrap/>
            <w:vAlign w:val="center"/>
          </w:tcPr>
          <w:p w14:paraId="745AEA7A">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建筑隔声、基础减震</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5EE243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2946748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0EF145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9171124">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64F973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0C4BB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2659E6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61F752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832915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6FECB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274D1BE">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2424126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6E1BD5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6D29DC5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9F5F93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6C66EBD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372020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7C5851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F8E969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C333E1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4E3185C">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072A46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BEE0E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6A3293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C7124D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B9ED0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6C3D9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1B3D903">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169F2D4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7398F30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4DB0458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E6770B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615B997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21BF9B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646FEB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A6EFF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B510B7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F3165D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051CB6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106</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39A0C4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79BAE7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A81A9A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B5761D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25213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100353C">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2B9918A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B53092C">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B939C4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8DFFC1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3D7724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B46BDF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3F1A55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860A57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EB89C2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B4C2AEF">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641802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34</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82C21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49</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00D5C1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B92306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258922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34</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AEC94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7070859">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300744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1E60AB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1135DD75">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高温处理炉</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5A7D96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1EF885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F1767C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7FF5FB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1AB05B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7AB281E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D2F7828">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112151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634F3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7880D7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01E951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ED94B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13C07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A4D4A07">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3D80E5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2AB929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5B23D3B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87F09E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CAB894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BBE68F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2CED04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31A401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119809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A669FE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4E106D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673859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54</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7BEC51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C9BAEE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B9128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AD862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F7CBBC1">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621DD29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D2417B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5CAD7CF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69F511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8F6BEE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D05FB0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97B4ED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A8BB8F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D448E9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A1DFD30">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3B86C9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106</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3CFB22A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96DA58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E73263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28E22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1DA51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7E5A6AD">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6F3BCDC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64513BA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B6A6E1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D0DCB2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536B75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F242BD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9B3C46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081AA2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96AAAF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C2D69B3">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153CB2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4A039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1BC27A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A4A709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4CDFD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D808E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01405AE">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6037E6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B96A52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3D4A584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CVDSIC</w:t>
            </w:r>
            <w:r>
              <w:rPr>
                <w:rFonts w:ascii="宋体" w:hAnsi="宋体"/>
                <w:snapToGrid/>
                <w:color w:val="000000" w:themeColor="text1"/>
                <w:sz w:val="21"/>
                <w:szCs w:val="21"/>
                <w14:textFill>
                  <w14:solidFill>
                    <w14:schemeClr w14:val="tx1"/>
                  </w14:solidFill>
                </w14:textFill>
              </w:rPr>
              <w:t>炉</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682A765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400A9E7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26DA07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72B26E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4243C4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3CCDF9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4E069E3">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704B0E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A79C5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7C9EC6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723A3A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EE494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2303F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48CEEC9">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4B2AE19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71C4D2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3C94E2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CC703D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9EBC76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54E2C3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302F37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34268D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5BC75F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A076E1B">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3A18040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65F9B4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64</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CD4834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FBD132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393DF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49</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AE314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46D8F5E">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6DB1617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8F436B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5BE4F94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A3B117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71A272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15CAEB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BA6F75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F6AED0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4137F6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B0B813D">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4369CD7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106</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CFB181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7D7A1A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661CDE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124D3E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CE265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9575959">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7A21C13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7BFD6FE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44BB01E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544E70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F60489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BCDC08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F5F64D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9AD551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9A729C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CFA94E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142E50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44</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FD549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4624B6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9F389E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EFE5AC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EEE5C4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A96E559">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270B9C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855" w:type="dxa"/>
            <w:vMerge w:val="restart"/>
            <w:tcBorders>
              <w:top w:val="single" w:color="000000" w:sz="4" w:space="0"/>
              <w:left w:val="single" w:color="000000" w:sz="4" w:space="0"/>
              <w:bottom w:val="single" w:color="000000" w:sz="4" w:space="0"/>
              <w:right w:val="single" w:color="000000" w:sz="4" w:space="0"/>
            </w:tcBorders>
            <w:noWrap/>
            <w:vAlign w:val="center"/>
          </w:tcPr>
          <w:p w14:paraId="03875220">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臻宝科技公司联合厂房</w:t>
            </w: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796659F5">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走心机</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6695FF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236535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CCC569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462326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-42</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4D95D8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-73</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0897E5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656DB0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0D1DB6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93</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7F4B1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36</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14F57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2BDFF7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A1854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25F3C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4E356F9">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49E9647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9C020F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7ABD879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4084A6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D1A5BD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742BA9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5FE4C5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7C372A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011803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A700C27">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178F16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36</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674CC68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44</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76A48C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375975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13B90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29</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52F5B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4942752">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208C385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E5A500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9BDD28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242235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6E519C9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BF10F5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9E574C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2BD2A9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E18B7D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55218E8">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699280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34458C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49</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B3706D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90E175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CA1FEC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34</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DB71B0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30571EA">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12B5377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D1E101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55D561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8BBBE1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578521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3F339F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503963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5A7965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940B02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1B28263">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1840EE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159</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E1CAC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31</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D15C01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6765A9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57F1E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38BE992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BE61B2D">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02EFD9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66C666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47A144F8">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抛光机</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10DFC2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7329EBC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A47158C">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0412773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5373A3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-87</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64563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EFCA42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3D323E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B8999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36</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78E2D9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31C5FE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3BF163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4C4C5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726D14B">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35AD59E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65FA50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E49CAE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FFA4BA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034F49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A977A0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030409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62AE4F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69E476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125D6F8">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73B4A3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3EED4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53</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C4CEB1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DE41AB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2E0AE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38</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08F5E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70EDAAC">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5738059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B3B0F1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43BE45F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58EC41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105520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4291F9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8AD315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74B450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DA3F6C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63F3D4E">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231FD3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7091E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3F2F8C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B3DDB7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F19CF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C3D4F1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A18389F">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FE7EBB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F4B002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0B50EFB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B0937B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6BAC3BF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984E7D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ABFFC9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24A685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B9123D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A18302C">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5CFCBC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182</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66D2ED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500D13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B66D75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35FEC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1FF4C2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AFC81CB">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1E4113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188FF3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3FB38300">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模切压力机</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64B55C4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1CA31D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8A48AA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1B6790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-29</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6F156C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-88</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23E1B3A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4B712EC">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1E5DB3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86</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BAD2F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36</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0DF23B6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20DD64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85F1E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421AD2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CB36402">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40C0D4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D674AE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5EB0F9B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6681EF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377F85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C7FE87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2051D0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937778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FF2262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7AF70F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508DFE7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268C8D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54</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8ECD7B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11D310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7EE71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19719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1316028">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9109F4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DBB5F0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783A640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31BD5A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DE1412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58DB0B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7C128C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84570D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B07DF2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807865F">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03BAC9C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FDA790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B62F1A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DDDEFF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64B64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564A5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9AB9E0A">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7E42B14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F96D27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381526E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E832A1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8F18B1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571E50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D6CC23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063B56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C33598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8FE8ED2">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68B9F5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184</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0F9756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D1A50F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5A16F1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D30CC1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4130B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A424D9C">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17DA95E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7B4FE6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3590A690">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包装机</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0952A06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41E165B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F0706F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4BA275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327C552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-90</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66DBD5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A9932B0">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023A58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3608E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31</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7A4759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1E466E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F1844B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3111FD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6AB82D9">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7CA80C9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5F91D6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50E9088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6F9DBC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A71DB0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CEC850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8B8C73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3C083F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B9390E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72A65D4">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009138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E24FF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C5B396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2B4EE4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22591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63C69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522E5F9">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CC7932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F6419B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E3BCC0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70E67F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EB6E5C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99B453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4BC058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C2E14F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EE735A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7020D0C">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24BB8D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A24E9D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42</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52CCBA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28DB5F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18B69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C4BDB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BCDAA78">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76DD388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FCE804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501C6A6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6D2BC5B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34DE45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E3CA64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7C2F99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DEEA20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6CA9D8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60A9D6A">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30459CA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182</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997DF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25B9A1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F34806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C2E29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203ED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91F8F15">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1C11BA3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855" w:type="dxa"/>
            <w:vMerge w:val="restart"/>
            <w:tcBorders>
              <w:top w:val="single" w:color="000000" w:sz="4" w:space="0"/>
              <w:left w:val="single" w:color="000000" w:sz="4" w:space="0"/>
              <w:bottom w:val="single" w:color="000000" w:sz="4" w:space="0"/>
              <w:right w:val="single" w:color="000000" w:sz="4" w:space="0"/>
            </w:tcBorders>
            <w:noWrap/>
            <w:vAlign w:val="center"/>
          </w:tcPr>
          <w:p w14:paraId="6F211310">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臻宝科技公司附属用房</w:t>
            </w:r>
            <w:r>
              <w:rPr>
                <w:snapToGrid/>
                <w:color w:val="000000" w:themeColor="text1"/>
                <w:sz w:val="21"/>
                <w:szCs w:val="21"/>
                <w14:textFill>
                  <w14:solidFill>
                    <w14:schemeClr w14:val="tx1"/>
                  </w14:solidFill>
                </w14:textFill>
              </w:rPr>
              <w:t>01</w:t>
            </w: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62E5332A">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砂线切割机</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0DE8B0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32D704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DD39A8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39DB2D1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-25</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285CB5B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07B45E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D8D3093">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1C8D3D8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17E8B3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EAF535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471BDC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2EC12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57BCAC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9BA0636">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4AC1017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69619D7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60E31F1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42CCA6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55D1CA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021AAC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6A097C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9EAF20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553B66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7889E2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2F27FB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BF227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62</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3D4EFA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AFB273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01B8C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BDF1F2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E4D35D8">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608D1B8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06723E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FD91E6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770F65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3A7510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4DC693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6BC22A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A89BD0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124978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3D5A015">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456B2C8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3B9739C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38FD31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FA11C3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2C4A9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DB5B0D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DC32908">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131752D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00D2FFB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39A8ECF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0989A2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95D985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6AB005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9394AF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FEEB5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F97F04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2E9B50D">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7AD384B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F976E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F6D33D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B6A877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0DC8BB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7E8EC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CA52063">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6309CF0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9</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0A5919F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1744DB77">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立式带锯床</w:t>
            </w:r>
            <w:r>
              <w:rPr>
                <w:snapToGrid/>
                <w:color w:val="000000" w:themeColor="text1"/>
                <w:sz w:val="21"/>
                <w:szCs w:val="21"/>
                <w14:textFill>
                  <w14:solidFill>
                    <w14:schemeClr w14:val="tx1"/>
                  </w14:solidFill>
                </w14:textFill>
              </w:rPr>
              <w:t>1</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47A41E7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7E3100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8F8052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1DEA4C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4084138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25EEC3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3BD470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1F5A9C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41</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23A71F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48</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473302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0B06CA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E983BB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33</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1386C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16A8C99">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65D8610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90F85D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38E4E5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560332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69726F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FBE129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9DB19D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57C47A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BD5514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19C879B">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7D0B2B9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3093F1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62</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691B99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F88890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3FCAD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FAB15A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D9A4696">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5FA096C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EC46DC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40B3B12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89FDA7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78C008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0FC64C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DB3E3B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932C14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B2CF78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720441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6BE014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E72A7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58</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F85AA8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5EC6DD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A3F892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43</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27E98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3C9320D">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2292DBC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77075CA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707A654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28D5E3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465429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BB7B0E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10A944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DE6C25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8B9F14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068EAE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4408AB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B9A23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360F62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9CFA20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D872C3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5B960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3196B83">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38920C9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5F9DDF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6DC50FCA">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立式带锯床</w:t>
            </w:r>
            <w:r>
              <w:rPr>
                <w:snapToGrid/>
                <w:color w:val="000000" w:themeColor="text1"/>
                <w:sz w:val="21"/>
                <w:szCs w:val="21"/>
                <w14:textFill>
                  <w14:solidFill>
                    <w14:schemeClr w14:val="tx1"/>
                  </w14:solidFill>
                </w14:textFill>
              </w:rPr>
              <w:t>2</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3BFBA8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4069E0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8E58E8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599A9D8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1B990F0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59E1EC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B329292">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6E2DD4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33</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6F2B634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6E8CCC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2A8C25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D7561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B388A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BD22046">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413E5CF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081BB3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5BF8D38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3D796A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0BAFF0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0D757B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04DA21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D50EBB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46F48F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C4DCBEC">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1F94E1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D8B3C3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62</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190F6A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153FA4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DB54EC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3F9D2CF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52EF900">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172CE78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0BB3EE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A68C60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0812D5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6B6458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996A98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3F29D8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D92E73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7BCFD6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8530D4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653105A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4B1CB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54</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3C9879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562F82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0D6E3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EE7943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911BF0E">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46132CD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68AB5A7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0BB645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00481B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7F23BB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2E92E8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6AAB2F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DA11B0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896BF3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A31D15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3438807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6A661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7E7070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50615A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57872C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8D89D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1DF7358">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58DB46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11</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6F29318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1A5E5D97">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立式加工中心</w:t>
            </w:r>
            <w:r>
              <w:rPr>
                <w:snapToGrid/>
                <w:color w:val="000000" w:themeColor="text1"/>
                <w:sz w:val="21"/>
                <w:szCs w:val="21"/>
                <w14:textFill>
                  <w14:solidFill>
                    <w14:schemeClr w14:val="tx1"/>
                  </w14:solidFill>
                </w14:textFill>
              </w:rPr>
              <w:t>1</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313937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7B0F6A8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977479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10013C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1A8A186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3ED5E6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EE67B80">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5B1CB8F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30</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7F1936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61</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09B1D4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063CACD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0BF5F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8C7BE6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5735A89">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4458C43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C6C7C9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08F4D4C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393659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8ACBAB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583605C">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C14828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9DFB44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614F09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C5E01E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6D7B03B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34A11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57</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B7CA83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84D276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2EE99A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68A5F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A6E512E">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3564EAE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7B953F9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7B483B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32E5FB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51A036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202960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841BF0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D49D2B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424D33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3C731E0">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3BD1633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6AD85D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48</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987982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1E58AF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E108A9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33</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BA23F9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490877B">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52D3CF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38773E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6E75CE3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874EC6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89DC56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7AB74D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7ADFCF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8CFB8E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3F434F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AA13F3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170356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626FD3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61</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0CD575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09D54B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EC8BB3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5C2FDD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64ACE18">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27AA4EE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BA0D55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742669DC">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立式加工中心</w:t>
            </w:r>
            <w:r>
              <w:rPr>
                <w:snapToGrid/>
                <w:color w:val="000000" w:themeColor="text1"/>
                <w:sz w:val="21"/>
                <w:szCs w:val="21"/>
                <w14:textFill>
                  <w14:solidFill>
                    <w14:schemeClr w14:val="tx1"/>
                  </w14:solidFill>
                </w14:textFill>
              </w:rPr>
              <w:t>2</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00B820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32C9405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DB73B9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297666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3E355C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203730F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05F6368">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66754C2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3CF801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14E8D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0D9EC4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EDD814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32B49F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7B254C0">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ED165A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234B57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0B2195B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279ED1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A887F9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1948D1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AF58A2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8C1584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C6557E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6EA92F5">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5014B0D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4D23C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57</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059345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9391D7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F2AF7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E66C57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905CC3C">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7F6A208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56E4ED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3D303F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14CED1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F3109B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74F64D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BDC430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C0442D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A8580D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EAC4AD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42BFDD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29</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59A43A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A21D4E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EF1721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FB2C3D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80F96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80781E2">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3E78DF8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E25288C">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3291542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C565F7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689854E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6FD2BF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98D19C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5226F6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517F41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2FD03DA">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6F89C40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332D1F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61</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FAD768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CA7E5D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0284A2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4B2BC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B916FE1">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430E79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D4A433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4500F5A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高速精雕机</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50DD31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50B0C0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7D7DDD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1F65EA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12</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23E129B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009C1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13DD1F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1BAD276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CCD94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54</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55C5E20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237D6BA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D98C8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940874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6FD9033">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657DC51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4FF89C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7A548EF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8FEBD5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FB2208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F977D5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1AF59F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F1BA5A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2AF161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1EE639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416E7FE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72D8C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62</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97A6E7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8EC85C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4D3EB4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0F58BB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26BD806">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4891A82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6ECBFC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386067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7B1EC0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FB88D4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60FBFB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53BC0A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05A9E5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F7910A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2808E1E">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28D8E6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33</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41528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AB7DC1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A82B76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3C266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33D58C1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E22D889">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1E4B223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36C6F1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31EFDB9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9C910B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1923D6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24A6FDC">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CB223C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913C03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5C1007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83C18A4">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648A40F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6EC1B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AF924A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2FFD94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C407FD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1755AA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279580B">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79D9D7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53BEA5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569910F2">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卧式数控车床</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492C06D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390FCB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DFD47C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68B79C4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66F3E4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35A05A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3B683D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6BEC867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6BEFD91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6B6797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00253AE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F50504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3723C6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512665D">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3433932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9A24F3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2C59BF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1FE1CC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CA3501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04472F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CFB948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A7D98E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F5F649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9A358DE">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5A94E5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D45DEE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61</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C8474D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08450A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F16CEA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902375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353595B9">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DEDE29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7A1993E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424C5D8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6AD2F6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D006C1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43EA65C">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280FDA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98EB3A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28FB17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D97125E">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67A883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6CCA00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44</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3240F8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9745F8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080607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29</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80224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BC305D1">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63BDB85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0054DAA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52555A1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F6CFB6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2F522E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14940F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24D913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4C964F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D32499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D3E101A">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50FCA50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7534F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57</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227C65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AF154B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74BF18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77CD9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ABB2C16">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23C2ED0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080C180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5302D9B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卧式数控车床</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2F6780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30C6DB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7D5041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220B56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28138BA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0E09A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386648C">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25CBFF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14</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E26730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4418A3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005470C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277E51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C9CE9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BD3193C">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7997321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8697DF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4213207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2D128A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D10998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0DFBA2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1F5FEC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53CEFF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DCF9DD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0E84024">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28F16D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103ED0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61</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EA9BBC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0949F2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0AA4BF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030665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46BFE6C">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3C7BCF9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74D6AD1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6ABA324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427A43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FD2897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AF0BE1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0B9A88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D8284D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32F822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0A1D02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3ABBB09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D72D9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43</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A0F611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B0B80E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35DBCF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E274AC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6116813">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E0C381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05CFE54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39BAD5C">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65670B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D2F3BE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81AE15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A42C1A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0D279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9B3F37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478F030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547305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BB035B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57</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208C82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5F4505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8BC27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537BB1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80DF73A">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44D2915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16</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D1FB5A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24881D0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卧式普通车床</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14CEAE8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580B07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A220CA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474C137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4C92DFC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399F5CD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1BA4B0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52DCFC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10</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2D438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60</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228D3C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1F4F183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860AFF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45</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04BD3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B8CF207">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3AD2348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D35EB5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08917F2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0C8F21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7FCF35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E0F276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668082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00E1A5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81612D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1DE8127">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200D78F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3FE6F76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AAEB39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B2C7B0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47886D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ED9FB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2B3E392">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492DEF2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023D7C2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0BCF84E3">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329A0D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F0CB85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6095E9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07F0C8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510043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27F5B4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ADE42DC">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0BB7BA0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43</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26788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8DF77E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0074E5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355BB8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B07BB9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030117F7">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2A2E4AD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CF98B5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C63912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2C3508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9F4B44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BB4662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2BFAAA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E02A34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63DE59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F9E41D9">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75511A2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365B2A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61</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F843C3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F07BC2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6C96B9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831A12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4DD8CCAE">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5C00FF5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17</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D4FED8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6E57D40A">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立式砂光机</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3A6E83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80</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3CC47A7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89BEDC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70FD68A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44A55A9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692017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A500B0C">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6BC4C81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33</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73DEB0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D6D89E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0E5095E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494564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35</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9BDB51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19918360">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1131183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379AF4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0E45CF0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722D9D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F0ADDD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EEDAD2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F1819B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A9F60F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F56C0C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E2DD00F">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0E93936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E8AF35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66</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3A551E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843DED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EC8A2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51</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209B5D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CF6A87B">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7E69A8E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6828F0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49B4B310">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446524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8CED24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1666E0D">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198A44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7E3943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0BA8F9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022C2B6">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40947E7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20</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BC42D2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54</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004815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7E3AAF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422D24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39</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6EA7E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AE5F786">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1DAA82B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165DFC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C46B6B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FDBCFF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EC5EF8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A82DBB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934EFB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EDD750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0DF923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BFA225F">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76058C2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4DDE6E8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62</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9436ACA">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A64AC3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330665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47</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2D405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4C875CB">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5355887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18</w:t>
            </w: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3617E0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1E2C6D85">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立式炮塔铣床</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297249C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2085358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1644F65">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7046A2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60C63D3A">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3027BC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F6FB4D4">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7B79279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1EFDDE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43</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A22083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26A12F1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097954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28</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2460F5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1E89BDF">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495BD51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630BE12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59C9554E">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BDA7DC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8174EF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13C8118">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9312DC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B58CF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5ED0A7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1B735F3">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0C9D601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C7CA1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61</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244AE17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7B7810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5DD75E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C011E0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CE558D8">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3B0AAD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B975C5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68BD5136">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1E170E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0B4A05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C78D8D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3238DC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6027F7D">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8E1DA7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B8675EB">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2066BA2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0000E5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61</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D33AEF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2CD42B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785CE7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34E46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67286F7">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358E562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308BCE2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7E7008DA">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B1081D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352E01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D6AAB6B">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03EE70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83222D5">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66F01B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BA0EBF7">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67896EE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8</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E7127E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57</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613BBE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6E1C6C99">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37F282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42</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033989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5211BB83">
        <w:tblPrEx>
          <w:tblCellMar>
            <w:top w:w="0" w:type="dxa"/>
            <w:left w:w="108" w:type="dxa"/>
            <w:bottom w:w="0" w:type="dxa"/>
            <w:right w:w="108" w:type="dxa"/>
          </w:tblCellMar>
        </w:tblPrEx>
        <w:trPr>
          <w:trHeight w:val="20" w:hRule="atLeast"/>
          <w:jc w:val="center"/>
        </w:trPr>
        <w:tc>
          <w:tcPr>
            <w:tcW w:w="559" w:type="dxa"/>
            <w:vMerge w:val="restart"/>
            <w:tcBorders>
              <w:top w:val="single" w:color="000000" w:sz="4" w:space="0"/>
              <w:left w:val="single" w:color="000000" w:sz="4" w:space="0"/>
              <w:bottom w:val="single" w:color="000000" w:sz="4" w:space="0"/>
              <w:right w:val="single" w:color="000000" w:sz="4" w:space="0"/>
            </w:tcBorders>
            <w:noWrap/>
            <w:vAlign w:val="center"/>
          </w:tcPr>
          <w:p w14:paraId="52B099F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19</w:t>
            </w:r>
          </w:p>
        </w:tc>
        <w:tc>
          <w:tcPr>
            <w:tcW w:w="855" w:type="dxa"/>
            <w:vMerge w:val="restart"/>
            <w:tcBorders>
              <w:top w:val="single" w:color="000000" w:sz="4" w:space="0"/>
              <w:left w:val="single" w:color="000000" w:sz="4" w:space="0"/>
              <w:bottom w:val="single" w:color="000000" w:sz="4" w:space="0"/>
              <w:right w:val="single" w:color="000000" w:sz="4" w:space="0"/>
            </w:tcBorders>
            <w:noWrap/>
            <w:vAlign w:val="center"/>
          </w:tcPr>
          <w:p w14:paraId="5C0F18E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废气处理系统</w:t>
            </w:r>
          </w:p>
        </w:tc>
        <w:tc>
          <w:tcPr>
            <w:tcW w:w="1416" w:type="dxa"/>
            <w:vMerge w:val="restart"/>
            <w:tcBorders>
              <w:top w:val="single" w:color="000000" w:sz="4" w:space="0"/>
              <w:left w:val="single" w:color="000000" w:sz="4" w:space="0"/>
              <w:bottom w:val="single" w:color="000000" w:sz="4" w:space="0"/>
              <w:right w:val="single" w:color="000000" w:sz="4" w:space="0"/>
            </w:tcBorders>
            <w:noWrap/>
            <w:vAlign w:val="center"/>
          </w:tcPr>
          <w:p w14:paraId="4A3A5783">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风机</w:t>
            </w:r>
          </w:p>
        </w:tc>
        <w:tc>
          <w:tcPr>
            <w:tcW w:w="993" w:type="dxa"/>
            <w:vMerge w:val="restart"/>
            <w:tcBorders>
              <w:top w:val="single" w:color="000000" w:sz="4" w:space="0"/>
              <w:left w:val="single" w:color="000000" w:sz="4" w:space="0"/>
              <w:bottom w:val="single" w:color="000000" w:sz="4" w:space="0"/>
              <w:right w:val="single" w:color="000000" w:sz="4" w:space="0"/>
            </w:tcBorders>
            <w:noWrap/>
            <w:vAlign w:val="center"/>
          </w:tcPr>
          <w:p w14:paraId="3B3C2C62">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75</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0E7F85B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D3A913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5AE16728">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-27</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14:paraId="143F5F9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5E44146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4D0863E">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东</w:t>
            </w:r>
          </w:p>
        </w:tc>
        <w:tc>
          <w:tcPr>
            <w:tcW w:w="850" w:type="dxa"/>
            <w:tcBorders>
              <w:top w:val="single" w:color="000000" w:sz="4" w:space="0"/>
              <w:left w:val="single" w:color="000000" w:sz="4" w:space="0"/>
              <w:bottom w:val="single" w:color="000000" w:sz="4" w:space="0"/>
              <w:right w:val="single" w:color="000000" w:sz="4" w:space="0"/>
            </w:tcBorders>
            <w:vAlign w:val="center"/>
          </w:tcPr>
          <w:p w14:paraId="7EBAE0E5">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6252B27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41</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14:paraId="19947FA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24h</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70F1108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B13674D">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26EDC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7EBF996C">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0D5379F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679D4DC">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1AE7F29C">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F5319B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20E99E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5325E7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385F2CF6">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64CAD83">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6A953C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8FEF2CD">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南</w:t>
            </w:r>
          </w:p>
        </w:tc>
        <w:tc>
          <w:tcPr>
            <w:tcW w:w="850" w:type="dxa"/>
            <w:tcBorders>
              <w:top w:val="single" w:color="000000" w:sz="4" w:space="0"/>
              <w:left w:val="single" w:color="000000" w:sz="4" w:space="0"/>
              <w:bottom w:val="single" w:color="000000" w:sz="4" w:space="0"/>
              <w:right w:val="single" w:color="000000" w:sz="4" w:space="0"/>
            </w:tcBorders>
            <w:vAlign w:val="center"/>
          </w:tcPr>
          <w:p w14:paraId="07B5543B">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13</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26CFFEC">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38</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AA2EC2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174B8CA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860E599">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23</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854F81F">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66714A9E">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176DAE1C">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65BD34F9">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26A61544">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C8A9F41">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D0C5A60">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DF405F1">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594CC2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8682F8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FF465E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DF6EFB1">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西</w:t>
            </w:r>
          </w:p>
        </w:tc>
        <w:tc>
          <w:tcPr>
            <w:tcW w:w="850" w:type="dxa"/>
            <w:tcBorders>
              <w:top w:val="single" w:color="000000" w:sz="4" w:space="0"/>
              <w:left w:val="single" w:color="000000" w:sz="4" w:space="0"/>
              <w:bottom w:val="single" w:color="000000" w:sz="4" w:space="0"/>
              <w:right w:val="single" w:color="000000" w:sz="4" w:space="0"/>
            </w:tcBorders>
            <w:vAlign w:val="center"/>
          </w:tcPr>
          <w:p w14:paraId="655634F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50</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3739BAA6">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41</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CBA3584">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EA3E02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FDBBBF1">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26</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BC60317">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r w14:paraId="24679C65">
        <w:tblPrEx>
          <w:tblCellMar>
            <w:top w:w="0" w:type="dxa"/>
            <w:left w:w="108" w:type="dxa"/>
            <w:bottom w:w="0" w:type="dxa"/>
            <w:right w:w="108" w:type="dxa"/>
          </w:tblCellMar>
        </w:tblPrEx>
        <w:trPr>
          <w:trHeight w:val="20" w:hRule="atLeast"/>
          <w:jc w:val="center"/>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14:paraId="23487142">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D2DACFF">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1416" w:type="dxa"/>
            <w:vMerge w:val="continue"/>
            <w:tcBorders>
              <w:top w:val="single" w:color="000000" w:sz="4" w:space="0"/>
              <w:left w:val="single" w:color="000000" w:sz="4" w:space="0"/>
              <w:bottom w:val="single" w:color="000000" w:sz="4" w:space="0"/>
              <w:right w:val="single" w:color="000000" w:sz="4" w:space="0"/>
            </w:tcBorders>
            <w:vAlign w:val="center"/>
          </w:tcPr>
          <w:p w14:paraId="4C527912">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2FB777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423C8F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BE22577">
            <w:pPr>
              <w:widowControl/>
              <w:adjustRightInd/>
              <w:snapToGrid/>
              <w:spacing w:line="240" w:lineRule="auto"/>
              <w:ind w:firstLine="0" w:firstLineChars="0"/>
              <w:jc w:val="left"/>
              <w:rPr>
                <w:rFonts w:hint="eastAsia" w:ascii="宋体" w:hAnsi="宋体" w:cs="宋体"/>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2DC42FBB">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A67E92E">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F697827">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C336654">
            <w:pPr>
              <w:widowControl/>
              <w:adjustRightInd/>
              <w:snapToGrid/>
              <w:spacing w:line="240" w:lineRule="auto"/>
              <w:ind w:firstLine="0" w:firstLineChars="0"/>
              <w:jc w:val="center"/>
              <w:rPr>
                <w:rFonts w:hint="eastAsia"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北</w:t>
            </w:r>
          </w:p>
        </w:tc>
        <w:tc>
          <w:tcPr>
            <w:tcW w:w="850" w:type="dxa"/>
            <w:tcBorders>
              <w:top w:val="single" w:color="000000" w:sz="4" w:space="0"/>
              <w:left w:val="single" w:color="000000" w:sz="4" w:space="0"/>
              <w:bottom w:val="single" w:color="000000" w:sz="4" w:space="0"/>
              <w:right w:val="single" w:color="000000" w:sz="4" w:space="0"/>
            </w:tcBorders>
            <w:vAlign w:val="center"/>
          </w:tcPr>
          <w:p w14:paraId="0AE98F84">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6</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3D337D1E">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59</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B53AA48">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3B889CF">
            <w:pPr>
              <w:widowControl/>
              <w:adjustRightInd/>
              <w:snapToGrid/>
              <w:spacing w:line="240" w:lineRule="auto"/>
              <w:ind w:firstLine="0" w:firstLineChars="0"/>
              <w:jc w:val="left"/>
              <w:rPr>
                <w:snapToGrid/>
                <w:color w:val="000000" w:themeColor="text1"/>
                <w:sz w:val="21"/>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98BBB90">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44</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30A77CB3">
            <w:pPr>
              <w:widowControl/>
              <w:adjustRightInd/>
              <w:snapToGrid/>
              <w:spacing w:line="240" w:lineRule="auto"/>
              <w:ind w:firstLine="0" w:firstLineChars="0"/>
              <w:jc w:val="center"/>
              <w:rPr>
                <w:snapToGrid/>
                <w:color w:val="000000" w:themeColor="text1"/>
                <w:sz w:val="21"/>
                <w:szCs w:val="21"/>
                <w14:textFill>
                  <w14:solidFill>
                    <w14:schemeClr w14:val="tx1"/>
                  </w14:solidFill>
                </w14:textFill>
              </w:rPr>
            </w:pPr>
            <w:r>
              <w:rPr>
                <w:snapToGrid/>
                <w:color w:val="000000" w:themeColor="text1"/>
                <w:sz w:val="21"/>
                <w:szCs w:val="21"/>
                <w14:textFill>
                  <w14:solidFill>
                    <w14:schemeClr w14:val="tx1"/>
                  </w14:solidFill>
                </w14:textFill>
              </w:rPr>
              <w:t>1</w:t>
            </w:r>
          </w:p>
        </w:tc>
      </w:tr>
    </w:tbl>
    <w:p w14:paraId="35E79F77">
      <w:pPr>
        <w:ind w:firstLine="522"/>
        <w:jc w:val="left"/>
        <w:rPr>
          <w:b/>
          <w:color w:val="000000" w:themeColor="text1"/>
          <w:lang w:val="pt-BR"/>
          <w14:textFill>
            <w14:solidFill>
              <w14:schemeClr w14:val="tx1"/>
            </w14:solidFill>
          </w14:textFill>
        </w:rPr>
      </w:pPr>
      <w:r>
        <w:rPr>
          <w:rFonts w:hint="eastAsia"/>
          <w:b/>
          <w:color w:val="000000" w:themeColor="text1"/>
          <w:lang w:val="pt-BR"/>
          <w14:textFill>
            <w14:solidFill>
              <w14:schemeClr w14:val="tx1"/>
            </w14:solidFill>
          </w14:textFill>
        </w:rPr>
        <w:t>备注：以各厂房地面为相对高度 0m，相对坐标以各厂房中心为原点（0，0）。</w:t>
      </w:r>
    </w:p>
    <w:p w14:paraId="11DD6ABB">
      <w:pPr>
        <w:ind w:firstLine="520"/>
        <w:rPr>
          <w:color w:val="000000" w:themeColor="text1"/>
          <w14:textFill>
            <w14:solidFill>
              <w14:schemeClr w14:val="tx1"/>
            </w14:solidFill>
          </w14:textFill>
        </w:rPr>
      </w:pPr>
    </w:p>
    <w:p w14:paraId="76543AE2">
      <w:pPr>
        <w:ind w:firstLine="520"/>
        <w:rPr>
          <w:color w:val="000000" w:themeColor="text1"/>
          <w14:textFill>
            <w14:solidFill>
              <w14:schemeClr w14:val="tx1"/>
            </w14:solidFill>
          </w14:textFill>
        </w:rPr>
      </w:pPr>
    </w:p>
    <w:p w14:paraId="1863DDB9">
      <w:pPr>
        <w:ind w:firstLine="520"/>
        <w:rPr>
          <w:color w:val="000000" w:themeColor="text1"/>
          <w14:textFill>
            <w14:solidFill>
              <w14:schemeClr w14:val="tx1"/>
            </w14:solidFill>
          </w14:textFill>
        </w:rPr>
      </w:pPr>
    </w:p>
    <w:p w14:paraId="4A3DD228">
      <w:pPr>
        <w:ind w:firstLine="520"/>
        <w:rPr>
          <w:color w:val="000000" w:themeColor="text1"/>
          <w14:textFill>
            <w14:solidFill>
              <w14:schemeClr w14:val="tx1"/>
            </w14:solidFill>
          </w14:textFill>
        </w:rPr>
        <w:sectPr>
          <w:pgSz w:w="16840" w:h="11907" w:orient="landscape"/>
          <w:pgMar w:top="1134" w:right="1134" w:bottom="1134" w:left="1134" w:header="283" w:footer="851" w:gutter="397"/>
          <w:cols w:space="720" w:num="1"/>
          <w:docGrid w:type="linesAndChars" w:linePitch="354" w:charSpace="0"/>
        </w:sectPr>
      </w:pPr>
    </w:p>
    <w:p w14:paraId="40B41B1A">
      <w:pPr>
        <w:pStyle w:val="5"/>
        <w:rPr>
          <w:color w:val="000000" w:themeColor="text1"/>
          <w14:textFill>
            <w14:solidFill>
              <w14:schemeClr w14:val="tx1"/>
            </w14:solidFill>
          </w14:textFill>
        </w:rPr>
      </w:pPr>
      <w:r>
        <w:rPr>
          <w:color w:val="000000" w:themeColor="text1"/>
          <w14:textFill>
            <w14:solidFill>
              <w14:schemeClr w14:val="tx1"/>
            </w14:solidFill>
          </w14:textFill>
        </w:rPr>
        <w:t>预测模式</w:t>
      </w:r>
      <w:bookmarkEnd w:id="285"/>
      <w:bookmarkEnd w:id="286"/>
      <w:bookmarkEnd w:id="287"/>
    </w:p>
    <w:p w14:paraId="588094BA">
      <w:pPr>
        <w:ind w:firstLine="520"/>
        <w:rPr>
          <w:color w:val="000000" w:themeColor="text1"/>
          <w14:textFill>
            <w14:solidFill>
              <w14:schemeClr w14:val="tx1"/>
            </w14:solidFill>
          </w14:textFill>
        </w:rPr>
      </w:pPr>
      <w:bookmarkStart w:id="288" w:name="_Toc55522448"/>
      <w:bookmarkStart w:id="289" w:name="_Toc256183488"/>
      <w:bookmarkStart w:id="290" w:name="_Toc55506337"/>
      <w:r>
        <w:rPr>
          <w:color w:val="000000" w:themeColor="text1"/>
          <w14:textFill>
            <w14:solidFill>
              <w14:schemeClr w14:val="tx1"/>
            </w14:solidFill>
          </w14:textFill>
        </w:rPr>
        <w:t>根据《环境影响评价技术导则声环境》（HJ2.4-2021），噪声预测模式如下：</w:t>
      </w:r>
    </w:p>
    <w:p w14:paraId="57D68D11">
      <w:pPr>
        <w:ind w:firstLine="520"/>
        <w:rPr>
          <w:color w:val="000000" w:themeColor="text1"/>
          <w14:textFill>
            <w14:solidFill>
              <w14:schemeClr w14:val="tx1"/>
            </w14:solidFill>
          </w14:textFill>
        </w:rPr>
      </w:pPr>
      <w:r>
        <w:rPr>
          <w:color w:val="000000" w:themeColor="text1"/>
          <w14:textFill>
            <w14:solidFill>
              <w14:schemeClr w14:val="tx1"/>
            </w14:solidFill>
          </w14:textFill>
        </w:rPr>
        <w:t>（1）室外声源在预测点A声级预测模式</w:t>
      </w:r>
    </w:p>
    <w:p w14:paraId="5CEEBBC9">
      <w:pPr>
        <w:spacing w:line="360" w:lineRule="auto"/>
        <w:ind w:firstLine="520"/>
        <w:jc w:val="center"/>
        <w:rPr>
          <w:color w:val="000000" w:themeColor="text1"/>
          <w:szCs w:val="26"/>
          <w14:textFill>
            <w14:solidFill>
              <w14:schemeClr w14:val="tx1"/>
            </w14:solidFill>
          </w14:textFill>
        </w:rPr>
      </w:pPr>
      <w:r>
        <w:rPr>
          <w:color w:val="000000" w:themeColor="text1"/>
          <w:position w:val="-14"/>
          <w:szCs w:val="26"/>
          <w14:textFill>
            <w14:solidFill>
              <w14:schemeClr w14:val="tx1"/>
            </w14:solidFill>
          </w14:textFill>
        </w:rPr>
        <w:object>
          <v:shape id="_x0000_i1033" o:spt="75" type="#_x0000_t75" style="height:18.4pt;width:229.5pt;" o:ole="t" filled="f" o:preferrelative="t" stroked="f" coordsize="21600,21600">
            <v:path/>
            <v:fill on="f" focussize="0,0"/>
            <v:stroke on="f" joinstyle="miter"/>
            <v:imagedata r:id="rId67" o:title=""/>
            <o:lock v:ext="edit" aspectratio="t"/>
            <w10:wrap type="none"/>
            <w10:anchorlock/>
          </v:shape>
          <o:OLEObject Type="Embed" ProgID="Equation.3" ShapeID="_x0000_i1033" DrawAspect="Content" ObjectID="_1468075729" r:id="rId66">
            <o:LockedField>false</o:LockedField>
          </o:OLEObject>
        </w:object>
      </w:r>
    </w:p>
    <w:p w14:paraId="4DA6FC77">
      <w:pPr>
        <w:ind w:firstLine="520"/>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 xml:space="preserve">p(r) </w:t>
      </w:r>
      <w:r>
        <w:rPr>
          <w:color w:val="000000" w:themeColor="text1"/>
          <w14:textFill>
            <w14:solidFill>
              <w14:schemeClr w14:val="tx1"/>
            </w14:solidFill>
          </w14:textFill>
        </w:rPr>
        <w:t>—距声源r处的倍频带声压级；</w:t>
      </w:r>
    </w:p>
    <w:p w14:paraId="1A303108">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p(r0)</w:t>
      </w:r>
      <w:r>
        <w:rPr>
          <w:color w:val="000000" w:themeColor="text1"/>
          <w14:textFill>
            <w14:solidFill>
              <w14:schemeClr w14:val="tx1"/>
            </w14:solidFill>
          </w14:textFill>
        </w:rPr>
        <w:t xml:space="preserve"> —参考位置r0处的倍频带声压级；</w:t>
      </w:r>
    </w:p>
    <w:p w14:paraId="45D5C48A">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A</w:t>
      </w:r>
      <w:r>
        <w:rPr>
          <w:color w:val="000000" w:themeColor="text1"/>
          <w:vertAlign w:val="subscript"/>
          <w14:textFill>
            <w14:solidFill>
              <w14:schemeClr w14:val="tx1"/>
            </w14:solidFill>
          </w14:textFill>
        </w:rPr>
        <w:t>div</w:t>
      </w:r>
      <w:r>
        <w:rPr>
          <w:color w:val="000000" w:themeColor="text1"/>
          <w14:textFill>
            <w14:solidFill>
              <w14:schemeClr w14:val="tx1"/>
            </w14:solidFill>
          </w14:textFill>
        </w:rPr>
        <w:t>—声波几何发散引起的倍频带衰减；</w:t>
      </w:r>
    </w:p>
    <w:p w14:paraId="34E1CAA9">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A</w:t>
      </w:r>
      <w:r>
        <w:rPr>
          <w:color w:val="000000" w:themeColor="text1"/>
          <w:vertAlign w:val="subscript"/>
          <w14:textFill>
            <w14:solidFill>
              <w14:schemeClr w14:val="tx1"/>
            </w14:solidFill>
          </w14:textFill>
        </w:rPr>
        <w:t>atm</w:t>
      </w:r>
      <w:r>
        <w:rPr>
          <w:color w:val="000000" w:themeColor="text1"/>
          <w14:textFill>
            <w14:solidFill>
              <w14:schemeClr w14:val="tx1"/>
            </w14:solidFill>
          </w14:textFill>
        </w:rPr>
        <w:t>—空气吸收引起的倍频带衰减；</w:t>
      </w:r>
    </w:p>
    <w:p w14:paraId="552877C8">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A</w:t>
      </w:r>
      <w:r>
        <w:rPr>
          <w:color w:val="000000" w:themeColor="text1"/>
          <w:vertAlign w:val="subscript"/>
          <w14:textFill>
            <w14:solidFill>
              <w14:schemeClr w14:val="tx1"/>
            </w14:solidFill>
          </w14:textFill>
        </w:rPr>
        <w:t>bar</w:t>
      </w:r>
      <w:r>
        <w:rPr>
          <w:color w:val="000000" w:themeColor="text1"/>
          <w14:textFill>
            <w14:solidFill>
              <w14:schemeClr w14:val="tx1"/>
            </w14:solidFill>
          </w14:textFill>
        </w:rPr>
        <w:t>—屏障引起的倍频带衰减；</w:t>
      </w:r>
    </w:p>
    <w:p w14:paraId="0C880AF4">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A</w:t>
      </w:r>
      <w:r>
        <w:rPr>
          <w:color w:val="000000" w:themeColor="text1"/>
          <w:vertAlign w:val="subscript"/>
          <w14:textFill>
            <w14:solidFill>
              <w14:schemeClr w14:val="tx1"/>
            </w14:solidFill>
          </w14:textFill>
        </w:rPr>
        <w:t>gr</w:t>
      </w:r>
      <w:r>
        <w:rPr>
          <w:color w:val="000000" w:themeColor="text1"/>
          <w14:textFill>
            <w14:solidFill>
              <w14:schemeClr w14:val="tx1"/>
            </w14:solidFill>
          </w14:textFill>
        </w:rPr>
        <w:t>—地面效应引起的倍频带衰减；</w:t>
      </w:r>
    </w:p>
    <w:p w14:paraId="5A18D734">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A</w:t>
      </w:r>
      <w:r>
        <w:rPr>
          <w:color w:val="000000" w:themeColor="text1"/>
          <w:vertAlign w:val="subscript"/>
          <w14:textFill>
            <w14:solidFill>
              <w14:schemeClr w14:val="tx1"/>
            </w14:solidFill>
          </w14:textFill>
        </w:rPr>
        <w:t>misc</w:t>
      </w:r>
      <w:r>
        <w:rPr>
          <w:color w:val="000000" w:themeColor="text1"/>
          <w14:textFill>
            <w14:solidFill>
              <w14:schemeClr w14:val="tx1"/>
            </w14:solidFill>
          </w14:textFill>
        </w:rPr>
        <w:t>—其他多方面效应引起的倍频带衰减；</w:t>
      </w:r>
    </w:p>
    <w:p w14:paraId="0604D84F">
      <w:pPr>
        <w:ind w:firstLine="520"/>
        <w:rPr>
          <w:color w:val="000000" w:themeColor="text1"/>
          <w14:textFill>
            <w14:solidFill>
              <w14:schemeClr w14:val="tx1"/>
            </w14:solidFill>
          </w14:textFill>
        </w:rPr>
      </w:pPr>
      <w:r>
        <w:rPr>
          <w:color w:val="000000" w:themeColor="text1"/>
          <w14:textFill>
            <w14:solidFill>
              <w14:schemeClr w14:val="tx1"/>
            </w14:solidFill>
          </w14:textFill>
        </w:rPr>
        <w:t>本次预测只考虑几何发散引起的衰减，其公式为：</w:t>
      </w:r>
    </w:p>
    <w:p w14:paraId="02EB1031">
      <w:pPr>
        <w:spacing w:line="360" w:lineRule="auto"/>
        <w:ind w:firstLine="520"/>
        <w:jc w:val="center"/>
        <w:rPr>
          <w:color w:val="000000" w:themeColor="text1"/>
          <w:szCs w:val="26"/>
          <w14:textFill>
            <w14:solidFill>
              <w14:schemeClr w14:val="tx1"/>
            </w14:solidFill>
          </w14:textFill>
        </w:rPr>
      </w:pPr>
      <w:r>
        <w:rPr>
          <w:color w:val="000000" w:themeColor="text1"/>
          <w:position w:val="-12"/>
          <w:szCs w:val="26"/>
          <w14:textFill>
            <w14:solidFill>
              <w14:schemeClr w14:val="tx1"/>
            </w14:solidFill>
          </w14:textFill>
        </w:rPr>
        <w:object>
          <v:shape id="_x0000_i1034" o:spt="75" type="#_x0000_t75" style="height:18.4pt;width:85.35pt;" o:ole="t" filled="f" o:preferrelative="t" stroked="f" coordsize="21600,21600">
            <v:path/>
            <v:fill on="f" focussize="0,0"/>
            <v:stroke on="f" joinstyle="miter"/>
            <v:imagedata r:id="rId69" o:title=""/>
            <o:lock v:ext="edit" aspectratio="t"/>
            <w10:wrap type="none"/>
            <w10:anchorlock/>
          </v:shape>
          <o:OLEObject Type="Embed" ProgID="Equation.3" ShapeID="_x0000_i1034" DrawAspect="Content" ObjectID="_1468075730" r:id="rId68">
            <o:LockedField>false</o:LockedField>
          </o:OLEObject>
        </w:object>
      </w:r>
    </w:p>
    <w:p w14:paraId="0ED8D1D7">
      <w:pPr>
        <w:ind w:firstLine="520"/>
        <w:rPr>
          <w:color w:val="000000" w:themeColor="text1"/>
          <w14:textFill>
            <w14:solidFill>
              <w14:schemeClr w14:val="tx1"/>
            </w14:solidFill>
          </w14:textFill>
        </w:rPr>
      </w:pPr>
      <w:r>
        <w:rPr>
          <w:color w:val="000000" w:themeColor="text1"/>
          <w14:textFill>
            <w14:solidFill>
              <w14:schemeClr w14:val="tx1"/>
            </w14:solidFill>
          </w14:textFill>
        </w:rPr>
        <w:t>（2）多源噪声叠加公式</w:t>
      </w:r>
    </w:p>
    <w:p w14:paraId="2EF6D4C3">
      <w:pPr>
        <w:spacing w:line="360" w:lineRule="auto"/>
        <w:ind w:firstLine="520"/>
        <w:jc w:val="center"/>
        <w:rPr>
          <w:color w:val="000000" w:themeColor="text1"/>
          <w:szCs w:val="26"/>
          <w14:textFill>
            <w14:solidFill>
              <w14:schemeClr w14:val="tx1"/>
            </w14:solidFill>
          </w14:textFill>
        </w:rPr>
      </w:pPr>
      <w:r>
        <w:rPr>
          <w:color w:val="000000" w:themeColor="text1"/>
          <w:position w:val="-34"/>
          <w:szCs w:val="26"/>
          <w14:textFill>
            <w14:solidFill>
              <w14:schemeClr w14:val="tx1"/>
            </w14:solidFill>
          </w14:textFill>
        </w:rPr>
        <w:object>
          <v:shape id="_x0000_i1035" o:spt="75" type="#_x0000_t75" style="height:31pt;width:81.2pt;" o:ole="t" filled="f" o:preferrelative="t" stroked="f" coordsize="21600,21600">
            <v:path/>
            <v:fill on="f" focussize="0,0"/>
            <v:stroke on="f" joinstyle="miter"/>
            <v:imagedata r:id="rId71" o:title=""/>
            <o:lock v:ext="edit" aspectratio="t"/>
            <w10:wrap type="none"/>
            <w10:anchorlock/>
          </v:shape>
          <o:OLEObject Type="Embed" ProgID="Equation.3" ShapeID="_x0000_i1035" DrawAspect="Content" ObjectID="_1468075731" r:id="rId70">
            <o:LockedField>false</o:LockedField>
          </o:OLEObject>
        </w:object>
      </w:r>
    </w:p>
    <w:p w14:paraId="4E4D1B66">
      <w:pPr>
        <w:ind w:firstLine="520"/>
        <w:rPr>
          <w:color w:val="000000" w:themeColor="text1"/>
          <w14:textFill>
            <w14:solidFill>
              <w14:schemeClr w14:val="tx1"/>
            </w14:solidFill>
          </w14:textFill>
        </w:rPr>
      </w:pPr>
      <w:r>
        <w:rPr>
          <w:color w:val="000000" w:themeColor="text1"/>
          <w14:textFill>
            <w14:solidFill>
              <w14:schemeClr w14:val="tx1"/>
            </w14:solidFill>
          </w14:textFill>
        </w:rPr>
        <w:t>式中：L总—几个声压级相加后的总声压级；</w:t>
      </w:r>
    </w:p>
    <w:p w14:paraId="7F20FABB">
      <w:pPr>
        <w:ind w:firstLine="52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Li—某一个声压级；</w:t>
      </w:r>
    </w:p>
    <w:p w14:paraId="2F3FE09B">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N—声源数量。</w:t>
      </w:r>
    </w:p>
    <w:p w14:paraId="409859C6">
      <w:pPr>
        <w:ind w:firstLine="520"/>
        <w:rPr>
          <w:color w:val="000000" w:themeColor="text1"/>
          <w14:textFill>
            <w14:solidFill>
              <w14:schemeClr w14:val="tx1"/>
            </w14:solidFill>
          </w14:textFill>
        </w:rPr>
      </w:pPr>
      <w:r>
        <w:rPr>
          <w:color w:val="000000" w:themeColor="text1"/>
          <w14:textFill>
            <w14:solidFill>
              <w14:schemeClr w14:val="tx1"/>
            </w14:solidFill>
          </w14:textFill>
        </w:rPr>
        <w:t>（3）室内声源等效室外声源声压级</w:t>
      </w:r>
    </w:p>
    <w:p w14:paraId="2FB8D500">
      <w:pPr>
        <w:ind w:firstLine="520"/>
        <w:rPr>
          <w:color w:val="000000" w:themeColor="text1"/>
          <w14:textFill>
            <w14:solidFill>
              <w14:schemeClr w14:val="tx1"/>
            </w14:solidFill>
          </w14:textFill>
        </w:rPr>
      </w:pPr>
      <w:r>
        <w:rPr>
          <w:color w:val="000000" w:themeColor="text1"/>
          <w14:textFill>
            <w14:solidFill>
              <w14:schemeClr w14:val="tx1"/>
            </w14:solidFill>
          </w14:textFill>
        </w:rPr>
        <w:t>声源所在室内声场为近似扩散声场，计算公式为：</w:t>
      </w:r>
    </w:p>
    <w:p w14:paraId="60D03332">
      <w:pPr>
        <w:spacing w:line="360" w:lineRule="auto"/>
        <w:ind w:firstLine="520"/>
        <w:jc w:val="center"/>
        <w:rPr>
          <w:color w:val="000000" w:themeColor="text1"/>
          <w:szCs w:val="26"/>
          <w14:textFill>
            <w14:solidFill>
              <w14:schemeClr w14:val="tx1"/>
            </w14:solidFill>
          </w14:textFill>
        </w:rPr>
      </w:pPr>
      <w:r>
        <w:rPr>
          <w:color w:val="000000" w:themeColor="text1"/>
          <w:position w:val="-14"/>
          <w:szCs w:val="26"/>
          <w14:textFill>
            <w14:solidFill>
              <w14:schemeClr w14:val="tx1"/>
            </w14:solidFill>
          </w14:textFill>
        </w:rPr>
        <w:object>
          <v:shape id="_x0000_i1036" o:spt="75" type="#_x0000_t75" style="height:18.4pt;width:98pt;" o:ole="t" filled="f" o:preferrelative="t" stroked="f" coordsize="21600,21600">
            <v:path/>
            <v:fill on="f" focussize="0,0"/>
            <v:stroke on="f" joinstyle="miter"/>
            <v:imagedata r:id="rId73" o:title=""/>
            <o:lock v:ext="edit" aspectratio="t"/>
            <w10:wrap type="none"/>
            <w10:anchorlock/>
          </v:shape>
          <o:OLEObject Type="Embed" ProgID="Equation.3" ShapeID="_x0000_i1036" DrawAspect="Content" ObjectID="_1468075732" r:id="rId72">
            <o:LockedField>false</o:LockedField>
          </o:OLEObject>
        </w:object>
      </w:r>
    </w:p>
    <w:p w14:paraId="2E48E8F8">
      <w:pPr>
        <w:ind w:firstLine="520"/>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p2</w:t>
      </w:r>
      <w:r>
        <w:rPr>
          <w:color w:val="000000" w:themeColor="text1"/>
          <w14:textFill>
            <w14:solidFill>
              <w14:schemeClr w14:val="tx1"/>
            </w14:solidFill>
          </w14:textFill>
        </w:rPr>
        <w:t>—室外声压级；</w:t>
      </w:r>
    </w:p>
    <w:p w14:paraId="3E1E49D6">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p1</w:t>
      </w:r>
      <w:r>
        <w:rPr>
          <w:color w:val="000000" w:themeColor="text1"/>
          <w14:textFill>
            <w14:solidFill>
              <w14:schemeClr w14:val="tx1"/>
            </w14:solidFill>
          </w14:textFill>
        </w:rPr>
        <w:t>—某一室内声源靠近围护结构处产生的声压级；</w:t>
      </w:r>
    </w:p>
    <w:p w14:paraId="2B03651E">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TL—隔墙（或窗户）倍频带的隔声量，为简化计算，本次预测时，隔声量按10dB折减。</w:t>
      </w:r>
    </w:p>
    <w:p w14:paraId="3C4B0997">
      <w:pPr>
        <w:ind w:firstLine="52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）预测结果及分析</w:t>
      </w:r>
    </w:p>
    <w:p w14:paraId="25BBA998">
      <w:pPr>
        <w:spacing w:before="32"/>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本次为扩建，臻宝半导体现有项目尚未运营，本次厂界噪声预测叠加现有项目贡献值；臻宝科技公司已经验收，本次对其现有厂界噪声进行叠加</w:t>
      </w:r>
      <w:r>
        <w:rPr>
          <w:rFonts w:hint="eastAsia"/>
          <w:color w:val="000000" w:themeColor="text1"/>
          <w14:textFill>
            <w14:solidFill>
              <w14:schemeClr w14:val="tx1"/>
            </w14:solidFill>
          </w14:textFill>
        </w:rPr>
        <w:t>预测结果见下表</w:t>
      </w:r>
      <w:r>
        <w:rPr>
          <w:color w:val="000000" w:themeColor="text1"/>
          <w14:textFill>
            <w14:solidFill>
              <w14:schemeClr w14:val="tx1"/>
            </w14:solidFill>
          </w14:textFill>
        </w:rPr>
        <w:t>。</w:t>
      </w:r>
    </w:p>
    <w:p w14:paraId="2B65E77D">
      <w:pPr>
        <w:spacing w:before="32"/>
        <w:ind w:firstLine="0" w:firstLineChars="0"/>
        <w:jc w:val="center"/>
        <w:rPr>
          <w:snapToGrid/>
          <w:color w:val="000000" w:themeColor="text1"/>
          <w14:textFill>
            <w14:solidFill>
              <w14:schemeClr w14:val="tx1"/>
            </w14:solidFill>
          </w14:textFill>
        </w:rPr>
      </w:pPr>
      <w:bookmarkStart w:id="291" w:name="_Ref160555212"/>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291"/>
      <w:r>
        <w:rPr>
          <w:color w:val="000000" w:themeColor="text1"/>
          <w:szCs w:val="26"/>
          <w14:textFill>
            <w14:solidFill>
              <w14:schemeClr w14:val="tx1"/>
            </w14:solidFill>
          </w14:textFill>
        </w:rPr>
        <w:t xml:space="preserve">      </w:t>
      </w:r>
      <w:r>
        <w:rPr>
          <w:snapToGrid/>
          <w:color w:val="000000" w:themeColor="text1"/>
          <w14:textFill>
            <w14:solidFill>
              <w14:schemeClr w14:val="tx1"/>
            </w14:solidFill>
          </w14:textFill>
        </w:rPr>
        <w:t>厂界</w:t>
      </w:r>
      <w:r>
        <w:rPr>
          <w:rFonts w:hint="eastAsia"/>
          <w:snapToGrid/>
          <w:color w:val="000000" w:themeColor="text1"/>
          <w14:textFill>
            <w14:solidFill>
              <w14:schemeClr w14:val="tx1"/>
            </w14:solidFill>
          </w14:textFill>
        </w:rPr>
        <w:t>噪声</w:t>
      </w:r>
      <w:r>
        <w:rPr>
          <w:snapToGrid/>
          <w:color w:val="000000" w:themeColor="text1"/>
          <w14:textFill>
            <w14:solidFill>
              <w14:schemeClr w14:val="tx1"/>
            </w14:solidFill>
          </w14:textFill>
        </w:rPr>
        <w:t>影响</w:t>
      </w:r>
      <w:r>
        <w:rPr>
          <w:rFonts w:hint="eastAsia"/>
          <w:snapToGrid/>
          <w:color w:val="000000" w:themeColor="text1"/>
          <w14:textFill>
            <w14:solidFill>
              <w14:schemeClr w14:val="tx1"/>
            </w14:solidFill>
          </w14:textFill>
        </w:rPr>
        <w:t>预测（臻宝半导体公司厂区）</w:t>
      </w:r>
    </w:p>
    <w:tbl>
      <w:tblPr>
        <w:tblStyle w:val="8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68"/>
        <w:gridCol w:w="1004"/>
        <w:gridCol w:w="1515"/>
        <w:gridCol w:w="1530"/>
        <w:gridCol w:w="1530"/>
        <w:gridCol w:w="1530"/>
        <w:gridCol w:w="881"/>
      </w:tblGrid>
      <w:tr w14:paraId="2EE60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Align w:val="center"/>
          </w:tcPr>
          <w:p w14:paraId="7F6E73E2">
            <w:pPr>
              <w:pStyle w:val="1535"/>
            </w:pPr>
            <w:r>
              <w:t>预测方位</w:t>
            </w:r>
          </w:p>
        </w:tc>
        <w:tc>
          <w:tcPr>
            <w:tcW w:w="531" w:type="pct"/>
            <w:vAlign w:val="center"/>
          </w:tcPr>
          <w:p w14:paraId="4B609E43">
            <w:pPr>
              <w:pStyle w:val="1535"/>
            </w:pPr>
            <w:r>
              <w:t>时段</w:t>
            </w:r>
          </w:p>
        </w:tc>
        <w:tc>
          <w:tcPr>
            <w:tcW w:w="801" w:type="pct"/>
            <w:vAlign w:val="center"/>
          </w:tcPr>
          <w:p w14:paraId="54A43F3D">
            <w:pPr>
              <w:pStyle w:val="1535"/>
            </w:pPr>
            <w:r>
              <w:t>预测值（dB(A)）</w:t>
            </w:r>
          </w:p>
        </w:tc>
        <w:tc>
          <w:tcPr>
            <w:tcW w:w="809" w:type="pct"/>
            <w:vAlign w:val="center"/>
          </w:tcPr>
          <w:p w14:paraId="3C1AEB44">
            <w:pPr>
              <w:pStyle w:val="1535"/>
            </w:pPr>
            <w:r>
              <w:rPr>
                <w:rFonts w:hint="eastAsia"/>
              </w:rPr>
              <w:t>现有项目贡献值</w:t>
            </w:r>
            <w:r>
              <w:t>（dB(A)）</w:t>
            </w:r>
          </w:p>
        </w:tc>
        <w:tc>
          <w:tcPr>
            <w:tcW w:w="809" w:type="pct"/>
            <w:vAlign w:val="center"/>
          </w:tcPr>
          <w:p w14:paraId="6FC05CF4">
            <w:pPr>
              <w:pStyle w:val="1535"/>
            </w:pPr>
            <w:r>
              <w:rPr>
                <w:rFonts w:hint="eastAsia"/>
              </w:rPr>
              <w:t>叠加后影响值</w:t>
            </w:r>
            <w:r>
              <w:t>（dB(A)）</w:t>
            </w:r>
          </w:p>
        </w:tc>
        <w:tc>
          <w:tcPr>
            <w:tcW w:w="809" w:type="pct"/>
            <w:vAlign w:val="center"/>
          </w:tcPr>
          <w:p w14:paraId="41BAE0E5">
            <w:pPr>
              <w:pStyle w:val="1535"/>
            </w:pPr>
            <w:r>
              <w:t>标准限值（dB(A)）</w:t>
            </w:r>
          </w:p>
        </w:tc>
        <w:tc>
          <w:tcPr>
            <w:tcW w:w="465" w:type="pct"/>
            <w:vAlign w:val="center"/>
          </w:tcPr>
          <w:p w14:paraId="39528C88">
            <w:pPr>
              <w:pStyle w:val="1535"/>
            </w:pPr>
            <w:r>
              <w:t>达标情况</w:t>
            </w:r>
          </w:p>
        </w:tc>
      </w:tr>
      <w:tr w14:paraId="027CF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restart"/>
            <w:vAlign w:val="center"/>
          </w:tcPr>
          <w:p w14:paraId="48C0E3F8">
            <w:pPr>
              <w:pStyle w:val="1535"/>
            </w:pPr>
            <w:r>
              <w:t>东侧厂界</w:t>
            </w:r>
          </w:p>
        </w:tc>
        <w:tc>
          <w:tcPr>
            <w:tcW w:w="531" w:type="pct"/>
            <w:vAlign w:val="center"/>
          </w:tcPr>
          <w:p w14:paraId="2AF676D0">
            <w:pPr>
              <w:pStyle w:val="1535"/>
            </w:pPr>
            <w:r>
              <w:t>昼间</w:t>
            </w:r>
          </w:p>
        </w:tc>
        <w:tc>
          <w:tcPr>
            <w:tcW w:w="801" w:type="pct"/>
            <w:vAlign w:val="center"/>
          </w:tcPr>
          <w:p w14:paraId="4C38DB9C">
            <w:pPr>
              <w:pStyle w:val="1535"/>
            </w:pPr>
            <w:r>
              <w:rPr>
                <w:rFonts w:hint="eastAsia"/>
              </w:rPr>
              <w:t>42</w:t>
            </w:r>
          </w:p>
        </w:tc>
        <w:tc>
          <w:tcPr>
            <w:tcW w:w="809" w:type="pct"/>
            <w:vAlign w:val="center"/>
          </w:tcPr>
          <w:p w14:paraId="3C4DC58A">
            <w:pPr>
              <w:pStyle w:val="1535"/>
            </w:pPr>
            <w:r>
              <w:rPr>
                <w:rFonts w:hint="eastAsia"/>
              </w:rPr>
              <w:t>43</w:t>
            </w:r>
          </w:p>
        </w:tc>
        <w:tc>
          <w:tcPr>
            <w:tcW w:w="809" w:type="pct"/>
            <w:vAlign w:val="center"/>
          </w:tcPr>
          <w:p w14:paraId="0EA01F1F">
            <w:pPr>
              <w:pStyle w:val="1535"/>
            </w:pPr>
            <w:r>
              <w:rPr>
                <w:rFonts w:hint="eastAsia"/>
              </w:rPr>
              <w:t>46</w:t>
            </w:r>
          </w:p>
        </w:tc>
        <w:tc>
          <w:tcPr>
            <w:tcW w:w="809" w:type="pct"/>
            <w:vAlign w:val="center"/>
          </w:tcPr>
          <w:p w14:paraId="2FD68F87">
            <w:pPr>
              <w:pStyle w:val="1535"/>
            </w:pPr>
            <w:r>
              <w:t>65</w:t>
            </w:r>
          </w:p>
        </w:tc>
        <w:tc>
          <w:tcPr>
            <w:tcW w:w="465" w:type="pct"/>
            <w:vAlign w:val="center"/>
          </w:tcPr>
          <w:p w14:paraId="554CE869">
            <w:pPr>
              <w:pStyle w:val="1535"/>
            </w:pPr>
            <w:bookmarkStart w:id="292" w:name="OLE_LINK20"/>
            <w:r>
              <w:t>达标</w:t>
            </w:r>
            <w:bookmarkEnd w:id="292"/>
          </w:p>
        </w:tc>
      </w:tr>
      <w:tr w14:paraId="24F272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continue"/>
            <w:vAlign w:val="center"/>
          </w:tcPr>
          <w:p w14:paraId="0E39DD3E">
            <w:pPr>
              <w:pStyle w:val="1535"/>
            </w:pPr>
          </w:p>
        </w:tc>
        <w:tc>
          <w:tcPr>
            <w:tcW w:w="531" w:type="pct"/>
            <w:vAlign w:val="center"/>
          </w:tcPr>
          <w:p w14:paraId="5CE95DDA">
            <w:pPr>
              <w:pStyle w:val="1535"/>
            </w:pPr>
            <w:r>
              <w:rPr>
                <w:rFonts w:hint="eastAsia"/>
              </w:rPr>
              <w:t>夜间</w:t>
            </w:r>
          </w:p>
        </w:tc>
        <w:tc>
          <w:tcPr>
            <w:tcW w:w="801" w:type="pct"/>
            <w:vAlign w:val="center"/>
          </w:tcPr>
          <w:p w14:paraId="7FC26C3A">
            <w:pPr>
              <w:pStyle w:val="1535"/>
            </w:pPr>
            <w:r>
              <w:rPr>
                <w:rFonts w:hint="eastAsia"/>
              </w:rPr>
              <w:t>42</w:t>
            </w:r>
          </w:p>
        </w:tc>
        <w:tc>
          <w:tcPr>
            <w:tcW w:w="809" w:type="pct"/>
            <w:vAlign w:val="center"/>
          </w:tcPr>
          <w:p w14:paraId="60BEECD2">
            <w:pPr>
              <w:pStyle w:val="1535"/>
            </w:pPr>
            <w:r>
              <w:rPr>
                <w:rFonts w:hint="eastAsia"/>
              </w:rPr>
              <w:t>43</w:t>
            </w:r>
          </w:p>
        </w:tc>
        <w:tc>
          <w:tcPr>
            <w:tcW w:w="809" w:type="pct"/>
            <w:vAlign w:val="center"/>
          </w:tcPr>
          <w:p w14:paraId="179028F5">
            <w:pPr>
              <w:pStyle w:val="1535"/>
            </w:pPr>
            <w:r>
              <w:rPr>
                <w:rFonts w:hint="eastAsia"/>
              </w:rPr>
              <w:t>46</w:t>
            </w:r>
          </w:p>
        </w:tc>
        <w:tc>
          <w:tcPr>
            <w:tcW w:w="809" w:type="pct"/>
            <w:vAlign w:val="center"/>
          </w:tcPr>
          <w:p w14:paraId="107FEB5D">
            <w:pPr>
              <w:pStyle w:val="1535"/>
            </w:pPr>
            <w:r>
              <w:rPr>
                <w:rFonts w:hint="eastAsia"/>
              </w:rPr>
              <w:t>55</w:t>
            </w:r>
          </w:p>
        </w:tc>
        <w:tc>
          <w:tcPr>
            <w:tcW w:w="465" w:type="pct"/>
            <w:vAlign w:val="center"/>
          </w:tcPr>
          <w:p w14:paraId="167516A5">
            <w:pPr>
              <w:pStyle w:val="1535"/>
            </w:pPr>
            <w:r>
              <w:t>达标</w:t>
            </w:r>
          </w:p>
        </w:tc>
      </w:tr>
      <w:tr w14:paraId="6E4278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restart"/>
            <w:vAlign w:val="center"/>
          </w:tcPr>
          <w:p w14:paraId="042C4CBE">
            <w:pPr>
              <w:pStyle w:val="1535"/>
            </w:pPr>
            <w:r>
              <w:t>西侧厂界</w:t>
            </w:r>
          </w:p>
        </w:tc>
        <w:tc>
          <w:tcPr>
            <w:tcW w:w="531" w:type="pct"/>
            <w:vAlign w:val="center"/>
          </w:tcPr>
          <w:p w14:paraId="3288D610">
            <w:pPr>
              <w:pStyle w:val="1535"/>
            </w:pPr>
            <w:r>
              <w:t>昼间</w:t>
            </w:r>
          </w:p>
        </w:tc>
        <w:tc>
          <w:tcPr>
            <w:tcW w:w="801" w:type="pct"/>
            <w:vAlign w:val="center"/>
          </w:tcPr>
          <w:p w14:paraId="4688F0C4">
            <w:pPr>
              <w:pStyle w:val="1535"/>
            </w:pPr>
            <w:r>
              <w:rPr>
                <w:rFonts w:hint="eastAsia"/>
              </w:rPr>
              <w:t>39</w:t>
            </w:r>
          </w:p>
        </w:tc>
        <w:tc>
          <w:tcPr>
            <w:tcW w:w="809" w:type="pct"/>
            <w:vAlign w:val="center"/>
          </w:tcPr>
          <w:p w14:paraId="0E895796">
            <w:pPr>
              <w:pStyle w:val="1535"/>
            </w:pPr>
            <w:r>
              <w:rPr>
                <w:rFonts w:hint="eastAsia"/>
              </w:rPr>
              <w:t>45</w:t>
            </w:r>
          </w:p>
        </w:tc>
        <w:tc>
          <w:tcPr>
            <w:tcW w:w="809" w:type="pct"/>
            <w:vAlign w:val="center"/>
          </w:tcPr>
          <w:p w14:paraId="45F1DACD">
            <w:pPr>
              <w:pStyle w:val="1535"/>
            </w:pPr>
            <w:r>
              <w:rPr>
                <w:rFonts w:hint="eastAsia"/>
              </w:rPr>
              <w:t>46</w:t>
            </w:r>
          </w:p>
        </w:tc>
        <w:tc>
          <w:tcPr>
            <w:tcW w:w="809" w:type="pct"/>
            <w:vAlign w:val="center"/>
          </w:tcPr>
          <w:p w14:paraId="6A63C4FC">
            <w:pPr>
              <w:pStyle w:val="1535"/>
            </w:pPr>
            <w:r>
              <w:t>65</w:t>
            </w:r>
          </w:p>
        </w:tc>
        <w:tc>
          <w:tcPr>
            <w:tcW w:w="465" w:type="pct"/>
            <w:vAlign w:val="center"/>
          </w:tcPr>
          <w:p w14:paraId="1088E193">
            <w:pPr>
              <w:pStyle w:val="1535"/>
            </w:pPr>
            <w:r>
              <w:t>达标</w:t>
            </w:r>
          </w:p>
        </w:tc>
      </w:tr>
      <w:tr w14:paraId="4E4C80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continue"/>
            <w:vAlign w:val="center"/>
          </w:tcPr>
          <w:p w14:paraId="071D62FE">
            <w:pPr>
              <w:pStyle w:val="1535"/>
            </w:pPr>
          </w:p>
        </w:tc>
        <w:tc>
          <w:tcPr>
            <w:tcW w:w="531" w:type="pct"/>
            <w:vAlign w:val="center"/>
          </w:tcPr>
          <w:p w14:paraId="0D6B5669">
            <w:pPr>
              <w:pStyle w:val="1535"/>
            </w:pPr>
            <w:r>
              <w:rPr>
                <w:rFonts w:hint="eastAsia"/>
              </w:rPr>
              <w:t>夜间</w:t>
            </w:r>
          </w:p>
        </w:tc>
        <w:tc>
          <w:tcPr>
            <w:tcW w:w="801" w:type="pct"/>
            <w:vAlign w:val="center"/>
          </w:tcPr>
          <w:p w14:paraId="69DEAD18">
            <w:pPr>
              <w:pStyle w:val="1535"/>
            </w:pPr>
            <w:r>
              <w:rPr>
                <w:rFonts w:hint="eastAsia"/>
              </w:rPr>
              <w:t>39</w:t>
            </w:r>
          </w:p>
        </w:tc>
        <w:tc>
          <w:tcPr>
            <w:tcW w:w="809" w:type="pct"/>
            <w:vAlign w:val="center"/>
          </w:tcPr>
          <w:p w14:paraId="1EA35F57">
            <w:pPr>
              <w:pStyle w:val="1535"/>
            </w:pPr>
            <w:r>
              <w:rPr>
                <w:rFonts w:hint="eastAsia"/>
              </w:rPr>
              <w:t>45</w:t>
            </w:r>
          </w:p>
        </w:tc>
        <w:tc>
          <w:tcPr>
            <w:tcW w:w="809" w:type="pct"/>
            <w:vAlign w:val="center"/>
          </w:tcPr>
          <w:p w14:paraId="7C8D5C7A">
            <w:pPr>
              <w:pStyle w:val="1535"/>
            </w:pPr>
            <w:r>
              <w:rPr>
                <w:rFonts w:hint="eastAsia"/>
              </w:rPr>
              <w:t>46</w:t>
            </w:r>
          </w:p>
        </w:tc>
        <w:tc>
          <w:tcPr>
            <w:tcW w:w="809" w:type="pct"/>
            <w:vAlign w:val="center"/>
          </w:tcPr>
          <w:p w14:paraId="5621A649">
            <w:pPr>
              <w:pStyle w:val="1535"/>
            </w:pPr>
            <w:r>
              <w:rPr>
                <w:rFonts w:hint="eastAsia"/>
              </w:rPr>
              <w:t>55</w:t>
            </w:r>
          </w:p>
        </w:tc>
        <w:tc>
          <w:tcPr>
            <w:tcW w:w="465" w:type="pct"/>
            <w:vAlign w:val="center"/>
          </w:tcPr>
          <w:p w14:paraId="63F522FF">
            <w:pPr>
              <w:pStyle w:val="1535"/>
            </w:pPr>
            <w:r>
              <w:t>达标</w:t>
            </w:r>
          </w:p>
        </w:tc>
      </w:tr>
      <w:tr w14:paraId="3AC21C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restart"/>
            <w:vAlign w:val="center"/>
          </w:tcPr>
          <w:p w14:paraId="67F35595">
            <w:pPr>
              <w:pStyle w:val="1535"/>
            </w:pPr>
            <w:r>
              <w:t>南侧厂界</w:t>
            </w:r>
          </w:p>
        </w:tc>
        <w:tc>
          <w:tcPr>
            <w:tcW w:w="531" w:type="pct"/>
            <w:vAlign w:val="center"/>
          </w:tcPr>
          <w:p w14:paraId="7D271230">
            <w:pPr>
              <w:pStyle w:val="1535"/>
            </w:pPr>
            <w:r>
              <w:t>昼间</w:t>
            </w:r>
          </w:p>
        </w:tc>
        <w:tc>
          <w:tcPr>
            <w:tcW w:w="801" w:type="pct"/>
            <w:vAlign w:val="center"/>
          </w:tcPr>
          <w:p w14:paraId="5EF1AC34">
            <w:pPr>
              <w:pStyle w:val="1535"/>
            </w:pPr>
            <w:r>
              <w:rPr>
                <w:rFonts w:hint="eastAsia"/>
              </w:rPr>
              <w:t>50</w:t>
            </w:r>
          </w:p>
        </w:tc>
        <w:tc>
          <w:tcPr>
            <w:tcW w:w="809" w:type="pct"/>
            <w:vAlign w:val="center"/>
          </w:tcPr>
          <w:p w14:paraId="78682EF7">
            <w:pPr>
              <w:pStyle w:val="1535"/>
            </w:pPr>
            <w:r>
              <w:rPr>
                <w:rFonts w:hint="eastAsia"/>
              </w:rPr>
              <w:t>47</w:t>
            </w:r>
          </w:p>
        </w:tc>
        <w:tc>
          <w:tcPr>
            <w:tcW w:w="809" w:type="pct"/>
            <w:vAlign w:val="center"/>
          </w:tcPr>
          <w:p w14:paraId="4FDE9F08">
            <w:pPr>
              <w:pStyle w:val="1535"/>
            </w:pPr>
            <w:r>
              <w:rPr>
                <w:rFonts w:hint="eastAsia"/>
              </w:rPr>
              <w:t>52</w:t>
            </w:r>
          </w:p>
        </w:tc>
        <w:tc>
          <w:tcPr>
            <w:tcW w:w="809" w:type="pct"/>
            <w:vAlign w:val="center"/>
          </w:tcPr>
          <w:p w14:paraId="2A87E5ED">
            <w:pPr>
              <w:pStyle w:val="1535"/>
            </w:pPr>
            <w:r>
              <w:t>65</w:t>
            </w:r>
          </w:p>
        </w:tc>
        <w:tc>
          <w:tcPr>
            <w:tcW w:w="465" w:type="pct"/>
            <w:vAlign w:val="center"/>
          </w:tcPr>
          <w:p w14:paraId="3A8C7DC7">
            <w:pPr>
              <w:pStyle w:val="1535"/>
            </w:pPr>
            <w:r>
              <w:t>达标</w:t>
            </w:r>
          </w:p>
        </w:tc>
      </w:tr>
      <w:tr w14:paraId="6E50C2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continue"/>
            <w:vAlign w:val="center"/>
          </w:tcPr>
          <w:p w14:paraId="43CB3E59">
            <w:pPr>
              <w:pStyle w:val="1535"/>
            </w:pPr>
          </w:p>
        </w:tc>
        <w:tc>
          <w:tcPr>
            <w:tcW w:w="531" w:type="pct"/>
            <w:vAlign w:val="center"/>
          </w:tcPr>
          <w:p w14:paraId="6723C7DA">
            <w:pPr>
              <w:pStyle w:val="1535"/>
            </w:pPr>
            <w:r>
              <w:rPr>
                <w:rFonts w:hint="eastAsia"/>
              </w:rPr>
              <w:t>夜间</w:t>
            </w:r>
          </w:p>
        </w:tc>
        <w:tc>
          <w:tcPr>
            <w:tcW w:w="801" w:type="pct"/>
            <w:vAlign w:val="center"/>
          </w:tcPr>
          <w:p w14:paraId="62B6E922">
            <w:pPr>
              <w:pStyle w:val="1535"/>
            </w:pPr>
            <w:r>
              <w:rPr>
                <w:rFonts w:hint="eastAsia"/>
              </w:rPr>
              <w:t>50</w:t>
            </w:r>
          </w:p>
        </w:tc>
        <w:tc>
          <w:tcPr>
            <w:tcW w:w="809" w:type="pct"/>
            <w:vAlign w:val="center"/>
          </w:tcPr>
          <w:p w14:paraId="1E1AAF9F">
            <w:pPr>
              <w:pStyle w:val="1535"/>
            </w:pPr>
            <w:r>
              <w:rPr>
                <w:rFonts w:hint="eastAsia"/>
              </w:rPr>
              <w:t>47</w:t>
            </w:r>
          </w:p>
        </w:tc>
        <w:tc>
          <w:tcPr>
            <w:tcW w:w="809" w:type="pct"/>
            <w:vAlign w:val="center"/>
          </w:tcPr>
          <w:p w14:paraId="00D01A51">
            <w:pPr>
              <w:pStyle w:val="1535"/>
            </w:pPr>
            <w:r>
              <w:rPr>
                <w:rFonts w:hint="eastAsia"/>
              </w:rPr>
              <w:t>52</w:t>
            </w:r>
          </w:p>
        </w:tc>
        <w:tc>
          <w:tcPr>
            <w:tcW w:w="809" w:type="pct"/>
            <w:vAlign w:val="center"/>
          </w:tcPr>
          <w:p w14:paraId="4A8E47B4">
            <w:pPr>
              <w:pStyle w:val="1535"/>
            </w:pPr>
            <w:r>
              <w:rPr>
                <w:rFonts w:hint="eastAsia"/>
              </w:rPr>
              <w:t>55</w:t>
            </w:r>
          </w:p>
        </w:tc>
        <w:tc>
          <w:tcPr>
            <w:tcW w:w="465" w:type="pct"/>
            <w:vAlign w:val="center"/>
          </w:tcPr>
          <w:p w14:paraId="4F6199A9">
            <w:pPr>
              <w:pStyle w:val="1535"/>
            </w:pPr>
            <w:r>
              <w:t>达标</w:t>
            </w:r>
          </w:p>
        </w:tc>
      </w:tr>
      <w:tr w14:paraId="01BEFD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restart"/>
            <w:vAlign w:val="center"/>
          </w:tcPr>
          <w:p w14:paraId="2B40E915">
            <w:pPr>
              <w:pStyle w:val="1535"/>
            </w:pPr>
            <w:r>
              <w:t>北侧厂界</w:t>
            </w:r>
          </w:p>
        </w:tc>
        <w:tc>
          <w:tcPr>
            <w:tcW w:w="531" w:type="pct"/>
            <w:vAlign w:val="center"/>
          </w:tcPr>
          <w:p w14:paraId="743A97BA">
            <w:pPr>
              <w:pStyle w:val="1535"/>
            </w:pPr>
            <w:r>
              <w:t>昼间</w:t>
            </w:r>
          </w:p>
        </w:tc>
        <w:tc>
          <w:tcPr>
            <w:tcW w:w="801" w:type="pct"/>
            <w:vAlign w:val="center"/>
          </w:tcPr>
          <w:p w14:paraId="06DBB741">
            <w:pPr>
              <w:pStyle w:val="1535"/>
            </w:pPr>
            <w:r>
              <w:rPr>
                <w:rFonts w:hint="eastAsia"/>
              </w:rPr>
              <w:t>29</w:t>
            </w:r>
          </w:p>
        </w:tc>
        <w:tc>
          <w:tcPr>
            <w:tcW w:w="809" w:type="pct"/>
            <w:vAlign w:val="center"/>
          </w:tcPr>
          <w:p w14:paraId="3611F5AE">
            <w:pPr>
              <w:pStyle w:val="1535"/>
            </w:pPr>
            <w:r>
              <w:rPr>
                <w:rFonts w:hint="eastAsia"/>
              </w:rPr>
              <w:t>41</w:t>
            </w:r>
          </w:p>
        </w:tc>
        <w:tc>
          <w:tcPr>
            <w:tcW w:w="809" w:type="pct"/>
            <w:vAlign w:val="center"/>
          </w:tcPr>
          <w:p w14:paraId="6A0AEF79">
            <w:pPr>
              <w:pStyle w:val="1535"/>
            </w:pPr>
            <w:r>
              <w:rPr>
                <w:rFonts w:hint="eastAsia"/>
              </w:rPr>
              <w:t>41</w:t>
            </w:r>
          </w:p>
        </w:tc>
        <w:tc>
          <w:tcPr>
            <w:tcW w:w="809" w:type="pct"/>
            <w:vAlign w:val="center"/>
          </w:tcPr>
          <w:p w14:paraId="4091D7F0">
            <w:pPr>
              <w:pStyle w:val="1535"/>
            </w:pPr>
            <w:r>
              <w:t>65</w:t>
            </w:r>
          </w:p>
        </w:tc>
        <w:tc>
          <w:tcPr>
            <w:tcW w:w="465" w:type="pct"/>
            <w:vAlign w:val="center"/>
          </w:tcPr>
          <w:p w14:paraId="3615EA01">
            <w:pPr>
              <w:pStyle w:val="1535"/>
            </w:pPr>
            <w:r>
              <w:t>达标</w:t>
            </w:r>
          </w:p>
        </w:tc>
      </w:tr>
      <w:tr w14:paraId="5DF767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continue"/>
            <w:vAlign w:val="center"/>
          </w:tcPr>
          <w:p w14:paraId="1717DE53">
            <w:pPr>
              <w:pStyle w:val="1535"/>
            </w:pPr>
          </w:p>
        </w:tc>
        <w:tc>
          <w:tcPr>
            <w:tcW w:w="531" w:type="pct"/>
            <w:vAlign w:val="center"/>
          </w:tcPr>
          <w:p w14:paraId="09B8DA45">
            <w:pPr>
              <w:pStyle w:val="1535"/>
            </w:pPr>
            <w:r>
              <w:rPr>
                <w:rFonts w:hint="eastAsia"/>
              </w:rPr>
              <w:t>夜间</w:t>
            </w:r>
          </w:p>
        </w:tc>
        <w:tc>
          <w:tcPr>
            <w:tcW w:w="801" w:type="pct"/>
            <w:vAlign w:val="center"/>
          </w:tcPr>
          <w:p w14:paraId="139A3175">
            <w:pPr>
              <w:pStyle w:val="1535"/>
            </w:pPr>
            <w:r>
              <w:rPr>
                <w:rFonts w:hint="eastAsia"/>
              </w:rPr>
              <w:t>29</w:t>
            </w:r>
          </w:p>
        </w:tc>
        <w:tc>
          <w:tcPr>
            <w:tcW w:w="809" w:type="pct"/>
            <w:vAlign w:val="center"/>
          </w:tcPr>
          <w:p w14:paraId="1D680550">
            <w:pPr>
              <w:pStyle w:val="1535"/>
            </w:pPr>
            <w:r>
              <w:rPr>
                <w:rFonts w:hint="eastAsia"/>
              </w:rPr>
              <w:t>41</w:t>
            </w:r>
          </w:p>
        </w:tc>
        <w:tc>
          <w:tcPr>
            <w:tcW w:w="809" w:type="pct"/>
            <w:vAlign w:val="center"/>
          </w:tcPr>
          <w:p w14:paraId="3AA07D31">
            <w:pPr>
              <w:pStyle w:val="1535"/>
            </w:pPr>
            <w:r>
              <w:rPr>
                <w:rFonts w:hint="eastAsia"/>
              </w:rPr>
              <w:t>41</w:t>
            </w:r>
          </w:p>
        </w:tc>
        <w:tc>
          <w:tcPr>
            <w:tcW w:w="809" w:type="pct"/>
            <w:vAlign w:val="center"/>
          </w:tcPr>
          <w:p w14:paraId="39EFA44E">
            <w:pPr>
              <w:pStyle w:val="1535"/>
            </w:pPr>
            <w:r>
              <w:rPr>
                <w:rFonts w:hint="eastAsia"/>
              </w:rPr>
              <w:t>55</w:t>
            </w:r>
          </w:p>
        </w:tc>
        <w:tc>
          <w:tcPr>
            <w:tcW w:w="465" w:type="pct"/>
            <w:vAlign w:val="center"/>
          </w:tcPr>
          <w:p w14:paraId="397F2691">
            <w:pPr>
              <w:pStyle w:val="1535"/>
            </w:pPr>
            <w:r>
              <w:t>达标</w:t>
            </w:r>
          </w:p>
        </w:tc>
      </w:tr>
    </w:tbl>
    <w:p w14:paraId="774BCAF5">
      <w:pPr>
        <w:ind w:firstLine="520"/>
        <w:rPr>
          <w:color w:val="000000" w:themeColor="text1"/>
          <w14:textFill>
            <w14:solidFill>
              <w14:schemeClr w14:val="tx1"/>
            </w14:solidFill>
          </w14:textFill>
        </w:rPr>
      </w:pPr>
      <w:r>
        <w:rPr>
          <w:color w:val="000000" w:themeColor="text1"/>
          <w14:textFill>
            <w14:solidFill>
              <w14:schemeClr w14:val="tx1"/>
            </w14:solidFill>
          </w14:textFill>
        </w:rPr>
        <w:t>由预测结果可知，项目建成后，</w:t>
      </w:r>
      <w:r>
        <w:rPr>
          <w:rFonts w:hint="eastAsia"/>
          <w:color w:val="000000" w:themeColor="text1"/>
          <w14:textFill>
            <w14:solidFill>
              <w14:schemeClr w14:val="tx1"/>
            </w14:solidFill>
          </w14:textFill>
        </w:rPr>
        <w:t>臻宝半导体公司</w:t>
      </w:r>
      <w:r>
        <w:rPr>
          <w:color w:val="000000" w:themeColor="text1"/>
          <w14:textFill>
            <w14:solidFill>
              <w14:schemeClr w14:val="tx1"/>
            </w14:solidFill>
          </w14:textFill>
        </w:rPr>
        <w:t>东、南、西、北厂界噪声可满足《工业企业厂界环境噪声排放标准》（GB12348-2008）3类标准要求。</w:t>
      </w:r>
    </w:p>
    <w:p w14:paraId="31B61131">
      <w:pPr>
        <w:spacing w:before="32"/>
        <w:ind w:firstLine="0" w:firstLineChars="0"/>
        <w:jc w:val="center"/>
        <w:rPr>
          <w:snapToGrid/>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snapToGrid/>
          <w:color w:val="000000" w:themeColor="text1"/>
          <w14:textFill>
            <w14:solidFill>
              <w14:schemeClr w14:val="tx1"/>
            </w14:solidFill>
          </w14:textFill>
        </w:rPr>
        <w:t>厂界</w:t>
      </w:r>
      <w:r>
        <w:rPr>
          <w:rFonts w:hint="eastAsia"/>
          <w:snapToGrid/>
          <w:color w:val="000000" w:themeColor="text1"/>
          <w14:textFill>
            <w14:solidFill>
              <w14:schemeClr w14:val="tx1"/>
            </w14:solidFill>
          </w14:textFill>
        </w:rPr>
        <w:t>噪声</w:t>
      </w:r>
      <w:r>
        <w:rPr>
          <w:snapToGrid/>
          <w:color w:val="000000" w:themeColor="text1"/>
          <w14:textFill>
            <w14:solidFill>
              <w14:schemeClr w14:val="tx1"/>
            </w14:solidFill>
          </w14:textFill>
        </w:rPr>
        <w:t>影响</w:t>
      </w:r>
      <w:r>
        <w:rPr>
          <w:rFonts w:hint="eastAsia"/>
          <w:snapToGrid/>
          <w:color w:val="000000" w:themeColor="text1"/>
          <w14:textFill>
            <w14:solidFill>
              <w14:schemeClr w14:val="tx1"/>
            </w14:solidFill>
          </w14:textFill>
        </w:rPr>
        <w:t>预测（臻宝科技公司厂区）</w:t>
      </w:r>
    </w:p>
    <w:tbl>
      <w:tblPr>
        <w:tblStyle w:val="8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68"/>
        <w:gridCol w:w="1004"/>
        <w:gridCol w:w="1515"/>
        <w:gridCol w:w="1530"/>
        <w:gridCol w:w="1530"/>
        <w:gridCol w:w="1530"/>
        <w:gridCol w:w="881"/>
      </w:tblGrid>
      <w:tr w14:paraId="44B794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Align w:val="center"/>
          </w:tcPr>
          <w:p w14:paraId="30BE45C4">
            <w:pPr>
              <w:pStyle w:val="1535"/>
            </w:pPr>
            <w:r>
              <w:t>预测方位</w:t>
            </w:r>
          </w:p>
        </w:tc>
        <w:tc>
          <w:tcPr>
            <w:tcW w:w="531" w:type="pct"/>
            <w:vAlign w:val="center"/>
          </w:tcPr>
          <w:p w14:paraId="0E873631">
            <w:pPr>
              <w:pStyle w:val="1535"/>
            </w:pPr>
            <w:r>
              <w:t>时段</w:t>
            </w:r>
          </w:p>
        </w:tc>
        <w:tc>
          <w:tcPr>
            <w:tcW w:w="801" w:type="pct"/>
            <w:vAlign w:val="center"/>
          </w:tcPr>
          <w:p w14:paraId="74369BF0">
            <w:pPr>
              <w:pStyle w:val="1535"/>
            </w:pPr>
            <w:r>
              <w:t>预测值（dB(A)）</w:t>
            </w:r>
          </w:p>
        </w:tc>
        <w:tc>
          <w:tcPr>
            <w:tcW w:w="809" w:type="pct"/>
            <w:vAlign w:val="center"/>
          </w:tcPr>
          <w:p w14:paraId="6E09317B">
            <w:pPr>
              <w:pStyle w:val="1535"/>
            </w:pPr>
            <w:r>
              <w:rPr>
                <w:rFonts w:hint="eastAsia"/>
              </w:rPr>
              <w:t>现有项目贡献值</w:t>
            </w:r>
            <w:r>
              <w:t>（dB(A)）</w:t>
            </w:r>
          </w:p>
        </w:tc>
        <w:tc>
          <w:tcPr>
            <w:tcW w:w="809" w:type="pct"/>
            <w:vAlign w:val="center"/>
          </w:tcPr>
          <w:p w14:paraId="71BC4014">
            <w:pPr>
              <w:pStyle w:val="1535"/>
            </w:pPr>
            <w:r>
              <w:rPr>
                <w:rFonts w:hint="eastAsia"/>
              </w:rPr>
              <w:t>叠加后影响值</w:t>
            </w:r>
            <w:r>
              <w:t>（dB(A)）</w:t>
            </w:r>
          </w:p>
        </w:tc>
        <w:tc>
          <w:tcPr>
            <w:tcW w:w="809" w:type="pct"/>
            <w:vAlign w:val="center"/>
          </w:tcPr>
          <w:p w14:paraId="5DF33DF8">
            <w:pPr>
              <w:pStyle w:val="1535"/>
            </w:pPr>
            <w:r>
              <w:t>标准限值（dB(A)）</w:t>
            </w:r>
          </w:p>
        </w:tc>
        <w:tc>
          <w:tcPr>
            <w:tcW w:w="465" w:type="pct"/>
            <w:vAlign w:val="center"/>
          </w:tcPr>
          <w:p w14:paraId="579D32ED">
            <w:pPr>
              <w:pStyle w:val="1535"/>
            </w:pPr>
            <w:r>
              <w:t>达标情况</w:t>
            </w:r>
          </w:p>
        </w:tc>
      </w:tr>
      <w:tr w14:paraId="5C58B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restart"/>
            <w:vAlign w:val="center"/>
          </w:tcPr>
          <w:p w14:paraId="51BB5EC7">
            <w:pPr>
              <w:pStyle w:val="1535"/>
            </w:pPr>
            <w:r>
              <w:t>东侧厂界</w:t>
            </w:r>
          </w:p>
        </w:tc>
        <w:tc>
          <w:tcPr>
            <w:tcW w:w="531" w:type="pct"/>
            <w:vAlign w:val="center"/>
          </w:tcPr>
          <w:p w14:paraId="1C2FE47E">
            <w:pPr>
              <w:pStyle w:val="1535"/>
            </w:pPr>
            <w:r>
              <w:t>昼间</w:t>
            </w:r>
          </w:p>
        </w:tc>
        <w:tc>
          <w:tcPr>
            <w:tcW w:w="801" w:type="pct"/>
            <w:vAlign w:val="center"/>
          </w:tcPr>
          <w:p w14:paraId="745D7456">
            <w:pPr>
              <w:pStyle w:val="1535"/>
            </w:pPr>
            <w:r>
              <w:rPr>
                <w:rFonts w:hint="eastAsia"/>
              </w:rPr>
              <w:t>40</w:t>
            </w:r>
          </w:p>
        </w:tc>
        <w:tc>
          <w:tcPr>
            <w:tcW w:w="809" w:type="pct"/>
            <w:vAlign w:val="center"/>
          </w:tcPr>
          <w:p w14:paraId="4044FAC8">
            <w:pPr>
              <w:pStyle w:val="1535"/>
            </w:pPr>
            <w:r>
              <w:rPr>
                <w:rFonts w:hint="eastAsia"/>
              </w:rPr>
              <w:t>58</w:t>
            </w:r>
          </w:p>
        </w:tc>
        <w:tc>
          <w:tcPr>
            <w:tcW w:w="809" w:type="pct"/>
            <w:vAlign w:val="center"/>
          </w:tcPr>
          <w:p w14:paraId="3155A818">
            <w:pPr>
              <w:pStyle w:val="1535"/>
            </w:pPr>
            <w:r>
              <w:rPr>
                <w:rFonts w:hint="eastAsia"/>
              </w:rPr>
              <w:t>58</w:t>
            </w:r>
          </w:p>
        </w:tc>
        <w:tc>
          <w:tcPr>
            <w:tcW w:w="809" w:type="pct"/>
            <w:vAlign w:val="center"/>
          </w:tcPr>
          <w:p w14:paraId="3E1E679A">
            <w:pPr>
              <w:pStyle w:val="1535"/>
            </w:pPr>
            <w:r>
              <w:t>65</w:t>
            </w:r>
          </w:p>
        </w:tc>
        <w:tc>
          <w:tcPr>
            <w:tcW w:w="465" w:type="pct"/>
            <w:vAlign w:val="center"/>
          </w:tcPr>
          <w:p w14:paraId="2F795258">
            <w:pPr>
              <w:pStyle w:val="1535"/>
            </w:pPr>
            <w:r>
              <w:t>达标</w:t>
            </w:r>
          </w:p>
        </w:tc>
      </w:tr>
      <w:tr w14:paraId="73E8BF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continue"/>
            <w:vAlign w:val="center"/>
          </w:tcPr>
          <w:p w14:paraId="51F71518">
            <w:pPr>
              <w:pStyle w:val="1535"/>
            </w:pPr>
          </w:p>
        </w:tc>
        <w:tc>
          <w:tcPr>
            <w:tcW w:w="531" w:type="pct"/>
            <w:vAlign w:val="center"/>
          </w:tcPr>
          <w:p w14:paraId="0EF10E17">
            <w:pPr>
              <w:pStyle w:val="1535"/>
            </w:pPr>
            <w:r>
              <w:rPr>
                <w:rFonts w:hint="eastAsia"/>
              </w:rPr>
              <w:t>夜间</w:t>
            </w:r>
          </w:p>
        </w:tc>
        <w:tc>
          <w:tcPr>
            <w:tcW w:w="801" w:type="pct"/>
            <w:vAlign w:val="center"/>
          </w:tcPr>
          <w:p w14:paraId="50B65010">
            <w:pPr>
              <w:pStyle w:val="1535"/>
            </w:pPr>
            <w:r>
              <w:rPr>
                <w:rFonts w:hint="eastAsia"/>
              </w:rPr>
              <w:t>40</w:t>
            </w:r>
          </w:p>
        </w:tc>
        <w:tc>
          <w:tcPr>
            <w:tcW w:w="809" w:type="pct"/>
            <w:vAlign w:val="center"/>
          </w:tcPr>
          <w:p w14:paraId="7D2A4921">
            <w:pPr>
              <w:pStyle w:val="1535"/>
            </w:pPr>
            <w:r>
              <w:rPr>
                <w:rFonts w:hint="eastAsia"/>
              </w:rPr>
              <w:t>52</w:t>
            </w:r>
          </w:p>
        </w:tc>
        <w:tc>
          <w:tcPr>
            <w:tcW w:w="809" w:type="pct"/>
            <w:vAlign w:val="center"/>
          </w:tcPr>
          <w:p w14:paraId="5A447697">
            <w:pPr>
              <w:pStyle w:val="1535"/>
            </w:pPr>
            <w:r>
              <w:rPr>
                <w:rFonts w:hint="eastAsia"/>
              </w:rPr>
              <w:t>54</w:t>
            </w:r>
          </w:p>
        </w:tc>
        <w:tc>
          <w:tcPr>
            <w:tcW w:w="809" w:type="pct"/>
            <w:vAlign w:val="center"/>
          </w:tcPr>
          <w:p w14:paraId="0F866596">
            <w:pPr>
              <w:pStyle w:val="1535"/>
            </w:pPr>
            <w:r>
              <w:rPr>
                <w:rFonts w:hint="eastAsia"/>
              </w:rPr>
              <w:t>55</w:t>
            </w:r>
          </w:p>
        </w:tc>
        <w:tc>
          <w:tcPr>
            <w:tcW w:w="465" w:type="pct"/>
            <w:vAlign w:val="center"/>
          </w:tcPr>
          <w:p w14:paraId="31F3E018">
            <w:pPr>
              <w:pStyle w:val="1535"/>
            </w:pPr>
            <w:r>
              <w:t>达标</w:t>
            </w:r>
          </w:p>
        </w:tc>
      </w:tr>
      <w:tr w14:paraId="68ECF1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restart"/>
            <w:vAlign w:val="center"/>
          </w:tcPr>
          <w:p w14:paraId="4313E9F4">
            <w:pPr>
              <w:pStyle w:val="1535"/>
            </w:pPr>
            <w:r>
              <w:t>西侧厂界</w:t>
            </w:r>
          </w:p>
        </w:tc>
        <w:tc>
          <w:tcPr>
            <w:tcW w:w="531" w:type="pct"/>
            <w:vAlign w:val="center"/>
          </w:tcPr>
          <w:p w14:paraId="6E03097C">
            <w:pPr>
              <w:pStyle w:val="1535"/>
            </w:pPr>
            <w:r>
              <w:t>昼间</w:t>
            </w:r>
          </w:p>
        </w:tc>
        <w:tc>
          <w:tcPr>
            <w:tcW w:w="801" w:type="pct"/>
            <w:vAlign w:val="center"/>
          </w:tcPr>
          <w:p w14:paraId="058FBDB5">
            <w:pPr>
              <w:pStyle w:val="1535"/>
            </w:pPr>
            <w:r>
              <w:rPr>
                <w:rFonts w:hint="eastAsia"/>
              </w:rPr>
              <w:t>42</w:t>
            </w:r>
          </w:p>
        </w:tc>
        <w:tc>
          <w:tcPr>
            <w:tcW w:w="809" w:type="pct"/>
            <w:vAlign w:val="center"/>
          </w:tcPr>
          <w:p w14:paraId="766D6C58">
            <w:pPr>
              <w:pStyle w:val="1535"/>
            </w:pPr>
            <w:r>
              <w:rPr>
                <w:rFonts w:hint="eastAsia"/>
              </w:rPr>
              <w:t>53</w:t>
            </w:r>
          </w:p>
        </w:tc>
        <w:tc>
          <w:tcPr>
            <w:tcW w:w="809" w:type="pct"/>
            <w:vAlign w:val="center"/>
          </w:tcPr>
          <w:p w14:paraId="5EE25085">
            <w:pPr>
              <w:pStyle w:val="1535"/>
            </w:pPr>
            <w:r>
              <w:rPr>
                <w:rFonts w:hint="eastAsia"/>
              </w:rPr>
              <w:t>53</w:t>
            </w:r>
          </w:p>
        </w:tc>
        <w:tc>
          <w:tcPr>
            <w:tcW w:w="809" w:type="pct"/>
            <w:vAlign w:val="center"/>
          </w:tcPr>
          <w:p w14:paraId="2B37F587">
            <w:pPr>
              <w:pStyle w:val="1535"/>
            </w:pPr>
            <w:r>
              <w:t>65</w:t>
            </w:r>
          </w:p>
        </w:tc>
        <w:tc>
          <w:tcPr>
            <w:tcW w:w="465" w:type="pct"/>
            <w:vAlign w:val="center"/>
          </w:tcPr>
          <w:p w14:paraId="1CD31583">
            <w:pPr>
              <w:pStyle w:val="1535"/>
            </w:pPr>
            <w:r>
              <w:t>达标</w:t>
            </w:r>
          </w:p>
        </w:tc>
      </w:tr>
      <w:tr w14:paraId="0F1935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continue"/>
            <w:vAlign w:val="center"/>
          </w:tcPr>
          <w:p w14:paraId="64F683DD">
            <w:pPr>
              <w:pStyle w:val="1535"/>
            </w:pPr>
          </w:p>
        </w:tc>
        <w:tc>
          <w:tcPr>
            <w:tcW w:w="531" w:type="pct"/>
            <w:vAlign w:val="center"/>
          </w:tcPr>
          <w:p w14:paraId="602DA800">
            <w:pPr>
              <w:pStyle w:val="1535"/>
            </w:pPr>
            <w:r>
              <w:rPr>
                <w:rFonts w:hint="eastAsia"/>
              </w:rPr>
              <w:t>夜间</w:t>
            </w:r>
          </w:p>
        </w:tc>
        <w:tc>
          <w:tcPr>
            <w:tcW w:w="801" w:type="pct"/>
            <w:vAlign w:val="center"/>
          </w:tcPr>
          <w:p w14:paraId="5292E55C">
            <w:pPr>
              <w:pStyle w:val="1535"/>
            </w:pPr>
            <w:r>
              <w:rPr>
                <w:rFonts w:hint="eastAsia"/>
              </w:rPr>
              <w:t>42</w:t>
            </w:r>
          </w:p>
        </w:tc>
        <w:tc>
          <w:tcPr>
            <w:tcW w:w="809" w:type="pct"/>
            <w:vAlign w:val="center"/>
          </w:tcPr>
          <w:p w14:paraId="6875E0B2">
            <w:pPr>
              <w:pStyle w:val="1535"/>
            </w:pPr>
            <w:r>
              <w:rPr>
                <w:rFonts w:hint="eastAsia"/>
              </w:rPr>
              <w:t>50</w:t>
            </w:r>
          </w:p>
        </w:tc>
        <w:tc>
          <w:tcPr>
            <w:tcW w:w="809" w:type="pct"/>
            <w:vAlign w:val="center"/>
          </w:tcPr>
          <w:p w14:paraId="0D3A0A8C">
            <w:pPr>
              <w:pStyle w:val="1535"/>
            </w:pPr>
            <w:r>
              <w:rPr>
                <w:rFonts w:hint="eastAsia"/>
              </w:rPr>
              <w:t>51</w:t>
            </w:r>
          </w:p>
        </w:tc>
        <w:tc>
          <w:tcPr>
            <w:tcW w:w="809" w:type="pct"/>
            <w:vAlign w:val="center"/>
          </w:tcPr>
          <w:p w14:paraId="06B35655">
            <w:pPr>
              <w:pStyle w:val="1535"/>
            </w:pPr>
            <w:r>
              <w:rPr>
                <w:rFonts w:hint="eastAsia"/>
              </w:rPr>
              <w:t>55</w:t>
            </w:r>
          </w:p>
        </w:tc>
        <w:tc>
          <w:tcPr>
            <w:tcW w:w="465" w:type="pct"/>
            <w:vAlign w:val="center"/>
          </w:tcPr>
          <w:p w14:paraId="2903BA92">
            <w:pPr>
              <w:pStyle w:val="1535"/>
            </w:pPr>
            <w:r>
              <w:t>达标</w:t>
            </w:r>
          </w:p>
        </w:tc>
      </w:tr>
      <w:tr w14:paraId="3E8CB0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restart"/>
            <w:vAlign w:val="center"/>
          </w:tcPr>
          <w:p w14:paraId="552C0D80">
            <w:pPr>
              <w:pStyle w:val="1535"/>
            </w:pPr>
            <w:r>
              <w:t>南侧厂界</w:t>
            </w:r>
          </w:p>
        </w:tc>
        <w:tc>
          <w:tcPr>
            <w:tcW w:w="531" w:type="pct"/>
            <w:vAlign w:val="center"/>
          </w:tcPr>
          <w:p w14:paraId="160ECC6E">
            <w:pPr>
              <w:pStyle w:val="1535"/>
            </w:pPr>
            <w:r>
              <w:t>昼间</w:t>
            </w:r>
          </w:p>
        </w:tc>
        <w:tc>
          <w:tcPr>
            <w:tcW w:w="801" w:type="pct"/>
            <w:vAlign w:val="center"/>
          </w:tcPr>
          <w:p w14:paraId="50C56523">
            <w:pPr>
              <w:pStyle w:val="1535"/>
            </w:pPr>
            <w:r>
              <w:rPr>
                <w:rFonts w:hint="eastAsia"/>
              </w:rPr>
              <w:t>44</w:t>
            </w:r>
          </w:p>
        </w:tc>
        <w:tc>
          <w:tcPr>
            <w:tcW w:w="809" w:type="pct"/>
            <w:vAlign w:val="center"/>
          </w:tcPr>
          <w:p w14:paraId="3FC5CD00">
            <w:pPr>
              <w:pStyle w:val="1535"/>
            </w:pPr>
            <w:r>
              <w:rPr>
                <w:rFonts w:hint="eastAsia"/>
              </w:rPr>
              <w:t>65</w:t>
            </w:r>
          </w:p>
        </w:tc>
        <w:tc>
          <w:tcPr>
            <w:tcW w:w="809" w:type="pct"/>
            <w:vAlign w:val="center"/>
          </w:tcPr>
          <w:p w14:paraId="22565850">
            <w:pPr>
              <w:pStyle w:val="1535"/>
            </w:pPr>
            <w:r>
              <w:rPr>
                <w:rFonts w:hint="eastAsia"/>
              </w:rPr>
              <w:t>65</w:t>
            </w:r>
          </w:p>
        </w:tc>
        <w:tc>
          <w:tcPr>
            <w:tcW w:w="809" w:type="pct"/>
            <w:vAlign w:val="center"/>
          </w:tcPr>
          <w:p w14:paraId="6586AA56">
            <w:pPr>
              <w:pStyle w:val="1535"/>
            </w:pPr>
            <w:r>
              <w:rPr>
                <w:rFonts w:hint="eastAsia"/>
              </w:rPr>
              <w:t>70</w:t>
            </w:r>
          </w:p>
        </w:tc>
        <w:tc>
          <w:tcPr>
            <w:tcW w:w="465" w:type="pct"/>
            <w:vAlign w:val="center"/>
          </w:tcPr>
          <w:p w14:paraId="7A4184B3">
            <w:pPr>
              <w:pStyle w:val="1535"/>
            </w:pPr>
            <w:r>
              <w:t>达标</w:t>
            </w:r>
          </w:p>
        </w:tc>
      </w:tr>
      <w:tr w14:paraId="02A96E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continue"/>
            <w:vAlign w:val="center"/>
          </w:tcPr>
          <w:p w14:paraId="365FDB3D">
            <w:pPr>
              <w:pStyle w:val="1535"/>
            </w:pPr>
          </w:p>
        </w:tc>
        <w:tc>
          <w:tcPr>
            <w:tcW w:w="531" w:type="pct"/>
            <w:vAlign w:val="center"/>
          </w:tcPr>
          <w:p w14:paraId="166A7E17">
            <w:pPr>
              <w:pStyle w:val="1535"/>
            </w:pPr>
            <w:r>
              <w:rPr>
                <w:rFonts w:hint="eastAsia"/>
              </w:rPr>
              <w:t>夜间</w:t>
            </w:r>
          </w:p>
        </w:tc>
        <w:tc>
          <w:tcPr>
            <w:tcW w:w="801" w:type="pct"/>
            <w:vAlign w:val="center"/>
          </w:tcPr>
          <w:p w14:paraId="0E740469">
            <w:pPr>
              <w:pStyle w:val="1535"/>
            </w:pPr>
            <w:r>
              <w:rPr>
                <w:rFonts w:hint="eastAsia"/>
              </w:rPr>
              <w:t>44</w:t>
            </w:r>
          </w:p>
        </w:tc>
        <w:tc>
          <w:tcPr>
            <w:tcW w:w="809" w:type="pct"/>
            <w:vAlign w:val="center"/>
          </w:tcPr>
          <w:p w14:paraId="13D9F1A3">
            <w:pPr>
              <w:pStyle w:val="1535"/>
            </w:pPr>
            <w:r>
              <w:rPr>
                <w:rFonts w:hint="eastAsia"/>
              </w:rPr>
              <w:t>54</w:t>
            </w:r>
          </w:p>
        </w:tc>
        <w:tc>
          <w:tcPr>
            <w:tcW w:w="809" w:type="pct"/>
            <w:vAlign w:val="center"/>
          </w:tcPr>
          <w:p w14:paraId="2B17A440">
            <w:pPr>
              <w:pStyle w:val="1535"/>
            </w:pPr>
            <w:r>
              <w:rPr>
                <w:rFonts w:hint="eastAsia"/>
              </w:rPr>
              <w:t>54</w:t>
            </w:r>
          </w:p>
        </w:tc>
        <w:tc>
          <w:tcPr>
            <w:tcW w:w="809" w:type="pct"/>
            <w:vAlign w:val="center"/>
          </w:tcPr>
          <w:p w14:paraId="45050145">
            <w:pPr>
              <w:pStyle w:val="1535"/>
            </w:pPr>
            <w:r>
              <w:rPr>
                <w:rFonts w:hint="eastAsia"/>
              </w:rPr>
              <w:t>55</w:t>
            </w:r>
          </w:p>
        </w:tc>
        <w:tc>
          <w:tcPr>
            <w:tcW w:w="465" w:type="pct"/>
            <w:vAlign w:val="center"/>
          </w:tcPr>
          <w:p w14:paraId="6C0E7B9F">
            <w:pPr>
              <w:pStyle w:val="1535"/>
            </w:pPr>
            <w:r>
              <w:t>达标</w:t>
            </w:r>
          </w:p>
        </w:tc>
      </w:tr>
      <w:tr w14:paraId="6280A9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restart"/>
            <w:vAlign w:val="center"/>
          </w:tcPr>
          <w:p w14:paraId="390152DC">
            <w:pPr>
              <w:pStyle w:val="1535"/>
            </w:pPr>
            <w:r>
              <w:t>北侧厂界</w:t>
            </w:r>
          </w:p>
        </w:tc>
        <w:tc>
          <w:tcPr>
            <w:tcW w:w="531" w:type="pct"/>
            <w:vAlign w:val="center"/>
          </w:tcPr>
          <w:p w14:paraId="02D48F67">
            <w:pPr>
              <w:pStyle w:val="1535"/>
            </w:pPr>
            <w:r>
              <w:t>昼间</w:t>
            </w:r>
          </w:p>
        </w:tc>
        <w:tc>
          <w:tcPr>
            <w:tcW w:w="801" w:type="pct"/>
            <w:vAlign w:val="center"/>
          </w:tcPr>
          <w:p w14:paraId="2F8E25DB">
            <w:pPr>
              <w:pStyle w:val="1535"/>
            </w:pPr>
            <w:r>
              <w:rPr>
                <w:rFonts w:hint="eastAsia"/>
              </w:rPr>
              <w:t>46</w:t>
            </w:r>
          </w:p>
        </w:tc>
        <w:tc>
          <w:tcPr>
            <w:tcW w:w="809" w:type="pct"/>
            <w:vAlign w:val="center"/>
          </w:tcPr>
          <w:p w14:paraId="7B4F0851">
            <w:pPr>
              <w:pStyle w:val="1535"/>
            </w:pPr>
            <w:r>
              <w:rPr>
                <w:rFonts w:hint="eastAsia"/>
              </w:rPr>
              <w:t>58</w:t>
            </w:r>
          </w:p>
        </w:tc>
        <w:tc>
          <w:tcPr>
            <w:tcW w:w="809" w:type="pct"/>
            <w:vAlign w:val="center"/>
          </w:tcPr>
          <w:p w14:paraId="21FF0064">
            <w:pPr>
              <w:pStyle w:val="1535"/>
            </w:pPr>
            <w:r>
              <w:rPr>
                <w:rFonts w:hint="eastAsia"/>
              </w:rPr>
              <w:t>58</w:t>
            </w:r>
          </w:p>
        </w:tc>
        <w:tc>
          <w:tcPr>
            <w:tcW w:w="809" w:type="pct"/>
            <w:vAlign w:val="center"/>
          </w:tcPr>
          <w:p w14:paraId="4EBEC4A2">
            <w:pPr>
              <w:pStyle w:val="1535"/>
            </w:pPr>
            <w:r>
              <w:t>65</w:t>
            </w:r>
          </w:p>
        </w:tc>
        <w:tc>
          <w:tcPr>
            <w:tcW w:w="465" w:type="pct"/>
            <w:vAlign w:val="center"/>
          </w:tcPr>
          <w:p w14:paraId="078A5F8F">
            <w:pPr>
              <w:pStyle w:val="1535"/>
            </w:pPr>
            <w:r>
              <w:t>达标</w:t>
            </w:r>
          </w:p>
        </w:tc>
      </w:tr>
      <w:tr w14:paraId="167C24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6" w:type="pct"/>
            <w:vMerge w:val="continue"/>
            <w:vAlign w:val="center"/>
          </w:tcPr>
          <w:p w14:paraId="7CE8B2FD">
            <w:pPr>
              <w:pStyle w:val="1535"/>
            </w:pPr>
          </w:p>
        </w:tc>
        <w:tc>
          <w:tcPr>
            <w:tcW w:w="531" w:type="pct"/>
            <w:vAlign w:val="center"/>
          </w:tcPr>
          <w:p w14:paraId="06279876">
            <w:pPr>
              <w:pStyle w:val="1535"/>
            </w:pPr>
            <w:r>
              <w:rPr>
                <w:rFonts w:hint="eastAsia"/>
              </w:rPr>
              <w:t>夜间</w:t>
            </w:r>
          </w:p>
        </w:tc>
        <w:tc>
          <w:tcPr>
            <w:tcW w:w="801" w:type="pct"/>
            <w:vAlign w:val="center"/>
          </w:tcPr>
          <w:p w14:paraId="3810A6C8">
            <w:pPr>
              <w:pStyle w:val="1535"/>
            </w:pPr>
            <w:r>
              <w:rPr>
                <w:rFonts w:hint="eastAsia"/>
              </w:rPr>
              <w:t>46</w:t>
            </w:r>
          </w:p>
        </w:tc>
        <w:tc>
          <w:tcPr>
            <w:tcW w:w="809" w:type="pct"/>
            <w:vAlign w:val="center"/>
          </w:tcPr>
          <w:p w14:paraId="71DB1E2B">
            <w:pPr>
              <w:pStyle w:val="1535"/>
            </w:pPr>
            <w:r>
              <w:rPr>
                <w:rFonts w:hint="eastAsia"/>
              </w:rPr>
              <w:t>53</w:t>
            </w:r>
          </w:p>
        </w:tc>
        <w:tc>
          <w:tcPr>
            <w:tcW w:w="809" w:type="pct"/>
            <w:vAlign w:val="center"/>
          </w:tcPr>
          <w:p w14:paraId="7E215DD0">
            <w:pPr>
              <w:pStyle w:val="1535"/>
            </w:pPr>
            <w:r>
              <w:rPr>
                <w:rFonts w:hint="eastAsia"/>
              </w:rPr>
              <w:t>54</w:t>
            </w:r>
          </w:p>
        </w:tc>
        <w:tc>
          <w:tcPr>
            <w:tcW w:w="809" w:type="pct"/>
            <w:vAlign w:val="center"/>
          </w:tcPr>
          <w:p w14:paraId="6119010D">
            <w:pPr>
              <w:pStyle w:val="1535"/>
            </w:pPr>
            <w:r>
              <w:rPr>
                <w:rFonts w:hint="eastAsia"/>
              </w:rPr>
              <w:t>55</w:t>
            </w:r>
          </w:p>
        </w:tc>
        <w:tc>
          <w:tcPr>
            <w:tcW w:w="465" w:type="pct"/>
            <w:vAlign w:val="center"/>
          </w:tcPr>
          <w:p w14:paraId="174A3FBE">
            <w:pPr>
              <w:pStyle w:val="1535"/>
            </w:pPr>
            <w:r>
              <w:t>达标</w:t>
            </w:r>
          </w:p>
        </w:tc>
      </w:tr>
      <w:bookmarkEnd w:id="288"/>
      <w:bookmarkEnd w:id="289"/>
      <w:bookmarkEnd w:id="290"/>
    </w:tbl>
    <w:p w14:paraId="3398EE93">
      <w:pPr>
        <w:ind w:firstLine="520"/>
        <w:rPr>
          <w:color w:val="000000" w:themeColor="text1"/>
          <w14:textFill>
            <w14:solidFill>
              <w14:schemeClr w14:val="tx1"/>
            </w14:solidFill>
          </w14:textFill>
        </w:rPr>
      </w:pPr>
      <w:bookmarkStart w:id="293" w:name="_Toc407808617"/>
      <w:bookmarkStart w:id="294" w:name="_Toc55506338"/>
      <w:bookmarkStart w:id="295" w:name="_Toc534876533"/>
      <w:bookmarkStart w:id="296" w:name="_Toc376940297"/>
      <w:bookmarkStart w:id="297" w:name="_Toc371967512"/>
      <w:bookmarkStart w:id="298" w:name="_Toc478715889"/>
      <w:bookmarkStart w:id="299" w:name="_Toc55522449"/>
      <w:r>
        <w:rPr>
          <w:color w:val="000000" w:themeColor="text1"/>
          <w14:textFill>
            <w14:solidFill>
              <w14:schemeClr w14:val="tx1"/>
            </w14:solidFill>
          </w14:textFill>
        </w:rPr>
        <w:t>由预测结果可知，项目建成后，</w:t>
      </w:r>
      <w:r>
        <w:rPr>
          <w:rFonts w:hint="eastAsia"/>
          <w:color w:val="000000" w:themeColor="text1"/>
          <w14:textFill>
            <w14:solidFill>
              <w14:schemeClr w14:val="tx1"/>
            </w14:solidFill>
          </w14:textFill>
        </w:rPr>
        <w:t>臻宝科技公司</w:t>
      </w:r>
      <w:r>
        <w:rPr>
          <w:color w:val="000000" w:themeColor="text1"/>
          <w14:textFill>
            <w14:solidFill>
              <w14:schemeClr w14:val="tx1"/>
            </w14:solidFill>
          </w14:textFill>
        </w:rPr>
        <w:t>东、西、北厂界噪声可满足《工业企业厂界环境噪声排放标准》（GB12348-2008）3类标准要求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南厂界噪声可满足《工业企业厂界环境噪声排放标准》（GB12348-2008）</w:t>
      </w:r>
      <w:r>
        <w:rPr>
          <w:rFonts w:hint="eastAsia"/>
          <w:color w:val="000000" w:themeColor="text1"/>
          <w14:textFill>
            <w14:solidFill>
              <w14:schemeClr w14:val="tx1"/>
            </w14:solidFill>
          </w14:textFill>
        </w:rPr>
        <w:t>4a</w:t>
      </w:r>
      <w:r>
        <w:rPr>
          <w:color w:val="000000" w:themeColor="text1"/>
          <w14:textFill>
            <w14:solidFill>
              <w14:schemeClr w14:val="tx1"/>
            </w14:solidFill>
          </w14:textFill>
        </w:rPr>
        <w:t>类标准要求。</w:t>
      </w:r>
    </w:p>
    <w:p w14:paraId="0D05476F">
      <w:pPr>
        <w:ind w:firstLine="520"/>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项目位于臻宝半导体公司厂区部分，</w:t>
      </w:r>
      <w:r>
        <w:rPr>
          <w:color w:val="000000" w:themeColor="text1"/>
          <w14:textFill>
            <w14:solidFill>
              <w14:schemeClr w14:val="tx1"/>
            </w14:solidFill>
          </w14:textFill>
        </w:rPr>
        <w:t>评价范围200m内</w:t>
      </w:r>
      <w:r>
        <w:rPr>
          <w:rFonts w:hint="eastAsia"/>
          <w:color w:val="000000" w:themeColor="text1"/>
          <w14:textFill>
            <w14:solidFill>
              <w14:schemeClr w14:val="tx1"/>
            </w14:solidFill>
          </w14:textFill>
        </w:rPr>
        <w:t>声</w:t>
      </w:r>
      <w:r>
        <w:rPr>
          <w:color w:val="000000" w:themeColor="text1"/>
          <w14:textFill>
            <w14:solidFill>
              <w14:schemeClr w14:val="tx1"/>
            </w14:solidFill>
          </w14:textFill>
        </w:rPr>
        <w:t>环境</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目标</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东北侧</w:t>
      </w:r>
      <w:r>
        <w:rPr>
          <w:rFonts w:hint="eastAsia"/>
          <w:color w:val="000000" w:themeColor="text1"/>
          <w14:textFill>
            <w14:solidFill>
              <w14:schemeClr w14:val="tx1"/>
            </w14:solidFill>
          </w14:textFill>
        </w:rPr>
        <w:t>散居农户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厂区</w:t>
      </w:r>
      <w:r>
        <w:rPr>
          <w:color w:val="000000" w:themeColor="text1"/>
          <w14:textFill>
            <w14:solidFill>
              <w14:schemeClr w14:val="tx1"/>
            </w14:solidFill>
          </w14:textFill>
        </w:rPr>
        <w:t>东侧边界与该环境敏感目标处有约2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m高山地</w:t>
      </w:r>
      <w:r>
        <w:rPr>
          <w:rFonts w:hint="eastAsia"/>
          <w:color w:val="000000" w:themeColor="text1"/>
          <w14:textFill>
            <w14:solidFill>
              <w14:schemeClr w14:val="tx1"/>
            </w14:solidFill>
          </w14:textFill>
        </w:rPr>
        <w:t>相隔</w:t>
      </w:r>
      <w:r>
        <w:rPr>
          <w:color w:val="000000" w:themeColor="text1"/>
          <w14:textFill>
            <w14:solidFill>
              <w14:schemeClr w14:val="tx1"/>
            </w14:solidFill>
          </w14:textFill>
        </w:rPr>
        <w:t>，按照衰减20dB（A）考虑。</w:t>
      </w:r>
      <w:r>
        <w:rPr>
          <w:rFonts w:hint="eastAsia"/>
          <w:color w:val="000000" w:themeColor="text1"/>
          <w14:textFill>
            <w14:solidFill>
              <w14:schemeClr w14:val="tx1"/>
            </w14:solidFill>
          </w14:textFill>
        </w:rPr>
        <w:t>以本次现状监测数据（</w:t>
      </w:r>
      <w:r>
        <w:rPr>
          <w:rFonts w:hint="eastAsia"/>
          <w:b/>
          <w:color w:val="000000" w:themeColor="text1"/>
          <w14:textFill>
            <w14:solidFill>
              <w14:schemeClr w14:val="tx1"/>
            </w14:solidFill>
          </w14:textFill>
        </w:rPr>
        <w:t>港庆（监）字【2023】第03086-HP号</w:t>
      </w:r>
      <w:r>
        <w:rPr>
          <w:rFonts w:hint="eastAsia"/>
          <w:color w:val="000000" w:themeColor="text1"/>
          <w14:textFill>
            <w14:solidFill>
              <w14:schemeClr w14:val="tx1"/>
            </w14:solidFill>
          </w14:textFill>
        </w:rPr>
        <w:t>）为东北侧住户环境噪声本底值，计算出建设项目实施后厂界噪声排放值。</w:t>
      </w:r>
      <w:r>
        <w:rPr>
          <w:color w:val="000000" w:themeColor="text1"/>
          <w14:textFill>
            <w14:solidFill>
              <w14:schemeClr w14:val="tx1"/>
            </w14:solidFill>
          </w14:textFill>
        </w:rPr>
        <w:t>各噪声源经隔声及距离衰减后，对该住户处环境噪声影响见下表。</w:t>
      </w:r>
      <w:r>
        <w:rPr>
          <w:rFonts w:hint="eastAsia"/>
          <w:color w:val="000000" w:themeColor="text1"/>
          <w14:textFill>
            <w14:solidFill>
              <w14:schemeClr w14:val="tx1"/>
            </w14:solidFill>
          </w14:textFill>
        </w:rPr>
        <w:t>项目租赁臻宝科技公司厂房建设部分周边200m范围无声环境保护目标。</w:t>
      </w:r>
    </w:p>
    <w:p w14:paraId="1E92327C">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项目建成后敏感目标噪声达标情况分析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0" w:type="dxa"/>
          <w:bottom w:w="28" w:type="dxa"/>
          <w:right w:w="0" w:type="dxa"/>
        </w:tblCellMar>
      </w:tblPr>
      <w:tblGrid>
        <w:gridCol w:w="1278"/>
        <w:gridCol w:w="1278"/>
        <w:gridCol w:w="1107"/>
        <w:gridCol w:w="1279"/>
        <w:gridCol w:w="1867"/>
        <w:gridCol w:w="994"/>
        <w:gridCol w:w="849"/>
        <w:gridCol w:w="600"/>
      </w:tblGrid>
      <w:tr w14:paraId="4060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jc w:val="center"/>
        </w:trPr>
        <w:tc>
          <w:tcPr>
            <w:tcW w:w="691" w:type="pct"/>
            <w:vMerge w:val="restart"/>
            <w:vAlign w:val="center"/>
          </w:tcPr>
          <w:p w14:paraId="69A78B9F">
            <w:pPr>
              <w:pStyle w:val="1535"/>
            </w:pPr>
            <w:r>
              <w:t>对目标处噪声</w:t>
            </w:r>
            <w:r>
              <w:rPr>
                <w:rFonts w:hint="eastAsia"/>
              </w:rPr>
              <w:t>贡献</w:t>
            </w:r>
            <w:r>
              <w:t>值/dB（A）</w:t>
            </w:r>
          </w:p>
        </w:tc>
        <w:tc>
          <w:tcPr>
            <w:tcW w:w="1289" w:type="pct"/>
            <w:gridSpan w:val="2"/>
            <w:vAlign w:val="center"/>
          </w:tcPr>
          <w:p w14:paraId="5BA44507">
            <w:pPr>
              <w:pStyle w:val="1535"/>
            </w:pPr>
            <w:r>
              <w:t>敏感目标噪声背景值/dB（A）</w:t>
            </w:r>
          </w:p>
        </w:tc>
        <w:tc>
          <w:tcPr>
            <w:tcW w:w="1700" w:type="pct"/>
            <w:gridSpan w:val="2"/>
            <w:vAlign w:val="center"/>
          </w:tcPr>
          <w:p w14:paraId="47F8F775">
            <w:pPr>
              <w:pStyle w:val="1535"/>
            </w:pPr>
            <w:r>
              <w:t>叠加</w:t>
            </w:r>
            <w:r>
              <w:rPr>
                <w:rFonts w:hint="eastAsia"/>
              </w:rPr>
              <w:t>后</w:t>
            </w:r>
            <w:r>
              <w:t>影响值/dB（A）</w:t>
            </w:r>
          </w:p>
        </w:tc>
        <w:tc>
          <w:tcPr>
            <w:tcW w:w="996" w:type="pct"/>
            <w:gridSpan w:val="2"/>
            <w:vAlign w:val="center"/>
          </w:tcPr>
          <w:p w14:paraId="353A1C25">
            <w:pPr>
              <w:pStyle w:val="1535"/>
            </w:pPr>
            <w:r>
              <w:t>标准值/dB（A）</w:t>
            </w:r>
          </w:p>
        </w:tc>
        <w:tc>
          <w:tcPr>
            <w:tcW w:w="324" w:type="pct"/>
            <w:vMerge w:val="restart"/>
            <w:vAlign w:val="center"/>
          </w:tcPr>
          <w:p w14:paraId="11568CB7">
            <w:pPr>
              <w:pStyle w:val="1535"/>
            </w:pPr>
            <w:r>
              <w:t>达标情况</w:t>
            </w:r>
          </w:p>
        </w:tc>
      </w:tr>
      <w:tr w14:paraId="0890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jc w:val="center"/>
        </w:trPr>
        <w:tc>
          <w:tcPr>
            <w:tcW w:w="691" w:type="pct"/>
            <w:vMerge w:val="continue"/>
            <w:vAlign w:val="center"/>
          </w:tcPr>
          <w:p w14:paraId="61FF8B13">
            <w:pPr>
              <w:pStyle w:val="1535"/>
            </w:pPr>
          </w:p>
        </w:tc>
        <w:tc>
          <w:tcPr>
            <w:tcW w:w="691" w:type="pct"/>
            <w:vAlign w:val="center"/>
          </w:tcPr>
          <w:p w14:paraId="238735A4">
            <w:pPr>
              <w:pStyle w:val="1535"/>
            </w:pPr>
            <w:r>
              <w:t>昼间</w:t>
            </w:r>
          </w:p>
        </w:tc>
        <w:tc>
          <w:tcPr>
            <w:tcW w:w="598" w:type="pct"/>
            <w:vAlign w:val="center"/>
          </w:tcPr>
          <w:p w14:paraId="152190F9">
            <w:pPr>
              <w:pStyle w:val="1535"/>
            </w:pPr>
            <w:r>
              <w:t>夜间</w:t>
            </w:r>
          </w:p>
        </w:tc>
        <w:tc>
          <w:tcPr>
            <w:tcW w:w="691" w:type="pct"/>
            <w:vAlign w:val="center"/>
          </w:tcPr>
          <w:p w14:paraId="43C3635E">
            <w:pPr>
              <w:pStyle w:val="1535"/>
            </w:pPr>
            <w:r>
              <w:t>昼间</w:t>
            </w:r>
          </w:p>
        </w:tc>
        <w:tc>
          <w:tcPr>
            <w:tcW w:w="1009" w:type="pct"/>
            <w:vAlign w:val="center"/>
          </w:tcPr>
          <w:p w14:paraId="39C7EEDB">
            <w:pPr>
              <w:pStyle w:val="1535"/>
            </w:pPr>
            <w:r>
              <w:t>夜间</w:t>
            </w:r>
          </w:p>
        </w:tc>
        <w:tc>
          <w:tcPr>
            <w:tcW w:w="537" w:type="pct"/>
            <w:vAlign w:val="center"/>
          </w:tcPr>
          <w:p w14:paraId="46231C01">
            <w:pPr>
              <w:pStyle w:val="1535"/>
            </w:pPr>
            <w:r>
              <w:t>昼间</w:t>
            </w:r>
          </w:p>
        </w:tc>
        <w:tc>
          <w:tcPr>
            <w:tcW w:w="459" w:type="pct"/>
            <w:vAlign w:val="center"/>
          </w:tcPr>
          <w:p w14:paraId="4BF6210A">
            <w:pPr>
              <w:pStyle w:val="1535"/>
            </w:pPr>
            <w:r>
              <w:t>夜间</w:t>
            </w:r>
          </w:p>
        </w:tc>
        <w:tc>
          <w:tcPr>
            <w:tcW w:w="324" w:type="pct"/>
            <w:vMerge w:val="continue"/>
            <w:vAlign w:val="center"/>
          </w:tcPr>
          <w:p w14:paraId="3C5E4BD5">
            <w:pPr>
              <w:pStyle w:val="1535"/>
            </w:pPr>
          </w:p>
        </w:tc>
      </w:tr>
      <w:tr w14:paraId="43C6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jc w:val="center"/>
        </w:trPr>
        <w:tc>
          <w:tcPr>
            <w:tcW w:w="691" w:type="pct"/>
            <w:vAlign w:val="center"/>
          </w:tcPr>
          <w:p w14:paraId="17F60A68">
            <w:pPr>
              <w:pStyle w:val="1535"/>
            </w:pPr>
            <w:r>
              <w:rPr>
                <w:rFonts w:hint="eastAsia"/>
              </w:rPr>
              <w:t>26</w:t>
            </w:r>
          </w:p>
        </w:tc>
        <w:tc>
          <w:tcPr>
            <w:tcW w:w="691" w:type="pct"/>
            <w:vAlign w:val="center"/>
          </w:tcPr>
          <w:p w14:paraId="54F9F72B">
            <w:pPr>
              <w:pStyle w:val="1535"/>
            </w:pPr>
            <w:r>
              <w:t>45</w:t>
            </w:r>
          </w:p>
        </w:tc>
        <w:tc>
          <w:tcPr>
            <w:tcW w:w="598" w:type="pct"/>
            <w:vAlign w:val="center"/>
          </w:tcPr>
          <w:p w14:paraId="148C2017">
            <w:pPr>
              <w:pStyle w:val="1535"/>
            </w:pPr>
            <w:r>
              <w:t>42</w:t>
            </w:r>
          </w:p>
        </w:tc>
        <w:tc>
          <w:tcPr>
            <w:tcW w:w="691" w:type="pct"/>
            <w:vAlign w:val="center"/>
          </w:tcPr>
          <w:p w14:paraId="5EB7C24F">
            <w:pPr>
              <w:pStyle w:val="1535"/>
            </w:pPr>
            <w:r>
              <w:t>45</w:t>
            </w:r>
          </w:p>
        </w:tc>
        <w:tc>
          <w:tcPr>
            <w:tcW w:w="1009" w:type="pct"/>
            <w:vAlign w:val="center"/>
          </w:tcPr>
          <w:p w14:paraId="4AA63421">
            <w:pPr>
              <w:pStyle w:val="1535"/>
            </w:pPr>
            <w:r>
              <w:t>42</w:t>
            </w:r>
          </w:p>
        </w:tc>
        <w:tc>
          <w:tcPr>
            <w:tcW w:w="537" w:type="pct"/>
            <w:vAlign w:val="center"/>
          </w:tcPr>
          <w:p w14:paraId="652AB140">
            <w:pPr>
              <w:pStyle w:val="1535"/>
            </w:pPr>
            <w:r>
              <w:t>60</w:t>
            </w:r>
          </w:p>
        </w:tc>
        <w:tc>
          <w:tcPr>
            <w:tcW w:w="459" w:type="pct"/>
            <w:vAlign w:val="center"/>
          </w:tcPr>
          <w:p w14:paraId="31DEC73B">
            <w:pPr>
              <w:pStyle w:val="1535"/>
            </w:pPr>
            <w:r>
              <w:t>50</w:t>
            </w:r>
          </w:p>
        </w:tc>
        <w:tc>
          <w:tcPr>
            <w:tcW w:w="324" w:type="pct"/>
            <w:vAlign w:val="center"/>
          </w:tcPr>
          <w:p w14:paraId="4A8DFA40">
            <w:pPr>
              <w:pStyle w:val="1535"/>
            </w:pPr>
            <w:r>
              <w:t>达标</w:t>
            </w:r>
          </w:p>
        </w:tc>
      </w:tr>
    </w:tbl>
    <w:p w14:paraId="275C22CA">
      <w:pPr>
        <w:ind w:firstLine="520"/>
        <w:rPr>
          <w:color w:val="000000" w:themeColor="text1"/>
          <w14:textFill>
            <w14:solidFill>
              <w14:schemeClr w14:val="tx1"/>
            </w14:solidFill>
          </w14:textFill>
        </w:rPr>
      </w:pPr>
      <w:r>
        <w:rPr>
          <w:color w:val="000000" w:themeColor="text1"/>
          <w14:textFill>
            <w14:solidFill>
              <w14:schemeClr w14:val="tx1"/>
            </w14:solidFill>
          </w14:textFill>
        </w:rPr>
        <w:t>由预测结果可知，项目建成后，东</w:t>
      </w:r>
      <w:r>
        <w:rPr>
          <w:rFonts w:hint="eastAsia"/>
          <w:color w:val="000000" w:themeColor="text1"/>
          <w14:textFill>
            <w14:solidFill>
              <w14:schemeClr w14:val="tx1"/>
            </w14:solidFill>
          </w14:textFill>
        </w:rPr>
        <w:t>北</w:t>
      </w:r>
      <w:r>
        <w:rPr>
          <w:color w:val="000000" w:themeColor="text1"/>
          <w14:textFill>
            <w14:solidFill>
              <w14:schemeClr w14:val="tx1"/>
            </w14:solidFill>
          </w14:textFill>
        </w:rPr>
        <w:t>侧</w:t>
      </w:r>
      <w:r>
        <w:rPr>
          <w:rFonts w:hint="eastAsia"/>
          <w:color w:val="000000" w:themeColor="text1"/>
          <w14:textFill>
            <w14:solidFill>
              <w14:schemeClr w14:val="tx1"/>
            </w14:solidFill>
          </w14:textFill>
        </w:rPr>
        <w:t>散居农户</w:t>
      </w:r>
      <w:r>
        <w:rPr>
          <w:color w:val="000000" w:themeColor="text1"/>
          <w14:textFill>
            <w14:solidFill>
              <w14:schemeClr w14:val="tx1"/>
            </w14:solidFill>
          </w14:textFill>
        </w:rPr>
        <w:t>昼间、夜间的环境噪声值均满足《声环境质量标准》（GB3096-2008）中2类标准。</w:t>
      </w:r>
    </w:p>
    <w:p w14:paraId="14AF637F">
      <w:pPr>
        <w:ind w:firstLine="520"/>
        <w:rPr>
          <w:color w:val="000000" w:themeColor="text1"/>
          <w14:textFill>
            <w14:solidFill>
              <w14:schemeClr w14:val="tx1"/>
            </w14:solidFill>
          </w14:textFill>
        </w:rPr>
      </w:pPr>
      <w:r>
        <w:rPr>
          <w:color w:val="000000" w:themeColor="text1"/>
          <w14:textFill>
            <w14:solidFill>
              <w14:schemeClr w14:val="tx1"/>
            </w14:solidFill>
          </w14:textFill>
        </w:rPr>
        <w:t>综上所述，</w:t>
      </w:r>
      <w:r>
        <w:rPr>
          <w:rFonts w:hint="eastAsia"/>
          <w:color w:val="000000" w:themeColor="text1"/>
          <w14:textFill>
            <w14:solidFill>
              <w14:schemeClr w14:val="tx1"/>
            </w14:solidFill>
          </w14:textFill>
        </w:rPr>
        <w:t>改扩建项目</w:t>
      </w:r>
      <w:r>
        <w:rPr>
          <w:color w:val="000000" w:themeColor="text1"/>
          <w14:textFill>
            <w14:solidFill>
              <w14:schemeClr w14:val="tx1"/>
            </w14:solidFill>
          </w14:textFill>
        </w:rPr>
        <w:t>建成后，</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声环境影响小，环境可以接受。</w:t>
      </w:r>
    </w:p>
    <w:p w14:paraId="2788B6E3">
      <w:pPr>
        <w:pStyle w:val="4"/>
        <w:rPr>
          <w:color w:val="000000" w:themeColor="text1"/>
          <w14:textFill>
            <w14:solidFill>
              <w14:schemeClr w14:val="tx1"/>
            </w14:solidFill>
          </w14:textFill>
        </w:rPr>
      </w:pPr>
      <w:bookmarkStart w:id="300" w:name="_Toc29541"/>
      <w:bookmarkStart w:id="301" w:name="_Toc17124"/>
      <w:r>
        <w:rPr>
          <w:color w:val="000000" w:themeColor="text1"/>
          <w14:textFill>
            <w14:solidFill>
              <w14:schemeClr w14:val="tx1"/>
            </w14:solidFill>
          </w14:textFill>
        </w:rPr>
        <w:t>固体废物影响</w:t>
      </w:r>
      <w:bookmarkEnd w:id="293"/>
      <w:bookmarkEnd w:id="294"/>
      <w:bookmarkEnd w:id="295"/>
      <w:bookmarkEnd w:id="296"/>
      <w:bookmarkEnd w:id="297"/>
      <w:bookmarkEnd w:id="298"/>
      <w:r>
        <w:rPr>
          <w:color w:val="000000" w:themeColor="text1"/>
          <w14:textFill>
            <w14:solidFill>
              <w14:schemeClr w14:val="tx1"/>
            </w14:solidFill>
          </w14:textFill>
        </w:rPr>
        <w:t>分析</w:t>
      </w:r>
      <w:bookmarkEnd w:id="299"/>
      <w:bookmarkEnd w:id="300"/>
      <w:bookmarkEnd w:id="301"/>
    </w:p>
    <w:p w14:paraId="42DCDB56">
      <w:pPr>
        <w:ind w:firstLine="520"/>
        <w:rPr>
          <w:color w:val="000000" w:themeColor="text1"/>
          <w14:textFill>
            <w14:solidFill>
              <w14:schemeClr w14:val="tx1"/>
            </w14:solidFill>
          </w14:textFill>
        </w:rPr>
      </w:pPr>
      <w:bookmarkStart w:id="302" w:name="_Hlk71707824"/>
      <w:bookmarkEnd w:id="302"/>
      <w:bookmarkStart w:id="303" w:name="_Hlk59049109"/>
      <w:bookmarkStart w:id="304" w:name="_Toc534876534"/>
      <w:bookmarkStart w:id="305" w:name="_Toc55522450"/>
      <w:bookmarkStart w:id="306" w:name="_Toc407808618"/>
      <w:bookmarkStart w:id="307" w:name="_Toc55506339"/>
      <w:bookmarkStart w:id="308" w:name="_Toc478715890"/>
      <w:r>
        <w:rPr>
          <w:rFonts w:hint="eastAsia"/>
          <w:color w:val="000000" w:themeColor="text1"/>
          <w14:textFill>
            <w14:solidFill>
              <w14:schemeClr w14:val="tx1"/>
            </w14:solidFill>
          </w14:textFill>
        </w:rPr>
        <w:t>扩建项目</w:t>
      </w:r>
      <w:r>
        <w:rPr>
          <w:color w:val="000000" w:themeColor="text1"/>
          <w14:textFill>
            <w14:solidFill>
              <w14:schemeClr w14:val="tx1"/>
            </w14:solidFill>
          </w14:textFill>
        </w:rPr>
        <w:t>产生的固废主要包括一般工业固废、危险废物、生活垃圾等，其中</w:t>
      </w:r>
      <w:bookmarkEnd w:id="303"/>
      <w:r>
        <w:rPr>
          <w:color w:val="000000" w:themeColor="text1"/>
          <w14:textFill>
            <w14:solidFill>
              <w14:schemeClr w14:val="tx1"/>
            </w14:solidFill>
          </w14:textFill>
        </w:rPr>
        <w:t>一般工业固体废物包括除尘灰、</w:t>
      </w:r>
      <w:r>
        <w:rPr>
          <w:rFonts w:hint="eastAsia"/>
          <w:color w:val="000000" w:themeColor="text1"/>
          <w14:textFill>
            <w14:solidFill>
              <w14:schemeClr w14:val="tx1"/>
            </w14:solidFill>
          </w14:textFill>
        </w:rPr>
        <w:t>废</w:t>
      </w:r>
      <w:r>
        <w:rPr>
          <w:color w:val="000000" w:themeColor="text1"/>
          <w14:textFill>
            <w14:solidFill>
              <w14:schemeClr w14:val="tx1"/>
            </w14:solidFill>
          </w14:textFill>
        </w:rPr>
        <w:t>包装材料等；危险废物包括切削液、设备机油、危险化学品桶；污水处理站压滤出的污泥由于含有MTS与水的反应物，不能排除其危险性，故需进行鉴定后再根据其性质进行处置。</w:t>
      </w:r>
    </w:p>
    <w:p w14:paraId="2DD746EA">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建设单位</w:t>
      </w:r>
      <w:r>
        <w:rPr>
          <w:color w:val="000000" w:themeColor="text1"/>
          <w14:textFill>
            <w14:solidFill>
              <w14:schemeClr w14:val="tx1"/>
            </w14:solidFill>
          </w14:textFill>
        </w:rPr>
        <w:t>在</w:t>
      </w:r>
      <w:r>
        <w:rPr>
          <w:rFonts w:hint="eastAsia"/>
          <w:color w:val="000000" w:themeColor="text1"/>
          <w14:textFill>
            <w14:solidFill>
              <w14:schemeClr w14:val="tx1"/>
            </w14:solidFill>
          </w14:textFill>
        </w:rPr>
        <w:t>现有工程</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厂房的附属用房内建设1座切削液回收车间，占地面积约255m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，含废屑的切削液收集后在切削液回收车间内经压滤、三级过滤处理后回用于生产，压滤含切削液的污泥作为危险废物处置。</w:t>
      </w:r>
    </w:p>
    <w:p w14:paraId="36C83C3A">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现有工程在1#厂房附属厂房的已建成危险废物贮存库1</w:t>
      </w:r>
      <w:r>
        <w:rPr>
          <w:color w:val="000000" w:themeColor="text1"/>
          <w14:textFill>
            <w14:solidFill>
              <w14:schemeClr w14:val="tx1"/>
            </w14:solidFill>
          </w14:textFill>
        </w:rPr>
        <w:t>，占地面积约100m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，用于危险废物临时贮存，定期由有资质的第三方单位运走进行处理</w:t>
      </w:r>
      <w:r>
        <w:rPr>
          <w:rFonts w:hint="eastAsia"/>
          <w:color w:val="000000" w:themeColor="text1"/>
          <w14:textFill>
            <w14:solidFill>
              <w14:schemeClr w14:val="tx1"/>
            </w14:solidFill>
          </w14:textFill>
        </w:rPr>
        <w:t>，目前该危废贮存库1现有工程使用面积约65m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，剩余35m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，本次依托</w:t>
      </w:r>
      <w:r>
        <w:rPr>
          <w:color w:val="000000" w:themeColor="text1"/>
          <w14:textFill>
            <w14:solidFill>
              <w14:schemeClr w14:val="tx1"/>
            </w14:solidFill>
          </w14:textFill>
        </w:rPr>
        <w:t>。</w:t>
      </w:r>
    </w:p>
    <w:p w14:paraId="3ABB3FE8">
      <w:pPr>
        <w:ind w:firstLine="520"/>
        <w:rPr>
          <w:color w:val="000000" w:themeColor="text1"/>
          <w14:textFill>
            <w14:solidFill>
              <w14:schemeClr w14:val="tx1"/>
            </w14:solidFill>
          </w14:textFill>
        </w:rPr>
      </w:pPr>
      <w:r>
        <w:rPr>
          <w:color w:val="000000" w:themeColor="text1"/>
          <w14:textFill>
            <w14:solidFill>
              <w14:schemeClr w14:val="tx1"/>
            </w14:solidFill>
          </w14:textFill>
        </w:rPr>
        <w:t>（1）一般工业固废临时储存间应满足相应的防渗漏、防雨淋、防扬尘等环境保护“三防”措施要求。一般废物分类收集堆放，做好标识标牌及管理台账。</w:t>
      </w:r>
    </w:p>
    <w:p w14:paraId="3C8F8205">
      <w:pPr>
        <w:ind w:firstLine="520"/>
        <w:rPr>
          <w:color w:val="000000" w:themeColor="text1"/>
          <w14:textFill>
            <w14:solidFill>
              <w14:schemeClr w14:val="tx1"/>
            </w14:solidFill>
          </w14:textFill>
        </w:rPr>
      </w:pPr>
      <w:r>
        <w:rPr>
          <w:color w:val="000000" w:themeColor="text1"/>
          <w14:textFill>
            <w14:solidFill>
              <w14:schemeClr w14:val="tx1"/>
            </w14:solidFill>
          </w14:textFill>
        </w:rPr>
        <w:t>（2）危废贮存设施应采取防风、防雨、防晒、防渗、防漏、防腐等“六防”措施，满足《危险废物贮存污染控制标准》(GB18597-2023)的要求。危险废物分类收集后置于专用桶或专用废物袋中，堆放区域配备分区标识标牌，地面设置托盘，不相容危险废物应阻隔。危险废物采取专用容器收集后置于托盘内。做好危废管理台账。设置危险废物标识，危险废物分区分类存放，满足《危险废物贮存污染控制标准》(GB18597-2023)的相关要求</w:t>
      </w:r>
      <w:r>
        <w:rPr>
          <w:rFonts w:hint="eastAsia"/>
          <w:color w:val="000000" w:themeColor="text1"/>
          <w14:textFill>
            <w14:solidFill>
              <w14:schemeClr w14:val="tx1"/>
            </w14:solidFill>
          </w14:textFill>
        </w:rPr>
        <w:t>。</w:t>
      </w:r>
    </w:p>
    <w:p w14:paraId="687BD261">
      <w:pPr>
        <w:ind w:firstLine="520"/>
        <w:rPr>
          <w:color w:val="000000" w:themeColor="text1"/>
          <w14:textFill>
            <w14:solidFill>
              <w14:schemeClr w14:val="tx1"/>
            </w14:solidFill>
          </w14:textFill>
        </w:rPr>
      </w:pPr>
      <w:r>
        <w:rPr>
          <w:color w:val="000000" w:themeColor="text1"/>
          <w14:textFill>
            <w14:solidFill>
              <w14:schemeClr w14:val="tx1"/>
            </w14:solidFill>
          </w14:textFill>
        </w:rPr>
        <w:t>项目产生的一般固废暂存于一般工业固废临时储存间，定期送一般工业固废处理场处置；废切削液经切削液回收车间处理后回用，其他危险废物暂存于危险废物贮存库，定期交有资质危废处置单位处置；生活垃圾交环卫部门处置。氯化钠滤渣鉴定前按危废暂存管理，鉴定属于危险废物则交有资质危废处置单位处置。经鉴定不属于危险废物后，按一般工业固废管理和处置。</w:t>
      </w:r>
    </w:p>
    <w:p w14:paraId="7142C7E6">
      <w:pPr>
        <w:ind w:firstLine="520"/>
        <w:rPr>
          <w:color w:val="000000" w:themeColor="text1"/>
          <w14:textFill>
            <w14:solidFill>
              <w14:schemeClr w14:val="tx1"/>
            </w14:solidFill>
          </w14:textFill>
        </w:rPr>
      </w:pPr>
      <w:r>
        <w:rPr>
          <w:color w:val="000000" w:themeColor="text1"/>
          <w14:textFill>
            <w14:solidFill>
              <w14:schemeClr w14:val="tx1"/>
            </w14:solidFill>
          </w14:textFill>
        </w:rPr>
        <w:t>建设单位应定期对所贮存的危险废物包装容器及贮存设施进行检查，发现破损，应及时采取措施清理更换。危废的贮存场所设置明显标志，危废转移必须执行《危险废物转移联单管理办法》。</w:t>
      </w:r>
    </w:p>
    <w:p w14:paraId="29FBBBA4">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扩建项目产生的固体废物分类处置思路明确，去向合理、安全，严格落实措施后不会造成二次污染，可实现“资源化、无害化”目标。</w:t>
      </w:r>
    </w:p>
    <w:bookmarkEnd w:id="304"/>
    <w:bookmarkEnd w:id="305"/>
    <w:bookmarkEnd w:id="306"/>
    <w:bookmarkEnd w:id="307"/>
    <w:bookmarkEnd w:id="308"/>
    <w:p w14:paraId="395A4A6F">
      <w:pPr>
        <w:pStyle w:val="4"/>
        <w:rPr>
          <w:color w:val="000000" w:themeColor="text1"/>
          <w14:textFill>
            <w14:solidFill>
              <w14:schemeClr w14:val="tx1"/>
            </w14:solidFill>
          </w14:textFill>
        </w:rPr>
      </w:pPr>
      <w:bookmarkStart w:id="309" w:name="_Toc55522456"/>
      <w:bookmarkStart w:id="310" w:name="_Toc55506345"/>
      <w:bookmarkStart w:id="311" w:name="_Toc534876535"/>
      <w:bookmarkStart w:id="312" w:name="_Toc9864"/>
      <w:bookmarkStart w:id="313" w:name="_Toc14963"/>
      <w:r>
        <w:rPr>
          <w:color w:val="000000" w:themeColor="text1"/>
          <w14:textFill>
            <w14:solidFill>
              <w14:schemeClr w14:val="tx1"/>
            </w14:solidFill>
          </w14:textFill>
        </w:rPr>
        <w:t>土壤环境影响</w:t>
      </w:r>
      <w:bookmarkEnd w:id="309"/>
      <w:bookmarkEnd w:id="310"/>
      <w:bookmarkEnd w:id="311"/>
      <w:r>
        <w:rPr>
          <w:color w:val="000000" w:themeColor="text1"/>
          <w14:textFill>
            <w14:solidFill>
              <w14:schemeClr w14:val="tx1"/>
            </w14:solidFill>
          </w14:textFill>
        </w:rPr>
        <w:t>预测与评价</w:t>
      </w:r>
      <w:bookmarkEnd w:id="312"/>
      <w:bookmarkEnd w:id="313"/>
    </w:p>
    <w:p w14:paraId="57E66594">
      <w:pPr>
        <w:pStyle w:val="5"/>
        <w:rPr>
          <w:color w:val="000000" w:themeColor="text1"/>
          <w14:textFill>
            <w14:solidFill>
              <w14:schemeClr w14:val="tx1"/>
            </w14:solidFill>
          </w14:textFill>
        </w:rPr>
      </w:pPr>
      <w:r>
        <w:rPr>
          <w:color w:val="000000" w:themeColor="text1"/>
          <w14:textFill>
            <w14:solidFill>
              <w14:schemeClr w14:val="tx1"/>
            </w14:solidFill>
          </w14:textFill>
        </w:rPr>
        <w:t>土壤环境影响途径分析</w:t>
      </w:r>
    </w:p>
    <w:p w14:paraId="3CD3D620">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切削液回收车间、化学品库、危险废物贮存库、废水处理站等均采取地面防渗措施，废水处理站的各池体均按照《给水排水工程构筑物结构设计规范》（GB50069-2002）和《给水排水工程钢筋混凝土水池结构设计规程》（CECS138-2002）采用地下或半地下的现浇钢筋混凝土结构，内部墙体再抹防水砂浆，防渗层为至少1m厚的粘土层或2mm厚高密度聚乙烯人工材料，渗透系数≤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按地下水重点防渗分区，工业废水输送全部采用可视化管道输送，管道材料应视输送介质的不同选择合适材质并作表面防腐、防锈蚀处理，减轻管道腐蚀造成的渗漏；并进行定期检查，确保消除跑、冒、滴、漏现象发生。</w:t>
      </w:r>
    </w:p>
    <w:p w14:paraId="25CA7107">
      <w:pPr>
        <w:ind w:firstLine="520"/>
        <w:rPr>
          <w:color w:val="000000" w:themeColor="text1"/>
          <w14:textFill>
            <w14:solidFill>
              <w14:schemeClr w14:val="tx1"/>
            </w14:solidFill>
          </w14:textFill>
        </w:rPr>
      </w:pPr>
      <w:r>
        <w:rPr>
          <w:color w:val="000000" w:themeColor="text1"/>
          <w14:textFill>
            <w14:solidFill>
              <w14:schemeClr w14:val="tx1"/>
            </w14:solidFill>
          </w14:textFill>
        </w:rPr>
        <w:t>项目废水经厂区废水处理站处理达标后排入西彭工业园区污水处理厂处理，经污水处理厂处理达到《污水综合排放标准》（GB8978-1996）中一级标准后排入长江，正常情况下废水不会对土壤造成明显影响。运营期产生的一般工业固体废物、危险废物和生活垃圾均得到妥善处置，不外排，因此不会受到雨水淋溶或风力作用而进入外环境；固废暂存库及各车间等建构筑物均采取了防腐、防渗措施，可有效的防止废水渗透到地下污染土壤。</w:t>
      </w:r>
    </w:p>
    <w:p w14:paraId="625EE67E">
      <w:pPr>
        <w:ind w:firstLine="520"/>
        <w:rPr>
          <w:color w:val="000000" w:themeColor="text1"/>
          <w14:textFill>
            <w14:solidFill>
              <w14:schemeClr w14:val="tx1"/>
            </w14:solidFill>
          </w14:textFill>
        </w:rPr>
      </w:pPr>
      <w:r>
        <w:rPr>
          <w:color w:val="000000" w:themeColor="text1"/>
          <w14:textFill>
            <w14:solidFill>
              <w14:schemeClr w14:val="tx1"/>
            </w14:solidFill>
          </w14:textFill>
        </w:rPr>
        <w:t>综上分析，正常状况下，切削液回收车间、化学品库、危险废物贮存库、废水处理站等区域均采取了防渗措施，因此不会对土壤产生明显的影响，但在非正常状况下，如果防渗层发生破裂，生产废水通过破损处垂直入渗进入土壤，渗滤液中的石油类等成分可能对土壤造成影响。</w:t>
      </w:r>
      <w:r>
        <w:rPr>
          <w:rFonts w:hint="eastAsia"/>
          <w:color w:val="000000" w:themeColor="text1"/>
          <w14:textFill>
            <w14:solidFill>
              <w14:schemeClr w14:val="tx1"/>
            </w14:solidFill>
          </w14:textFill>
        </w:rPr>
        <w:t>排放废气污染物中炭黑尘，在大气沉降作用下可能会对周边土壤造成影响，根据大气环境预测结果，扩建项目排放炭黑尘最大落地浓度占标率仅为0.05%，远低于相关标准要求，故项目大气沉降对周边土壤环境影响小。</w:t>
      </w:r>
    </w:p>
    <w:p w14:paraId="6DBD5E84">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6.6</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建设项目土壤环境影响类型与影响途径表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214"/>
        <w:gridCol w:w="1169"/>
        <w:gridCol w:w="1250"/>
        <w:gridCol w:w="798"/>
        <w:gridCol w:w="844"/>
        <w:gridCol w:w="1054"/>
        <w:gridCol w:w="1054"/>
        <w:gridCol w:w="1065"/>
      </w:tblGrid>
      <w:tr w14:paraId="422C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restart"/>
            <w:vAlign w:val="center"/>
          </w:tcPr>
          <w:p w14:paraId="14DFD9A1">
            <w:pPr>
              <w:pStyle w:val="1535"/>
            </w:pPr>
            <w:r>
              <w:t>不同时段</w:t>
            </w:r>
          </w:p>
        </w:tc>
        <w:tc>
          <w:tcPr>
            <w:tcW w:w="2343" w:type="pct"/>
            <w:gridSpan w:val="4"/>
            <w:vAlign w:val="center"/>
          </w:tcPr>
          <w:p w14:paraId="6AACA9B6">
            <w:pPr>
              <w:pStyle w:val="1535"/>
            </w:pPr>
            <w:r>
              <w:t>污染影响型</w:t>
            </w:r>
          </w:p>
        </w:tc>
        <w:tc>
          <w:tcPr>
            <w:tcW w:w="2123" w:type="pct"/>
            <w:gridSpan w:val="4"/>
            <w:vAlign w:val="center"/>
          </w:tcPr>
          <w:p w14:paraId="7CF79C1B">
            <w:pPr>
              <w:pStyle w:val="1535"/>
            </w:pPr>
            <w:r>
              <w:t>生态影响型</w:t>
            </w:r>
          </w:p>
        </w:tc>
      </w:tr>
      <w:tr w14:paraId="4176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481DA287">
            <w:pPr>
              <w:pStyle w:val="1535"/>
            </w:pPr>
          </w:p>
        </w:tc>
        <w:tc>
          <w:tcPr>
            <w:tcW w:w="642" w:type="pct"/>
            <w:vAlign w:val="center"/>
          </w:tcPr>
          <w:p w14:paraId="33F0EAE9">
            <w:pPr>
              <w:pStyle w:val="1535"/>
            </w:pPr>
            <w:r>
              <w:t>大气沉降</w:t>
            </w:r>
          </w:p>
        </w:tc>
        <w:tc>
          <w:tcPr>
            <w:tcW w:w="618" w:type="pct"/>
            <w:vAlign w:val="center"/>
          </w:tcPr>
          <w:p w14:paraId="3C70CCA1">
            <w:pPr>
              <w:pStyle w:val="1535"/>
            </w:pPr>
            <w:r>
              <w:t>地面漫流</w:t>
            </w:r>
          </w:p>
        </w:tc>
        <w:tc>
          <w:tcPr>
            <w:tcW w:w="661" w:type="pct"/>
            <w:vAlign w:val="center"/>
          </w:tcPr>
          <w:p w14:paraId="4E670A1D">
            <w:pPr>
              <w:pStyle w:val="1535"/>
            </w:pPr>
            <w:r>
              <w:t>垂直入渗</w:t>
            </w:r>
          </w:p>
        </w:tc>
        <w:tc>
          <w:tcPr>
            <w:tcW w:w="422" w:type="pct"/>
            <w:vAlign w:val="center"/>
          </w:tcPr>
          <w:p w14:paraId="61FBDB44">
            <w:pPr>
              <w:pStyle w:val="1535"/>
            </w:pPr>
            <w:r>
              <w:t>其它</w:t>
            </w:r>
          </w:p>
        </w:tc>
        <w:tc>
          <w:tcPr>
            <w:tcW w:w="446" w:type="pct"/>
            <w:vAlign w:val="center"/>
          </w:tcPr>
          <w:p w14:paraId="1617ACA7">
            <w:pPr>
              <w:pStyle w:val="1535"/>
            </w:pPr>
            <w:r>
              <w:t>盐化</w:t>
            </w:r>
          </w:p>
        </w:tc>
        <w:tc>
          <w:tcPr>
            <w:tcW w:w="557" w:type="pct"/>
            <w:vAlign w:val="center"/>
          </w:tcPr>
          <w:p w14:paraId="25473A31">
            <w:pPr>
              <w:pStyle w:val="1535"/>
            </w:pPr>
            <w:r>
              <w:t>酸化</w:t>
            </w:r>
          </w:p>
        </w:tc>
        <w:tc>
          <w:tcPr>
            <w:tcW w:w="557" w:type="pct"/>
            <w:vAlign w:val="center"/>
          </w:tcPr>
          <w:p w14:paraId="38903421">
            <w:pPr>
              <w:pStyle w:val="1535"/>
            </w:pPr>
            <w:r>
              <w:t>碱化</w:t>
            </w:r>
          </w:p>
        </w:tc>
        <w:tc>
          <w:tcPr>
            <w:tcW w:w="563" w:type="pct"/>
            <w:vAlign w:val="center"/>
          </w:tcPr>
          <w:p w14:paraId="0F2CB706">
            <w:pPr>
              <w:pStyle w:val="1535"/>
            </w:pPr>
            <w:r>
              <w:t>其它</w:t>
            </w:r>
          </w:p>
        </w:tc>
      </w:tr>
      <w:tr w14:paraId="437E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Align w:val="center"/>
          </w:tcPr>
          <w:p w14:paraId="6B4DD3D4">
            <w:pPr>
              <w:pStyle w:val="1535"/>
            </w:pPr>
            <w:r>
              <w:t>施工期</w:t>
            </w:r>
          </w:p>
        </w:tc>
        <w:tc>
          <w:tcPr>
            <w:tcW w:w="642" w:type="pct"/>
            <w:vAlign w:val="center"/>
          </w:tcPr>
          <w:p w14:paraId="23C45E35">
            <w:pPr>
              <w:pStyle w:val="1535"/>
            </w:pPr>
            <w:r>
              <w:t>-</w:t>
            </w:r>
          </w:p>
        </w:tc>
        <w:tc>
          <w:tcPr>
            <w:tcW w:w="618" w:type="pct"/>
            <w:vAlign w:val="center"/>
          </w:tcPr>
          <w:p w14:paraId="3F5EEA33">
            <w:pPr>
              <w:pStyle w:val="1535"/>
            </w:pPr>
            <w:r>
              <w:t>-</w:t>
            </w:r>
          </w:p>
        </w:tc>
        <w:tc>
          <w:tcPr>
            <w:tcW w:w="661" w:type="pct"/>
            <w:vAlign w:val="center"/>
          </w:tcPr>
          <w:p w14:paraId="374B834A">
            <w:pPr>
              <w:pStyle w:val="1535"/>
            </w:pPr>
            <w:r>
              <w:t>-</w:t>
            </w:r>
          </w:p>
        </w:tc>
        <w:tc>
          <w:tcPr>
            <w:tcW w:w="422" w:type="pct"/>
            <w:vAlign w:val="center"/>
          </w:tcPr>
          <w:p w14:paraId="66F882C6">
            <w:pPr>
              <w:pStyle w:val="1535"/>
            </w:pPr>
            <w:r>
              <w:t>-</w:t>
            </w:r>
          </w:p>
        </w:tc>
        <w:tc>
          <w:tcPr>
            <w:tcW w:w="446" w:type="pct"/>
            <w:vAlign w:val="center"/>
          </w:tcPr>
          <w:p w14:paraId="66BDDE6A">
            <w:pPr>
              <w:pStyle w:val="1535"/>
            </w:pPr>
            <w:r>
              <w:t>-</w:t>
            </w:r>
          </w:p>
        </w:tc>
        <w:tc>
          <w:tcPr>
            <w:tcW w:w="557" w:type="pct"/>
            <w:vAlign w:val="center"/>
          </w:tcPr>
          <w:p w14:paraId="1D0A6559">
            <w:pPr>
              <w:pStyle w:val="1535"/>
            </w:pPr>
            <w:r>
              <w:t>-</w:t>
            </w:r>
          </w:p>
        </w:tc>
        <w:tc>
          <w:tcPr>
            <w:tcW w:w="557" w:type="pct"/>
            <w:vAlign w:val="center"/>
          </w:tcPr>
          <w:p w14:paraId="32DEBCD5">
            <w:pPr>
              <w:pStyle w:val="1535"/>
            </w:pPr>
            <w:r>
              <w:t>-</w:t>
            </w:r>
          </w:p>
        </w:tc>
        <w:tc>
          <w:tcPr>
            <w:tcW w:w="563" w:type="pct"/>
            <w:vAlign w:val="center"/>
          </w:tcPr>
          <w:p w14:paraId="25FF0562">
            <w:pPr>
              <w:pStyle w:val="1535"/>
            </w:pPr>
            <w:r>
              <w:t>-</w:t>
            </w:r>
          </w:p>
        </w:tc>
      </w:tr>
      <w:tr w14:paraId="6102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Align w:val="center"/>
          </w:tcPr>
          <w:p w14:paraId="5C220F1E">
            <w:pPr>
              <w:pStyle w:val="1535"/>
            </w:pPr>
            <w:r>
              <w:t>运营期</w:t>
            </w:r>
          </w:p>
        </w:tc>
        <w:tc>
          <w:tcPr>
            <w:tcW w:w="642" w:type="pct"/>
            <w:vAlign w:val="center"/>
          </w:tcPr>
          <w:p w14:paraId="21AAD1A9">
            <w:pPr>
              <w:pStyle w:val="1535"/>
            </w:pPr>
            <w:r>
              <w:t>√</w:t>
            </w:r>
          </w:p>
        </w:tc>
        <w:tc>
          <w:tcPr>
            <w:tcW w:w="618" w:type="pct"/>
            <w:vAlign w:val="center"/>
          </w:tcPr>
          <w:p w14:paraId="3139F91E">
            <w:pPr>
              <w:pStyle w:val="1535"/>
            </w:pPr>
            <w:r>
              <w:t>-</w:t>
            </w:r>
          </w:p>
        </w:tc>
        <w:tc>
          <w:tcPr>
            <w:tcW w:w="661" w:type="pct"/>
            <w:vAlign w:val="center"/>
          </w:tcPr>
          <w:p w14:paraId="1816BAA2">
            <w:pPr>
              <w:pStyle w:val="1535"/>
            </w:pPr>
            <w:r>
              <w:t>√</w:t>
            </w:r>
          </w:p>
        </w:tc>
        <w:tc>
          <w:tcPr>
            <w:tcW w:w="422" w:type="pct"/>
            <w:vAlign w:val="center"/>
          </w:tcPr>
          <w:p w14:paraId="3B029E50">
            <w:pPr>
              <w:pStyle w:val="1535"/>
            </w:pPr>
            <w:r>
              <w:t>-</w:t>
            </w:r>
          </w:p>
        </w:tc>
        <w:tc>
          <w:tcPr>
            <w:tcW w:w="446" w:type="pct"/>
            <w:vAlign w:val="center"/>
          </w:tcPr>
          <w:p w14:paraId="6E802526">
            <w:pPr>
              <w:pStyle w:val="1535"/>
            </w:pPr>
            <w:r>
              <w:t>-</w:t>
            </w:r>
          </w:p>
        </w:tc>
        <w:tc>
          <w:tcPr>
            <w:tcW w:w="557" w:type="pct"/>
            <w:vAlign w:val="center"/>
          </w:tcPr>
          <w:p w14:paraId="451E0496">
            <w:pPr>
              <w:pStyle w:val="1535"/>
            </w:pPr>
            <w:r>
              <w:t>-</w:t>
            </w:r>
          </w:p>
        </w:tc>
        <w:tc>
          <w:tcPr>
            <w:tcW w:w="557" w:type="pct"/>
            <w:vAlign w:val="center"/>
          </w:tcPr>
          <w:p w14:paraId="2BA2C9FB">
            <w:pPr>
              <w:pStyle w:val="1535"/>
            </w:pPr>
            <w:r>
              <w:t>-</w:t>
            </w:r>
          </w:p>
        </w:tc>
        <w:tc>
          <w:tcPr>
            <w:tcW w:w="563" w:type="pct"/>
            <w:vAlign w:val="center"/>
          </w:tcPr>
          <w:p w14:paraId="1F2B73B5">
            <w:pPr>
              <w:pStyle w:val="1535"/>
            </w:pPr>
            <w:r>
              <w:t>-</w:t>
            </w:r>
          </w:p>
        </w:tc>
      </w:tr>
    </w:tbl>
    <w:p w14:paraId="3F7B71B9">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6.6</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污染影响型建设项目土壤环境影响源及影响因子识别表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406"/>
        <w:gridCol w:w="1404"/>
        <w:gridCol w:w="3282"/>
        <w:gridCol w:w="1247"/>
        <w:gridCol w:w="889"/>
      </w:tblGrid>
      <w:tr w14:paraId="5A71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Align w:val="center"/>
          </w:tcPr>
          <w:p w14:paraId="7DC69135">
            <w:pPr>
              <w:pStyle w:val="1535"/>
            </w:pPr>
            <w:r>
              <w:t>污染源</w:t>
            </w:r>
          </w:p>
        </w:tc>
        <w:tc>
          <w:tcPr>
            <w:tcW w:w="743" w:type="pct"/>
            <w:vAlign w:val="center"/>
          </w:tcPr>
          <w:p w14:paraId="45BD97A3">
            <w:pPr>
              <w:pStyle w:val="1535"/>
            </w:pPr>
            <w:r>
              <w:t>工艺流程</w:t>
            </w:r>
          </w:p>
        </w:tc>
        <w:tc>
          <w:tcPr>
            <w:tcW w:w="742" w:type="pct"/>
            <w:vAlign w:val="center"/>
          </w:tcPr>
          <w:p w14:paraId="156F2BF3">
            <w:pPr>
              <w:pStyle w:val="1535"/>
            </w:pPr>
            <w:r>
              <w:t>污染途径</w:t>
            </w:r>
          </w:p>
        </w:tc>
        <w:tc>
          <w:tcPr>
            <w:tcW w:w="1734" w:type="pct"/>
            <w:vAlign w:val="center"/>
          </w:tcPr>
          <w:p w14:paraId="64F5B3AF">
            <w:pPr>
              <w:pStyle w:val="1535"/>
            </w:pPr>
            <w:r>
              <w:t>全部污染物指标</w:t>
            </w:r>
          </w:p>
        </w:tc>
        <w:tc>
          <w:tcPr>
            <w:tcW w:w="659" w:type="pct"/>
            <w:vAlign w:val="center"/>
          </w:tcPr>
          <w:p w14:paraId="40FB396F">
            <w:pPr>
              <w:pStyle w:val="1535"/>
            </w:pPr>
            <w:r>
              <w:t>特征因子</w:t>
            </w:r>
          </w:p>
        </w:tc>
        <w:tc>
          <w:tcPr>
            <w:tcW w:w="469" w:type="pct"/>
            <w:vAlign w:val="center"/>
          </w:tcPr>
          <w:p w14:paraId="00D730A5">
            <w:pPr>
              <w:pStyle w:val="1535"/>
            </w:pPr>
            <w:r>
              <w:t>备注</w:t>
            </w:r>
          </w:p>
        </w:tc>
      </w:tr>
      <w:tr w14:paraId="4F09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restart"/>
            <w:vAlign w:val="center"/>
          </w:tcPr>
          <w:p w14:paraId="5A7F439E">
            <w:pPr>
              <w:pStyle w:val="1535"/>
            </w:pPr>
            <w:r>
              <w:t>生产废水调节池</w:t>
            </w:r>
          </w:p>
        </w:tc>
        <w:tc>
          <w:tcPr>
            <w:tcW w:w="743" w:type="pct"/>
            <w:vMerge w:val="restart"/>
            <w:vAlign w:val="center"/>
          </w:tcPr>
          <w:p w14:paraId="5F51DB77">
            <w:pPr>
              <w:pStyle w:val="1535"/>
            </w:pPr>
            <w:r>
              <w:t>调节池渗漏</w:t>
            </w:r>
          </w:p>
        </w:tc>
        <w:tc>
          <w:tcPr>
            <w:tcW w:w="742" w:type="pct"/>
            <w:vAlign w:val="center"/>
          </w:tcPr>
          <w:p w14:paraId="625D409E">
            <w:pPr>
              <w:pStyle w:val="1535"/>
            </w:pPr>
            <w:r>
              <w:t>大气沉降</w:t>
            </w:r>
          </w:p>
        </w:tc>
        <w:tc>
          <w:tcPr>
            <w:tcW w:w="1734" w:type="pct"/>
            <w:vAlign w:val="center"/>
          </w:tcPr>
          <w:p w14:paraId="2E84C5D1">
            <w:pPr>
              <w:pStyle w:val="1535"/>
            </w:pPr>
            <w:r>
              <w:t>-</w:t>
            </w:r>
          </w:p>
        </w:tc>
        <w:tc>
          <w:tcPr>
            <w:tcW w:w="659" w:type="pct"/>
            <w:vAlign w:val="center"/>
          </w:tcPr>
          <w:p w14:paraId="36A5A34A">
            <w:pPr>
              <w:pStyle w:val="1535"/>
            </w:pPr>
            <w:r>
              <w:t>-</w:t>
            </w:r>
          </w:p>
        </w:tc>
        <w:tc>
          <w:tcPr>
            <w:tcW w:w="469" w:type="pct"/>
            <w:vAlign w:val="center"/>
          </w:tcPr>
          <w:p w14:paraId="0B7628D9">
            <w:pPr>
              <w:pStyle w:val="1535"/>
            </w:pPr>
            <w:r>
              <w:t>-</w:t>
            </w:r>
          </w:p>
        </w:tc>
      </w:tr>
      <w:tr w14:paraId="7F3E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continue"/>
            <w:vAlign w:val="center"/>
          </w:tcPr>
          <w:p w14:paraId="4714867D">
            <w:pPr>
              <w:pStyle w:val="1535"/>
            </w:pPr>
          </w:p>
        </w:tc>
        <w:tc>
          <w:tcPr>
            <w:tcW w:w="743" w:type="pct"/>
            <w:vMerge w:val="continue"/>
            <w:vAlign w:val="center"/>
          </w:tcPr>
          <w:p w14:paraId="79783D40">
            <w:pPr>
              <w:pStyle w:val="1535"/>
            </w:pPr>
          </w:p>
        </w:tc>
        <w:tc>
          <w:tcPr>
            <w:tcW w:w="742" w:type="pct"/>
            <w:vAlign w:val="center"/>
          </w:tcPr>
          <w:p w14:paraId="14D2CA45">
            <w:pPr>
              <w:pStyle w:val="1535"/>
            </w:pPr>
            <w:r>
              <w:t>地面漫流</w:t>
            </w:r>
          </w:p>
        </w:tc>
        <w:tc>
          <w:tcPr>
            <w:tcW w:w="1734" w:type="pct"/>
            <w:vAlign w:val="center"/>
          </w:tcPr>
          <w:p w14:paraId="75A68305">
            <w:pPr>
              <w:pStyle w:val="1535"/>
            </w:pPr>
            <w:r>
              <w:t>-</w:t>
            </w:r>
          </w:p>
        </w:tc>
        <w:tc>
          <w:tcPr>
            <w:tcW w:w="659" w:type="pct"/>
            <w:vAlign w:val="center"/>
          </w:tcPr>
          <w:p w14:paraId="0FFD3B60">
            <w:pPr>
              <w:pStyle w:val="1535"/>
            </w:pPr>
            <w:r>
              <w:t>-</w:t>
            </w:r>
          </w:p>
        </w:tc>
        <w:tc>
          <w:tcPr>
            <w:tcW w:w="469" w:type="pct"/>
            <w:vAlign w:val="center"/>
          </w:tcPr>
          <w:p w14:paraId="00DB7C5D">
            <w:pPr>
              <w:pStyle w:val="1535"/>
            </w:pPr>
            <w:r>
              <w:t>-</w:t>
            </w:r>
          </w:p>
        </w:tc>
      </w:tr>
      <w:tr w14:paraId="63DE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continue"/>
            <w:vAlign w:val="center"/>
          </w:tcPr>
          <w:p w14:paraId="22C80FA9">
            <w:pPr>
              <w:pStyle w:val="1535"/>
            </w:pPr>
          </w:p>
        </w:tc>
        <w:tc>
          <w:tcPr>
            <w:tcW w:w="743" w:type="pct"/>
            <w:vMerge w:val="continue"/>
            <w:vAlign w:val="center"/>
          </w:tcPr>
          <w:p w14:paraId="700D99A3">
            <w:pPr>
              <w:pStyle w:val="1535"/>
            </w:pPr>
          </w:p>
        </w:tc>
        <w:tc>
          <w:tcPr>
            <w:tcW w:w="742" w:type="pct"/>
            <w:vAlign w:val="center"/>
          </w:tcPr>
          <w:p w14:paraId="54CBFAD9">
            <w:pPr>
              <w:pStyle w:val="1535"/>
            </w:pPr>
            <w:r>
              <w:t>垂直入渗</w:t>
            </w:r>
          </w:p>
        </w:tc>
        <w:tc>
          <w:tcPr>
            <w:tcW w:w="1734" w:type="pct"/>
            <w:vAlign w:val="center"/>
          </w:tcPr>
          <w:p w14:paraId="306341C2">
            <w:pPr>
              <w:pStyle w:val="1535"/>
            </w:pPr>
            <w:r>
              <w:t>COD、SS、氨氮、氟化物、动植物油、石油类</w:t>
            </w:r>
          </w:p>
        </w:tc>
        <w:tc>
          <w:tcPr>
            <w:tcW w:w="659" w:type="pct"/>
            <w:vAlign w:val="center"/>
          </w:tcPr>
          <w:p w14:paraId="6ADE6AAB">
            <w:pPr>
              <w:pStyle w:val="1535"/>
            </w:pPr>
            <w:r>
              <w:t>石油类</w:t>
            </w:r>
          </w:p>
        </w:tc>
        <w:tc>
          <w:tcPr>
            <w:tcW w:w="469" w:type="pct"/>
            <w:vAlign w:val="center"/>
          </w:tcPr>
          <w:p w14:paraId="71AF0EFD">
            <w:pPr>
              <w:pStyle w:val="1535"/>
            </w:pPr>
            <w:r>
              <w:t>事故</w:t>
            </w:r>
          </w:p>
        </w:tc>
      </w:tr>
      <w:tr w14:paraId="6685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continue"/>
            <w:vAlign w:val="center"/>
          </w:tcPr>
          <w:p w14:paraId="7CA6EF31">
            <w:pPr>
              <w:pStyle w:val="1535"/>
            </w:pPr>
          </w:p>
        </w:tc>
        <w:tc>
          <w:tcPr>
            <w:tcW w:w="743" w:type="pct"/>
            <w:vMerge w:val="continue"/>
            <w:vAlign w:val="center"/>
          </w:tcPr>
          <w:p w14:paraId="2B3334AC">
            <w:pPr>
              <w:pStyle w:val="1535"/>
            </w:pPr>
          </w:p>
        </w:tc>
        <w:tc>
          <w:tcPr>
            <w:tcW w:w="742" w:type="pct"/>
            <w:vAlign w:val="center"/>
          </w:tcPr>
          <w:p w14:paraId="6678665A">
            <w:pPr>
              <w:pStyle w:val="1535"/>
            </w:pPr>
            <w:r>
              <w:t>其它</w:t>
            </w:r>
          </w:p>
        </w:tc>
        <w:tc>
          <w:tcPr>
            <w:tcW w:w="1734" w:type="pct"/>
            <w:vAlign w:val="center"/>
          </w:tcPr>
          <w:p w14:paraId="33FB698E">
            <w:pPr>
              <w:pStyle w:val="1535"/>
            </w:pPr>
            <w:r>
              <w:t>-</w:t>
            </w:r>
          </w:p>
        </w:tc>
        <w:tc>
          <w:tcPr>
            <w:tcW w:w="659" w:type="pct"/>
            <w:vAlign w:val="center"/>
          </w:tcPr>
          <w:p w14:paraId="4F0D44C7">
            <w:pPr>
              <w:pStyle w:val="1535"/>
            </w:pPr>
            <w:r>
              <w:t>-</w:t>
            </w:r>
          </w:p>
        </w:tc>
        <w:tc>
          <w:tcPr>
            <w:tcW w:w="469" w:type="pct"/>
            <w:vAlign w:val="center"/>
          </w:tcPr>
          <w:p w14:paraId="4B14581D">
            <w:pPr>
              <w:pStyle w:val="1535"/>
            </w:pPr>
            <w:r>
              <w:t>-</w:t>
            </w:r>
          </w:p>
        </w:tc>
      </w:tr>
    </w:tbl>
    <w:p w14:paraId="1FBCDF45">
      <w:pPr>
        <w:pStyle w:val="5"/>
        <w:rPr>
          <w:color w:val="000000" w:themeColor="text1"/>
          <w14:textFill>
            <w14:solidFill>
              <w14:schemeClr w14:val="tx1"/>
            </w14:solidFill>
          </w14:textFill>
        </w:rPr>
      </w:pPr>
      <w:bookmarkStart w:id="314" w:name="_Toc19937"/>
      <w:bookmarkStart w:id="315" w:name="_Toc7828"/>
      <w:bookmarkStart w:id="316" w:name="_Toc9155"/>
      <w:bookmarkStart w:id="317" w:name="_Toc14318"/>
      <w:bookmarkStart w:id="318" w:name="_Toc2195"/>
      <w:bookmarkStart w:id="319" w:name="_Toc22754"/>
      <w:bookmarkStart w:id="320" w:name="_Toc28449"/>
      <w:r>
        <w:rPr>
          <w:color w:val="000000" w:themeColor="text1"/>
          <w14:textFill>
            <w14:solidFill>
              <w14:schemeClr w14:val="tx1"/>
            </w14:solidFill>
          </w14:textFill>
        </w:rPr>
        <w:t>土壤环境影响评价</w:t>
      </w:r>
    </w:p>
    <w:p w14:paraId="2BCE2692">
      <w:pPr>
        <w:ind w:firstLine="520"/>
        <w:rPr>
          <w:color w:val="000000" w:themeColor="text1"/>
          <w14:textFill>
            <w14:solidFill>
              <w14:schemeClr w14:val="tx1"/>
            </w14:solidFill>
          </w14:textFill>
        </w:rPr>
      </w:pPr>
      <w:r>
        <w:rPr>
          <w:color w:val="000000" w:themeColor="text1"/>
          <w14:textFill>
            <w14:solidFill>
              <w14:schemeClr w14:val="tx1"/>
            </w14:solidFill>
          </w14:textFill>
        </w:rPr>
        <w:t>（1）预测因子及执行标准</w:t>
      </w:r>
    </w:p>
    <w:p w14:paraId="1EAA73FA">
      <w:pPr>
        <w:ind w:firstLine="520"/>
        <w:rPr>
          <w:color w:val="000000" w:themeColor="text1"/>
          <w14:textFill>
            <w14:solidFill>
              <w14:schemeClr w14:val="tx1"/>
            </w14:solidFill>
          </w14:textFill>
        </w:rPr>
      </w:pPr>
      <w:r>
        <w:rPr>
          <w:color w:val="000000" w:themeColor="text1"/>
          <w14:textFill>
            <w14:solidFill>
              <w14:schemeClr w14:val="tx1"/>
            </w14:solidFill>
          </w14:textFill>
        </w:rPr>
        <w:t>根据废水水质情况，对比《土壤环境质量</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建设用地土壤污染风险管控标准》（GB36600-2018）中表1、表2第二类用地中规定的污染物的类型，本次评价选择的污染物为石油烃，评价标准为第二类用地筛选值，现状土壤监测值最大值作为现状背景值。</w:t>
      </w:r>
    </w:p>
    <w:p w14:paraId="0C2FF57F">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6.6</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预测因子及执行标准</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651"/>
        <w:gridCol w:w="2120"/>
        <w:gridCol w:w="2122"/>
        <w:gridCol w:w="2122"/>
      </w:tblGrid>
      <w:tr w14:paraId="62C3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62" w:type="pct"/>
            <w:vAlign w:val="center"/>
          </w:tcPr>
          <w:p w14:paraId="26E9BB0A">
            <w:pPr>
              <w:pStyle w:val="1535"/>
            </w:pPr>
            <w:r>
              <w:t>执行标准</w:t>
            </w:r>
          </w:p>
        </w:tc>
        <w:tc>
          <w:tcPr>
            <w:tcW w:w="872" w:type="pct"/>
            <w:vAlign w:val="center"/>
          </w:tcPr>
          <w:p w14:paraId="6FB9476C">
            <w:pPr>
              <w:pStyle w:val="1535"/>
            </w:pPr>
            <w:r>
              <w:t>预测因子</w:t>
            </w:r>
          </w:p>
        </w:tc>
        <w:tc>
          <w:tcPr>
            <w:tcW w:w="1120" w:type="pct"/>
            <w:vAlign w:val="center"/>
          </w:tcPr>
          <w:p w14:paraId="31F5DD71">
            <w:pPr>
              <w:pStyle w:val="1535"/>
            </w:pPr>
            <w:r>
              <w:t>源强(mg/L)</w:t>
            </w:r>
          </w:p>
        </w:tc>
        <w:tc>
          <w:tcPr>
            <w:tcW w:w="1121" w:type="pct"/>
            <w:vAlign w:val="center"/>
          </w:tcPr>
          <w:p w14:paraId="403CFE69">
            <w:pPr>
              <w:pStyle w:val="1535"/>
            </w:pPr>
            <w:r>
              <w:t>执行标准（mg/kg）</w:t>
            </w:r>
          </w:p>
        </w:tc>
        <w:tc>
          <w:tcPr>
            <w:tcW w:w="1121" w:type="pct"/>
            <w:vAlign w:val="center"/>
          </w:tcPr>
          <w:p w14:paraId="7EF8CB1F">
            <w:pPr>
              <w:pStyle w:val="1535"/>
            </w:pPr>
            <w:r>
              <w:t>背景值</w:t>
            </w:r>
          </w:p>
          <w:p w14:paraId="29956152">
            <w:pPr>
              <w:pStyle w:val="1535"/>
            </w:pPr>
            <w:r>
              <w:t>（mg/kg）</w:t>
            </w:r>
          </w:p>
        </w:tc>
      </w:tr>
      <w:tr w14:paraId="5580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2" w:type="pct"/>
            <w:vAlign w:val="center"/>
          </w:tcPr>
          <w:p w14:paraId="778AC9C4">
            <w:pPr>
              <w:pStyle w:val="1535"/>
            </w:pPr>
            <w:r>
              <w:t>生产废水调节池</w:t>
            </w:r>
          </w:p>
        </w:tc>
        <w:tc>
          <w:tcPr>
            <w:tcW w:w="872" w:type="pct"/>
            <w:vAlign w:val="center"/>
          </w:tcPr>
          <w:p w14:paraId="226B6B4D">
            <w:pPr>
              <w:pStyle w:val="1535"/>
            </w:pPr>
            <w:r>
              <w:t>石油烃</w:t>
            </w:r>
          </w:p>
        </w:tc>
        <w:tc>
          <w:tcPr>
            <w:tcW w:w="1120" w:type="pct"/>
            <w:vAlign w:val="center"/>
          </w:tcPr>
          <w:p w14:paraId="0E002FA2">
            <w:pPr>
              <w:pStyle w:val="1535"/>
            </w:pPr>
            <w:r>
              <w:t>30</w:t>
            </w:r>
          </w:p>
        </w:tc>
        <w:tc>
          <w:tcPr>
            <w:tcW w:w="1121" w:type="pct"/>
            <w:vAlign w:val="center"/>
          </w:tcPr>
          <w:p w14:paraId="38301858">
            <w:pPr>
              <w:pStyle w:val="1535"/>
            </w:pPr>
            <w:r>
              <w:t>4500</w:t>
            </w:r>
          </w:p>
        </w:tc>
        <w:tc>
          <w:tcPr>
            <w:tcW w:w="1121" w:type="pct"/>
            <w:vAlign w:val="center"/>
          </w:tcPr>
          <w:p w14:paraId="2822AE2E">
            <w:pPr>
              <w:pStyle w:val="1535"/>
            </w:pPr>
            <w:r>
              <w:t>168</w:t>
            </w:r>
          </w:p>
        </w:tc>
      </w:tr>
    </w:tbl>
    <w:p w14:paraId="4A952C0C">
      <w:pPr>
        <w:ind w:firstLine="520"/>
        <w:rPr>
          <w:color w:val="000000" w:themeColor="text1"/>
          <w14:textFill>
            <w14:solidFill>
              <w14:schemeClr w14:val="tx1"/>
            </w14:solidFill>
          </w14:textFill>
        </w:rPr>
      </w:pPr>
      <w:r>
        <w:rPr>
          <w:color w:val="000000" w:themeColor="text1"/>
          <w14:textFill>
            <w14:solidFill>
              <w14:schemeClr w14:val="tx1"/>
            </w14:solidFill>
          </w14:textFill>
        </w:rPr>
        <w:t>（2）预测情形</w:t>
      </w:r>
    </w:p>
    <w:p w14:paraId="57C7A784">
      <w:pPr>
        <w:ind w:firstLine="520"/>
        <w:rPr>
          <w:color w:val="000000" w:themeColor="text1"/>
          <w14:textFill>
            <w14:solidFill>
              <w14:schemeClr w14:val="tx1"/>
            </w14:solidFill>
          </w14:textFill>
        </w:rPr>
      </w:pPr>
      <w:r>
        <w:rPr>
          <w:color w:val="000000" w:themeColor="text1"/>
          <w14:textFill>
            <w14:solidFill>
              <w14:schemeClr w14:val="tx1"/>
            </w14:solidFill>
          </w14:textFill>
        </w:rPr>
        <w:t>结合项目特点，调节池有持续的液面存在，池体破损，其泄露的生产废水量较大且污染物浓度较高，作为事故情景进行预测分析。</w:t>
      </w:r>
    </w:p>
    <w:p w14:paraId="21726705">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扩建项目生产废水产生量为</w:t>
      </w:r>
      <w:r>
        <w:rPr>
          <w:rFonts w:hint="eastAsia"/>
          <w:color w:val="000000" w:themeColor="text1"/>
          <w14:textFill>
            <w14:solidFill>
              <w14:schemeClr w14:val="tx1"/>
            </w14:solidFill>
          </w14:textFill>
        </w:rPr>
        <w:t>3243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考虑</w:t>
      </w:r>
      <w:r>
        <w:rPr>
          <w:color w:val="000000" w:themeColor="text1"/>
          <w14:textFill>
            <w14:solidFill>
              <w14:schemeClr w14:val="tx1"/>
            </w14:solidFill>
          </w14:textFill>
        </w:rPr>
        <w:t>调节池渗漏时间为3个月（90天），渗漏3个月后，发现问题并及时进行了修补，调节池停止渗漏。依据污水中石油类的浓度，换算的污水中所含石油类质量约为</w:t>
      </w:r>
      <w:r>
        <w:rPr>
          <w:rFonts w:hint="eastAsia"/>
          <w:color w:val="000000" w:themeColor="text1"/>
          <w14:textFill>
            <w14:solidFill>
              <w14:schemeClr w14:val="tx1"/>
            </w14:solidFill>
          </w14:textFill>
        </w:rPr>
        <w:t>33.0</w:t>
      </w:r>
      <w:r>
        <w:rPr>
          <w:color w:val="000000" w:themeColor="text1"/>
          <w14:textFill>
            <w14:solidFill>
              <w14:schemeClr w14:val="tx1"/>
            </w14:solidFill>
          </w14:textFill>
        </w:rPr>
        <w:t>kg。</w:t>
      </w:r>
    </w:p>
    <w:p w14:paraId="3CE6EC28">
      <w:pPr>
        <w:ind w:firstLine="520"/>
        <w:rPr>
          <w:color w:val="000000" w:themeColor="text1"/>
          <w14:textFill>
            <w14:solidFill>
              <w14:schemeClr w14:val="tx1"/>
            </w14:solidFill>
          </w14:textFill>
        </w:rPr>
      </w:pPr>
      <w:r>
        <w:rPr>
          <w:color w:val="000000" w:themeColor="text1"/>
          <w14:textFill>
            <w14:solidFill>
              <w14:schemeClr w14:val="tx1"/>
            </w14:solidFill>
          </w14:textFill>
        </w:rPr>
        <w:t>（3）预测评价方法</w:t>
      </w:r>
    </w:p>
    <w:p w14:paraId="01FE7CFF">
      <w:pPr>
        <w:ind w:firstLine="520"/>
        <w:rPr>
          <w:bCs/>
          <w:color w:val="000000" w:themeColor="text1"/>
          <w14:textFill>
            <w14:solidFill>
              <w14:schemeClr w14:val="tx1"/>
            </w14:solidFill>
          </w14:textFill>
        </w:rPr>
      </w:pPr>
      <w:r>
        <w:rPr>
          <w:color w:val="000000" w:themeColor="text1"/>
          <w14:textFill>
            <w14:solidFill>
              <w14:schemeClr w14:val="tx1"/>
            </w14:solidFill>
          </w14:textFill>
        </w:rPr>
        <w:t>扩建项目为土壤污染影响型建设项目，评价工作等级为三级，可采用定性描述或类比分析法进行预测。本次评价参照</w:t>
      </w:r>
      <w:r>
        <w:rPr>
          <w:rFonts w:hint="eastAsia"/>
          <w:color w:val="000000" w:themeColor="text1"/>
          <w14:textFill>
            <w14:solidFill>
              <w14:schemeClr w14:val="tx1"/>
            </w14:solidFill>
          </w14:textFill>
        </w:rPr>
        <w:t>臻宝半导体</w:t>
      </w:r>
      <w:r>
        <w:rPr>
          <w:color w:val="000000" w:themeColor="text1"/>
          <w14:textFill>
            <w14:solidFill>
              <w14:schemeClr w14:val="tx1"/>
            </w14:solidFill>
          </w14:textFill>
        </w:rPr>
        <w:t>公司“集半导体及泛半导体精密零部件研发生产项目”的土壤评价结果进行类比分析。</w:t>
      </w:r>
    </w:p>
    <w:p w14:paraId="1B0DFA89">
      <w:pPr>
        <w:ind w:firstLine="520"/>
        <w:rPr>
          <w:color w:val="000000" w:themeColor="text1"/>
          <w14:textFill>
            <w14:solidFill>
              <w14:schemeClr w14:val="tx1"/>
            </w14:solidFill>
          </w14:textFill>
        </w:rPr>
      </w:pPr>
      <w:r>
        <w:rPr>
          <w:color w:val="000000" w:themeColor="text1"/>
          <w14:textFill>
            <w14:solidFill>
              <w14:schemeClr w14:val="tx1"/>
            </w14:solidFill>
          </w14:textFill>
        </w:rPr>
        <w:t>（4）预测结果及分析评价</w:t>
      </w:r>
    </w:p>
    <w:p w14:paraId="02512095">
      <w:pPr>
        <w:ind w:firstLine="520"/>
        <w:rPr>
          <w:bCs/>
          <w:color w:val="000000" w:themeColor="text1"/>
          <w14:textFill>
            <w14:solidFill>
              <w14:schemeClr w14:val="tx1"/>
            </w14:solidFill>
          </w14:textFill>
        </w:rPr>
      </w:pPr>
      <w:r>
        <w:rPr>
          <w:color w:val="000000" w:themeColor="text1"/>
          <w14:textFill>
            <w14:solidFill>
              <w14:schemeClr w14:val="tx1"/>
            </w14:solidFill>
          </w14:textFill>
        </w:rPr>
        <w:t>扩建项目与“集半导体及泛半导体精密零部件研发生产项目”</w:t>
      </w:r>
      <w:r>
        <w:rPr>
          <w:rFonts w:hint="eastAsia"/>
          <w:color w:val="000000" w:themeColor="text1"/>
          <w14:textFill>
            <w14:solidFill>
              <w14:schemeClr w14:val="tx1"/>
            </w14:solidFill>
          </w14:textFill>
        </w:rPr>
        <w:t>位于同一厂区</w:t>
      </w:r>
      <w:r>
        <w:rPr>
          <w:color w:val="000000" w:themeColor="text1"/>
          <w14:textFill>
            <w14:solidFill>
              <w14:schemeClr w14:val="tx1"/>
            </w14:solidFill>
          </w14:textFill>
        </w:rPr>
        <w:t>，环境</w:t>
      </w:r>
      <w:r>
        <w:rPr>
          <w:rFonts w:hint="eastAsia"/>
          <w:color w:val="000000" w:themeColor="text1"/>
          <w14:textFill>
            <w14:solidFill>
              <w14:schemeClr w14:val="tx1"/>
            </w14:solidFill>
          </w14:textFill>
        </w:rPr>
        <w:t>相似</w:t>
      </w:r>
      <w:r>
        <w:rPr>
          <w:color w:val="000000" w:themeColor="text1"/>
          <w14:textFill>
            <w14:solidFill>
              <w14:schemeClr w14:val="tx1"/>
            </w14:solidFill>
          </w14:textFill>
        </w:rPr>
        <w:t>，土壤性质类似，可以进行类比分析。</w:t>
      </w:r>
    </w:p>
    <w:p w14:paraId="7D5BB131">
      <w:pPr>
        <w:ind w:firstLine="520"/>
        <w:rPr>
          <w:bCs/>
          <w:color w:val="000000" w:themeColor="text1"/>
          <w14:textFill>
            <w14:solidFill>
              <w14:schemeClr w14:val="tx1"/>
            </w14:solidFill>
          </w14:textFill>
        </w:rPr>
      </w:pPr>
      <w:r>
        <w:rPr>
          <w:color w:val="000000" w:themeColor="text1"/>
          <w14:textFill>
            <w14:solidFill>
              <w14:schemeClr w14:val="tx1"/>
            </w14:solidFill>
          </w14:textFill>
        </w:rPr>
        <w:t>“集半导体及泛半导体精密零部件研发生产项目”的预测的石油类渗漏量为157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2k</w:t>
      </w:r>
      <w:r>
        <w:rPr>
          <w:color w:val="000000" w:themeColor="text1"/>
          <w14:textFill>
            <w14:solidFill>
              <w14:schemeClr w14:val="tx1"/>
            </w14:solidFill>
          </w14:textFill>
        </w:rPr>
        <w:t>g，预测非正常工况下土壤中石油烃的增量为878mg/kg；扩建项目预测的石油类渗漏量为</w:t>
      </w:r>
      <w:r>
        <w:rPr>
          <w:rFonts w:hint="eastAsia"/>
          <w:color w:val="000000" w:themeColor="text1"/>
          <w14:textFill>
            <w14:solidFill>
              <w14:schemeClr w14:val="tx1"/>
            </w14:solidFill>
          </w14:textFill>
        </w:rPr>
        <w:t>33.0</w:t>
      </w:r>
      <w:r>
        <w:rPr>
          <w:color w:val="000000" w:themeColor="text1"/>
          <w14:textFill>
            <w14:solidFill>
              <w14:schemeClr w14:val="tx1"/>
            </w14:solidFill>
          </w14:textFill>
        </w:rPr>
        <w:t>kg，则扩建项目非正常工况下土壤中石油烃的增量为</w:t>
      </w:r>
      <w:r>
        <w:rPr>
          <w:rFonts w:hint="eastAsia"/>
          <w:color w:val="000000" w:themeColor="text1"/>
          <w14:textFill>
            <w14:solidFill>
              <w14:schemeClr w14:val="tx1"/>
            </w14:solidFill>
          </w14:textFill>
        </w:rPr>
        <w:t>190.0</w:t>
      </w:r>
      <w:r>
        <w:rPr>
          <w:color w:val="000000" w:themeColor="text1"/>
          <w14:textFill>
            <w14:solidFill>
              <w14:schemeClr w14:val="tx1"/>
            </w14:solidFill>
          </w14:textFill>
        </w:rPr>
        <w:t>mg/kg，叠加区域背景值168mg/kg，预测值为</w:t>
      </w:r>
      <w:r>
        <w:rPr>
          <w:rFonts w:hint="eastAsia"/>
          <w:color w:val="000000" w:themeColor="text1"/>
          <w14:textFill>
            <w14:solidFill>
              <w14:schemeClr w14:val="tx1"/>
            </w14:solidFill>
          </w14:textFill>
        </w:rPr>
        <w:t>358.0</w:t>
      </w:r>
      <w:r>
        <w:rPr>
          <w:color w:val="000000" w:themeColor="text1"/>
          <w14:textFill>
            <w14:solidFill>
              <w14:schemeClr w14:val="tx1"/>
            </w14:solidFill>
          </w14:textFill>
        </w:rPr>
        <w:t>mg/kg。低于《土壤环境质量建设用地土壤污染风险管控标准（试行）》（GB36600-2018）中第二类用地筛选值4500mg/kg。扩建项目污水处理站调节池泄漏对周边土壤的影响较小。</w:t>
      </w:r>
    </w:p>
    <w:p w14:paraId="41A9A66E">
      <w:pPr>
        <w:pStyle w:val="5"/>
        <w:rPr>
          <w:color w:val="000000" w:themeColor="text1"/>
          <w14:textFill>
            <w14:solidFill>
              <w14:schemeClr w14:val="tx1"/>
            </w14:solidFill>
          </w14:textFill>
        </w:rPr>
      </w:pPr>
      <w:r>
        <w:rPr>
          <w:color w:val="000000" w:themeColor="text1"/>
          <w14:textFill>
            <w14:solidFill>
              <w14:schemeClr w14:val="tx1"/>
            </w14:solidFill>
          </w14:textFill>
        </w:rPr>
        <w:t>影响评价小结</w:t>
      </w:r>
    </w:p>
    <w:p w14:paraId="24629DA8">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6.6</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土壤环境影响评价自查表</w:t>
      </w:r>
      <w:bookmarkEnd w:id="314"/>
      <w:bookmarkEnd w:id="315"/>
      <w:bookmarkEnd w:id="316"/>
      <w:bookmarkEnd w:id="317"/>
      <w:bookmarkEnd w:id="318"/>
      <w:bookmarkEnd w:id="319"/>
      <w:bookmarkEnd w:id="320"/>
      <w:bookmarkStart w:id="321" w:name="_Hlk43846205"/>
    </w:p>
    <w:bookmarkEnd w:id="321"/>
    <w:tbl>
      <w:tblPr>
        <w:tblStyle w:val="88"/>
        <w:tblW w:w="48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658"/>
        <w:gridCol w:w="1712"/>
        <w:gridCol w:w="163"/>
        <w:gridCol w:w="1157"/>
        <w:gridCol w:w="503"/>
        <w:gridCol w:w="819"/>
        <w:gridCol w:w="1605"/>
        <w:gridCol w:w="1037"/>
      </w:tblGrid>
      <w:tr w14:paraId="7D61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5" w:type="pct"/>
            <w:gridSpan w:val="2"/>
            <w:vAlign w:val="center"/>
          </w:tcPr>
          <w:p w14:paraId="76470BBF">
            <w:pPr>
              <w:pStyle w:val="1535"/>
            </w:pPr>
            <w:r>
              <w:t>工作内容</w:t>
            </w:r>
          </w:p>
        </w:tc>
        <w:tc>
          <w:tcPr>
            <w:tcW w:w="3223" w:type="pct"/>
            <w:gridSpan w:val="6"/>
            <w:vAlign w:val="center"/>
          </w:tcPr>
          <w:p w14:paraId="1E9A96CD">
            <w:pPr>
              <w:pStyle w:val="1535"/>
            </w:pPr>
            <w:r>
              <w:t>完成情况</w:t>
            </w:r>
          </w:p>
        </w:tc>
        <w:tc>
          <w:tcPr>
            <w:tcW w:w="561" w:type="pct"/>
            <w:vAlign w:val="center"/>
          </w:tcPr>
          <w:p w14:paraId="2B97E60E">
            <w:pPr>
              <w:pStyle w:val="1535"/>
            </w:pPr>
            <w:r>
              <w:t>备注</w:t>
            </w:r>
          </w:p>
        </w:tc>
      </w:tr>
      <w:tr w14:paraId="0E12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restart"/>
            <w:vAlign w:val="center"/>
          </w:tcPr>
          <w:p w14:paraId="1CD3215B">
            <w:pPr>
              <w:pStyle w:val="1535"/>
            </w:pPr>
            <w:r>
              <w:t>影响识别</w:t>
            </w:r>
          </w:p>
        </w:tc>
        <w:tc>
          <w:tcPr>
            <w:tcW w:w="896" w:type="pct"/>
            <w:vAlign w:val="center"/>
          </w:tcPr>
          <w:p w14:paraId="6AB35AE0">
            <w:pPr>
              <w:pStyle w:val="1535"/>
            </w:pPr>
            <w:r>
              <w:t>影响类型</w:t>
            </w:r>
          </w:p>
        </w:tc>
        <w:tc>
          <w:tcPr>
            <w:tcW w:w="3223" w:type="pct"/>
            <w:gridSpan w:val="6"/>
            <w:vAlign w:val="center"/>
          </w:tcPr>
          <w:p w14:paraId="7DB233C4">
            <w:pPr>
              <w:pStyle w:val="1535"/>
            </w:pPr>
            <w:r>
              <w:t>污染影响型R；生态影响型£；两种兼有£</w:t>
            </w:r>
          </w:p>
        </w:tc>
        <w:tc>
          <w:tcPr>
            <w:tcW w:w="561" w:type="pct"/>
            <w:vAlign w:val="center"/>
          </w:tcPr>
          <w:p w14:paraId="3878D1BA">
            <w:pPr>
              <w:pStyle w:val="1535"/>
            </w:pPr>
          </w:p>
        </w:tc>
      </w:tr>
      <w:tr w14:paraId="032B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7A8CF293">
            <w:pPr>
              <w:pStyle w:val="1535"/>
            </w:pPr>
          </w:p>
        </w:tc>
        <w:tc>
          <w:tcPr>
            <w:tcW w:w="896" w:type="pct"/>
            <w:vAlign w:val="center"/>
          </w:tcPr>
          <w:p w14:paraId="0C42ED90">
            <w:pPr>
              <w:pStyle w:val="1535"/>
            </w:pPr>
            <w:r>
              <w:t>土地利用类型</w:t>
            </w:r>
          </w:p>
        </w:tc>
        <w:tc>
          <w:tcPr>
            <w:tcW w:w="3223" w:type="pct"/>
            <w:gridSpan w:val="6"/>
            <w:vAlign w:val="center"/>
          </w:tcPr>
          <w:p w14:paraId="7EA06009">
            <w:pPr>
              <w:pStyle w:val="1535"/>
            </w:pPr>
            <w:r>
              <w:t>建设用地R；农用地£；未利用地£</w:t>
            </w:r>
          </w:p>
        </w:tc>
        <w:tc>
          <w:tcPr>
            <w:tcW w:w="561" w:type="pct"/>
            <w:vAlign w:val="center"/>
          </w:tcPr>
          <w:p w14:paraId="69913858">
            <w:pPr>
              <w:pStyle w:val="1535"/>
            </w:pPr>
          </w:p>
        </w:tc>
      </w:tr>
      <w:tr w14:paraId="49CA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386FCD85">
            <w:pPr>
              <w:pStyle w:val="1535"/>
            </w:pPr>
          </w:p>
        </w:tc>
        <w:tc>
          <w:tcPr>
            <w:tcW w:w="896" w:type="pct"/>
            <w:vAlign w:val="center"/>
          </w:tcPr>
          <w:p w14:paraId="342C2FED">
            <w:pPr>
              <w:pStyle w:val="1535"/>
            </w:pPr>
            <w:r>
              <w:t>占地规模</w:t>
            </w:r>
          </w:p>
        </w:tc>
        <w:tc>
          <w:tcPr>
            <w:tcW w:w="3223" w:type="pct"/>
            <w:gridSpan w:val="6"/>
            <w:vAlign w:val="center"/>
          </w:tcPr>
          <w:p w14:paraId="1E3761F4">
            <w:pPr>
              <w:pStyle w:val="1535"/>
            </w:pPr>
            <w:r>
              <w:t>（）h</w:t>
            </w:r>
            <w:r>
              <w:rPr>
                <w:rFonts w:hint="eastAsia"/>
              </w:rPr>
              <w:t xml:space="preserve"> m</w:t>
            </w:r>
            <w:r>
              <w:rPr>
                <w:rFonts w:hint="eastAsia"/>
                <w:vertAlign w:val="superscript"/>
              </w:rPr>
              <w:t>2</w:t>
            </w:r>
          </w:p>
        </w:tc>
        <w:tc>
          <w:tcPr>
            <w:tcW w:w="561" w:type="pct"/>
            <w:vAlign w:val="center"/>
          </w:tcPr>
          <w:p w14:paraId="4DB592B9">
            <w:pPr>
              <w:pStyle w:val="1535"/>
            </w:pPr>
          </w:p>
        </w:tc>
      </w:tr>
      <w:tr w14:paraId="225D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7FAF47BB">
            <w:pPr>
              <w:pStyle w:val="1535"/>
            </w:pPr>
          </w:p>
        </w:tc>
        <w:tc>
          <w:tcPr>
            <w:tcW w:w="896" w:type="pct"/>
            <w:vAlign w:val="center"/>
          </w:tcPr>
          <w:p w14:paraId="025FD0D7">
            <w:pPr>
              <w:pStyle w:val="1535"/>
            </w:pPr>
            <w:r>
              <w:t>敏感目标信息</w:t>
            </w:r>
          </w:p>
        </w:tc>
        <w:tc>
          <w:tcPr>
            <w:tcW w:w="3223" w:type="pct"/>
            <w:gridSpan w:val="6"/>
            <w:vAlign w:val="center"/>
          </w:tcPr>
          <w:p w14:paraId="30DB7DFB">
            <w:pPr>
              <w:pStyle w:val="1535"/>
            </w:pPr>
            <w:r>
              <w:t>见敏感目标情况表</w:t>
            </w:r>
          </w:p>
        </w:tc>
        <w:tc>
          <w:tcPr>
            <w:tcW w:w="561" w:type="pct"/>
            <w:vAlign w:val="center"/>
          </w:tcPr>
          <w:p w14:paraId="6F7CD0A9">
            <w:pPr>
              <w:pStyle w:val="1535"/>
            </w:pPr>
          </w:p>
        </w:tc>
      </w:tr>
      <w:tr w14:paraId="732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07CE8C4D">
            <w:pPr>
              <w:pStyle w:val="1535"/>
            </w:pPr>
          </w:p>
        </w:tc>
        <w:tc>
          <w:tcPr>
            <w:tcW w:w="896" w:type="pct"/>
            <w:vAlign w:val="center"/>
          </w:tcPr>
          <w:p w14:paraId="19E90E96">
            <w:pPr>
              <w:pStyle w:val="1535"/>
            </w:pPr>
            <w:r>
              <w:t>影响途径</w:t>
            </w:r>
          </w:p>
        </w:tc>
        <w:tc>
          <w:tcPr>
            <w:tcW w:w="3223" w:type="pct"/>
            <w:gridSpan w:val="6"/>
            <w:vAlign w:val="center"/>
          </w:tcPr>
          <w:p w14:paraId="1CE15534">
            <w:pPr>
              <w:pStyle w:val="1535"/>
            </w:pPr>
            <w:r>
              <w:t>大气沉降□；地面漫流□；垂直入渗√；地下水位□；其他（）</w:t>
            </w:r>
          </w:p>
        </w:tc>
        <w:tc>
          <w:tcPr>
            <w:tcW w:w="561" w:type="pct"/>
            <w:vAlign w:val="center"/>
          </w:tcPr>
          <w:p w14:paraId="0B8E7506">
            <w:pPr>
              <w:pStyle w:val="1535"/>
            </w:pPr>
          </w:p>
        </w:tc>
      </w:tr>
      <w:tr w14:paraId="5558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7FA55E14">
            <w:pPr>
              <w:pStyle w:val="1535"/>
            </w:pPr>
          </w:p>
        </w:tc>
        <w:tc>
          <w:tcPr>
            <w:tcW w:w="896" w:type="pct"/>
            <w:vAlign w:val="center"/>
          </w:tcPr>
          <w:p w14:paraId="06171330">
            <w:pPr>
              <w:pStyle w:val="1535"/>
            </w:pPr>
            <w:r>
              <w:t>全部污染物</w:t>
            </w:r>
          </w:p>
        </w:tc>
        <w:tc>
          <w:tcPr>
            <w:tcW w:w="3223" w:type="pct"/>
            <w:gridSpan w:val="6"/>
            <w:vAlign w:val="center"/>
          </w:tcPr>
          <w:p w14:paraId="3E47DDE5">
            <w:pPr>
              <w:pStyle w:val="1535"/>
            </w:pPr>
            <w:r>
              <w:t>COD、SS、氨氮、氟化物、动植物油、石油类</w:t>
            </w:r>
          </w:p>
        </w:tc>
        <w:tc>
          <w:tcPr>
            <w:tcW w:w="561" w:type="pct"/>
            <w:vAlign w:val="center"/>
          </w:tcPr>
          <w:p w14:paraId="661882A4">
            <w:pPr>
              <w:pStyle w:val="1535"/>
            </w:pPr>
          </w:p>
        </w:tc>
      </w:tr>
      <w:tr w14:paraId="6B78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464C37D6">
            <w:pPr>
              <w:pStyle w:val="1535"/>
            </w:pPr>
          </w:p>
        </w:tc>
        <w:tc>
          <w:tcPr>
            <w:tcW w:w="896" w:type="pct"/>
            <w:vAlign w:val="center"/>
          </w:tcPr>
          <w:p w14:paraId="7506D74B">
            <w:pPr>
              <w:pStyle w:val="1535"/>
            </w:pPr>
            <w:r>
              <w:t>特征因子</w:t>
            </w:r>
          </w:p>
        </w:tc>
        <w:tc>
          <w:tcPr>
            <w:tcW w:w="3223" w:type="pct"/>
            <w:gridSpan w:val="6"/>
            <w:vAlign w:val="center"/>
          </w:tcPr>
          <w:p w14:paraId="227E4E2F">
            <w:pPr>
              <w:pStyle w:val="1535"/>
            </w:pPr>
            <w:r>
              <w:t>石油类</w:t>
            </w:r>
          </w:p>
        </w:tc>
        <w:tc>
          <w:tcPr>
            <w:tcW w:w="561" w:type="pct"/>
            <w:vAlign w:val="center"/>
          </w:tcPr>
          <w:p w14:paraId="628A3751">
            <w:pPr>
              <w:pStyle w:val="1535"/>
            </w:pPr>
          </w:p>
        </w:tc>
      </w:tr>
      <w:tr w14:paraId="1E2B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1B3DB5DA">
            <w:pPr>
              <w:pStyle w:val="1535"/>
            </w:pPr>
          </w:p>
        </w:tc>
        <w:tc>
          <w:tcPr>
            <w:tcW w:w="896" w:type="pct"/>
            <w:vAlign w:val="center"/>
          </w:tcPr>
          <w:p w14:paraId="29762884">
            <w:pPr>
              <w:pStyle w:val="1535"/>
            </w:pPr>
            <w:r>
              <w:t>土壤类别</w:t>
            </w:r>
          </w:p>
        </w:tc>
        <w:tc>
          <w:tcPr>
            <w:tcW w:w="3223" w:type="pct"/>
            <w:gridSpan w:val="6"/>
            <w:vAlign w:val="center"/>
          </w:tcPr>
          <w:p w14:paraId="34FD0BE6">
            <w:pPr>
              <w:pStyle w:val="1535"/>
            </w:pPr>
            <w:r>
              <w:t>Ⅰ类□；Ⅱ类√；Ⅲ类□；Ⅳ类□</w:t>
            </w:r>
          </w:p>
        </w:tc>
        <w:tc>
          <w:tcPr>
            <w:tcW w:w="561" w:type="pct"/>
            <w:vAlign w:val="center"/>
          </w:tcPr>
          <w:p w14:paraId="6ABE3604">
            <w:pPr>
              <w:pStyle w:val="1535"/>
            </w:pPr>
          </w:p>
        </w:tc>
      </w:tr>
      <w:tr w14:paraId="3DAB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7A25A3A8">
            <w:pPr>
              <w:pStyle w:val="1535"/>
            </w:pPr>
          </w:p>
        </w:tc>
        <w:tc>
          <w:tcPr>
            <w:tcW w:w="896" w:type="pct"/>
            <w:vAlign w:val="center"/>
          </w:tcPr>
          <w:p w14:paraId="11046E34">
            <w:pPr>
              <w:pStyle w:val="1535"/>
            </w:pPr>
            <w:r>
              <w:t>敏感程度</w:t>
            </w:r>
          </w:p>
        </w:tc>
        <w:tc>
          <w:tcPr>
            <w:tcW w:w="3223" w:type="pct"/>
            <w:gridSpan w:val="6"/>
            <w:vAlign w:val="center"/>
          </w:tcPr>
          <w:p w14:paraId="72047244">
            <w:pPr>
              <w:pStyle w:val="1535"/>
            </w:pPr>
            <w:r>
              <w:t>敏感□；较敏感□；不敏感√</w:t>
            </w:r>
          </w:p>
        </w:tc>
        <w:tc>
          <w:tcPr>
            <w:tcW w:w="561" w:type="pct"/>
            <w:vAlign w:val="center"/>
          </w:tcPr>
          <w:p w14:paraId="2FA08F71">
            <w:pPr>
              <w:pStyle w:val="1535"/>
            </w:pPr>
          </w:p>
        </w:tc>
      </w:tr>
      <w:tr w14:paraId="60A1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5" w:type="pct"/>
            <w:gridSpan w:val="2"/>
            <w:vAlign w:val="center"/>
          </w:tcPr>
          <w:p w14:paraId="0053EB81">
            <w:pPr>
              <w:pStyle w:val="1535"/>
            </w:pPr>
            <w:r>
              <w:t>评价工作等级</w:t>
            </w:r>
          </w:p>
        </w:tc>
        <w:tc>
          <w:tcPr>
            <w:tcW w:w="3223" w:type="pct"/>
            <w:gridSpan w:val="6"/>
            <w:vAlign w:val="center"/>
          </w:tcPr>
          <w:p w14:paraId="2E7E66E4">
            <w:pPr>
              <w:pStyle w:val="1535"/>
            </w:pPr>
            <w:r>
              <w:t>一级□；二级√；三级□</w:t>
            </w:r>
          </w:p>
        </w:tc>
        <w:tc>
          <w:tcPr>
            <w:tcW w:w="561" w:type="pct"/>
            <w:vAlign w:val="center"/>
          </w:tcPr>
          <w:p w14:paraId="423E070E">
            <w:pPr>
              <w:pStyle w:val="1535"/>
            </w:pPr>
          </w:p>
        </w:tc>
      </w:tr>
      <w:tr w14:paraId="5106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restart"/>
            <w:vAlign w:val="center"/>
          </w:tcPr>
          <w:p w14:paraId="2E743E41">
            <w:pPr>
              <w:pStyle w:val="1535"/>
            </w:pPr>
            <w:r>
              <w:t>现状调查内容</w:t>
            </w:r>
          </w:p>
        </w:tc>
        <w:tc>
          <w:tcPr>
            <w:tcW w:w="896" w:type="pct"/>
            <w:vAlign w:val="center"/>
          </w:tcPr>
          <w:p w14:paraId="3C850C85">
            <w:pPr>
              <w:pStyle w:val="1535"/>
            </w:pPr>
            <w:r>
              <w:t>资料收集</w:t>
            </w:r>
          </w:p>
        </w:tc>
        <w:tc>
          <w:tcPr>
            <w:tcW w:w="3223" w:type="pct"/>
            <w:gridSpan w:val="6"/>
            <w:vAlign w:val="center"/>
          </w:tcPr>
          <w:p w14:paraId="573E1A0A">
            <w:pPr>
              <w:pStyle w:val="1535"/>
            </w:pPr>
            <w:r>
              <w:t>a)□；b)□；c)□；d)□</w:t>
            </w:r>
          </w:p>
        </w:tc>
        <w:tc>
          <w:tcPr>
            <w:tcW w:w="561" w:type="pct"/>
            <w:vAlign w:val="center"/>
          </w:tcPr>
          <w:p w14:paraId="0479D5AB">
            <w:pPr>
              <w:pStyle w:val="1535"/>
            </w:pPr>
          </w:p>
        </w:tc>
      </w:tr>
      <w:tr w14:paraId="15ED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065CE503">
            <w:pPr>
              <w:pStyle w:val="1535"/>
            </w:pPr>
          </w:p>
        </w:tc>
        <w:tc>
          <w:tcPr>
            <w:tcW w:w="896" w:type="pct"/>
            <w:vAlign w:val="center"/>
          </w:tcPr>
          <w:p w14:paraId="34CA588A">
            <w:pPr>
              <w:pStyle w:val="1535"/>
            </w:pPr>
            <w:r>
              <w:t>理化特性</w:t>
            </w:r>
          </w:p>
        </w:tc>
        <w:tc>
          <w:tcPr>
            <w:tcW w:w="3223" w:type="pct"/>
            <w:gridSpan w:val="6"/>
            <w:vAlign w:val="center"/>
          </w:tcPr>
          <w:p w14:paraId="51B385AA">
            <w:pPr>
              <w:pStyle w:val="1535"/>
            </w:pPr>
          </w:p>
        </w:tc>
        <w:tc>
          <w:tcPr>
            <w:tcW w:w="561" w:type="pct"/>
            <w:vAlign w:val="center"/>
          </w:tcPr>
          <w:p w14:paraId="6F1BBB4C">
            <w:pPr>
              <w:pStyle w:val="1535"/>
            </w:pPr>
            <w:r>
              <w:t>同附录C</w:t>
            </w:r>
          </w:p>
        </w:tc>
      </w:tr>
      <w:tr w14:paraId="1FC1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4B8C12F3">
            <w:pPr>
              <w:pStyle w:val="1535"/>
            </w:pPr>
          </w:p>
        </w:tc>
        <w:tc>
          <w:tcPr>
            <w:tcW w:w="896" w:type="pct"/>
            <w:vMerge w:val="restart"/>
            <w:vAlign w:val="center"/>
          </w:tcPr>
          <w:p w14:paraId="57BFC7E5">
            <w:pPr>
              <w:pStyle w:val="1535"/>
            </w:pPr>
            <w:r>
              <w:t>现状监测点位</w:t>
            </w:r>
          </w:p>
        </w:tc>
        <w:tc>
          <w:tcPr>
            <w:tcW w:w="926" w:type="pct"/>
            <w:vAlign w:val="center"/>
          </w:tcPr>
          <w:p w14:paraId="7364914D">
            <w:pPr>
              <w:pStyle w:val="1535"/>
            </w:pPr>
          </w:p>
        </w:tc>
        <w:tc>
          <w:tcPr>
            <w:tcW w:w="714" w:type="pct"/>
            <w:gridSpan w:val="2"/>
            <w:vAlign w:val="center"/>
          </w:tcPr>
          <w:p w14:paraId="74273380">
            <w:pPr>
              <w:pStyle w:val="1535"/>
            </w:pPr>
            <w:r>
              <w:t>占地范围内</w:t>
            </w:r>
          </w:p>
        </w:tc>
        <w:tc>
          <w:tcPr>
            <w:tcW w:w="715" w:type="pct"/>
            <w:gridSpan w:val="2"/>
            <w:vAlign w:val="center"/>
          </w:tcPr>
          <w:p w14:paraId="1EEFB182">
            <w:pPr>
              <w:pStyle w:val="1535"/>
            </w:pPr>
            <w:r>
              <w:t>占地范围外</w:t>
            </w:r>
          </w:p>
        </w:tc>
        <w:tc>
          <w:tcPr>
            <w:tcW w:w="868" w:type="pct"/>
            <w:vAlign w:val="center"/>
          </w:tcPr>
          <w:p w14:paraId="6C799361">
            <w:pPr>
              <w:pStyle w:val="1535"/>
            </w:pPr>
            <w:r>
              <w:t>深度</w:t>
            </w:r>
          </w:p>
        </w:tc>
        <w:tc>
          <w:tcPr>
            <w:tcW w:w="561" w:type="pct"/>
            <w:vMerge w:val="restart"/>
            <w:vAlign w:val="center"/>
          </w:tcPr>
          <w:p w14:paraId="0F17D133">
            <w:pPr>
              <w:pStyle w:val="1535"/>
            </w:pPr>
            <w:r>
              <w:t>点位布置图</w:t>
            </w:r>
          </w:p>
        </w:tc>
      </w:tr>
      <w:tr w14:paraId="5DDE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54C605EE">
            <w:pPr>
              <w:pStyle w:val="1535"/>
            </w:pPr>
          </w:p>
        </w:tc>
        <w:tc>
          <w:tcPr>
            <w:tcW w:w="896" w:type="pct"/>
            <w:vMerge w:val="continue"/>
            <w:vAlign w:val="center"/>
          </w:tcPr>
          <w:p w14:paraId="4BDE6509">
            <w:pPr>
              <w:pStyle w:val="1535"/>
            </w:pPr>
          </w:p>
        </w:tc>
        <w:tc>
          <w:tcPr>
            <w:tcW w:w="926" w:type="pct"/>
            <w:vAlign w:val="center"/>
          </w:tcPr>
          <w:p w14:paraId="2DD6E17D">
            <w:pPr>
              <w:pStyle w:val="1535"/>
            </w:pPr>
            <w:r>
              <w:t>表层样点数</w:t>
            </w:r>
          </w:p>
        </w:tc>
        <w:tc>
          <w:tcPr>
            <w:tcW w:w="714" w:type="pct"/>
            <w:gridSpan w:val="2"/>
            <w:vAlign w:val="center"/>
          </w:tcPr>
          <w:p w14:paraId="27953C5F">
            <w:pPr>
              <w:pStyle w:val="1535"/>
            </w:pPr>
            <w:r>
              <w:t>3</w:t>
            </w:r>
          </w:p>
        </w:tc>
        <w:tc>
          <w:tcPr>
            <w:tcW w:w="715" w:type="pct"/>
            <w:gridSpan w:val="2"/>
            <w:vAlign w:val="center"/>
          </w:tcPr>
          <w:p w14:paraId="2339D8B0">
            <w:pPr>
              <w:pStyle w:val="1535"/>
            </w:pPr>
            <w:r>
              <w:t>0</w:t>
            </w:r>
          </w:p>
        </w:tc>
        <w:tc>
          <w:tcPr>
            <w:tcW w:w="868" w:type="pct"/>
            <w:vAlign w:val="center"/>
          </w:tcPr>
          <w:p w14:paraId="7D3A990C">
            <w:pPr>
              <w:pStyle w:val="1535"/>
            </w:pPr>
            <w:r>
              <w:t>0.2m</w:t>
            </w:r>
          </w:p>
        </w:tc>
        <w:tc>
          <w:tcPr>
            <w:tcW w:w="561" w:type="pct"/>
            <w:vMerge w:val="continue"/>
            <w:vAlign w:val="center"/>
          </w:tcPr>
          <w:p w14:paraId="4C0E5BA4">
            <w:pPr>
              <w:pStyle w:val="1535"/>
            </w:pPr>
          </w:p>
        </w:tc>
      </w:tr>
      <w:tr w14:paraId="3AB9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3DDBC993">
            <w:pPr>
              <w:pStyle w:val="1535"/>
            </w:pPr>
          </w:p>
        </w:tc>
        <w:tc>
          <w:tcPr>
            <w:tcW w:w="896" w:type="pct"/>
            <w:vMerge w:val="continue"/>
            <w:vAlign w:val="center"/>
          </w:tcPr>
          <w:p w14:paraId="33D0E365">
            <w:pPr>
              <w:pStyle w:val="1535"/>
            </w:pPr>
          </w:p>
        </w:tc>
        <w:tc>
          <w:tcPr>
            <w:tcW w:w="926" w:type="pct"/>
            <w:vAlign w:val="center"/>
          </w:tcPr>
          <w:p w14:paraId="6FB06F1B">
            <w:pPr>
              <w:pStyle w:val="1535"/>
            </w:pPr>
            <w:r>
              <w:t>柱状样点数</w:t>
            </w:r>
          </w:p>
        </w:tc>
        <w:tc>
          <w:tcPr>
            <w:tcW w:w="714" w:type="pct"/>
            <w:gridSpan w:val="2"/>
            <w:vAlign w:val="center"/>
          </w:tcPr>
          <w:p w14:paraId="5EA361B5">
            <w:pPr>
              <w:pStyle w:val="1535"/>
            </w:pPr>
            <w:r>
              <w:t>0</w:t>
            </w:r>
          </w:p>
        </w:tc>
        <w:tc>
          <w:tcPr>
            <w:tcW w:w="715" w:type="pct"/>
            <w:gridSpan w:val="2"/>
            <w:vAlign w:val="center"/>
          </w:tcPr>
          <w:p w14:paraId="3CE8432E">
            <w:pPr>
              <w:pStyle w:val="1535"/>
            </w:pPr>
            <w:r>
              <w:t>0</w:t>
            </w:r>
          </w:p>
        </w:tc>
        <w:tc>
          <w:tcPr>
            <w:tcW w:w="868" w:type="pct"/>
            <w:vAlign w:val="center"/>
          </w:tcPr>
          <w:p w14:paraId="3566212A">
            <w:pPr>
              <w:pStyle w:val="1535"/>
            </w:pPr>
            <w:r>
              <w:t>3.0m</w:t>
            </w:r>
          </w:p>
        </w:tc>
        <w:tc>
          <w:tcPr>
            <w:tcW w:w="561" w:type="pct"/>
            <w:vMerge w:val="continue"/>
            <w:vAlign w:val="center"/>
          </w:tcPr>
          <w:p w14:paraId="2A131FDA">
            <w:pPr>
              <w:pStyle w:val="1535"/>
            </w:pPr>
          </w:p>
        </w:tc>
      </w:tr>
      <w:tr w14:paraId="0BB1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006D5EC9">
            <w:pPr>
              <w:pStyle w:val="1535"/>
            </w:pPr>
          </w:p>
        </w:tc>
        <w:tc>
          <w:tcPr>
            <w:tcW w:w="896" w:type="pct"/>
            <w:vAlign w:val="center"/>
          </w:tcPr>
          <w:p w14:paraId="7EDA0800">
            <w:pPr>
              <w:pStyle w:val="1535"/>
            </w:pPr>
            <w:r>
              <w:t>现状监测因子</w:t>
            </w:r>
          </w:p>
        </w:tc>
        <w:tc>
          <w:tcPr>
            <w:tcW w:w="3223" w:type="pct"/>
            <w:gridSpan w:val="6"/>
            <w:vAlign w:val="center"/>
          </w:tcPr>
          <w:p w14:paraId="0D71F70B">
            <w:pPr>
              <w:pStyle w:val="1535"/>
            </w:pPr>
            <w:r>
              <w:t>pH值、基本项目45项、石油烃</w:t>
            </w:r>
          </w:p>
        </w:tc>
        <w:tc>
          <w:tcPr>
            <w:tcW w:w="561" w:type="pct"/>
            <w:vAlign w:val="center"/>
          </w:tcPr>
          <w:p w14:paraId="681F1691">
            <w:pPr>
              <w:pStyle w:val="1535"/>
            </w:pPr>
          </w:p>
        </w:tc>
      </w:tr>
      <w:tr w14:paraId="1CA0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restart"/>
            <w:vAlign w:val="center"/>
          </w:tcPr>
          <w:p w14:paraId="3B5389D1">
            <w:pPr>
              <w:pStyle w:val="1535"/>
            </w:pPr>
            <w:r>
              <w:t>现状评价</w:t>
            </w:r>
          </w:p>
        </w:tc>
        <w:tc>
          <w:tcPr>
            <w:tcW w:w="896" w:type="pct"/>
            <w:vAlign w:val="center"/>
          </w:tcPr>
          <w:p w14:paraId="0EDAEFA5">
            <w:pPr>
              <w:pStyle w:val="1535"/>
            </w:pPr>
            <w:r>
              <w:t>评价因子</w:t>
            </w:r>
          </w:p>
        </w:tc>
        <w:tc>
          <w:tcPr>
            <w:tcW w:w="3223" w:type="pct"/>
            <w:gridSpan w:val="6"/>
            <w:vAlign w:val="center"/>
          </w:tcPr>
          <w:p w14:paraId="002842D2">
            <w:pPr>
              <w:pStyle w:val="1535"/>
            </w:pPr>
            <w:r>
              <w:t>现状监测因子</w:t>
            </w:r>
          </w:p>
        </w:tc>
        <w:tc>
          <w:tcPr>
            <w:tcW w:w="561" w:type="pct"/>
            <w:vAlign w:val="center"/>
          </w:tcPr>
          <w:p w14:paraId="23981668">
            <w:pPr>
              <w:pStyle w:val="1535"/>
            </w:pPr>
          </w:p>
        </w:tc>
      </w:tr>
      <w:tr w14:paraId="7C35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4F052A90">
            <w:pPr>
              <w:pStyle w:val="1535"/>
            </w:pPr>
          </w:p>
        </w:tc>
        <w:tc>
          <w:tcPr>
            <w:tcW w:w="896" w:type="pct"/>
            <w:vAlign w:val="center"/>
          </w:tcPr>
          <w:p w14:paraId="143EC609">
            <w:pPr>
              <w:pStyle w:val="1535"/>
            </w:pPr>
            <w:r>
              <w:t>评价标准</w:t>
            </w:r>
          </w:p>
        </w:tc>
        <w:tc>
          <w:tcPr>
            <w:tcW w:w="3223" w:type="pct"/>
            <w:gridSpan w:val="6"/>
            <w:vAlign w:val="center"/>
          </w:tcPr>
          <w:p w14:paraId="473FF414">
            <w:pPr>
              <w:pStyle w:val="1535"/>
            </w:pPr>
            <w:r>
              <w:t>GB15618□；GB36600√；表D.1□；表D.2□；其他()</w:t>
            </w:r>
          </w:p>
        </w:tc>
        <w:tc>
          <w:tcPr>
            <w:tcW w:w="561" w:type="pct"/>
            <w:vAlign w:val="center"/>
          </w:tcPr>
          <w:p w14:paraId="7B836E91">
            <w:pPr>
              <w:pStyle w:val="1535"/>
            </w:pPr>
          </w:p>
        </w:tc>
      </w:tr>
      <w:tr w14:paraId="51E9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30377749">
            <w:pPr>
              <w:pStyle w:val="1535"/>
            </w:pPr>
          </w:p>
        </w:tc>
        <w:tc>
          <w:tcPr>
            <w:tcW w:w="896" w:type="pct"/>
            <w:vAlign w:val="center"/>
          </w:tcPr>
          <w:p w14:paraId="5AE7FDDD">
            <w:pPr>
              <w:pStyle w:val="1535"/>
            </w:pPr>
            <w:r>
              <w:t>现状评价结论</w:t>
            </w:r>
          </w:p>
        </w:tc>
        <w:tc>
          <w:tcPr>
            <w:tcW w:w="3223" w:type="pct"/>
            <w:gridSpan w:val="6"/>
            <w:vAlign w:val="center"/>
          </w:tcPr>
          <w:p w14:paraId="1102F908">
            <w:pPr>
              <w:pStyle w:val="1535"/>
            </w:pPr>
            <w:r>
              <w:t>达标</w:t>
            </w:r>
          </w:p>
        </w:tc>
        <w:tc>
          <w:tcPr>
            <w:tcW w:w="561" w:type="pct"/>
            <w:vAlign w:val="center"/>
          </w:tcPr>
          <w:p w14:paraId="3A18510B">
            <w:pPr>
              <w:pStyle w:val="1535"/>
            </w:pPr>
          </w:p>
        </w:tc>
      </w:tr>
      <w:tr w14:paraId="5B2D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restart"/>
            <w:vAlign w:val="center"/>
          </w:tcPr>
          <w:p w14:paraId="149491E9">
            <w:pPr>
              <w:pStyle w:val="1535"/>
            </w:pPr>
            <w:r>
              <w:t>影响预测</w:t>
            </w:r>
          </w:p>
        </w:tc>
        <w:tc>
          <w:tcPr>
            <w:tcW w:w="896" w:type="pct"/>
            <w:vAlign w:val="center"/>
          </w:tcPr>
          <w:p w14:paraId="22AE5889">
            <w:pPr>
              <w:pStyle w:val="1535"/>
            </w:pPr>
            <w:r>
              <w:t>预测因子</w:t>
            </w:r>
          </w:p>
        </w:tc>
        <w:tc>
          <w:tcPr>
            <w:tcW w:w="3223" w:type="pct"/>
            <w:gridSpan w:val="6"/>
            <w:vAlign w:val="center"/>
          </w:tcPr>
          <w:p w14:paraId="15873ECA">
            <w:pPr>
              <w:pStyle w:val="1535"/>
            </w:pPr>
            <w:r>
              <w:t>石油烃</w:t>
            </w:r>
          </w:p>
        </w:tc>
        <w:tc>
          <w:tcPr>
            <w:tcW w:w="561" w:type="pct"/>
            <w:vAlign w:val="center"/>
          </w:tcPr>
          <w:p w14:paraId="008075A6">
            <w:pPr>
              <w:pStyle w:val="1535"/>
            </w:pPr>
          </w:p>
        </w:tc>
      </w:tr>
      <w:tr w14:paraId="2D61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0EAFB310">
            <w:pPr>
              <w:pStyle w:val="1535"/>
            </w:pPr>
          </w:p>
        </w:tc>
        <w:tc>
          <w:tcPr>
            <w:tcW w:w="896" w:type="pct"/>
            <w:vAlign w:val="center"/>
          </w:tcPr>
          <w:p w14:paraId="0575186D">
            <w:pPr>
              <w:pStyle w:val="1535"/>
            </w:pPr>
            <w:r>
              <w:t>预测方法</w:t>
            </w:r>
          </w:p>
        </w:tc>
        <w:tc>
          <w:tcPr>
            <w:tcW w:w="3223" w:type="pct"/>
            <w:gridSpan w:val="6"/>
            <w:vAlign w:val="center"/>
          </w:tcPr>
          <w:p w14:paraId="7836B621">
            <w:pPr>
              <w:pStyle w:val="1535"/>
            </w:pPr>
            <w:r>
              <w:t>附录E□；附录F□；其他(类比)√</w:t>
            </w:r>
          </w:p>
        </w:tc>
        <w:tc>
          <w:tcPr>
            <w:tcW w:w="561" w:type="pct"/>
            <w:vAlign w:val="center"/>
          </w:tcPr>
          <w:p w14:paraId="65F61A74">
            <w:pPr>
              <w:pStyle w:val="1535"/>
            </w:pPr>
          </w:p>
        </w:tc>
      </w:tr>
      <w:tr w14:paraId="6192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1B391B5F">
            <w:pPr>
              <w:pStyle w:val="1535"/>
            </w:pPr>
          </w:p>
        </w:tc>
        <w:tc>
          <w:tcPr>
            <w:tcW w:w="896" w:type="pct"/>
            <w:vAlign w:val="center"/>
          </w:tcPr>
          <w:p w14:paraId="78DBC055">
            <w:pPr>
              <w:pStyle w:val="1535"/>
            </w:pPr>
            <w:r>
              <w:t>预测分析内容</w:t>
            </w:r>
          </w:p>
        </w:tc>
        <w:tc>
          <w:tcPr>
            <w:tcW w:w="3223" w:type="pct"/>
            <w:gridSpan w:val="6"/>
            <w:vAlign w:val="center"/>
          </w:tcPr>
          <w:p w14:paraId="216E7F42">
            <w:pPr>
              <w:pStyle w:val="1535"/>
            </w:pPr>
            <w:r>
              <w:t>影响范围(200m)影响程度(可接受)</w:t>
            </w:r>
          </w:p>
        </w:tc>
        <w:tc>
          <w:tcPr>
            <w:tcW w:w="561" w:type="pct"/>
            <w:vAlign w:val="center"/>
          </w:tcPr>
          <w:p w14:paraId="2714BC8D">
            <w:pPr>
              <w:pStyle w:val="1535"/>
            </w:pPr>
          </w:p>
        </w:tc>
      </w:tr>
      <w:tr w14:paraId="77E4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43022AE4">
            <w:pPr>
              <w:pStyle w:val="1535"/>
            </w:pPr>
          </w:p>
        </w:tc>
        <w:tc>
          <w:tcPr>
            <w:tcW w:w="896" w:type="pct"/>
            <w:vAlign w:val="center"/>
          </w:tcPr>
          <w:p w14:paraId="4534458B">
            <w:pPr>
              <w:pStyle w:val="1535"/>
            </w:pPr>
            <w:r>
              <w:t>预测结论</w:t>
            </w:r>
          </w:p>
        </w:tc>
        <w:tc>
          <w:tcPr>
            <w:tcW w:w="3223" w:type="pct"/>
            <w:gridSpan w:val="6"/>
            <w:vAlign w:val="center"/>
          </w:tcPr>
          <w:p w14:paraId="015CC1BD">
            <w:pPr>
              <w:pStyle w:val="1535"/>
            </w:pPr>
            <w:r>
              <w:t>达标结论:a)√；b)□；c)□</w:t>
            </w:r>
          </w:p>
          <w:p w14:paraId="5E8113C6">
            <w:pPr>
              <w:pStyle w:val="1535"/>
            </w:pPr>
            <w:r>
              <w:t>不达标结论：a)□；b)□</w:t>
            </w:r>
          </w:p>
        </w:tc>
        <w:tc>
          <w:tcPr>
            <w:tcW w:w="561" w:type="pct"/>
            <w:vAlign w:val="center"/>
          </w:tcPr>
          <w:p w14:paraId="18E081E7">
            <w:pPr>
              <w:pStyle w:val="1535"/>
            </w:pPr>
          </w:p>
        </w:tc>
      </w:tr>
      <w:tr w14:paraId="4A70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restart"/>
            <w:vAlign w:val="center"/>
          </w:tcPr>
          <w:p w14:paraId="099AD5EF">
            <w:pPr>
              <w:pStyle w:val="1535"/>
            </w:pPr>
            <w:r>
              <w:t>防治措施</w:t>
            </w:r>
          </w:p>
        </w:tc>
        <w:tc>
          <w:tcPr>
            <w:tcW w:w="896" w:type="pct"/>
            <w:vAlign w:val="center"/>
          </w:tcPr>
          <w:p w14:paraId="140DE5E7">
            <w:pPr>
              <w:pStyle w:val="1535"/>
            </w:pPr>
            <w:r>
              <w:t>防控措施</w:t>
            </w:r>
          </w:p>
        </w:tc>
        <w:tc>
          <w:tcPr>
            <w:tcW w:w="3223" w:type="pct"/>
            <w:gridSpan w:val="6"/>
            <w:vAlign w:val="center"/>
          </w:tcPr>
          <w:p w14:paraId="74398B9B">
            <w:pPr>
              <w:pStyle w:val="1535"/>
            </w:pPr>
            <w:r>
              <w:t>土壤环境质量现状保障£；源头控制R；过程防控£；其他（）</w:t>
            </w:r>
          </w:p>
        </w:tc>
        <w:tc>
          <w:tcPr>
            <w:tcW w:w="561" w:type="pct"/>
            <w:vAlign w:val="center"/>
          </w:tcPr>
          <w:p w14:paraId="5EADBE74">
            <w:pPr>
              <w:pStyle w:val="1535"/>
            </w:pPr>
          </w:p>
        </w:tc>
      </w:tr>
      <w:tr w14:paraId="7C60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54181862">
            <w:pPr>
              <w:pStyle w:val="1535"/>
            </w:pPr>
          </w:p>
        </w:tc>
        <w:tc>
          <w:tcPr>
            <w:tcW w:w="896" w:type="pct"/>
            <w:vMerge w:val="restart"/>
            <w:vAlign w:val="center"/>
          </w:tcPr>
          <w:p w14:paraId="3B6C4A6F">
            <w:pPr>
              <w:pStyle w:val="1535"/>
            </w:pPr>
            <w:r>
              <w:t>跟踪监测</w:t>
            </w:r>
          </w:p>
        </w:tc>
        <w:tc>
          <w:tcPr>
            <w:tcW w:w="1014" w:type="pct"/>
            <w:gridSpan w:val="2"/>
            <w:vAlign w:val="center"/>
          </w:tcPr>
          <w:p w14:paraId="44704E34">
            <w:pPr>
              <w:pStyle w:val="1535"/>
            </w:pPr>
            <w:r>
              <w:t>监测点数</w:t>
            </w:r>
          </w:p>
        </w:tc>
        <w:tc>
          <w:tcPr>
            <w:tcW w:w="898" w:type="pct"/>
            <w:gridSpan w:val="2"/>
            <w:vAlign w:val="center"/>
          </w:tcPr>
          <w:p w14:paraId="2374FE7A">
            <w:pPr>
              <w:pStyle w:val="1535"/>
            </w:pPr>
            <w:r>
              <w:t>监测指标</w:t>
            </w:r>
          </w:p>
        </w:tc>
        <w:tc>
          <w:tcPr>
            <w:tcW w:w="1311" w:type="pct"/>
            <w:gridSpan w:val="2"/>
            <w:vAlign w:val="center"/>
          </w:tcPr>
          <w:p w14:paraId="5A536323">
            <w:pPr>
              <w:pStyle w:val="1535"/>
            </w:pPr>
            <w:r>
              <w:t>监测频次</w:t>
            </w:r>
          </w:p>
        </w:tc>
        <w:tc>
          <w:tcPr>
            <w:tcW w:w="561" w:type="pct"/>
            <w:vMerge w:val="restart"/>
            <w:vAlign w:val="center"/>
          </w:tcPr>
          <w:p w14:paraId="4C0F273B">
            <w:pPr>
              <w:pStyle w:val="1535"/>
            </w:pPr>
          </w:p>
        </w:tc>
      </w:tr>
      <w:tr w14:paraId="5C59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2C004ED1">
            <w:pPr>
              <w:pStyle w:val="1535"/>
            </w:pPr>
          </w:p>
        </w:tc>
        <w:tc>
          <w:tcPr>
            <w:tcW w:w="896" w:type="pct"/>
            <w:vMerge w:val="continue"/>
            <w:vAlign w:val="center"/>
          </w:tcPr>
          <w:p w14:paraId="22DC7986">
            <w:pPr>
              <w:pStyle w:val="1535"/>
            </w:pPr>
          </w:p>
        </w:tc>
        <w:tc>
          <w:tcPr>
            <w:tcW w:w="1014" w:type="pct"/>
            <w:gridSpan w:val="2"/>
            <w:vAlign w:val="center"/>
          </w:tcPr>
          <w:p w14:paraId="7F2EDC19">
            <w:pPr>
              <w:pStyle w:val="1535"/>
            </w:pPr>
            <w:r>
              <w:t>/</w:t>
            </w:r>
          </w:p>
        </w:tc>
        <w:tc>
          <w:tcPr>
            <w:tcW w:w="898" w:type="pct"/>
            <w:gridSpan w:val="2"/>
            <w:vAlign w:val="center"/>
          </w:tcPr>
          <w:p w14:paraId="43BEA3CB">
            <w:pPr>
              <w:pStyle w:val="1535"/>
            </w:pPr>
            <w:r>
              <w:t>/</w:t>
            </w:r>
          </w:p>
        </w:tc>
        <w:tc>
          <w:tcPr>
            <w:tcW w:w="1311" w:type="pct"/>
            <w:gridSpan w:val="2"/>
            <w:vAlign w:val="center"/>
          </w:tcPr>
          <w:p w14:paraId="039E6E34">
            <w:pPr>
              <w:pStyle w:val="1535"/>
            </w:pPr>
            <w:r>
              <w:t>/</w:t>
            </w:r>
          </w:p>
        </w:tc>
        <w:tc>
          <w:tcPr>
            <w:tcW w:w="561" w:type="pct"/>
            <w:vMerge w:val="continue"/>
            <w:vAlign w:val="center"/>
          </w:tcPr>
          <w:p w14:paraId="6FF670FE">
            <w:pPr>
              <w:pStyle w:val="1535"/>
            </w:pPr>
          </w:p>
        </w:tc>
      </w:tr>
      <w:tr w14:paraId="1A41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8" w:type="pct"/>
            <w:vMerge w:val="continue"/>
            <w:vAlign w:val="center"/>
          </w:tcPr>
          <w:p w14:paraId="7800B3AC">
            <w:pPr>
              <w:pStyle w:val="1535"/>
            </w:pPr>
          </w:p>
        </w:tc>
        <w:tc>
          <w:tcPr>
            <w:tcW w:w="896" w:type="pct"/>
            <w:vAlign w:val="center"/>
          </w:tcPr>
          <w:p w14:paraId="4DF9B82F">
            <w:pPr>
              <w:pStyle w:val="1535"/>
            </w:pPr>
            <w:r>
              <w:t>信息公开指标</w:t>
            </w:r>
          </w:p>
        </w:tc>
        <w:tc>
          <w:tcPr>
            <w:tcW w:w="3223" w:type="pct"/>
            <w:gridSpan w:val="6"/>
            <w:vAlign w:val="center"/>
          </w:tcPr>
          <w:p w14:paraId="001BAFBB">
            <w:pPr>
              <w:pStyle w:val="1535"/>
            </w:pPr>
          </w:p>
        </w:tc>
        <w:tc>
          <w:tcPr>
            <w:tcW w:w="561" w:type="pct"/>
            <w:vAlign w:val="center"/>
          </w:tcPr>
          <w:p w14:paraId="41314571">
            <w:pPr>
              <w:pStyle w:val="1535"/>
            </w:pPr>
          </w:p>
        </w:tc>
      </w:tr>
      <w:tr w14:paraId="3090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5" w:type="pct"/>
            <w:gridSpan w:val="2"/>
            <w:vAlign w:val="center"/>
          </w:tcPr>
          <w:p w14:paraId="6AB5A6DE">
            <w:pPr>
              <w:pStyle w:val="1535"/>
            </w:pPr>
            <w:r>
              <w:t>评价结论</w:t>
            </w:r>
          </w:p>
        </w:tc>
        <w:tc>
          <w:tcPr>
            <w:tcW w:w="3223" w:type="pct"/>
            <w:gridSpan w:val="6"/>
            <w:vAlign w:val="center"/>
          </w:tcPr>
          <w:p w14:paraId="55CF85F6">
            <w:pPr>
              <w:pStyle w:val="1535"/>
            </w:pPr>
            <w:r>
              <w:t>项目对土壤环境的影响很小</w:t>
            </w:r>
          </w:p>
        </w:tc>
        <w:tc>
          <w:tcPr>
            <w:tcW w:w="561" w:type="pct"/>
            <w:vAlign w:val="center"/>
          </w:tcPr>
          <w:p w14:paraId="15531D1D">
            <w:pPr>
              <w:pStyle w:val="1535"/>
            </w:pPr>
          </w:p>
        </w:tc>
      </w:tr>
    </w:tbl>
    <w:p w14:paraId="385D86FC">
      <w:pPr>
        <w:spacing w:before="32"/>
        <w:ind w:firstLine="520"/>
        <w:rPr>
          <w:color w:val="000000" w:themeColor="text1"/>
          <w14:textFill>
            <w14:solidFill>
              <w14:schemeClr w14:val="tx1"/>
            </w14:solidFill>
          </w14:textFill>
        </w:rPr>
      </w:pPr>
    </w:p>
    <w:p w14:paraId="77103534">
      <w:pPr>
        <w:spacing w:before="32"/>
        <w:ind w:firstLine="520"/>
        <w:rPr>
          <w:color w:val="000000" w:themeColor="text1"/>
          <w14:textFill>
            <w14:solidFill>
              <w14:schemeClr w14:val="tx1"/>
            </w14:solidFill>
          </w14:textFill>
        </w:rPr>
        <w:sectPr>
          <w:pgSz w:w="11907" w:h="16840"/>
          <w:pgMar w:top="1134" w:right="1134" w:bottom="1134" w:left="1134" w:header="283" w:footer="851" w:gutter="397"/>
          <w:cols w:space="720" w:num="1"/>
          <w:docGrid w:type="linesAndChars" w:linePitch="326" w:charSpace="0"/>
        </w:sectPr>
      </w:pPr>
    </w:p>
    <w:p w14:paraId="43D60CEB">
      <w:pPr>
        <w:pStyle w:val="3"/>
        <w:spacing w:after="326"/>
        <w:rPr>
          <w:color w:val="000000" w:themeColor="text1"/>
          <w14:textFill>
            <w14:solidFill>
              <w14:schemeClr w14:val="tx1"/>
            </w14:solidFill>
          </w14:textFill>
        </w:rPr>
      </w:pPr>
      <w:bookmarkStart w:id="322" w:name="_Toc23412"/>
      <w:r>
        <w:rPr>
          <w:color w:val="000000" w:themeColor="text1"/>
          <w14:textFill>
            <w14:solidFill>
              <w14:schemeClr w14:val="tx1"/>
            </w14:solidFill>
          </w14:textFill>
        </w:rPr>
        <w:t>环境风险评价</w:t>
      </w:r>
      <w:bookmarkEnd w:id="322"/>
    </w:p>
    <w:p w14:paraId="05BA651F">
      <w:pPr>
        <w:pStyle w:val="4"/>
        <w:rPr>
          <w:color w:val="000000" w:themeColor="text1"/>
          <w14:textFill>
            <w14:solidFill>
              <w14:schemeClr w14:val="tx1"/>
            </w14:solidFill>
          </w14:textFill>
        </w:rPr>
      </w:pPr>
      <w:bookmarkStart w:id="323" w:name="_Toc6500"/>
      <w:r>
        <w:rPr>
          <w:color w:val="000000" w:themeColor="text1"/>
          <w14:textFill>
            <w14:solidFill>
              <w14:schemeClr w14:val="tx1"/>
            </w14:solidFill>
          </w14:textFill>
        </w:rPr>
        <w:t>概述</w:t>
      </w:r>
      <w:bookmarkEnd w:id="323"/>
    </w:p>
    <w:p w14:paraId="5AC61041">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根据《建设项目环境风险评价技术导则》（HJ169-2018），项目实施后环境风险评价的基本内容包括风险调查、环境风险潜势初判、风险识别、风险事故情形分析、风险预测与评价、环境风险管理等，其具体如下：</w:t>
      </w:r>
    </w:p>
    <w:p w14:paraId="7B6A7E14">
      <w:pPr>
        <w:ind w:firstLine="520"/>
        <w:rPr>
          <w:color w:val="000000" w:themeColor="text1"/>
          <w14:textFill>
            <w14:solidFill>
              <w14:schemeClr w14:val="tx1"/>
            </w14:solidFill>
          </w14:textFill>
        </w:rPr>
      </w:pPr>
      <w:r>
        <w:rPr>
          <w:color w:val="000000" w:themeColor="text1"/>
          <w14:textFill>
            <w14:solidFill>
              <w14:schemeClr w14:val="tx1"/>
            </w14:solidFill>
          </w14:textFill>
        </w:rPr>
        <w:t>（1）项目风险调查。在分析建设项目物质及工艺系统危险性和环境敏感性的基础下，进行风险潜势的判断，确定风险评价等级。</w:t>
      </w:r>
    </w:p>
    <w:p w14:paraId="3F73B7C2">
      <w:pPr>
        <w:ind w:firstLine="520"/>
        <w:rPr>
          <w:color w:val="000000" w:themeColor="text1"/>
          <w14:textFill>
            <w14:solidFill>
              <w14:schemeClr w14:val="tx1"/>
            </w14:solidFill>
          </w14:textFill>
        </w:rPr>
      </w:pPr>
      <w:r>
        <w:rPr>
          <w:color w:val="000000" w:themeColor="text1"/>
          <w14:textFill>
            <w14:solidFill>
              <w14:schemeClr w14:val="tx1"/>
            </w14:solidFill>
          </w14:textFill>
        </w:rPr>
        <w:t>（2）项目风险识别及风险事故情形分析。明确危险物质在生产系统中的主要分布，筛选具有代表性的风险事故情形，合理设定事故源项。</w:t>
      </w:r>
    </w:p>
    <w:p w14:paraId="555D55EE">
      <w:pPr>
        <w:ind w:firstLine="520"/>
        <w:rPr>
          <w:color w:val="000000" w:themeColor="text1"/>
          <w14:textFill>
            <w14:solidFill>
              <w14:schemeClr w14:val="tx1"/>
            </w14:solidFill>
          </w14:textFill>
        </w:rPr>
      </w:pPr>
      <w:r>
        <w:rPr>
          <w:color w:val="000000" w:themeColor="text1"/>
          <w14:textFill>
            <w14:solidFill>
              <w14:schemeClr w14:val="tx1"/>
            </w14:solidFill>
          </w14:textFill>
        </w:rPr>
        <w:t>（3）开展预测评价。各环境要素按确定的评价工作等级分别预测评价，并分析说明环境风险危害范围与程度，提出环境风险防范的基本要求。</w:t>
      </w:r>
    </w:p>
    <w:p w14:paraId="78B67E19">
      <w:pPr>
        <w:ind w:firstLine="520"/>
        <w:rPr>
          <w:color w:val="000000" w:themeColor="text1"/>
          <w14:textFill>
            <w14:solidFill>
              <w14:schemeClr w14:val="tx1"/>
            </w14:solidFill>
          </w14:textFill>
        </w:rPr>
      </w:pPr>
      <w:r>
        <w:rPr>
          <w:color w:val="000000" w:themeColor="text1"/>
          <w14:textFill>
            <w14:solidFill>
              <w14:schemeClr w14:val="tx1"/>
            </w14:solidFill>
          </w14:textFill>
        </w:rPr>
        <w:t>（4）提出环境风险管理对策，明确环境风险防范措施及突发环境事件应急预案编制要求。</w:t>
      </w:r>
    </w:p>
    <w:p w14:paraId="0C1081D7">
      <w:pPr>
        <w:ind w:firstLine="520"/>
        <w:rPr>
          <w:color w:val="000000" w:themeColor="text1"/>
          <w14:textFill>
            <w14:solidFill>
              <w14:schemeClr w14:val="tx1"/>
            </w14:solidFill>
          </w14:textFill>
        </w:rPr>
      </w:pPr>
      <w:r>
        <w:rPr>
          <w:color w:val="000000" w:themeColor="text1"/>
          <w14:textFill>
            <w14:solidFill>
              <w14:schemeClr w14:val="tx1"/>
            </w14:solidFill>
          </w14:textFill>
        </w:rPr>
        <w:t>（5）综合环境风险评价过程，给出评价结论与建议。</w:t>
      </w:r>
    </w:p>
    <w:p w14:paraId="7051D936">
      <w:pPr>
        <w:pStyle w:val="5"/>
        <w:rPr>
          <w:color w:val="000000" w:themeColor="text1"/>
          <w14:textFill>
            <w14:solidFill>
              <w14:schemeClr w14:val="tx1"/>
            </w14:solidFill>
          </w14:textFill>
        </w:rPr>
      </w:pPr>
      <w:r>
        <w:rPr>
          <w:color w:val="000000" w:themeColor="text1"/>
          <w14:textFill>
            <w14:solidFill>
              <w14:schemeClr w14:val="tx1"/>
            </w14:solidFill>
          </w14:textFill>
        </w:rPr>
        <w:t>评价原则</w:t>
      </w:r>
    </w:p>
    <w:p w14:paraId="0F06F118">
      <w:pPr>
        <w:ind w:firstLine="520"/>
        <w:rPr>
          <w:color w:val="000000" w:themeColor="text1"/>
          <w14:textFill>
            <w14:solidFill>
              <w14:schemeClr w14:val="tx1"/>
            </w14:solidFill>
          </w14:textFill>
        </w:rPr>
      </w:pPr>
      <w:r>
        <w:rPr>
          <w:color w:val="000000" w:themeColor="text1"/>
          <w14:textFill>
            <w14:solidFill>
              <w14:schemeClr w14:val="tx1"/>
            </w14:solidFill>
          </w14:textFill>
        </w:rPr>
        <w:t>环境风险评价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185BDE98">
      <w:pPr>
        <w:pStyle w:val="5"/>
        <w:rPr>
          <w:color w:val="000000" w:themeColor="text1"/>
          <w14:textFill>
            <w14:solidFill>
              <w14:schemeClr w14:val="tx1"/>
            </w14:solidFill>
          </w14:textFill>
        </w:rPr>
      </w:pPr>
      <w:r>
        <w:rPr>
          <w:color w:val="000000" w:themeColor="text1"/>
          <w14:textFill>
            <w14:solidFill>
              <w14:schemeClr w14:val="tx1"/>
            </w14:solidFill>
          </w14:textFill>
        </w:rPr>
        <w:t>评价工作程序</w:t>
      </w:r>
    </w:p>
    <w:p w14:paraId="17771B87">
      <w:pPr>
        <w:spacing w:before="32"/>
        <w:ind w:firstLine="520"/>
        <w:rPr>
          <w:color w:val="000000" w:themeColor="text1"/>
          <w14:textFill>
            <w14:solidFill>
              <w14:schemeClr w14:val="tx1"/>
            </w14:solidFill>
          </w14:textFill>
        </w:rPr>
      </w:pPr>
      <w:r>
        <w:rPr>
          <w:color w:val="000000" w:themeColor="text1"/>
          <w14:textFill>
            <w14:solidFill>
              <w14:schemeClr w14:val="tx1"/>
            </w14:solidFill>
          </w14:textFill>
        </w:rPr>
        <w:t>环境风险评价程序详见图6.1-1。</w:t>
      </w:r>
    </w:p>
    <w:p w14:paraId="4F67C742">
      <w:pPr>
        <w:spacing w:line="240" w:lineRule="auto"/>
        <w:ind w:firstLine="0" w:firstLineChars="0"/>
        <w:rPr>
          <w:color w:val="000000" w:themeColor="text1"/>
          <w14:textFill>
            <w14:solidFill>
              <w14:schemeClr w14:val="tx1"/>
            </w14:solidFill>
          </w14:textFill>
        </w:rPr>
      </w:pPr>
      <w:r>
        <w:rPr>
          <w:snapToGrid/>
          <w:color w:val="000000" w:themeColor="text1"/>
          <w:sz w:val="24"/>
          <w14:textFill>
            <w14:solidFill>
              <w14:schemeClr w14:val="tx1"/>
            </w14:solidFill>
          </w14:textFill>
        </w:rPr>
        <w:drawing>
          <wp:inline distT="0" distB="0" distL="0" distR="0">
            <wp:extent cx="5295265" cy="5358765"/>
            <wp:effectExtent l="0" t="0" r="635" b="0"/>
            <wp:docPr id="190823802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38028" name="图片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95265" cy="5358765"/>
                    </a:xfrm>
                    <a:prstGeom prst="rect">
                      <a:avLst/>
                    </a:prstGeom>
                    <a:noFill/>
                    <a:ln>
                      <a:noFill/>
                    </a:ln>
                  </pic:spPr>
                </pic:pic>
              </a:graphicData>
            </a:graphic>
          </wp:inline>
        </w:drawing>
      </w:r>
    </w:p>
    <w:p w14:paraId="5B54182D">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环境风险评价工作程序</w:t>
      </w:r>
    </w:p>
    <w:p w14:paraId="44305116">
      <w:pPr>
        <w:pStyle w:val="4"/>
        <w:rPr>
          <w:color w:val="000000" w:themeColor="text1"/>
          <w14:textFill>
            <w14:solidFill>
              <w14:schemeClr w14:val="tx1"/>
            </w14:solidFill>
          </w14:textFill>
        </w:rPr>
      </w:pPr>
      <w:bookmarkStart w:id="324" w:name="_Toc12909"/>
      <w:r>
        <w:rPr>
          <w:color w:val="000000" w:themeColor="text1"/>
          <w14:textFill>
            <w14:solidFill>
              <w14:schemeClr w14:val="tx1"/>
            </w14:solidFill>
          </w14:textFill>
        </w:rPr>
        <w:t>风险调查</w:t>
      </w:r>
      <w:bookmarkEnd w:id="324"/>
    </w:p>
    <w:p w14:paraId="0CA39190">
      <w:pPr>
        <w:pStyle w:val="5"/>
        <w:rPr>
          <w:color w:val="000000" w:themeColor="text1"/>
          <w14:textFill>
            <w14:solidFill>
              <w14:schemeClr w14:val="tx1"/>
            </w14:solidFill>
          </w14:textFill>
        </w:rPr>
      </w:pPr>
      <w:r>
        <w:rPr>
          <w:color w:val="000000" w:themeColor="text1"/>
          <w14:textFill>
            <w14:solidFill>
              <w14:schemeClr w14:val="tx1"/>
            </w14:solidFill>
          </w14:textFill>
        </w:rPr>
        <w:t>环境敏感目标调查</w:t>
      </w:r>
    </w:p>
    <w:p w14:paraId="7A13E93F">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扩建项目选址位于西彭工业园西彭组团，厂界外3km范围内主要为居住区、学校、长江等，区域环境敏感特征见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_Ref160555863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表7.2</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68E80EF8">
      <w:pPr>
        <w:spacing w:before="32"/>
        <w:ind w:firstLine="0" w:firstLineChars="0"/>
        <w:jc w:val="center"/>
        <w:rPr>
          <w:color w:val="000000" w:themeColor="text1"/>
          <w14:textFill>
            <w14:solidFill>
              <w14:schemeClr w14:val="tx1"/>
            </w14:solidFill>
          </w14:textFill>
        </w:rPr>
      </w:pPr>
      <w:bookmarkStart w:id="325" w:name="_Ref160555863"/>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325"/>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环境敏感特征一览表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536"/>
        <w:gridCol w:w="1506"/>
        <w:gridCol w:w="1162"/>
        <w:gridCol w:w="1162"/>
        <w:gridCol w:w="1453"/>
        <w:gridCol w:w="2782"/>
      </w:tblGrid>
      <w:tr w14:paraId="2729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54" w:type="pct"/>
            <w:vMerge w:val="restart"/>
            <w:noWrap/>
            <w:vAlign w:val="center"/>
          </w:tcPr>
          <w:p w14:paraId="29932E51">
            <w:pPr>
              <w:pStyle w:val="1535"/>
            </w:pPr>
            <w:r>
              <w:t>类别</w:t>
            </w:r>
          </w:p>
        </w:tc>
        <w:tc>
          <w:tcPr>
            <w:tcW w:w="283" w:type="pct"/>
            <w:vMerge w:val="restart"/>
            <w:noWrap/>
            <w:vAlign w:val="center"/>
          </w:tcPr>
          <w:p w14:paraId="0E649453">
            <w:pPr>
              <w:pStyle w:val="1535"/>
            </w:pPr>
            <w:r>
              <w:t>序号</w:t>
            </w:r>
          </w:p>
        </w:tc>
        <w:tc>
          <w:tcPr>
            <w:tcW w:w="796" w:type="pct"/>
            <w:vMerge w:val="restart"/>
            <w:noWrap/>
            <w:vAlign w:val="center"/>
          </w:tcPr>
          <w:p w14:paraId="439ADEC9">
            <w:pPr>
              <w:pStyle w:val="1535"/>
            </w:pPr>
            <w:r>
              <w:t>敏感点名称</w:t>
            </w:r>
          </w:p>
        </w:tc>
        <w:tc>
          <w:tcPr>
            <w:tcW w:w="614" w:type="pct"/>
            <w:vMerge w:val="restart"/>
            <w:noWrap/>
            <w:vAlign w:val="center"/>
          </w:tcPr>
          <w:p w14:paraId="2761AC6C">
            <w:pPr>
              <w:pStyle w:val="1535"/>
            </w:pPr>
            <w:r>
              <w:t>相对方位</w:t>
            </w:r>
          </w:p>
        </w:tc>
        <w:tc>
          <w:tcPr>
            <w:tcW w:w="614" w:type="pct"/>
            <w:vMerge w:val="restart"/>
            <w:noWrap/>
            <w:vAlign w:val="center"/>
          </w:tcPr>
          <w:p w14:paraId="6920782F">
            <w:pPr>
              <w:pStyle w:val="1535"/>
            </w:pPr>
            <w:r>
              <w:t>与扩建项目距离（m）</w:t>
            </w:r>
          </w:p>
        </w:tc>
        <w:tc>
          <w:tcPr>
            <w:tcW w:w="768" w:type="pct"/>
            <w:vMerge w:val="restart"/>
            <w:noWrap/>
            <w:vAlign w:val="center"/>
          </w:tcPr>
          <w:p w14:paraId="1DAF91D2">
            <w:pPr>
              <w:pStyle w:val="1535"/>
            </w:pPr>
            <w:r>
              <w:t>环境特征</w:t>
            </w:r>
          </w:p>
        </w:tc>
        <w:tc>
          <w:tcPr>
            <w:tcW w:w="1471" w:type="pct"/>
            <w:vMerge w:val="restart"/>
            <w:noWrap/>
            <w:vAlign w:val="center"/>
          </w:tcPr>
          <w:p w14:paraId="7379EA98">
            <w:pPr>
              <w:pStyle w:val="1535"/>
            </w:pPr>
            <w:r>
              <w:t>人数</w:t>
            </w:r>
          </w:p>
        </w:tc>
      </w:tr>
      <w:tr w14:paraId="4715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54" w:type="pct"/>
            <w:vMerge w:val="continue"/>
            <w:vAlign w:val="center"/>
          </w:tcPr>
          <w:p w14:paraId="093AE4BF">
            <w:pPr>
              <w:pStyle w:val="1535"/>
            </w:pPr>
          </w:p>
        </w:tc>
        <w:tc>
          <w:tcPr>
            <w:tcW w:w="283" w:type="pct"/>
            <w:vMerge w:val="continue"/>
            <w:vAlign w:val="center"/>
          </w:tcPr>
          <w:p w14:paraId="336627B0">
            <w:pPr>
              <w:pStyle w:val="1535"/>
            </w:pPr>
          </w:p>
        </w:tc>
        <w:tc>
          <w:tcPr>
            <w:tcW w:w="796" w:type="pct"/>
            <w:vMerge w:val="continue"/>
            <w:vAlign w:val="center"/>
          </w:tcPr>
          <w:p w14:paraId="710D5C88">
            <w:pPr>
              <w:pStyle w:val="1535"/>
            </w:pPr>
          </w:p>
        </w:tc>
        <w:tc>
          <w:tcPr>
            <w:tcW w:w="614" w:type="pct"/>
            <w:vMerge w:val="continue"/>
            <w:vAlign w:val="center"/>
          </w:tcPr>
          <w:p w14:paraId="28A3C631">
            <w:pPr>
              <w:pStyle w:val="1535"/>
            </w:pPr>
          </w:p>
        </w:tc>
        <w:tc>
          <w:tcPr>
            <w:tcW w:w="614" w:type="pct"/>
            <w:vMerge w:val="continue"/>
            <w:vAlign w:val="center"/>
          </w:tcPr>
          <w:p w14:paraId="2DF71826">
            <w:pPr>
              <w:pStyle w:val="1535"/>
            </w:pPr>
          </w:p>
        </w:tc>
        <w:tc>
          <w:tcPr>
            <w:tcW w:w="768" w:type="pct"/>
            <w:vMerge w:val="continue"/>
            <w:vAlign w:val="center"/>
          </w:tcPr>
          <w:p w14:paraId="7B66352E">
            <w:pPr>
              <w:pStyle w:val="1535"/>
            </w:pPr>
          </w:p>
        </w:tc>
        <w:tc>
          <w:tcPr>
            <w:tcW w:w="1471" w:type="pct"/>
            <w:vMerge w:val="continue"/>
            <w:vAlign w:val="center"/>
          </w:tcPr>
          <w:p w14:paraId="1B131B93">
            <w:pPr>
              <w:pStyle w:val="1535"/>
            </w:pPr>
          </w:p>
        </w:tc>
      </w:tr>
      <w:tr w14:paraId="71E0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restart"/>
            <w:noWrap/>
            <w:vAlign w:val="center"/>
          </w:tcPr>
          <w:p w14:paraId="247EDE90">
            <w:pPr>
              <w:pStyle w:val="1535"/>
            </w:pPr>
            <w:r>
              <w:t>环境空气</w:t>
            </w:r>
          </w:p>
        </w:tc>
        <w:tc>
          <w:tcPr>
            <w:tcW w:w="283" w:type="pct"/>
            <w:noWrap/>
            <w:vAlign w:val="center"/>
          </w:tcPr>
          <w:p w14:paraId="322CF715">
            <w:pPr>
              <w:pStyle w:val="1535"/>
            </w:pPr>
            <w:r>
              <w:rPr>
                <w:rFonts w:hint="eastAsia"/>
              </w:rPr>
              <w:t>1</w:t>
            </w:r>
          </w:p>
        </w:tc>
        <w:tc>
          <w:tcPr>
            <w:tcW w:w="796" w:type="pct"/>
            <w:vAlign w:val="center"/>
          </w:tcPr>
          <w:p w14:paraId="020FA006">
            <w:pPr>
              <w:pStyle w:val="1535"/>
            </w:pPr>
            <w:r>
              <w:rPr>
                <w:rFonts w:hint="eastAsia"/>
              </w:rPr>
              <w:t>1#散居农户</w:t>
            </w:r>
          </w:p>
        </w:tc>
        <w:tc>
          <w:tcPr>
            <w:tcW w:w="614" w:type="pct"/>
            <w:vAlign w:val="center"/>
          </w:tcPr>
          <w:p w14:paraId="2C7AACEB">
            <w:pPr>
              <w:pStyle w:val="1535"/>
            </w:pPr>
            <w:r>
              <w:rPr>
                <w:rFonts w:hint="eastAsia"/>
              </w:rPr>
              <w:t>NE</w:t>
            </w:r>
          </w:p>
        </w:tc>
        <w:tc>
          <w:tcPr>
            <w:tcW w:w="614" w:type="pct"/>
            <w:vAlign w:val="center"/>
          </w:tcPr>
          <w:p w14:paraId="794889B0">
            <w:pPr>
              <w:pStyle w:val="1535"/>
            </w:pPr>
            <w:r>
              <w:rPr>
                <w:rFonts w:hint="eastAsia"/>
              </w:rPr>
              <w:t>120</w:t>
            </w:r>
          </w:p>
        </w:tc>
        <w:tc>
          <w:tcPr>
            <w:tcW w:w="768" w:type="pct"/>
            <w:noWrap/>
            <w:vAlign w:val="center"/>
          </w:tcPr>
          <w:p w14:paraId="6ED71F5E">
            <w:pPr>
              <w:pStyle w:val="1535"/>
            </w:pPr>
            <w:r>
              <w:rPr>
                <w:rFonts w:hint="eastAsia"/>
              </w:rPr>
              <w:t>散居农户</w:t>
            </w:r>
          </w:p>
        </w:tc>
        <w:tc>
          <w:tcPr>
            <w:tcW w:w="1471" w:type="pct"/>
            <w:noWrap/>
            <w:vAlign w:val="center"/>
          </w:tcPr>
          <w:p w14:paraId="4DDB51DB">
            <w:pPr>
              <w:pStyle w:val="1535"/>
            </w:pPr>
            <w:r>
              <w:rPr>
                <w:rFonts w:hint="eastAsia"/>
              </w:rPr>
              <w:t>散居农户</w:t>
            </w:r>
            <w:r>
              <w:t>，5户，约16人</w:t>
            </w:r>
          </w:p>
        </w:tc>
      </w:tr>
      <w:tr w14:paraId="604E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noWrap/>
            <w:vAlign w:val="center"/>
          </w:tcPr>
          <w:p w14:paraId="40ACA958">
            <w:pPr>
              <w:pStyle w:val="1535"/>
            </w:pPr>
          </w:p>
        </w:tc>
        <w:tc>
          <w:tcPr>
            <w:tcW w:w="283" w:type="pct"/>
            <w:noWrap/>
            <w:vAlign w:val="center"/>
          </w:tcPr>
          <w:p w14:paraId="3AE9601F">
            <w:pPr>
              <w:pStyle w:val="1535"/>
            </w:pPr>
            <w:r>
              <w:rPr>
                <w:rFonts w:hint="eastAsia"/>
              </w:rPr>
              <w:t>2</w:t>
            </w:r>
          </w:p>
        </w:tc>
        <w:tc>
          <w:tcPr>
            <w:tcW w:w="796" w:type="pct"/>
            <w:vAlign w:val="center"/>
          </w:tcPr>
          <w:p w14:paraId="26196639">
            <w:pPr>
              <w:pStyle w:val="1535"/>
            </w:pPr>
            <w:r>
              <w:rPr>
                <w:rFonts w:hint="eastAsia"/>
              </w:rPr>
              <w:t>2#散居农户</w:t>
            </w:r>
          </w:p>
        </w:tc>
        <w:tc>
          <w:tcPr>
            <w:tcW w:w="614" w:type="pct"/>
            <w:vAlign w:val="center"/>
          </w:tcPr>
          <w:p w14:paraId="37734DD5">
            <w:pPr>
              <w:pStyle w:val="1535"/>
            </w:pPr>
            <w:r>
              <w:rPr>
                <w:rFonts w:hint="eastAsia"/>
              </w:rPr>
              <w:t>NE</w:t>
            </w:r>
          </w:p>
        </w:tc>
        <w:tc>
          <w:tcPr>
            <w:tcW w:w="614" w:type="pct"/>
            <w:vAlign w:val="center"/>
          </w:tcPr>
          <w:p w14:paraId="5D7DB5E6">
            <w:pPr>
              <w:pStyle w:val="1535"/>
            </w:pPr>
            <w:r>
              <w:rPr>
                <w:rFonts w:hint="eastAsia"/>
              </w:rPr>
              <w:t>225</w:t>
            </w:r>
          </w:p>
        </w:tc>
        <w:tc>
          <w:tcPr>
            <w:tcW w:w="768" w:type="pct"/>
            <w:noWrap/>
            <w:vAlign w:val="center"/>
          </w:tcPr>
          <w:p w14:paraId="3AB82A5F">
            <w:pPr>
              <w:pStyle w:val="1535"/>
            </w:pPr>
            <w:r>
              <w:rPr>
                <w:rFonts w:hint="eastAsia"/>
              </w:rPr>
              <w:t>散居农户</w:t>
            </w:r>
          </w:p>
        </w:tc>
        <w:tc>
          <w:tcPr>
            <w:tcW w:w="1471" w:type="pct"/>
            <w:noWrap/>
            <w:vAlign w:val="center"/>
          </w:tcPr>
          <w:p w14:paraId="463E54FB">
            <w:pPr>
              <w:pStyle w:val="1535"/>
            </w:pPr>
            <w:r>
              <w:rPr>
                <w:rFonts w:hint="eastAsia"/>
              </w:rPr>
              <w:t>散居农户</w:t>
            </w:r>
            <w:r>
              <w:t>，</w:t>
            </w:r>
            <w:r>
              <w:rPr>
                <w:rFonts w:hint="eastAsia"/>
              </w:rPr>
              <w:t>1</w:t>
            </w:r>
            <w:r>
              <w:t>户，约</w:t>
            </w:r>
            <w:r>
              <w:rPr>
                <w:rFonts w:hint="eastAsia"/>
              </w:rPr>
              <w:t>3</w:t>
            </w:r>
            <w:r>
              <w:t>人</w:t>
            </w:r>
          </w:p>
        </w:tc>
      </w:tr>
      <w:tr w14:paraId="4ABF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noWrap/>
            <w:vAlign w:val="center"/>
          </w:tcPr>
          <w:p w14:paraId="4EC7C075">
            <w:pPr>
              <w:pStyle w:val="1535"/>
            </w:pPr>
          </w:p>
        </w:tc>
        <w:tc>
          <w:tcPr>
            <w:tcW w:w="283" w:type="pct"/>
            <w:noWrap/>
            <w:vAlign w:val="center"/>
          </w:tcPr>
          <w:p w14:paraId="602F2C3B">
            <w:pPr>
              <w:pStyle w:val="1535"/>
            </w:pPr>
            <w:r>
              <w:rPr>
                <w:rFonts w:hint="eastAsia"/>
              </w:rPr>
              <w:t>3</w:t>
            </w:r>
          </w:p>
        </w:tc>
        <w:tc>
          <w:tcPr>
            <w:tcW w:w="796" w:type="pct"/>
            <w:vAlign w:val="center"/>
          </w:tcPr>
          <w:p w14:paraId="0CC0CA93">
            <w:pPr>
              <w:pStyle w:val="1535"/>
            </w:pPr>
            <w:r>
              <w:rPr>
                <w:rFonts w:hint="eastAsia"/>
              </w:rPr>
              <w:t>梅家湾</w:t>
            </w:r>
          </w:p>
        </w:tc>
        <w:tc>
          <w:tcPr>
            <w:tcW w:w="614" w:type="pct"/>
            <w:vAlign w:val="center"/>
          </w:tcPr>
          <w:p w14:paraId="5B281589">
            <w:pPr>
              <w:pStyle w:val="1535"/>
            </w:pPr>
            <w:r>
              <w:rPr>
                <w:rFonts w:hint="eastAsia"/>
              </w:rPr>
              <w:t>NW</w:t>
            </w:r>
          </w:p>
        </w:tc>
        <w:tc>
          <w:tcPr>
            <w:tcW w:w="614" w:type="pct"/>
            <w:vAlign w:val="center"/>
          </w:tcPr>
          <w:p w14:paraId="2BCF0216">
            <w:pPr>
              <w:pStyle w:val="1535"/>
            </w:pPr>
            <w:r>
              <w:rPr>
                <w:rFonts w:hint="eastAsia"/>
              </w:rPr>
              <w:t>350</w:t>
            </w:r>
          </w:p>
        </w:tc>
        <w:tc>
          <w:tcPr>
            <w:tcW w:w="768" w:type="pct"/>
            <w:noWrap/>
            <w:vAlign w:val="center"/>
          </w:tcPr>
          <w:p w14:paraId="3F8FCD40">
            <w:pPr>
              <w:pStyle w:val="1535"/>
            </w:pPr>
            <w:r>
              <w:rPr>
                <w:rFonts w:hint="eastAsia"/>
              </w:rPr>
              <w:t>散居农户</w:t>
            </w:r>
          </w:p>
        </w:tc>
        <w:tc>
          <w:tcPr>
            <w:tcW w:w="1471" w:type="pct"/>
            <w:noWrap/>
            <w:vAlign w:val="center"/>
          </w:tcPr>
          <w:p w14:paraId="0AC1E021">
            <w:pPr>
              <w:pStyle w:val="1535"/>
            </w:pPr>
            <w:r>
              <w:rPr>
                <w:rFonts w:hint="eastAsia"/>
              </w:rPr>
              <w:t>散居农户</w:t>
            </w:r>
            <w:r>
              <w:t>，</w:t>
            </w:r>
            <w:r>
              <w:rPr>
                <w:rFonts w:hint="eastAsia"/>
              </w:rPr>
              <w:t>8</w:t>
            </w:r>
            <w:r>
              <w:t>户，约</w:t>
            </w:r>
            <w:r>
              <w:rPr>
                <w:rFonts w:hint="eastAsia"/>
              </w:rPr>
              <w:t>26</w:t>
            </w:r>
            <w:r>
              <w:t>人</w:t>
            </w:r>
          </w:p>
        </w:tc>
      </w:tr>
      <w:tr w14:paraId="3323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noWrap/>
            <w:vAlign w:val="center"/>
          </w:tcPr>
          <w:p w14:paraId="417C5079">
            <w:pPr>
              <w:pStyle w:val="1535"/>
            </w:pPr>
          </w:p>
        </w:tc>
        <w:tc>
          <w:tcPr>
            <w:tcW w:w="283" w:type="pct"/>
            <w:noWrap/>
            <w:vAlign w:val="center"/>
          </w:tcPr>
          <w:p w14:paraId="59281B15">
            <w:pPr>
              <w:pStyle w:val="1535"/>
            </w:pPr>
            <w:r>
              <w:t>1</w:t>
            </w:r>
          </w:p>
        </w:tc>
        <w:tc>
          <w:tcPr>
            <w:tcW w:w="796" w:type="pct"/>
            <w:vAlign w:val="center"/>
          </w:tcPr>
          <w:p w14:paraId="72A3C865">
            <w:pPr>
              <w:pStyle w:val="1535"/>
            </w:pPr>
            <w:r>
              <w:t>平安坝村</w:t>
            </w:r>
          </w:p>
        </w:tc>
        <w:tc>
          <w:tcPr>
            <w:tcW w:w="614" w:type="pct"/>
            <w:vAlign w:val="center"/>
          </w:tcPr>
          <w:p w14:paraId="104BCDBF">
            <w:pPr>
              <w:pStyle w:val="1535"/>
            </w:pPr>
            <w:r>
              <w:t>N</w:t>
            </w:r>
          </w:p>
        </w:tc>
        <w:tc>
          <w:tcPr>
            <w:tcW w:w="614" w:type="pct"/>
            <w:vAlign w:val="center"/>
          </w:tcPr>
          <w:p w14:paraId="4720C006">
            <w:pPr>
              <w:pStyle w:val="1535"/>
            </w:pPr>
            <w:r>
              <w:t>478</w:t>
            </w:r>
          </w:p>
        </w:tc>
        <w:tc>
          <w:tcPr>
            <w:tcW w:w="768" w:type="pct"/>
            <w:noWrap/>
            <w:vAlign w:val="center"/>
          </w:tcPr>
          <w:p w14:paraId="4E738364">
            <w:pPr>
              <w:pStyle w:val="1535"/>
            </w:pPr>
            <w:r>
              <w:rPr>
                <w:rFonts w:hint="eastAsia"/>
              </w:rPr>
              <w:t>居民点</w:t>
            </w:r>
          </w:p>
        </w:tc>
        <w:tc>
          <w:tcPr>
            <w:tcW w:w="1471" w:type="pct"/>
            <w:noWrap/>
            <w:vAlign w:val="center"/>
          </w:tcPr>
          <w:p w14:paraId="40846BAB">
            <w:pPr>
              <w:pStyle w:val="1535"/>
            </w:pPr>
            <w:r>
              <w:t>农村居住点，50户，约160人</w:t>
            </w:r>
          </w:p>
        </w:tc>
      </w:tr>
      <w:tr w14:paraId="2686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6EFBBCD2">
            <w:pPr>
              <w:pStyle w:val="1535"/>
            </w:pPr>
          </w:p>
        </w:tc>
        <w:tc>
          <w:tcPr>
            <w:tcW w:w="283" w:type="pct"/>
            <w:noWrap/>
            <w:vAlign w:val="center"/>
          </w:tcPr>
          <w:p w14:paraId="4A87B162">
            <w:pPr>
              <w:pStyle w:val="1535"/>
            </w:pPr>
            <w:r>
              <w:t>2</w:t>
            </w:r>
          </w:p>
        </w:tc>
        <w:tc>
          <w:tcPr>
            <w:tcW w:w="796" w:type="pct"/>
            <w:vAlign w:val="center"/>
          </w:tcPr>
          <w:p w14:paraId="52ACE86C">
            <w:pPr>
              <w:pStyle w:val="1535"/>
            </w:pPr>
            <w:r>
              <w:t>元明村三小农民新村</w:t>
            </w:r>
          </w:p>
        </w:tc>
        <w:tc>
          <w:tcPr>
            <w:tcW w:w="614" w:type="pct"/>
            <w:vAlign w:val="center"/>
          </w:tcPr>
          <w:p w14:paraId="4E5D5FAF">
            <w:pPr>
              <w:pStyle w:val="1535"/>
            </w:pPr>
            <w:r>
              <w:t>NW</w:t>
            </w:r>
          </w:p>
        </w:tc>
        <w:tc>
          <w:tcPr>
            <w:tcW w:w="614" w:type="pct"/>
            <w:vAlign w:val="center"/>
          </w:tcPr>
          <w:p w14:paraId="6F2C9E5A">
            <w:pPr>
              <w:pStyle w:val="1535"/>
            </w:pPr>
            <w:r>
              <w:t>1294</w:t>
            </w:r>
          </w:p>
        </w:tc>
        <w:tc>
          <w:tcPr>
            <w:tcW w:w="768" w:type="pct"/>
            <w:noWrap/>
            <w:vAlign w:val="center"/>
          </w:tcPr>
          <w:p w14:paraId="1DC3E479">
            <w:pPr>
              <w:pStyle w:val="1535"/>
            </w:pPr>
            <w:r>
              <w:rPr>
                <w:rFonts w:hint="eastAsia"/>
              </w:rPr>
              <w:t>居民点</w:t>
            </w:r>
          </w:p>
        </w:tc>
        <w:tc>
          <w:tcPr>
            <w:tcW w:w="1471" w:type="pct"/>
            <w:noWrap/>
            <w:vAlign w:val="center"/>
          </w:tcPr>
          <w:p w14:paraId="7F20C082">
            <w:pPr>
              <w:pStyle w:val="1535"/>
            </w:pPr>
            <w:r>
              <w:t>集中居住区，300户，约1000人</w:t>
            </w:r>
          </w:p>
        </w:tc>
      </w:tr>
      <w:tr w14:paraId="7241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0518EE81">
            <w:pPr>
              <w:pStyle w:val="1535"/>
            </w:pPr>
          </w:p>
        </w:tc>
        <w:tc>
          <w:tcPr>
            <w:tcW w:w="283" w:type="pct"/>
            <w:noWrap/>
            <w:vAlign w:val="center"/>
          </w:tcPr>
          <w:p w14:paraId="288280F7">
            <w:pPr>
              <w:pStyle w:val="1535"/>
            </w:pPr>
            <w:r>
              <w:t>3</w:t>
            </w:r>
          </w:p>
        </w:tc>
        <w:tc>
          <w:tcPr>
            <w:tcW w:w="796" w:type="pct"/>
            <w:vAlign w:val="center"/>
          </w:tcPr>
          <w:p w14:paraId="319A3CC1">
            <w:pPr>
              <w:pStyle w:val="1535"/>
            </w:pPr>
            <w:r>
              <w:t>西彭镇三小</w:t>
            </w:r>
          </w:p>
        </w:tc>
        <w:tc>
          <w:tcPr>
            <w:tcW w:w="614" w:type="pct"/>
            <w:vAlign w:val="center"/>
          </w:tcPr>
          <w:p w14:paraId="0519745C">
            <w:pPr>
              <w:pStyle w:val="1535"/>
            </w:pPr>
            <w:r>
              <w:t>NW</w:t>
            </w:r>
          </w:p>
        </w:tc>
        <w:tc>
          <w:tcPr>
            <w:tcW w:w="614" w:type="pct"/>
            <w:vAlign w:val="center"/>
          </w:tcPr>
          <w:p w14:paraId="3C91A266">
            <w:pPr>
              <w:pStyle w:val="1535"/>
            </w:pPr>
            <w:r>
              <w:t>1037</w:t>
            </w:r>
          </w:p>
        </w:tc>
        <w:tc>
          <w:tcPr>
            <w:tcW w:w="768" w:type="pct"/>
            <w:noWrap/>
            <w:vAlign w:val="center"/>
          </w:tcPr>
          <w:p w14:paraId="3A0FE6A4">
            <w:pPr>
              <w:pStyle w:val="1535"/>
            </w:pPr>
            <w:r>
              <w:t>学校</w:t>
            </w:r>
          </w:p>
        </w:tc>
        <w:tc>
          <w:tcPr>
            <w:tcW w:w="1471" w:type="pct"/>
            <w:noWrap/>
            <w:vAlign w:val="center"/>
          </w:tcPr>
          <w:p w14:paraId="0F0FF547">
            <w:pPr>
              <w:pStyle w:val="1535"/>
            </w:pPr>
            <w:r>
              <w:t>现有小学班15个，师生774人</w:t>
            </w:r>
          </w:p>
        </w:tc>
      </w:tr>
      <w:tr w14:paraId="35B9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4F4607DA">
            <w:pPr>
              <w:pStyle w:val="1535"/>
            </w:pPr>
          </w:p>
        </w:tc>
        <w:tc>
          <w:tcPr>
            <w:tcW w:w="283" w:type="pct"/>
            <w:noWrap/>
            <w:vAlign w:val="center"/>
          </w:tcPr>
          <w:p w14:paraId="4CA80C23">
            <w:pPr>
              <w:pStyle w:val="1535"/>
            </w:pPr>
            <w:r>
              <w:t>4</w:t>
            </w:r>
          </w:p>
        </w:tc>
        <w:tc>
          <w:tcPr>
            <w:tcW w:w="796" w:type="pct"/>
            <w:vAlign w:val="center"/>
          </w:tcPr>
          <w:p w14:paraId="65E681AA">
            <w:pPr>
              <w:pStyle w:val="1535"/>
            </w:pPr>
            <w:r>
              <w:t>娟娟幼儿园</w:t>
            </w:r>
          </w:p>
        </w:tc>
        <w:tc>
          <w:tcPr>
            <w:tcW w:w="614" w:type="pct"/>
            <w:vAlign w:val="center"/>
          </w:tcPr>
          <w:p w14:paraId="570946A0">
            <w:pPr>
              <w:pStyle w:val="1535"/>
            </w:pPr>
            <w:r>
              <w:t>NW</w:t>
            </w:r>
          </w:p>
        </w:tc>
        <w:tc>
          <w:tcPr>
            <w:tcW w:w="614" w:type="pct"/>
            <w:vAlign w:val="center"/>
          </w:tcPr>
          <w:p w14:paraId="19E7493C">
            <w:pPr>
              <w:pStyle w:val="1535"/>
            </w:pPr>
            <w:r>
              <w:t>1583</w:t>
            </w:r>
          </w:p>
        </w:tc>
        <w:tc>
          <w:tcPr>
            <w:tcW w:w="768" w:type="pct"/>
            <w:noWrap/>
            <w:vAlign w:val="center"/>
          </w:tcPr>
          <w:p w14:paraId="58F145DB">
            <w:pPr>
              <w:pStyle w:val="1535"/>
            </w:pPr>
            <w:r>
              <w:t>学校</w:t>
            </w:r>
          </w:p>
        </w:tc>
        <w:tc>
          <w:tcPr>
            <w:tcW w:w="1471" w:type="pct"/>
            <w:noWrap/>
            <w:vAlign w:val="center"/>
          </w:tcPr>
          <w:p w14:paraId="3B11D234">
            <w:pPr>
              <w:pStyle w:val="1535"/>
            </w:pPr>
            <w:r>
              <w:t>师生300人</w:t>
            </w:r>
          </w:p>
        </w:tc>
      </w:tr>
      <w:tr w14:paraId="6B62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36FD2525">
            <w:pPr>
              <w:pStyle w:val="1535"/>
            </w:pPr>
          </w:p>
        </w:tc>
        <w:tc>
          <w:tcPr>
            <w:tcW w:w="283" w:type="pct"/>
            <w:noWrap/>
            <w:vAlign w:val="center"/>
          </w:tcPr>
          <w:p w14:paraId="2886C499">
            <w:pPr>
              <w:pStyle w:val="1535"/>
            </w:pPr>
            <w:r>
              <w:t>5</w:t>
            </w:r>
          </w:p>
        </w:tc>
        <w:tc>
          <w:tcPr>
            <w:tcW w:w="796" w:type="pct"/>
            <w:vAlign w:val="center"/>
          </w:tcPr>
          <w:p w14:paraId="5530F859">
            <w:pPr>
              <w:pStyle w:val="1535"/>
            </w:pPr>
            <w:r>
              <w:t>和平村</w:t>
            </w:r>
          </w:p>
        </w:tc>
        <w:tc>
          <w:tcPr>
            <w:tcW w:w="614" w:type="pct"/>
            <w:vAlign w:val="center"/>
          </w:tcPr>
          <w:p w14:paraId="52B45535">
            <w:pPr>
              <w:pStyle w:val="1535"/>
            </w:pPr>
            <w:r>
              <w:t>NW</w:t>
            </w:r>
          </w:p>
        </w:tc>
        <w:tc>
          <w:tcPr>
            <w:tcW w:w="614" w:type="pct"/>
            <w:vAlign w:val="center"/>
          </w:tcPr>
          <w:p w14:paraId="6B35BB27">
            <w:pPr>
              <w:pStyle w:val="1535"/>
            </w:pPr>
            <w:r>
              <w:t>1454</w:t>
            </w:r>
          </w:p>
        </w:tc>
        <w:tc>
          <w:tcPr>
            <w:tcW w:w="768" w:type="pct"/>
            <w:vMerge w:val="restart"/>
            <w:noWrap/>
            <w:vAlign w:val="center"/>
          </w:tcPr>
          <w:p w14:paraId="0759AC66">
            <w:pPr>
              <w:pStyle w:val="1535"/>
            </w:pPr>
            <w:r>
              <w:rPr>
                <w:rFonts w:hint="eastAsia"/>
              </w:rPr>
              <w:t>居民点</w:t>
            </w:r>
          </w:p>
        </w:tc>
        <w:tc>
          <w:tcPr>
            <w:tcW w:w="1471" w:type="pct"/>
            <w:noWrap/>
            <w:vAlign w:val="center"/>
          </w:tcPr>
          <w:p w14:paraId="163787D2">
            <w:pPr>
              <w:pStyle w:val="1535"/>
            </w:pPr>
            <w:r>
              <w:t>农村居住点，50户，约160人</w:t>
            </w:r>
          </w:p>
        </w:tc>
      </w:tr>
      <w:tr w14:paraId="642A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30F2F95A">
            <w:pPr>
              <w:pStyle w:val="1535"/>
            </w:pPr>
          </w:p>
        </w:tc>
        <w:tc>
          <w:tcPr>
            <w:tcW w:w="283" w:type="pct"/>
            <w:noWrap/>
            <w:vAlign w:val="center"/>
          </w:tcPr>
          <w:p w14:paraId="7454BFB1">
            <w:pPr>
              <w:pStyle w:val="1535"/>
            </w:pPr>
            <w:r>
              <w:t>6</w:t>
            </w:r>
          </w:p>
        </w:tc>
        <w:tc>
          <w:tcPr>
            <w:tcW w:w="796" w:type="pct"/>
            <w:vAlign w:val="center"/>
          </w:tcPr>
          <w:p w14:paraId="724AECDF">
            <w:pPr>
              <w:pStyle w:val="1535"/>
            </w:pPr>
            <w:r>
              <w:t>元明村</w:t>
            </w:r>
          </w:p>
        </w:tc>
        <w:tc>
          <w:tcPr>
            <w:tcW w:w="614" w:type="pct"/>
            <w:vAlign w:val="center"/>
          </w:tcPr>
          <w:p w14:paraId="3F6E25B7">
            <w:pPr>
              <w:pStyle w:val="1535"/>
            </w:pPr>
            <w:r>
              <w:t>NW</w:t>
            </w:r>
          </w:p>
        </w:tc>
        <w:tc>
          <w:tcPr>
            <w:tcW w:w="614" w:type="pct"/>
            <w:vAlign w:val="center"/>
          </w:tcPr>
          <w:p w14:paraId="7FA9BD4F">
            <w:pPr>
              <w:pStyle w:val="1535"/>
            </w:pPr>
            <w:r>
              <w:t>1687</w:t>
            </w:r>
          </w:p>
        </w:tc>
        <w:tc>
          <w:tcPr>
            <w:tcW w:w="768" w:type="pct"/>
            <w:vMerge w:val="continue"/>
            <w:vAlign w:val="center"/>
          </w:tcPr>
          <w:p w14:paraId="2DD08C1E">
            <w:pPr>
              <w:pStyle w:val="1535"/>
            </w:pPr>
          </w:p>
        </w:tc>
        <w:tc>
          <w:tcPr>
            <w:tcW w:w="1471" w:type="pct"/>
            <w:noWrap/>
            <w:vAlign w:val="center"/>
          </w:tcPr>
          <w:p w14:paraId="349C1DA9">
            <w:pPr>
              <w:pStyle w:val="1535"/>
            </w:pPr>
            <w:r>
              <w:t>农村居住点，150户，约480人</w:t>
            </w:r>
          </w:p>
        </w:tc>
      </w:tr>
      <w:tr w14:paraId="6393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54B517F1">
            <w:pPr>
              <w:pStyle w:val="1535"/>
            </w:pPr>
          </w:p>
        </w:tc>
        <w:tc>
          <w:tcPr>
            <w:tcW w:w="283" w:type="pct"/>
            <w:noWrap/>
            <w:vAlign w:val="center"/>
          </w:tcPr>
          <w:p w14:paraId="42646CD7">
            <w:pPr>
              <w:pStyle w:val="1535"/>
            </w:pPr>
            <w:r>
              <w:t>7</w:t>
            </w:r>
          </w:p>
        </w:tc>
        <w:tc>
          <w:tcPr>
            <w:tcW w:w="796" w:type="pct"/>
            <w:vAlign w:val="center"/>
          </w:tcPr>
          <w:p w14:paraId="21B04A5A">
            <w:pPr>
              <w:pStyle w:val="1535"/>
            </w:pPr>
            <w:r>
              <w:t>西彭三中</w:t>
            </w:r>
          </w:p>
        </w:tc>
        <w:tc>
          <w:tcPr>
            <w:tcW w:w="614" w:type="pct"/>
            <w:vAlign w:val="center"/>
          </w:tcPr>
          <w:p w14:paraId="032114CC">
            <w:pPr>
              <w:pStyle w:val="1535"/>
            </w:pPr>
            <w:r>
              <w:t>NW</w:t>
            </w:r>
          </w:p>
        </w:tc>
        <w:tc>
          <w:tcPr>
            <w:tcW w:w="614" w:type="pct"/>
            <w:vAlign w:val="center"/>
          </w:tcPr>
          <w:p w14:paraId="27278F22">
            <w:pPr>
              <w:pStyle w:val="1535"/>
            </w:pPr>
            <w:r>
              <w:t>1666</w:t>
            </w:r>
          </w:p>
        </w:tc>
        <w:tc>
          <w:tcPr>
            <w:tcW w:w="768" w:type="pct"/>
            <w:noWrap/>
            <w:vAlign w:val="center"/>
          </w:tcPr>
          <w:p w14:paraId="33AAC799">
            <w:pPr>
              <w:pStyle w:val="1535"/>
            </w:pPr>
            <w:r>
              <w:t>学校</w:t>
            </w:r>
          </w:p>
        </w:tc>
        <w:tc>
          <w:tcPr>
            <w:tcW w:w="1471" w:type="pct"/>
            <w:noWrap/>
            <w:vAlign w:val="center"/>
          </w:tcPr>
          <w:p w14:paraId="39B8048F">
            <w:pPr>
              <w:pStyle w:val="1535"/>
            </w:pPr>
            <w:r>
              <w:t>现有教职员工82人，学生约700人</w:t>
            </w:r>
          </w:p>
        </w:tc>
      </w:tr>
      <w:tr w14:paraId="65BC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36A639E6">
            <w:pPr>
              <w:pStyle w:val="1535"/>
            </w:pPr>
          </w:p>
        </w:tc>
        <w:tc>
          <w:tcPr>
            <w:tcW w:w="283" w:type="pct"/>
            <w:noWrap/>
            <w:vAlign w:val="center"/>
          </w:tcPr>
          <w:p w14:paraId="22080233">
            <w:pPr>
              <w:pStyle w:val="1535"/>
            </w:pPr>
            <w:r>
              <w:t>8</w:t>
            </w:r>
          </w:p>
        </w:tc>
        <w:tc>
          <w:tcPr>
            <w:tcW w:w="796" w:type="pct"/>
            <w:noWrap/>
            <w:vAlign w:val="center"/>
          </w:tcPr>
          <w:p w14:paraId="2849299B">
            <w:pPr>
              <w:pStyle w:val="1535"/>
            </w:pPr>
            <w:r>
              <w:t>千秋村</w:t>
            </w:r>
          </w:p>
        </w:tc>
        <w:tc>
          <w:tcPr>
            <w:tcW w:w="614" w:type="pct"/>
            <w:noWrap/>
            <w:vAlign w:val="center"/>
          </w:tcPr>
          <w:p w14:paraId="19CDF94D">
            <w:pPr>
              <w:pStyle w:val="1535"/>
            </w:pPr>
            <w:r>
              <w:t>NW</w:t>
            </w:r>
          </w:p>
        </w:tc>
        <w:tc>
          <w:tcPr>
            <w:tcW w:w="614" w:type="pct"/>
            <w:noWrap/>
            <w:vAlign w:val="center"/>
          </w:tcPr>
          <w:p w14:paraId="0DE1B839">
            <w:pPr>
              <w:pStyle w:val="1535"/>
            </w:pPr>
            <w:r>
              <w:t>2205</w:t>
            </w:r>
          </w:p>
        </w:tc>
        <w:tc>
          <w:tcPr>
            <w:tcW w:w="768" w:type="pct"/>
            <w:noWrap/>
            <w:vAlign w:val="center"/>
          </w:tcPr>
          <w:p w14:paraId="27650D7E">
            <w:pPr>
              <w:pStyle w:val="1535"/>
            </w:pPr>
            <w:r>
              <w:rPr>
                <w:rFonts w:hint="eastAsia"/>
              </w:rPr>
              <w:t>居民点</w:t>
            </w:r>
          </w:p>
        </w:tc>
        <w:tc>
          <w:tcPr>
            <w:tcW w:w="1471" w:type="pct"/>
            <w:noWrap/>
            <w:vAlign w:val="center"/>
          </w:tcPr>
          <w:p w14:paraId="6AC369BF">
            <w:pPr>
              <w:pStyle w:val="1535"/>
            </w:pPr>
            <w:r>
              <w:t>农村居住点，200户，约600人</w:t>
            </w:r>
          </w:p>
        </w:tc>
      </w:tr>
      <w:tr w14:paraId="7ACB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12A40B00">
            <w:pPr>
              <w:pStyle w:val="1535"/>
            </w:pPr>
          </w:p>
        </w:tc>
        <w:tc>
          <w:tcPr>
            <w:tcW w:w="283" w:type="pct"/>
            <w:noWrap/>
            <w:vAlign w:val="center"/>
          </w:tcPr>
          <w:p w14:paraId="3A46BD44">
            <w:pPr>
              <w:pStyle w:val="1535"/>
            </w:pPr>
            <w:r>
              <w:t>9</w:t>
            </w:r>
          </w:p>
        </w:tc>
        <w:tc>
          <w:tcPr>
            <w:tcW w:w="796" w:type="pct"/>
            <w:vAlign w:val="center"/>
          </w:tcPr>
          <w:p w14:paraId="46D7B15E">
            <w:pPr>
              <w:pStyle w:val="1535"/>
            </w:pPr>
            <w:r>
              <w:t>梓怀村</w:t>
            </w:r>
          </w:p>
        </w:tc>
        <w:tc>
          <w:tcPr>
            <w:tcW w:w="614" w:type="pct"/>
            <w:noWrap/>
            <w:vAlign w:val="center"/>
          </w:tcPr>
          <w:p w14:paraId="5BBC50EB">
            <w:pPr>
              <w:pStyle w:val="1535"/>
            </w:pPr>
            <w:r>
              <w:t>W</w:t>
            </w:r>
          </w:p>
        </w:tc>
        <w:tc>
          <w:tcPr>
            <w:tcW w:w="614" w:type="pct"/>
            <w:noWrap/>
            <w:vAlign w:val="center"/>
          </w:tcPr>
          <w:p w14:paraId="6279252E">
            <w:pPr>
              <w:pStyle w:val="1535"/>
            </w:pPr>
            <w:r>
              <w:t>2040</w:t>
            </w:r>
          </w:p>
        </w:tc>
        <w:tc>
          <w:tcPr>
            <w:tcW w:w="768" w:type="pct"/>
            <w:noWrap/>
            <w:vAlign w:val="center"/>
          </w:tcPr>
          <w:p w14:paraId="5C943F6F">
            <w:pPr>
              <w:pStyle w:val="1535"/>
            </w:pPr>
            <w:r>
              <w:rPr>
                <w:rFonts w:hint="eastAsia"/>
              </w:rPr>
              <w:t>居民点</w:t>
            </w:r>
          </w:p>
        </w:tc>
        <w:tc>
          <w:tcPr>
            <w:tcW w:w="1471" w:type="pct"/>
            <w:noWrap/>
            <w:vAlign w:val="center"/>
          </w:tcPr>
          <w:p w14:paraId="3E526A7A">
            <w:pPr>
              <w:pStyle w:val="1535"/>
            </w:pPr>
            <w:r>
              <w:t>农村居住点，50户，约160人</w:t>
            </w:r>
          </w:p>
        </w:tc>
      </w:tr>
      <w:tr w14:paraId="4ACA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2A1BC56">
            <w:pPr>
              <w:pStyle w:val="1535"/>
            </w:pPr>
          </w:p>
        </w:tc>
        <w:tc>
          <w:tcPr>
            <w:tcW w:w="283" w:type="pct"/>
            <w:noWrap/>
            <w:vAlign w:val="center"/>
          </w:tcPr>
          <w:p w14:paraId="41C3360A">
            <w:pPr>
              <w:pStyle w:val="1535"/>
            </w:pPr>
            <w:r>
              <w:t>10</w:t>
            </w:r>
          </w:p>
        </w:tc>
        <w:tc>
          <w:tcPr>
            <w:tcW w:w="796" w:type="pct"/>
            <w:vAlign w:val="center"/>
          </w:tcPr>
          <w:p w14:paraId="78FCEEC7">
            <w:pPr>
              <w:pStyle w:val="1535"/>
            </w:pPr>
            <w:r>
              <w:t>高坪村</w:t>
            </w:r>
          </w:p>
        </w:tc>
        <w:tc>
          <w:tcPr>
            <w:tcW w:w="614" w:type="pct"/>
            <w:vAlign w:val="center"/>
          </w:tcPr>
          <w:p w14:paraId="1A613DA2">
            <w:pPr>
              <w:pStyle w:val="1535"/>
            </w:pPr>
            <w:r>
              <w:t>SW</w:t>
            </w:r>
          </w:p>
        </w:tc>
        <w:tc>
          <w:tcPr>
            <w:tcW w:w="614" w:type="pct"/>
            <w:vAlign w:val="center"/>
          </w:tcPr>
          <w:p w14:paraId="1F8634B7">
            <w:pPr>
              <w:pStyle w:val="1535"/>
            </w:pPr>
            <w:r>
              <w:t>2900</w:t>
            </w:r>
          </w:p>
        </w:tc>
        <w:tc>
          <w:tcPr>
            <w:tcW w:w="768" w:type="pct"/>
            <w:noWrap/>
            <w:vAlign w:val="center"/>
          </w:tcPr>
          <w:p w14:paraId="7AA1012E">
            <w:pPr>
              <w:pStyle w:val="1535"/>
            </w:pPr>
            <w:r>
              <w:rPr>
                <w:rFonts w:hint="eastAsia"/>
              </w:rPr>
              <w:t>居民点</w:t>
            </w:r>
          </w:p>
        </w:tc>
        <w:tc>
          <w:tcPr>
            <w:tcW w:w="1471" w:type="pct"/>
            <w:noWrap/>
            <w:vAlign w:val="center"/>
          </w:tcPr>
          <w:p w14:paraId="0DB74477">
            <w:pPr>
              <w:pStyle w:val="1535"/>
            </w:pPr>
            <w:r>
              <w:t>农村居住点，10户，约30人</w:t>
            </w:r>
          </w:p>
        </w:tc>
      </w:tr>
      <w:tr w14:paraId="53A7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4B53FFC1">
            <w:pPr>
              <w:pStyle w:val="1535"/>
            </w:pPr>
          </w:p>
        </w:tc>
        <w:tc>
          <w:tcPr>
            <w:tcW w:w="283" w:type="pct"/>
            <w:noWrap/>
            <w:vAlign w:val="center"/>
          </w:tcPr>
          <w:p w14:paraId="708765F4">
            <w:pPr>
              <w:pStyle w:val="1535"/>
            </w:pPr>
            <w:r>
              <w:t>11</w:t>
            </w:r>
          </w:p>
        </w:tc>
        <w:tc>
          <w:tcPr>
            <w:tcW w:w="796" w:type="pct"/>
            <w:noWrap/>
            <w:vAlign w:val="center"/>
          </w:tcPr>
          <w:p w14:paraId="155F2F7D">
            <w:pPr>
              <w:pStyle w:val="1535"/>
            </w:pPr>
            <w:r>
              <w:t>天堂村</w:t>
            </w:r>
          </w:p>
        </w:tc>
        <w:tc>
          <w:tcPr>
            <w:tcW w:w="614" w:type="pct"/>
            <w:noWrap/>
            <w:vAlign w:val="center"/>
          </w:tcPr>
          <w:p w14:paraId="7FAD8CF9">
            <w:pPr>
              <w:pStyle w:val="1535"/>
            </w:pPr>
            <w:r>
              <w:t>SW</w:t>
            </w:r>
          </w:p>
        </w:tc>
        <w:tc>
          <w:tcPr>
            <w:tcW w:w="614" w:type="pct"/>
            <w:noWrap/>
            <w:vAlign w:val="center"/>
          </w:tcPr>
          <w:p w14:paraId="40061FFF">
            <w:pPr>
              <w:pStyle w:val="1535"/>
            </w:pPr>
            <w:r>
              <w:t>2488</w:t>
            </w:r>
          </w:p>
        </w:tc>
        <w:tc>
          <w:tcPr>
            <w:tcW w:w="768" w:type="pct"/>
            <w:noWrap/>
            <w:vAlign w:val="center"/>
          </w:tcPr>
          <w:p w14:paraId="46065712">
            <w:pPr>
              <w:pStyle w:val="1535"/>
            </w:pPr>
            <w:r>
              <w:rPr>
                <w:rFonts w:hint="eastAsia"/>
              </w:rPr>
              <w:t>居民点</w:t>
            </w:r>
          </w:p>
        </w:tc>
        <w:tc>
          <w:tcPr>
            <w:tcW w:w="1471" w:type="pct"/>
            <w:noWrap/>
            <w:vAlign w:val="center"/>
          </w:tcPr>
          <w:p w14:paraId="7C473AC8">
            <w:pPr>
              <w:pStyle w:val="1535"/>
            </w:pPr>
            <w:r>
              <w:t>农村居住点，20户，约60人</w:t>
            </w:r>
          </w:p>
        </w:tc>
      </w:tr>
      <w:tr w14:paraId="0198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496136CA">
            <w:pPr>
              <w:pStyle w:val="1535"/>
            </w:pPr>
          </w:p>
        </w:tc>
        <w:tc>
          <w:tcPr>
            <w:tcW w:w="283" w:type="pct"/>
            <w:noWrap/>
            <w:vAlign w:val="center"/>
          </w:tcPr>
          <w:p w14:paraId="317FCCE2">
            <w:pPr>
              <w:pStyle w:val="1535"/>
            </w:pPr>
            <w:r>
              <w:t>12</w:t>
            </w:r>
          </w:p>
        </w:tc>
        <w:tc>
          <w:tcPr>
            <w:tcW w:w="796" w:type="pct"/>
            <w:noWrap/>
            <w:vAlign w:val="center"/>
          </w:tcPr>
          <w:p w14:paraId="0EE3CA5A">
            <w:pPr>
              <w:pStyle w:val="1535"/>
            </w:pPr>
            <w:r>
              <w:t>东林村</w:t>
            </w:r>
          </w:p>
        </w:tc>
        <w:tc>
          <w:tcPr>
            <w:tcW w:w="614" w:type="pct"/>
            <w:noWrap/>
            <w:vAlign w:val="center"/>
          </w:tcPr>
          <w:p w14:paraId="53D6A6C7">
            <w:pPr>
              <w:pStyle w:val="1535"/>
            </w:pPr>
            <w:r>
              <w:t>SW</w:t>
            </w:r>
          </w:p>
        </w:tc>
        <w:tc>
          <w:tcPr>
            <w:tcW w:w="614" w:type="pct"/>
            <w:noWrap/>
            <w:vAlign w:val="center"/>
          </w:tcPr>
          <w:p w14:paraId="6CC8F017">
            <w:pPr>
              <w:pStyle w:val="1535"/>
            </w:pPr>
            <w:r>
              <w:t>1767</w:t>
            </w:r>
          </w:p>
        </w:tc>
        <w:tc>
          <w:tcPr>
            <w:tcW w:w="768" w:type="pct"/>
            <w:noWrap/>
            <w:vAlign w:val="center"/>
          </w:tcPr>
          <w:p w14:paraId="73AF8D5A">
            <w:pPr>
              <w:pStyle w:val="1535"/>
            </w:pPr>
            <w:r>
              <w:rPr>
                <w:rFonts w:hint="eastAsia"/>
              </w:rPr>
              <w:t>居民点</w:t>
            </w:r>
          </w:p>
        </w:tc>
        <w:tc>
          <w:tcPr>
            <w:tcW w:w="1471" w:type="pct"/>
            <w:noWrap/>
            <w:vAlign w:val="center"/>
          </w:tcPr>
          <w:p w14:paraId="30CE9E39">
            <w:pPr>
              <w:pStyle w:val="1535"/>
            </w:pPr>
            <w:r>
              <w:t>农村居住点，60户，约192人</w:t>
            </w:r>
          </w:p>
        </w:tc>
      </w:tr>
      <w:tr w14:paraId="4C9F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5A1E56E1">
            <w:pPr>
              <w:pStyle w:val="1535"/>
            </w:pPr>
          </w:p>
        </w:tc>
        <w:tc>
          <w:tcPr>
            <w:tcW w:w="283" w:type="pct"/>
            <w:noWrap/>
            <w:vAlign w:val="center"/>
          </w:tcPr>
          <w:p w14:paraId="58F7E2E9">
            <w:pPr>
              <w:pStyle w:val="1535"/>
            </w:pPr>
            <w:r>
              <w:t>13</w:t>
            </w:r>
          </w:p>
        </w:tc>
        <w:tc>
          <w:tcPr>
            <w:tcW w:w="796" w:type="pct"/>
            <w:noWrap/>
            <w:vAlign w:val="center"/>
          </w:tcPr>
          <w:p w14:paraId="38C8DC89">
            <w:pPr>
              <w:pStyle w:val="1535"/>
            </w:pPr>
            <w:r>
              <w:t>松柏村</w:t>
            </w:r>
          </w:p>
        </w:tc>
        <w:tc>
          <w:tcPr>
            <w:tcW w:w="614" w:type="pct"/>
            <w:noWrap/>
            <w:vAlign w:val="center"/>
          </w:tcPr>
          <w:p w14:paraId="0CC15016">
            <w:pPr>
              <w:pStyle w:val="1535"/>
            </w:pPr>
            <w:r>
              <w:t>S</w:t>
            </w:r>
          </w:p>
        </w:tc>
        <w:tc>
          <w:tcPr>
            <w:tcW w:w="614" w:type="pct"/>
            <w:noWrap/>
            <w:vAlign w:val="center"/>
          </w:tcPr>
          <w:p w14:paraId="6F2A0713">
            <w:pPr>
              <w:pStyle w:val="1535"/>
            </w:pPr>
            <w:r>
              <w:t>2303</w:t>
            </w:r>
          </w:p>
        </w:tc>
        <w:tc>
          <w:tcPr>
            <w:tcW w:w="768" w:type="pct"/>
            <w:noWrap/>
            <w:vAlign w:val="center"/>
          </w:tcPr>
          <w:p w14:paraId="3A5E4EC0">
            <w:pPr>
              <w:pStyle w:val="1535"/>
            </w:pPr>
            <w:r>
              <w:rPr>
                <w:rFonts w:hint="eastAsia"/>
              </w:rPr>
              <w:t>居民点</w:t>
            </w:r>
          </w:p>
        </w:tc>
        <w:tc>
          <w:tcPr>
            <w:tcW w:w="1471" w:type="pct"/>
            <w:noWrap/>
            <w:vAlign w:val="center"/>
          </w:tcPr>
          <w:p w14:paraId="4EFFF67D">
            <w:pPr>
              <w:pStyle w:val="1535"/>
            </w:pPr>
            <w:r>
              <w:t>农村居住点，30户，约100人</w:t>
            </w:r>
          </w:p>
        </w:tc>
      </w:tr>
      <w:tr w14:paraId="2477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2F12D21F">
            <w:pPr>
              <w:pStyle w:val="1535"/>
            </w:pPr>
          </w:p>
        </w:tc>
        <w:tc>
          <w:tcPr>
            <w:tcW w:w="283" w:type="pct"/>
            <w:noWrap/>
            <w:vAlign w:val="center"/>
          </w:tcPr>
          <w:p w14:paraId="0013C1FD">
            <w:pPr>
              <w:pStyle w:val="1535"/>
            </w:pPr>
            <w:r>
              <w:t>14</w:t>
            </w:r>
          </w:p>
        </w:tc>
        <w:tc>
          <w:tcPr>
            <w:tcW w:w="796" w:type="pct"/>
            <w:vAlign w:val="center"/>
          </w:tcPr>
          <w:p w14:paraId="1105A868">
            <w:pPr>
              <w:pStyle w:val="1535"/>
            </w:pPr>
            <w:r>
              <w:t>西彭敬老院</w:t>
            </w:r>
          </w:p>
        </w:tc>
        <w:tc>
          <w:tcPr>
            <w:tcW w:w="614" w:type="pct"/>
            <w:noWrap/>
            <w:vAlign w:val="center"/>
          </w:tcPr>
          <w:p w14:paraId="211A58AE">
            <w:pPr>
              <w:pStyle w:val="1535"/>
            </w:pPr>
            <w:r>
              <w:t>S</w:t>
            </w:r>
          </w:p>
        </w:tc>
        <w:tc>
          <w:tcPr>
            <w:tcW w:w="614" w:type="pct"/>
            <w:noWrap/>
            <w:vAlign w:val="center"/>
          </w:tcPr>
          <w:p w14:paraId="0AC8C381">
            <w:pPr>
              <w:pStyle w:val="1535"/>
            </w:pPr>
            <w:r>
              <w:t>2615</w:t>
            </w:r>
          </w:p>
        </w:tc>
        <w:tc>
          <w:tcPr>
            <w:tcW w:w="768" w:type="pct"/>
            <w:noWrap/>
            <w:vAlign w:val="center"/>
          </w:tcPr>
          <w:p w14:paraId="5300E748">
            <w:pPr>
              <w:pStyle w:val="1535"/>
            </w:pPr>
            <w:r>
              <w:t>养老院</w:t>
            </w:r>
          </w:p>
        </w:tc>
        <w:tc>
          <w:tcPr>
            <w:tcW w:w="1471" w:type="pct"/>
            <w:noWrap/>
            <w:vAlign w:val="center"/>
          </w:tcPr>
          <w:p w14:paraId="64B59091">
            <w:pPr>
              <w:pStyle w:val="1535"/>
            </w:pPr>
            <w:r>
              <w:t>约160人</w:t>
            </w:r>
          </w:p>
        </w:tc>
      </w:tr>
      <w:tr w14:paraId="43E9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29FBC5CB">
            <w:pPr>
              <w:pStyle w:val="1535"/>
            </w:pPr>
          </w:p>
        </w:tc>
        <w:tc>
          <w:tcPr>
            <w:tcW w:w="283" w:type="pct"/>
            <w:noWrap/>
            <w:vAlign w:val="center"/>
          </w:tcPr>
          <w:p w14:paraId="3ADFD2D7">
            <w:pPr>
              <w:pStyle w:val="1535"/>
            </w:pPr>
            <w:r>
              <w:t>15</w:t>
            </w:r>
          </w:p>
        </w:tc>
        <w:tc>
          <w:tcPr>
            <w:tcW w:w="796" w:type="pct"/>
            <w:noWrap/>
            <w:vAlign w:val="center"/>
          </w:tcPr>
          <w:p w14:paraId="37A850A2">
            <w:pPr>
              <w:pStyle w:val="1535"/>
            </w:pPr>
            <w:r>
              <w:t>元通村</w:t>
            </w:r>
          </w:p>
        </w:tc>
        <w:tc>
          <w:tcPr>
            <w:tcW w:w="614" w:type="pct"/>
            <w:noWrap/>
            <w:vAlign w:val="center"/>
          </w:tcPr>
          <w:p w14:paraId="4F2A181D">
            <w:pPr>
              <w:pStyle w:val="1535"/>
            </w:pPr>
            <w:r>
              <w:t>S</w:t>
            </w:r>
          </w:p>
        </w:tc>
        <w:tc>
          <w:tcPr>
            <w:tcW w:w="614" w:type="pct"/>
            <w:noWrap/>
            <w:vAlign w:val="center"/>
          </w:tcPr>
          <w:p w14:paraId="1CEBF265">
            <w:pPr>
              <w:pStyle w:val="1535"/>
            </w:pPr>
            <w:r>
              <w:t>1800</w:t>
            </w:r>
          </w:p>
        </w:tc>
        <w:tc>
          <w:tcPr>
            <w:tcW w:w="768" w:type="pct"/>
            <w:noWrap/>
            <w:vAlign w:val="center"/>
          </w:tcPr>
          <w:p w14:paraId="22BEC8B6">
            <w:pPr>
              <w:pStyle w:val="1535"/>
            </w:pPr>
            <w:r>
              <w:rPr>
                <w:rFonts w:hint="eastAsia"/>
              </w:rPr>
              <w:t>居民点</w:t>
            </w:r>
          </w:p>
        </w:tc>
        <w:tc>
          <w:tcPr>
            <w:tcW w:w="1471" w:type="pct"/>
            <w:noWrap/>
            <w:vAlign w:val="center"/>
          </w:tcPr>
          <w:p w14:paraId="0C26B48E">
            <w:pPr>
              <w:pStyle w:val="1535"/>
            </w:pPr>
            <w:r>
              <w:t>农村居住点，100户，约320人</w:t>
            </w:r>
          </w:p>
        </w:tc>
      </w:tr>
      <w:tr w14:paraId="553E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69754B8E">
            <w:pPr>
              <w:pStyle w:val="1535"/>
            </w:pPr>
          </w:p>
        </w:tc>
        <w:tc>
          <w:tcPr>
            <w:tcW w:w="283" w:type="pct"/>
            <w:noWrap/>
            <w:vAlign w:val="center"/>
          </w:tcPr>
          <w:p w14:paraId="53E066DE">
            <w:pPr>
              <w:pStyle w:val="1535"/>
            </w:pPr>
            <w:r>
              <w:t>16</w:t>
            </w:r>
          </w:p>
        </w:tc>
        <w:tc>
          <w:tcPr>
            <w:tcW w:w="796" w:type="pct"/>
            <w:noWrap/>
            <w:vAlign w:val="center"/>
          </w:tcPr>
          <w:p w14:paraId="62D73C25">
            <w:pPr>
              <w:pStyle w:val="1535"/>
            </w:pPr>
            <w:r>
              <w:t>刘家湾小区</w:t>
            </w:r>
          </w:p>
        </w:tc>
        <w:tc>
          <w:tcPr>
            <w:tcW w:w="614" w:type="pct"/>
            <w:noWrap/>
            <w:vAlign w:val="center"/>
          </w:tcPr>
          <w:p w14:paraId="762B4E0D">
            <w:pPr>
              <w:pStyle w:val="1535"/>
            </w:pPr>
            <w:r>
              <w:t>SE</w:t>
            </w:r>
          </w:p>
        </w:tc>
        <w:tc>
          <w:tcPr>
            <w:tcW w:w="614" w:type="pct"/>
            <w:noWrap/>
            <w:vAlign w:val="center"/>
          </w:tcPr>
          <w:p w14:paraId="765E372A">
            <w:pPr>
              <w:pStyle w:val="1535"/>
            </w:pPr>
            <w:r>
              <w:t>2275</w:t>
            </w:r>
          </w:p>
        </w:tc>
        <w:tc>
          <w:tcPr>
            <w:tcW w:w="768" w:type="pct"/>
            <w:noWrap/>
            <w:vAlign w:val="center"/>
          </w:tcPr>
          <w:p w14:paraId="17773C93">
            <w:pPr>
              <w:pStyle w:val="1535"/>
            </w:pPr>
            <w:r>
              <w:rPr>
                <w:rFonts w:hint="eastAsia"/>
              </w:rPr>
              <w:t>居民点</w:t>
            </w:r>
          </w:p>
        </w:tc>
        <w:tc>
          <w:tcPr>
            <w:tcW w:w="1471" w:type="pct"/>
            <w:noWrap/>
            <w:vAlign w:val="center"/>
          </w:tcPr>
          <w:p w14:paraId="545B7FAF">
            <w:pPr>
              <w:pStyle w:val="1535"/>
            </w:pPr>
            <w:r>
              <w:t>集中居住区，600户，约2000人</w:t>
            </w:r>
          </w:p>
        </w:tc>
      </w:tr>
      <w:tr w14:paraId="5886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50BCDB08">
            <w:pPr>
              <w:pStyle w:val="1535"/>
            </w:pPr>
          </w:p>
        </w:tc>
        <w:tc>
          <w:tcPr>
            <w:tcW w:w="283" w:type="pct"/>
            <w:noWrap/>
            <w:vAlign w:val="center"/>
          </w:tcPr>
          <w:p w14:paraId="782B9287">
            <w:pPr>
              <w:pStyle w:val="1535"/>
            </w:pPr>
            <w:r>
              <w:t>17</w:t>
            </w:r>
          </w:p>
        </w:tc>
        <w:tc>
          <w:tcPr>
            <w:tcW w:w="796" w:type="pct"/>
            <w:noWrap/>
            <w:vAlign w:val="center"/>
          </w:tcPr>
          <w:p w14:paraId="3AA12FF7">
            <w:pPr>
              <w:pStyle w:val="1535"/>
            </w:pPr>
            <w:r>
              <w:t>西彭一中</w:t>
            </w:r>
          </w:p>
        </w:tc>
        <w:tc>
          <w:tcPr>
            <w:tcW w:w="614" w:type="pct"/>
            <w:noWrap/>
            <w:vAlign w:val="center"/>
          </w:tcPr>
          <w:p w14:paraId="54B9F85C">
            <w:pPr>
              <w:pStyle w:val="1535"/>
            </w:pPr>
            <w:r>
              <w:t>SE</w:t>
            </w:r>
          </w:p>
        </w:tc>
        <w:tc>
          <w:tcPr>
            <w:tcW w:w="614" w:type="pct"/>
            <w:noWrap/>
            <w:vAlign w:val="center"/>
          </w:tcPr>
          <w:p w14:paraId="7D79D542">
            <w:pPr>
              <w:pStyle w:val="1535"/>
            </w:pPr>
            <w:r>
              <w:t>2886</w:t>
            </w:r>
          </w:p>
        </w:tc>
        <w:tc>
          <w:tcPr>
            <w:tcW w:w="768" w:type="pct"/>
            <w:noWrap/>
            <w:vAlign w:val="center"/>
          </w:tcPr>
          <w:p w14:paraId="45F73E23">
            <w:pPr>
              <w:pStyle w:val="1535"/>
            </w:pPr>
            <w:r>
              <w:t>学校</w:t>
            </w:r>
          </w:p>
        </w:tc>
        <w:tc>
          <w:tcPr>
            <w:tcW w:w="1471" w:type="pct"/>
            <w:noWrap/>
            <w:vAlign w:val="center"/>
          </w:tcPr>
          <w:p w14:paraId="3917939D">
            <w:pPr>
              <w:pStyle w:val="1535"/>
            </w:pPr>
            <w:r>
              <w:t>学校，在校师生约1500人</w:t>
            </w:r>
          </w:p>
        </w:tc>
      </w:tr>
      <w:tr w14:paraId="7A0A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47387C54">
            <w:pPr>
              <w:pStyle w:val="1535"/>
            </w:pPr>
          </w:p>
        </w:tc>
        <w:tc>
          <w:tcPr>
            <w:tcW w:w="283" w:type="pct"/>
            <w:noWrap/>
            <w:vAlign w:val="center"/>
          </w:tcPr>
          <w:p w14:paraId="5D0686C5">
            <w:pPr>
              <w:pStyle w:val="1535"/>
            </w:pPr>
            <w:r>
              <w:t>18</w:t>
            </w:r>
          </w:p>
        </w:tc>
        <w:tc>
          <w:tcPr>
            <w:tcW w:w="796" w:type="pct"/>
            <w:noWrap/>
            <w:vAlign w:val="center"/>
          </w:tcPr>
          <w:p w14:paraId="5E6D0EC1">
            <w:pPr>
              <w:pStyle w:val="1535"/>
            </w:pPr>
            <w:r>
              <w:t>大石堡九村小区</w:t>
            </w:r>
          </w:p>
        </w:tc>
        <w:tc>
          <w:tcPr>
            <w:tcW w:w="614" w:type="pct"/>
            <w:noWrap/>
            <w:vAlign w:val="center"/>
          </w:tcPr>
          <w:p w14:paraId="18DBDE21">
            <w:pPr>
              <w:pStyle w:val="1535"/>
            </w:pPr>
            <w:r>
              <w:t>SE</w:t>
            </w:r>
          </w:p>
        </w:tc>
        <w:tc>
          <w:tcPr>
            <w:tcW w:w="614" w:type="pct"/>
            <w:noWrap/>
            <w:vAlign w:val="center"/>
          </w:tcPr>
          <w:p w14:paraId="45E54D90">
            <w:pPr>
              <w:pStyle w:val="1535"/>
            </w:pPr>
            <w:r>
              <w:t>2984</w:t>
            </w:r>
          </w:p>
        </w:tc>
        <w:tc>
          <w:tcPr>
            <w:tcW w:w="768" w:type="pct"/>
            <w:noWrap/>
            <w:vAlign w:val="center"/>
          </w:tcPr>
          <w:p w14:paraId="08DD6249">
            <w:pPr>
              <w:pStyle w:val="1535"/>
            </w:pPr>
            <w:r>
              <w:t>居住区</w:t>
            </w:r>
          </w:p>
        </w:tc>
        <w:tc>
          <w:tcPr>
            <w:tcW w:w="1471" w:type="pct"/>
            <w:noWrap/>
            <w:vAlign w:val="center"/>
          </w:tcPr>
          <w:p w14:paraId="30103D3F">
            <w:pPr>
              <w:pStyle w:val="1535"/>
            </w:pPr>
            <w:r>
              <w:t>集中居住区，300户，约1000人</w:t>
            </w:r>
          </w:p>
        </w:tc>
      </w:tr>
      <w:tr w14:paraId="17F6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DDB5A2E">
            <w:pPr>
              <w:pStyle w:val="1535"/>
            </w:pPr>
          </w:p>
        </w:tc>
        <w:tc>
          <w:tcPr>
            <w:tcW w:w="283" w:type="pct"/>
            <w:noWrap/>
            <w:vAlign w:val="center"/>
          </w:tcPr>
          <w:p w14:paraId="631F87A0">
            <w:pPr>
              <w:pStyle w:val="1535"/>
            </w:pPr>
            <w:r>
              <w:t>19</w:t>
            </w:r>
          </w:p>
        </w:tc>
        <w:tc>
          <w:tcPr>
            <w:tcW w:w="796" w:type="pct"/>
            <w:noWrap/>
            <w:vAlign w:val="center"/>
          </w:tcPr>
          <w:p w14:paraId="4BA2FB23">
            <w:pPr>
              <w:pStyle w:val="1535"/>
            </w:pPr>
            <w:r>
              <w:t>大石堡小区</w:t>
            </w:r>
          </w:p>
        </w:tc>
        <w:tc>
          <w:tcPr>
            <w:tcW w:w="614" w:type="pct"/>
            <w:noWrap/>
            <w:vAlign w:val="center"/>
          </w:tcPr>
          <w:p w14:paraId="46894AC7">
            <w:pPr>
              <w:pStyle w:val="1535"/>
            </w:pPr>
            <w:r>
              <w:t>SE</w:t>
            </w:r>
          </w:p>
        </w:tc>
        <w:tc>
          <w:tcPr>
            <w:tcW w:w="614" w:type="pct"/>
            <w:noWrap/>
            <w:vAlign w:val="center"/>
          </w:tcPr>
          <w:p w14:paraId="1C067EB3">
            <w:pPr>
              <w:pStyle w:val="1535"/>
            </w:pPr>
            <w:r>
              <w:t>2947</w:t>
            </w:r>
          </w:p>
        </w:tc>
        <w:tc>
          <w:tcPr>
            <w:tcW w:w="768" w:type="pct"/>
            <w:noWrap/>
            <w:vAlign w:val="center"/>
          </w:tcPr>
          <w:p w14:paraId="40375AAA">
            <w:pPr>
              <w:pStyle w:val="1535"/>
            </w:pPr>
            <w:r>
              <w:t>居住区</w:t>
            </w:r>
          </w:p>
        </w:tc>
        <w:tc>
          <w:tcPr>
            <w:tcW w:w="1471" w:type="pct"/>
            <w:noWrap/>
            <w:vAlign w:val="center"/>
          </w:tcPr>
          <w:p w14:paraId="269E0A18">
            <w:pPr>
              <w:pStyle w:val="1535"/>
            </w:pPr>
            <w:r>
              <w:t>集中居住区，420户，约1350人</w:t>
            </w:r>
          </w:p>
        </w:tc>
      </w:tr>
      <w:tr w14:paraId="4570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54B0B871">
            <w:pPr>
              <w:pStyle w:val="1535"/>
            </w:pPr>
          </w:p>
        </w:tc>
        <w:tc>
          <w:tcPr>
            <w:tcW w:w="283" w:type="pct"/>
            <w:noWrap/>
            <w:vAlign w:val="center"/>
          </w:tcPr>
          <w:p w14:paraId="1AA0ABC2">
            <w:pPr>
              <w:pStyle w:val="1535"/>
            </w:pPr>
            <w:r>
              <w:t>20</w:t>
            </w:r>
          </w:p>
        </w:tc>
        <w:tc>
          <w:tcPr>
            <w:tcW w:w="796" w:type="pct"/>
            <w:noWrap/>
            <w:vAlign w:val="center"/>
          </w:tcPr>
          <w:p w14:paraId="20E9E9C0">
            <w:pPr>
              <w:pStyle w:val="1535"/>
            </w:pPr>
            <w:r>
              <w:t>大塘小区</w:t>
            </w:r>
          </w:p>
        </w:tc>
        <w:tc>
          <w:tcPr>
            <w:tcW w:w="614" w:type="pct"/>
            <w:noWrap/>
            <w:vAlign w:val="center"/>
          </w:tcPr>
          <w:p w14:paraId="48B92E09">
            <w:pPr>
              <w:pStyle w:val="1535"/>
            </w:pPr>
            <w:r>
              <w:t>SE</w:t>
            </w:r>
          </w:p>
        </w:tc>
        <w:tc>
          <w:tcPr>
            <w:tcW w:w="614" w:type="pct"/>
            <w:noWrap/>
            <w:vAlign w:val="center"/>
          </w:tcPr>
          <w:p w14:paraId="0327ED75">
            <w:pPr>
              <w:pStyle w:val="1535"/>
            </w:pPr>
            <w:r>
              <w:t>2996</w:t>
            </w:r>
          </w:p>
        </w:tc>
        <w:tc>
          <w:tcPr>
            <w:tcW w:w="768" w:type="pct"/>
            <w:noWrap/>
            <w:vAlign w:val="center"/>
          </w:tcPr>
          <w:p w14:paraId="2DCD6158">
            <w:pPr>
              <w:pStyle w:val="1535"/>
            </w:pPr>
            <w:r>
              <w:t>居住区</w:t>
            </w:r>
          </w:p>
        </w:tc>
        <w:tc>
          <w:tcPr>
            <w:tcW w:w="1471" w:type="pct"/>
            <w:noWrap/>
            <w:vAlign w:val="center"/>
          </w:tcPr>
          <w:p w14:paraId="3B1C3D85">
            <w:pPr>
              <w:pStyle w:val="1535"/>
            </w:pPr>
            <w:r>
              <w:t>集中居住区，120户，约400人</w:t>
            </w:r>
          </w:p>
        </w:tc>
      </w:tr>
      <w:tr w14:paraId="6B0D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18172642">
            <w:pPr>
              <w:pStyle w:val="1535"/>
            </w:pPr>
          </w:p>
        </w:tc>
        <w:tc>
          <w:tcPr>
            <w:tcW w:w="283" w:type="pct"/>
            <w:noWrap/>
            <w:vAlign w:val="center"/>
          </w:tcPr>
          <w:p w14:paraId="4B2378EF">
            <w:pPr>
              <w:pStyle w:val="1535"/>
            </w:pPr>
            <w:r>
              <w:t>21</w:t>
            </w:r>
          </w:p>
        </w:tc>
        <w:tc>
          <w:tcPr>
            <w:tcW w:w="796" w:type="pct"/>
            <w:noWrap/>
            <w:vAlign w:val="center"/>
          </w:tcPr>
          <w:p w14:paraId="2AE34330">
            <w:pPr>
              <w:pStyle w:val="1535"/>
            </w:pPr>
            <w:r>
              <w:t>云鼎栖山1号院</w:t>
            </w:r>
          </w:p>
        </w:tc>
        <w:tc>
          <w:tcPr>
            <w:tcW w:w="614" w:type="pct"/>
            <w:noWrap/>
            <w:vAlign w:val="center"/>
          </w:tcPr>
          <w:p w14:paraId="6B956486">
            <w:pPr>
              <w:pStyle w:val="1535"/>
            </w:pPr>
            <w:r>
              <w:t>SE</w:t>
            </w:r>
          </w:p>
        </w:tc>
        <w:tc>
          <w:tcPr>
            <w:tcW w:w="614" w:type="pct"/>
            <w:noWrap/>
            <w:vAlign w:val="center"/>
          </w:tcPr>
          <w:p w14:paraId="5D3E4B95">
            <w:pPr>
              <w:pStyle w:val="1535"/>
            </w:pPr>
            <w:r>
              <w:t>2839</w:t>
            </w:r>
          </w:p>
        </w:tc>
        <w:tc>
          <w:tcPr>
            <w:tcW w:w="768" w:type="pct"/>
            <w:noWrap/>
            <w:vAlign w:val="center"/>
          </w:tcPr>
          <w:p w14:paraId="39E68A57">
            <w:pPr>
              <w:pStyle w:val="1535"/>
            </w:pPr>
            <w:r>
              <w:t>居住区</w:t>
            </w:r>
          </w:p>
        </w:tc>
        <w:tc>
          <w:tcPr>
            <w:tcW w:w="1471" w:type="pct"/>
            <w:noWrap/>
            <w:vAlign w:val="center"/>
          </w:tcPr>
          <w:p w14:paraId="5C560512">
            <w:pPr>
              <w:pStyle w:val="1535"/>
            </w:pPr>
            <w:r>
              <w:t>集中居住区，300户，约1000人</w:t>
            </w:r>
          </w:p>
        </w:tc>
      </w:tr>
      <w:tr w14:paraId="1FDB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A11EBED">
            <w:pPr>
              <w:pStyle w:val="1535"/>
            </w:pPr>
          </w:p>
        </w:tc>
        <w:tc>
          <w:tcPr>
            <w:tcW w:w="283" w:type="pct"/>
            <w:noWrap/>
            <w:vAlign w:val="center"/>
          </w:tcPr>
          <w:p w14:paraId="1C94D5D1">
            <w:pPr>
              <w:pStyle w:val="1535"/>
            </w:pPr>
            <w:r>
              <w:t>22</w:t>
            </w:r>
          </w:p>
        </w:tc>
        <w:tc>
          <w:tcPr>
            <w:tcW w:w="796" w:type="pct"/>
            <w:noWrap/>
            <w:vAlign w:val="center"/>
          </w:tcPr>
          <w:p w14:paraId="14DB6A00">
            <w:pPr>
              <w:pStyle w:val="1535"/>
            </w:pPr>
            <w:r>
              <w:t>澎湖花园南区</w:t>
            </w:r>
          </w:p>
        </w:tc>
        <w:tc>
          <w:tcPr>
            <w:tcW w:w="614" w:type="pct"/>
            <w:noWrap/>
            <w:vAlign w:val="center"/>
          </w:tcPr>
          <w:p w14:paraId="407E48E2">
            <w:pPr>
              <w:pStyle w:val="1535"/>
            </w:pPr>
            <w:r>
              <w:t>SE</w:t>
            </w:r>
          </w:p>
        </w:tc>
        <w:tc>
          <w:tcPr>
            <w:tcW w:w="614" w:type="pct"/>
            <w:noWrap/>
            <w:vAlign w:val="center"/>
          </w:tcPr>
          <w:p w14:paraId="47BED97F">
            <w:pPr>
              <w:pStyle w:val="1535"/>
            </w:pPr>
            <w:r>
              <w:t>2847</w:t>
            </w:r>
          </w:p>
        </w:tc>
        <w:tc>
          <w:tcPr>
            <w:tcW w:w="768" w:type="pct"/>
            <w:noWrap/>
            <w:vAlign w:val="center"/>
          </w:tcPr>
          <w:p w14:paraId="7FAABD57">
            <w:pPr>
              <w:pStyle w:val="1535"/>
            </w:pPr>
            <w:r>
              <w:t>居住区</w:t>
            </w:r>
          </w:p>
        </w:tc>
        <w:tc>
          <w:tcPr>
            <w:tcW w:w="1471" w:type="pct"/>
            <w:noWrap/>
            <w:vAlign w:val="center"/>
          </w:tcPr>
          <w:p w14:paraId="542EBB80">
            <w:pPr>
              <w:pStyle w:val="1535"/>
            </w:pPr>
            <w:r>
              <w:t>集中居住区，300户，约1000人</w:t>
            </w:r>
          </w:p>
        </w:tc>
      </w:tr>
      <w:tr w14:paraId="3C31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53DD9F96">
            <w:pPr>
              <w:pStyle w:val="1535"/>
            </w:pPr>
          </w:p>
        </w:tc>
        <w:tc>
          <w:tcPr>
            <w:tcW w:w="283" w:type="pct"/>
            <w:noWrap/>
            <w:vAlign w:val="center"/>
          </w:tcPr>
          <w:p w14:paraId="7840330D">
            <w:pPr>
              <w:pStyle w:val="1535"/>
            </w:pPr>
            <w:r>
              <w:t>23</w:t>
            </w:r>
          </w:p>
        </w:tc>
        <w:tc>
          <w:tcPr>
            <w:tcW w:w="796" w:type="pct"/>
            <w:noWrap/>
            <w:vAlign w:val="center"/>
          </w:tcPr>
          <w:p w14:paraId="51F379B3">
            <w:pPr>
              <w:pStyle w:val="1535"/>
            </w:pPr>
            <w:r>
              <w:t>七星恋城</w:t>
            </w:r>
          </w:p>
        </w:tc>
        <w:tc>
          <w:tcPr>
            <w:tcW w:w="614" w:type="pct"/>
            <w:noWrap/>
            <w:vAlign w:val="center"/>
          </w:tcPr>
          <w:p w14:paraId="0490AB29">
            <w:pPr>
              <w:pStyle w:val="1535"/>
            </w:pPr>
            <w:r>
              <w:t>SE</w:t>
            </w:r>
          </w:p>
        </w:tc>
        <w:tc>
          <w:tcPr>
            <w:tcW w:w="614" w:type="pct"/>
            <w:noWrap/>
            <w:vAlign w:val="center"/>
          </w:tcPr>
          <w:p w14:paraId="3D030349">
            <w:pPr>
              <w:pStyle w:val="1535"/>
            </w:pPr>
            <w:r>
              <w:t>2848</w:t>
            </w:r>
          </w:p>
        </w:tc>
        <w:tc>
          <w:tcPr>
            <w:tcW w:w="768" w:type="pct"/>
            <w:noWrap/>
            <w:vAlign w:val="center"/>
          </w:tcPr>
          <w:p w14:paraId="37A1D49F">
            <w:pPr>
              <w:pStyle w:val="1535"/>
            </w:pPr>
            <w:r>
              <w:t>居住区</w:t>
            </w:r>
          </w:p>
        </w:tc>
        <w:tc>
          <w:tcPr>
            <w:tcW w:w="1471" w:type="pct"/>
            <w:noWrap/>
            <w:vAlign w:val="center"/>
          </w:tcPr>
          <w:p w14:paraId="5666AE14">
            <w:pPr>
              <w:pStyle w:val="1535"/>
            </w:pPr>
            <w:r>
              <w:t>集中居住区，200户，约600人</w:t>
            </w:r>
          </w:p>
        </w:tc>
      </w:tr>
      <w:tr w14:paraId="617C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428D3FED">
            <w:pPr>
              <w:pStyle w:val="1535"/>
            </w:pPr>
          </w:p>
        </w:tc>
        <w:tc>
          <w:tcPr>
            <w:tcW w:w="283" w:type="pct"/>
            <w:noWrap/>
            <w:vAlign w:val="center"/>
          </w:tcPr>
          <w:p w14:paraId="3FDA4A14">
            <w:pPr>
              <w:pStyle w:val="1535"/>
            </w:pPr>
            <w:r>
              <w:t>24</w:t>
            </w:r>
          </w:p>
        </w:tc>
        <w:tc>
          <w:tcPr>
            <w:tcW w:w="796" w:type="pct"/>
            <w:noWrap/>
            <w:vAlign w:val="center"/>
          </w:tcPr>
          <w:p w14:paraId="3458B915">
            <w:pPr>
              <w:pStyle w:val="1535"/>
            </w:pPr>
            <w:r>
              <w:t>怡心苑B区</w:t>
            </w:r>
          </w:p>
        </w:tc>
        <w:tc>
          <w:tcPr>
            <w:tcW w:w="614" w:type="pct"/>
            <w:noWrap/>
            <w:vAlign w:val="center"/>
          </w:tcPr>
          <w:p w14:paraId="4AC12FF9">
            <w:pPr>
              <w:pStyle w:val="1535"/>
            </w:pPr>
            <w:r>
              <w:t>SE</w:t>
            </w:r>
          </w:p>
        </w:tc>
        <w:tc>
          <w:tcPr>
            <w:tcW w:w="614" w:type="pct"/>
            <w:noWrap/>
            <w:vAlign w:val="center"/>
          </w:tcPr>
          <w:p w14:paraId="705A3906">
            <w:pPr>
              <w:pStyle w:val="1535"/>
            </w:pPr>
            <w:r>
              <w:t>2953</w:t>
            </w:r>
          </w:p>
        </w:tc>
        <w:tc>
          <w:tcPr>
            <w:tcW w:w="768" w:type="pct"/>
            <w:noWrap/>
            <w:vAlign w:val="center"/>
          </w:tcPr>
          <w:p w14:paraId="504A85A7">
            <w:pPr>
              <w:pStyle w:val="1535"/>
            </w:pPr>
            <w:r>
              <w:t>居住区</w:t>
            </w:r>
          </w:p>
        </w:tc>
        <w:tc>
          <w:tcPr>
            <w:tcW w:w="1471" w:type="pct"/>
            <w:noWrap/>
            <w:vAlign w:val="center"/>
          </w:tcPr>
          <w:p w14:paraId="55F635DA">
            <w:pPr>
              <w:pStyle w:val="1535"/>
            </w:pPr>
            <w:r>
              <w:t>集中居住区，100户，约300人</w:t>
            </w:r>
          </w:p>
        </w:tc>
      </w:tr>
      <w:tr w14:paraId="0775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0CA0639B">
            <w:pPr>
              <w:pStyle w:val="1535"/>
            </w:pPr>
          </w:p>
        </w:tc>
        <w:tc>
          <w:tcPr>
            <w:tcW w:w="283" w:type="pct"/>
            <w:noWrap/>
            <w:vAlign w:val="center"/>
          </w:tcPr>
          <w:p w14:paraId="0019EEE7">
            <w:pPr>
              <w:pStyle w:val="1535"/>
            </w:pPr>
            <w:r>
              <w:t>25</w:t>
            </w:r>
          </w:p>
        </w:tc>
        <w:tc>
          <w:tcPr>
            <w:tcW w:w="796" w:type="pct"/>
            <w:noWrap/>
            <w:vAlign w:val="center"/>
          </w:tcPr>
          <w:p w14:paraId="7DEED33B">
            <w:pPr>
              <w:pStyle w:val="1535"/>
            </w:pPr>
            <w:r>
              <w:t>怡心小区</w:t>
            </w:r>
          </w:p>
        </w:tc>
        <w:tc>
          <w:tcPr>
            <w:tcW w:w="614" w:type="pct"/>
            <w:noWrap/>
            <w:vAlign w:val="center"/>
          </w:tcPr>
          <w:p w14:paraId="4E2A6AEE">
            <w:pPr>
              <w:pStyle w:val="1535"/>
            </w:pPr>
            <w:r>
              <w:t>SE</w:t>
            </w:r>
          </w:p>
        </w:tc>
        <w:tc>
          <w:tcPr>
            <w:tcW w:w="614" w:type="pct"/>
            <w:noWrap/>
            <w:vAlign w:val="center"/>
          </w:tcPr>
          <w:p w14:paraId="4C5514B0">
            <w:pPr>
              <w:pStyle w:val="1535"/>
            </w:pPr>
            <w:r>
              <w:t>2900</w:t>
            </w:r>
          </w:p>
        </w:tc>
        <w:tc>
          <w:tcPr>
            <w:tcW w:w="768" w:type="pct"/>
            <w:noWrap/>
            <w:vAlign w:val="center"/>
          </w:tcPr>
          <w:p w14:paraId="770770D0">
            <w:pPr>
              <w:pStyle w:val="1535"/>
            </w:pPr>
            <w:r>
              <w:t>居住区</w:t>
            </w:r>
          </w:p>
        </w:tc>
        <w:tc>
          <w:tcPr>
            <w:tcW w:w="1471" w:type="pct"/>
            <w:noWrap/>
            <w:vAlign w:val="center"/>
          </w:tcPr>
          <w:p w14:paraId="737FC356">
            <w:pPr>
              <w:pStyle w:val="1535"/>
            </w:pPr>
            <w:r>
              <w:t>集中居住区，200户，约600人</w:t>
            </w:r>
          </w:p>
        </w:tc>
      </w:tr>
      <w:tr w14:paraId="1FFB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480BD55B">
            <w:pPr>
              <w:pStyle w:val="1535"/>
            </w:pPr>
          </w:p>
        </w:tc>
        <w:tc>
          <w:tcPr>
            <w:tcW w:w="283" w:type="pct"/>
            <w:noWrap/>
            <w:vAlign w:val="center"/>
          </w:tcPr>
          <w:p w14:paraId="0904CE17">
            <w:pPr>
              <w:pStyle w:val="1535"/>
            </w:pPr>
            <w:r>
              <w:t>26</w:t>
            </w:r>
          </w:p>
        </w:tc>
        <w:tc>
          <w:tcPr>
            <w:tcW w:w="796" w:type="pct"/>
            <w:noWrap/>
            <w:vAlign w:val="center"/>
          </w:tcPr>
          <w:p w14:paraId="18630D84">
            <w:pPr>
              <w:pStyle w:val="1535"/>
            </w:pPr>
            <w:r>
              <w:t>铝城小学</w:t>
            </w:r>
          </w:p>
        </w:tc>
        <w:tc>
          <w:tcPr>
            <w:tcW w:w="614" w:type="pct"/>
            <w:noWrap/>
            <w:vAlign w:val="center"/>
          </w:tcPr>
          <w:p w14:paraId="2B0A4D88">
            <w:pPr>
              <w:pStyle w:val="1535"/>
            </w:pPr>
            <w:r>
              <w:t>SE</w:t>
            </w:r>
          </w:p>
        </w:tc>
        <w:tc>
          <w:tcPr>
            <w:tcW w:w="614" w:type="pct"/>
            <w:noWrap/>
            <w:vAlign w:val="center"/>
          </w:tcPr>
          <w:p w14:paraId="454D264F">
            <w:pPr>
              <w:pStyle w:val="1535"/>
            </w:pPr>
            <w:r>
              <w:t>2919</w:t>
            </w:r>
          </w:p>
        </w:tc>
        <w:tc>
          <w:tcPr>
            <w:tcW w:w="768" w:type="pct"/>
            <w:noWrap/>
            <w:vAlign w:val="center"/>
          </w:tcPr>
          <w:p w14:paraId="3BC37E9D">
            <w:pPr>
              <w:pStyle w:val="1535"/>
            </w:pPr>
            <w:r>
              <w:t>学校</w:t>
            </w:r>
          </w:p>
        </w:tc>
        <w:tc>
          <w:tcPr>
            <w:tcW w:w="1471" w:type="pct"/>
            <w:noWrap/>
            <w:vAlign w:val="center"/>
          </w:tcPr>
          <w:p w14:paraId="55DD25AD">
            <w:pPr>
              <w:pStyle w:val="1535"/>
            </w:pPr>
            <w:r>
              <w:t>师生800人</w:t>
            </w:r>
          </w:p>
        </w:tc>
      </w:tr>
      <w:tr w14:paraId="52F4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02E4D481">
            <w:pPr>
              <w:pStyle w:val="1535"/>
            </w:pPr>
          </w:p>
        </w:tc>
        <w:tc>
          <w:tcPr>
            <w:tcW w:w="283" w:type="pct"/>
            <w:noWrap/>
            <w:vAlign w:val="center"/>
          </w:tcPr>
          <w:p w14:paraId="1FB8FABC">
            <w:pPr>
              <w:pStyle w:val="1535"/>
            </w:pPr>
            <w:r>
              <w:t>27</w:t>
            </w:r>
          </w:p>
        </w:tc>
        <w:tc>
          <w:tcPr>
            <w:tcW w:w="796" w:type="pct"/>
            <w:noWrap/>
            <w:vAlign w:val="center"/>
          </w:tcPr>
          <w:p w14:paraId="1677B5AD">
            <w:pPr>
              <w:pStyle w:val="1535"/>
            </w:pPr>
            <w:r>
              <w:t>宏达阳光幼儿园</w:t>
            </w:r>
          </w:p>
        </w:tc>
        <w:tc>
          <w:tcPr>
            <w:tcW w:w="614" w:type="pct"/>
            <w:noWrap/>
            <w:vAlign w:val="center"/>
          </w:tcPr>
          <w:p w14:paraId="09815AE2">
            <w:pPr>
              <w:pStyle w:val="1535"/>
            </w:pPr>
            <w:r>
              <w:t>SE</w:t>
            </w:r>
          </w:p>
        </w:tc>
        <w:tc>
          <w:tcPr>
            <w:tcW w:w="614" w:type="pct"/>
            <w:noWrap/>
            <w:vAlign w:val="center"/>
          </w:tcPr>
          <w:p w14:paraId="428849F2">
            <w:pPr>
              <w:pStyle w:val="1535"/>
            </w:pPr>
            <w:r>
              <w:t>2905</w:t>
            </w:r>
          </w:p>
        </w:tc>
        <w:tc>
          <w:tcPr>
            <w:tcW w:w="768" w:type="pct"/>
            <w:noWrap/>
            <w:vAlign w:val="center"/>
          </w:tcPr>
          <w:p w14:paraId="0189AB73">
            <w:pPr>
              <w:pStyle w:val="1535"/>
            </w:pPr>
            <w:r>
              <w:t>学校</w:t>
            </w:r>
          </w:p>
        </w:tc>
        <w:tc>
          <w:tcPr>
            <w:tcW w:w="1471" w:type="pct"/>
            <w:noWrap/>
            <w:vAlign w:val="center"/>
          </w:tcPr>
          <w:p w14:paraId="198308C9">
            <w:pPr>
              <w:pStyle w:val="1535"/>
            </w:pPr>
            <w:r>
              <w:t>师生300人</w:t>
            </w:r>
          </w:p>
        </w:tc>
      </w:tr>
      <w:tr w14:paraId="04D2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14AB9465">
            <w:pPr>
              <w:pStyle w:val="1535"/>
            </w:pPr>
          </w:p>
        </w:tc>
        <w:tc>
          <w:tcPr>
            <w:tcW w:w="283" w:type="pct"/>
            <w:noWrap/>
            <w:vAlign w:val="center"/>
          </w:tcPr>
          <w:p w14:paraId="1568A82F">
            <w:pPr>
              <w:pStyle w:val="1535"/>
            </w:pPr>
            <w:r>
              <w:t>28</w:t>
            </w:r>
          </w:p>
        </w:tc>
        <w:tc>
          <w:tcPr>
            <w:tcW w:w="796" w:type="pct"/>
            <w:noWrap/>
            <w:vAlign w:val="center"/>
          </w:tcPr>
          <w:p w14:paraId="6B08BD1B">
            <w:pPr>
              <w:pStyle w:val="1535"/>
            </w:pPr>
            <w:r>
              <w:t>聚星宏苑</w:t>
            </w:r>
          </w:p>
        </w:tc>
        <w:tc>
          <w:tcPr>
            <w:tcW w:w="614" w:type="pct"/>
            <w:noWrap/>
            <w:vAlign w:val="center"/>
          </w:tcPr>
          <w:p w14:paraId="494BB130">
            <w:pPr>
              <w:pStyle w:val="1535"/>
            </w:pPr>
            <w:r>
              <w:t>SE</w:t>
            </w:r>
          </w:p>
        </w:tc>
        <w:tc>
          <w:tcPr>
            <w:tcW w:w="614" w:type="pct"/>
            <w:noWrap/>
            <w:vAlign w:val="center"/>
          </w:tcPr>
          <w:p w14:paraId="77D96C5B">
            <w:pPr>
              <w:pStyle w:val="1535"/>
            </w:pPr>
            <w:r>
              <w:t>2713</w:t>
            </w:r>
          </w:p>
        </w:tc>
        <w:tc>
          <w:tcPr>
            <w:tcW w:w="768" w:type="pct"/>
            <w:noWrap/>
            <w:vAlign w:val="center"/>
          </w:tcPr>
          <w:p w14:paraId="6B1ECACE">
            <w:pPr>
              <w:pStyle w:val="1535"/>
            </w:pPr>
            <w:r>
              <w:t>居住区</w:t>
            </w:r>
          </w:p>
        </w:tc>
        <w:tc>
          <w:tcPr>
            <w:tcW w:w="1471" w:type="pct"/>
            <w:noWrap/>
            <w:vAlign w:val="center"/>
          </w:tcPr>
          <w:p w14:paraId="17572278">
            <w:pPr>
              <w:pStyle w:val="1535"/>
            </w:pPr>
            <w:r>
              <w:t>集中居住区，200户，约600人</w:t>
            </w:r>
          </w:p>
        </w:tc>
      </w:tr>
      <w:tr w14:paraId="7DE0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0C9B1C35">
            <w:pPr>
              <w:pStyle w:val="1535"/>
            </w:pPr>
          </w:p>
        </w:tc>
        <w:tc>
          <w:tcPr>
            <w:tcW w:w="283" w:type="pct"/>
            <w:noWrap/>
            <w:vAlign w:val="center"/>
          </w:tcPr>
          <w:p w14:paraId="3595E7F5">
            <w:pPr>
              <w:pStyle w:val="1535"/>
            </w:pPr>
            <w:r>
              <w:t>29</w:t>
            </w:r>
          </w:p>
        </w:tc>
        <w:tc>
          <w:tcPr>
            <w:tcW w:w="796" w:type="pct"/>
            <w:noWrap/>
            <w:vAlign w:val="center"/>
          </w:tcPr>
          <w:p w14:paraId="52F07F83">
            <w:pPr>
              <w:pStyle w:val="1535"/>
            </w:pPr>
            <w:r>
              <w:t>星光名都</w:t>
            </w:r>
          </w:p>
        </w:tc>
        <w:tc>
          <w:tcPr>
            <w:tcW w:w="614" w:type="pct"/>
            <w:noWrap/>
            <w:vAlign w:val="center"/>
          </w:tcPr>
          <w:p w14:paraId="6F58B8CD">
            <w:pPr>
              <w:pStyle w:val="1535"/>
            </w:pPr>
            <w:r>
              <w:t>SE</w:t>
            </w:r>
          </w:p>
        </w:tc>
        <w:tc>
          <w:tcPr>
            <w:tcW w:w="614" w:type="pct"/>
            <w:noWrap/>
            <w:vAlign w:val="center"/>
          </w:tcPr>
          <w:p w14:paraId="39B6861C">
            <w:pPr>
              <w:pStyle w:val="1535"/>
            </w:pPr>
            <w:r>
              <w:t>2924</w:t>
            </w:r>
          </w:p>
        </w:tc>
        <w:tc>
          <w:tcPr>
            <w:tcW w:w="768" w:type="pct"/>
            <w:noWrap/>
            <w:vAlign w:val="center"/>
          </w:tcPr>
          <w:p w14:paraId="2A43C0E8">
            <w:pPr>
              <w:pStyle w:val="1535"/>
            </w:pPr>
            <w:r>
              <w:t>居住区</w:t>
            </w:r>
          </w:p>
        </w:tc>
        <w:tc>
          <w:tcPr>
            <w:tcW w:w="1471" w:type="pct"/>
            <w:noWrap/>
            <w:vAlign w:val="center"/>
          </w:tcPr>
          <w:p w14:paraId="044C4ADE">
            <w:pPr>
              <w:pStyle w:val="1535"/>
            </w:pPr>
            <w:r>
              <w:t>集中居住区，300户，约1000人</w:t>
            </w:r>
          </w:p>
        </w:tc>
      </w:tr>
      <w:tr w14:paraId="2C83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36B80850">
            <w:pPr>
              <w:pStyle w:val="1535"/>
            </w:pPr>
          </w:p>
        </w:tc>
        <w:tc>
          <w:tcPr>
            <w:tcW w:w="283" w:type="pct"/>
            <w:noWrap/>
            <w:vAlign w:val="center"/>
          </w:tcPr>
          <w:p w14:paraId="4D23C618">
            <w:pPr>
              <w:pStyle w:val="1535"/>
            </w:pPr>
            <w:r>
              <w:t>30</w:t>
            </w:r>
          </w:p>
        </w:tc>
        <w:tc>
          <w:tcPr>
            <w:tcW w:w="796" w:type="pct"/>
            <w:noWrap/>
            <w:vAlign w:val="center"/>
          </w:tcPr>
          <w:p w14:paraId="7073692C">
            <w:pPr>
              <w:pStyle w:val="1535"/>
            </w:pPr>
            <w:r>
              <w:t>帝景豪苑</w:t>
            </w:r>
          </w:p>
        </w:tc>
        <w:tc>
          <w:tcPr>
            <w:tcW w:w="614" w:type="pct"/>
            <w:noWrap/>
            <w:vAlign w:val="center"/>
          </w:tcPr>
          <w:p w14:paraId="1696B0C0">
            <w:pPr>
              <w:pStyle w:val="1535"/>
            </w:pPr>
            <w:r>
              <w:t>SE</w:t>
            </w:r>
          </w:p>
        </w:tc>
        <w:tc>
          <w:tcPr>
            <w:tcW w:w="614" w:type="pct"/>
            <w:noWrap/>
            <w:vAlign w:val="center"/>
          </w:tcPr>
          <w:p w14:paraId="2E0781A7">
            <w:pPr>
              <w:pStyle w:val="1535"/>
            </w:pPr>
            <w:r>
              <w:t>2960</w:t>
            </w:r>
          </w:p>
        </w:tc>
        <w:tc>
          <w:tcPr>
            <w:tcW w:w="768" w:type="pct"/>
            <w:noWrap/>
            <w:vAlign w:val="center"/>
          </w:tcPr>
          <w:p w14:paraId="7105BD94">
            <w:pPr>
              <w:pStyle w:val="1535"/>
            </w:pPr>
            <w:r>
              <w:t>居住区</w:t>
            </w:r>
          </w:p>
        </w:tc>
        <w:tc>
          <w:tcPr>
            <w:tcW w:w="1471" w:type="pct"/>
            <w:noWrap/>
            <w:vAlign w:val="center"/>
          </w:tcPr>
          <w:p w14:paraId="0446D5C6">
            <w:pPr>
              <w:pStyle w:val="1535"/>
            </w:pPr>
            <w:r>
              <w:t>集中居住区，400户，约1200人</w:t>
            </w:r>
          </w:p>
        </w:tc>
      </w:tr>
      <w:tr w14:paraId="3A2D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54CCAF36">
            <w:pPr>
              <w:pStyle w:val="1535"/>
            </w:pPr>
          </w:p>
        </w:tc>
        <w:tc>
          <w:tcPr>
            <w:tcW w:w="283" w:type="pct"/>
            <w:noWrap/>
            <w:vAlign w:val="center"/>
          </w:tcPr>
          <w:p w14:paraId="4B6A9517">
            <w:pPr>
              <w:pStyle w:val="1535"/>
            </w:pPr>
            <w:r>
              <w:t>31</w:t>
            </w:r>
          </w:p>
        </w:tc>
        <w:tc>
          <w:tcPr>
            <w:tcW w:w="796" w:type="pct"/>
            <w:noWrap/>
            <w:vAlign w:val="center"/>
          </w:tcPr>
          <w:p w14:paraId="52E67177">
            <w:pPr>
              <w:pStyle w:val="1535"/>
            </w:pPr>
            <w:r>
              <w:t>皇冠假日</w:t>
            </w:r>
          </w:p>
        </w:tc>
        <w:tc>
          <w:tcPr>
            <w:tcW w:w="614" w:type="pct"/>
            <w:noWrap/>
            <w:vAlign w:val="center"/>
          </w:tcPr>
          <w:p w14:paraId="6D9BC176">
            <w:pPr>
              <w:pStyle w:val="1535"/>
            </w:pPr>
            <w:r>
              <w:t>SE</w:t>
            </w:r>
          </w:p>
        </w:tc>
        <w:tc>
          <w:tcPr>
            <w:tcW w:w="614" w:type="pct"/>
            <w:noWrap/>
            <w:vAlign w:val="center"/>
          </w:tcPr>
          <w:p w14:paraId="0B59C6E7">
            <w:pPr>
              <w:pStyle w:val="1535"/>
            </w:pPr>
            <w:r>
              <w:t>2945</w:t>
            </w:r>
          </w:p>
        </w:tc>
        <w:tc>
          <w:tcPr>
            <w:tcW w:w="768" w:type="pct"/>
            <w:noWrap/>
            <w:vAlign w:val="center"/>
          </w:tcPr>
          <w:p w14:paraId="0E30494A">
            <w:pPr>
              <w:pStyle w:val="1535"/>
            </w:pPr>
            <w:r>
              <w:t>居住区</w:t>
            </w:r>
          </w:p>
        </w:tc>
        <w:tc>
          <w:tcPr>
            <w:tcW w:w="1471" w:type="pct"/>
            <w:noWrap/>
            <w:vAlign w:val="center"/>
          </w:tcPr>
          <w:p w14:paraId="6D78464A">
            <w:pPr>
              <w:pStyle w:val="1535"/>
            </w:pPr>
            <w:r>
              <w:t>集中居住区，300户，约1000人</w:t>
            </w:r>
          </w:p>
        </w:tc>
      </w:tr>
      <w:tr w14:paraId="59B4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E3DBB69">
            <w:pPr>
              <w:pStyle w:val="1535"/>
            </w:pPr>
          </w:p>
        </w:tc>
        <w:tc>
          <w:tcPr>
            <w:tcW w:w="283" w:type="pct"/>
            <w:noWrap/>
            <w:vAlign w:val="center"/>
          </w:tcPr>
          <w:p w14:paraId="214B9FBC">
            <w:pPr>
              <w:pStyle w:val="1535"/>
            </w:pPr>
            <w:r>
              <w:t>32</w:t>
            </w:r>
          </w:p>
        </w:tc>
        <w:tc>
          <w:tcPr>
            <w:tcW w:w="796" w:type="pct"/>
            <w:noWrap/>
            <w:vAlign w:val="center"/>
          </w:tcPr>
          <w:p w14:paraId="6D3BBB0C">
            <w:pPr>
              <w:pStyle w:val="1535"/>
            </w:pPr>
            <w:r>
              <w:t>红苗幼儿园</w:t>
            </w:r>
          </w:p>
        </w:tc>
        <w:tc>
          <w:tcPr>
            <w:tcW w:w="614" w:type="pct"/>
            <w:noWrap/>
            <w:vAlign w:val="center"/>
          </w:tcPr>
          <w:p w14:paraId="2783ADB4">
            <w:pPr>
              <w:pStyle w:val="1535"/>
            </w:pPr>
            <w:r>
              <w:t>SE</w:t>
            </w:r>
          </w:p>
        </w:tc>
        <w:tc>
          <w:tcPr>
            <w:tcW w:w="614" w:type="pct"/>
            <w:noWrap/>
            <w:vAlign w:val="center"/>
          </w:tcPr>
          <w:p w14:paraId="01AB8D10">
            <w:pPr>
              <w:pStyle w:val="1535"/>
            </w:pPr>
            <w:r>
              <w:t>2699</w:t>
            </w:r>
          </w:p>
        </w:tc>
        <w:tc>
          <w:tcPr>
            <w:tcW w:w="768" w:type="pct"/>
            <w:noWrap/>
            <w:vAlign w:val="center"/>
          </w:tcPr>
          <w:p w14:paraId="2D4F5AE8">
            <w:pPr>
              <w:pStyle w:val="1535"/>
            </w:pPr>
            <w:r>
              <w:t>学校</w:t>
            </w:r>
          </w:p>
        </w:tc>
        <w:tc>
          <w:tcPr>
            <w:tcW w:w="1471" w:type="pct"/>
            <w:noWrap/>
            <w:vAlign w:val="center"/>
          </w:tcPr>
          <w:p w14:paraId="585F43AF">
            <w:pPr>
              <w:pStyle w:val="1535"/>
            </w:pPr>
            <w:r>
              <w:t>师生300人</w:t>
            </w:r>
          </w:p>
        </w:tc>
      </w:tr>
      <w:tr w14:paraId="1CD0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ABC26A8">
            <w:pPr>
              <w:pStyle w:val="1535"/>
            </w:pPr>
          </w:p>
        </w:tc>
        <w:tc>
          <w:tcPr>
            <w:tcW w:w="283" w:type="pct"/>
            <w:noWrap/>
            <w:vAlign w:val="center"/>
          </w:tcPr>
          <w:p w14:paraId="1F23FEFB">
            <w:pPr>
              <w:pStyle w:val="1535"/>
            </w:pPr>
            <w:r>
              <w:t>33</w:t>
            </w:r>
          </w:p>
        </w:tc>
        <w:tc>
          <w:tcPr>
            <w:tcW w:w="796" w:type="pct"/>
            <w:noWrap/>
            <w:vAlign w:val="center"/>
          </w:tcPr>
          <w:p w14:paraId="42F9B814">
            <w:pPr>
              <w:pStyle w:val="1535"/>
            </w:pPr>
            <w:r>
              <w:t>北京城建熙城</w:t>
            </w:r>
          </w:p>
        </w:tc>
        <w:tc>
          <w:tcPr>
            <w:tcW w:w="614" w:type="pct"/>
            <w:noWrap/>
            <w:vAlign w:val="center"/>
          </w:tcPr>
          <w:p w14:paraId="0117A964">
            <w:pPr>
              <w:pStyle w:val="1535"/>
            </w:pPr>
            <w:r>
              <w:t>SE</w:t>
            </w:r>
          </w:p>
        </w:tc>
        <w:tc>
          <w:tcPr>
            <w:tcW w:w="614" w:type="pct"/>
            <w:noWrap/>
            <w:vAlign w:val="center"/>
          </w:tcPr>
          <w:p w14:paraId="03CA17CE">
            <w:pPr>
              <w:pStyle w:val="1535"/>
            </w:pPr>
            <w:r>
              <w:t>2717</w:t>
            </w:r>
          </w:p>
        </w:tc>
        <w:tc>
          <w:tcPr>
            <w:tcW w:w="768" w:type="pct"/>
            <w:noWrap/>
            <w:vAlign w:val="center"/>
          </w:tcPr>
          <w:p w14:paraId="7AFFEF55">
            <w:pPr>
              <w:pStyle w:val="1535"/>
            </w:pPr>
            <w:r>
              <w:t>居住区</w:t>
            </w:r>
          </w:p>
        </w:tc>
        <w:tc>
          <w:tcPr>
            <w:tcW w:w="1471" w:type="pct"/>
            <w:noWrap/>
            <w:vAlign w:val="center"/>
          </w:tcPr>
          <w:p w14:paraId="478D8FBD">
            <w:pPr>
              <w:pStyle w:val="1535"/>
            </w:pPr>
            <w:r>
              <w:t>集中居住区，350户，约1100人</w:t>
            </w:r>
          </w:p>
        </w:tc>
      </w:tr>
      <w:tr w14:paraId="3CD7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8E7B110">
            <w:pPr>
              <w:pStyle w:val="1535"/>
            </w:pPr>
          </w:p>
        </w:tc>
        <w:tc>
          <w:tcPr>
            <w:tcW w:w="283" w:type="pct"/>
            <w:noWrap/>
            <w:vAlign w:val="center"/>
          </w:tcPr>
          <w:p w14:paraId="6B80B110">
            <w:pPr>
              <w:pStyle w:val="1535"/>
            </w:pPr>
            <w:r>
              <w:t>34</w:t>
            </w:r>
          </w:p>
        </w:tc>
        <w:tc>
          <w:tcPr>
            <w:tcW w:w="796" w:type="pct"/>
            <w:noWrap/>
            <w:vAlign w:val="center"/>
          </w:tcPr>
          <w:p w14:paraId="4315B590">
            <w:pPr>
              <w:pStyle w:val="1535"/>
            </w:pPr>
            <w:r>
              <w:t>瓦窑溪小区</w:t>
            </w:r>
          </w:p>
        </w:tc>
        <w:tc>
          <w:tcPr>
            <w:tcW w:w="614" w:type="pct"/>
            <w:noWrap/>
            <w:vAlign w:val="center"/>
          </w:tcPr>
          <w:p w14:paraId="32E32DCE">
            <w:pPr>
              <w:pStyle w:val="1535"/>
            </w:pPr>
            <w:r>
              <w:t>SE</w:t>
            </w:r>
          </w:p>
        </w:tc>
        <w:tc>
          <w:tcPr>
            <w:tcW w:w="614" w:type="pct"/>
            <w:noWrap/>
            <w:vAlign w:val="center"/>
          </w:tcPr>
          <w:p w14:paraId="5060FF2B">
            <w:pPr>
              <w:pStyle w:val="1535"/>
            </w:pPr>
            <w:r>
              <w:t>2477</w:t>
            </w:r>
          </w:p>
        </w:tc>
        <w:tc>
          <w:tcPr>
            <w:tcW w:w="768" w:type="pct"/>
            <w:noWrap/>
            <w:vAlign w:val="center"/>
          </w:tcPr>
          <w:p w14:paraId="3429EB77">
            <w:pPr>
              <w:pStyle w:val="1535"/>
            </w:pPr>
            <w:r>
              <w:t>居住区</w:t>
            </w:r>
          </w:p>
        </w:tc>
        <w:tc>
          <w:tcPr>
            <w:tcW w:w="1471" w:type="pct"/>
            <w:noWrap/>
            <w:vAlign w:val="center"/>
          </w:tcPr>
          <w:p w14:paraId="473AFBB6">
            <w:pPr>
              <w:pStyle w:val="1535"/>
            </w:pPr>
            <w:r>
              <w:t>集中居住区，250户，约900人</w:t>
            </w:r>
          </w:p>
        </w:tc>
      </w:tr>
      <w:tr w14:paraId="5F3D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2CA08BCC">
            <w:pPr>
              <w:pStyle w:val="1535"/>
            </w:pPr>
          </w:p>
        </w:tc>
        <w:tc>
          <w:tcPr>
            <w:tcW w:w="283" w:type="pct"/>
            <w:noWrap/>
            <w:vAlign w:val="center"/>
          </w:tcPr>
          <w:p w14:paraId="261FD047">
            <w:pPr>
              <w:pStyle w:val="1535"/>
            </w:pPr>
            <w:r>
              <w:t>35</w:t>
            </w:r>
          </w:p>
        </w:tc>
        <w:tc>
          <w:tcPr>
            <w:tcW w:w="796" w:type="pct"/>
            <w:noWrap/>
            <w:vAlign w:val="center"/>
          </w:tcPr>
          <w:p w14:paraId="2D85EBFE">
            <w:pPr>
              <w:pStyle w:val="1535"/>
            </w:pPr>
            <w:r>
              <w:t>北京城建御峰二期</w:t>
            </w:r>
          </w:p>
        </w:tc>
        <w:tc>
          <w:tcPr>
            <w:tcW w:w="614" w:type="pct"/>
            <w:noWrap/>
            <w:vAlign w:val="center"/>
          </w:tcPr>
          <w:p w14:paraId="05BB2B98">
            <w:pPr>
              <w:pStyle w:val="1535"/>
            </w:pPr>
            <w:r>
              <w:t>SE</w:t>
            </w:r>
          </w:p>
        </w:tc>
        <w:tc>
          <w:tcPr>
            <w:tcW w:w="614" w:type="pct"/>
            <w:noWrap/>
            <w:vAlign w:val="center"/>
          </w:tcPr>
          <w:p w14:paraId="78842229">
            <w:pPr>
              <w:pStyle w:val="1535"/>
            </w:pPr>
            <w:r>
              <w:t>2550</w:t>
            </w:r>
          </w:p>
        </w:tc>
        <w:tc>
          <w:tcPr>
            <w:tcW w:w="768" w:type="pct"/>
            <w:noWrap/>
            <w:vAlign w:val="center"/>
          </w:tcPr>
          <w:p w14:paraId="001F64BA">
            <w:pPr>
              <w:pStyle w:val="1535"/>
            </w:pPr>
            <w:r>
              <w:t>居住区</w:t>
            </w:r>
          </w:p>
        </w:tc>
        <w:tc>
          <w:tcPr>
            <w:tcW w:w="1471" w:type="pct"/>
            <w:noWrap/>
            <w:vAlign w:val="center"/>
          </w:tcPr>
          <w:p w14:paraId="4F67E15A">
            <w:pPr>
              <w:pStyle w:val="1535"/>
            </w:pPr>
            <w:r>
              <w:t>集中居住区，300户，约1000人</w:t>
            </w:r>
          </w:p>
        </w:tc>
      </w:tr>
      <w:tr w14:paraId="2E0E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45096FFE">
            <w:pPr>
              <w:pStyle w:val="1535"/>
            </w:pPr>
          </w:p>
        </w:tc>
        <w:tc>
          <w:tcPr>
            <w:tcW w:w="283" w:type="pct"/>
            <w:noWrap/>
            <w:vAlign w:val="center"/>
          </w:tcPr>
          <w:p w14:paraId="161A3699">
            <w:pPr>
              <w:pStyle w:val="1535"/>
            </w:pPr>
            <w:r>
              <w:t>36</w:t>
            </w:r>
          </w:p>
        </w:tc>
        <w:tc>
          <w:tcPr>
            <w:tcW w:w="796" w:type="pct"/>
            <w:noWrap/>
            <w:vAlign w:val="center"/>
          </w:tcPr>
          <w:p w14:paraId="06AD3E76">
            <w:pPr>
              <w:pStyle w:val="1535"/>
            </w:pPr>
            <w:r>
              <w:t>森迪时代广场</w:t>
            </w:r>
          </w:p>
        </w:tc>
        <w:tc>
          <w:tcPr>
            <w:tcW w:w="614" w:type="pct"/>
            <w:noWrap/>
            <w:vAlign w:val="center"/>
          </w:tcPr>
          <w:p w14:paraId="3F41F528">
            <w:pPr>
              <w:pStyle w:val="1535"/>
            </w:pPr>
            <w:r>
              <w:t>SE</w:t>
            </w:r>
          </w:p>
        </w:tc>
        <w:tc>
          <w:tcPr>
            <w:tcW w:w="614" w:type="pct"/>
            <w:noWrap/>
            <w:vAlign w:val="center"/>
          </w:tcPr>
          <w:p w14:paraId="6066D386">
            <w:pPr>
              <w:pStyle w:val="1535"/>
            </w:pPr>
            <w:r>
              <w:t>2049</w:t>
            </w:r>
          </w:p>
        </w:tc>
        <w:tc>
          <w:tcPr>
            <w:tcW w:w="768" w:type="pct"/>
            <w:noWrap/>
            <w:vAlign w:val="center"/>
          </w:tcPr>
          <w:p w14:paraId="63CDAD45">
            <w:pPr>
              <w:pStyle w:val="1535"/>
            </w:pPr>
            <w:r>
              <w:t>居住区</w:t>
            </w:r>
          </w:p>
        </w:tc>
        <w:tc>
          <w:tcPr>
            <w:tcW w:w="1471" w:type="pct"/>
            <w:noWrap/>
            <w:vAlign w:val="center"/>
          </w:tcPr>
          <w:p w14:paraId="647D17FD">
            <w:pPr>
              <w:pStyle w:val="1535"/>
            </w:pPr>
            <w:r>
              <w:t>集中居住区，约4480人</w:t>
            </w:r>
          </w:p>
        </w:tc>
      </w:tr>
      <w:tr w14:paraId="5C13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41F5F79">
            <w:pPr>
              <w:pStyle w:val="1535"/>
            </w:pPr>
          </w:p>
        </w:tc>
        <w:tc>
          <w:tcPr>
            <w:tcW w:w="283" w:type="pct"/>
            <w:noWrap/>
            <w:vAlign w:val="center"/>
          </w:tcPr>
          <w:p w14:paraId="729E9340">
            <w:pPr>
              <w:pStyle w:val="1535"/>
            </w:pPr>
            <w:r>
              <w:t>37</w:t>
            </w:r>
          </w:p>
        </w:tc>
        <w:tc>
          <w:tcPr>
            <w:tcW w:w="796" w:type="pct"/>
            <w:noWrap/>
            <w:vAlign w:val="center"/>
          </w:tcPr>
          <w:p w14:paraId="4883E67A">
            <w:pPr>
              <w:pStyle w:val="1535"/>
            </w:pPr>
            <w:r>
              <w:t>响堂村</w:t>
            </w:r>
          </w:p>
        </w:tc>
        <w:tc>
          <w:tcPr>
            <w:tcW w:w="614" w:type="pct"/>
            <w:noWrap/>
            <w:vAlign w:val="center"/>
          </w:tcPr>
          <w:p w14:paraId="072DA347">
            <w:pPr>
              <w:pStyle w:val="1535"/>
            </w:pPr>
            <w:r>
              <w:t>NE</w:t>
            </w:r>
          </w:p>
        </w:tc>
        <w:tc>
          <w:tcPr>
            <w:tcW w:w="614" w:type="pct"/>
            <w:noWrap/>
            <w:vAlign w:val="center"/>
          </w:tcPr>
          <w:p w14:paraId="7CDD7CCF">
            <w:pPr>
              <w:pStyle w:val="1535"/>
            </w:pPr>
            <w:r>
              <w:t>997</w:t>
            </w:r>
          </w:p>
        </w:tc>
        <w:tc>
          <w:tcPr>
            <w:tcW w:w="768" w:type="pct"/>
            <w:noWrap/>
            <w:vAlign w:val="center"/>
          </w:tcPr>
          <w:p w14:paraId="5809FCDF">
            <w:pPr>
              <w:pStyle w:val="1535"/>
            </w:pPr>
            <w:r>
              <w:t>居住区</w:t>
            </w:r>
          </w:p>
        </w:tc>
        <w:tc>
          <w:tcPr>
            <w:tcW w:w="1471" w:type="pct"/>
            <w:noWrap/>
            <w:vAlign w:val="center"/>
          </w:tcPr>
          <w:p w14:paraId="1236D19A">
            <w:pPr>
              <w:pStyle w:val="1535"/>
            </w:pPr>
            <w:r>
              <w:t>农村居住点，200户，约600人</w:t>
            </w:r>
          </w:p>
        </w:tc>
      </w:tr>
      <w:tr w14:paraId="35C0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E759CF1">
            <w:pPr>
              <w:pStyle w:val="1535"/>
            </w:pPr>
          </w:p>
        </w:tc>
        <w:tc>
          <w:tcPr>
            <w:tcW w:w="283" w:type="pct"/>
            <w:noWrap/>
            <w:vAlign w:val="center"/>
          </w:tcPr>
          <w:p w14:paraId="0112C1E4">
            <w:pPr>
              <w:pStyle w:val="1535"/>
            </w:pPr>
            <w:r>
              <w:t>38</w:t>
            </w:r>
          </w:p>
        </w:tc>
        <w:tc>
          <w:tcPr>
            <w:tcW w:w="796" w:type="pct"/>
            <w:noWrap/>
            <w:vAlign w:val="center"/>
          </w:tcPr>
          <w:p w14:paraId="47A4F084">
            <w:pPr>
              <w:pStyle w:val="1535"/>
            </w:pPr>
            <w:r>
              <w:t>真武宫村</w:t>
            </w:r>
          </w:p>
        </w:tc>
        <w:tc>
          <w:tcPr>
            <w:tcW w:w="614" w:type="pct"/>
            <w:noWrap/>
            <w:vAlign w:val="center"/>
          </w:tcPr>
          <w:p w14:paraId="1DABC3A2">
            <w:pPr>
              <w:pStyle w:val="1535"/>
            </w:pPr>
            <w:r>
              <w:t>NE</w:t>
            </w:r>
          </w:p>
        </w:tc>
        <w:tc>
          <w:tcPr>
            <w:tcW w:w="614" w:type="pct"/>
            <w:noWrap/>
            <w:vAlign w:val="center"/>
          </w:tcPr>
          <w:p w14:paraId="617CEE53">
            <w:pPr>
              <w:pStyle w:val="1535"/>
            </w:pPr>
            <w:r>
              <w:t>1665</w:t>
            </w:r>
          </w:p>
        </w:tc>
        <w:tc>
          <w:tcPr>
            <w:tcW w:w="768" w:type="pct"/>
            <w:noWrap/>
            <w:vAlign w:val="center"/>
          </w:tcPr>
          <w:p w14:paraId="10CFC324">
            <w:pPr>
              <w:pStyle w:val="1535"/>
            </w:pPr>
            <w:r>
              <w:t>居住区</w:t>
            </w:r>
          </w:p>
        </w:tc>
        <w:tc>
          <w:tcPr>
            <w:tcW w:w="1471" w:type="pct"/>
            <w:noWrap/>
            <w:vAlign w:val="center"/>
          </w:tcPr>
          <w:p w14:paraId="0D7DFF84">
            <w:pPr>
              <w:pStyle w:val="1535"/>
            </w:pPr>
            <w:r>
              <w:t>农村居住点，160户，约512人</w:t>
            </w:r>
          </w:p>
        </w:tc>
      </w:tr>
      <w:tr w14:paraId="50E0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29199414">
            <w:pPr>
              <w:pStyle w:val="1535"/>
            </w:pPr>
          </w:p>
        </w:tc>
        <w:tc>
          <w:tcPr>
            <w:tcW w:w="283" w:type="pct"/>
            <w:noWrap/>
            <w:vAlign w:val="center"/>
          </w:tcPr>
          <w:p w14:paraId="55529490">
            <w:pPr>
              <w:pStyle w:val="1535"/>
            </w:pPr>
            <w:r>
              <w:t>39</w:t>
            </w:r>
          </w:p>
        </w:tc>
        <w:tc>
          <w:tcPr>
            <w:tcW w:w="796" w:type="pct"/>
            <w:noWrap/>
            <w:vAlign w:val="center"/>
          </w:tcPr>
          <w:p w14:paraId="5C1A3539">
            <w:pPr>
              <w:pStyle w:val="1535"/>
            </w:pPr>
            <w:r>
              <w:t>西彭二小</w:t>
            </w:r>
          </w:p>
        </w:tc>
        <w:tc>
          <w:tcPr>
            <w:tcW w:w="614" w:type="pct"/>
            <w:noWrap/>
            <w:vAlign w:val="center"/>
          </w:tcPr>
          <w:p w14:paraId="7478AE89">
            <w:pPr>
              <w:pStyle w:val="1535"/>
            </w:pPr>
            <w:r>
              <w:t>NE</w:t>
            </w:r>
          </w:p>
        </w:tc>
        <w:tc>
          <w:tcPr>
            <w:tcW w:w="614" w:type="pct"/>
            <w:noWrap/>
            <w:vAlign w:val="center"/>
          </w:tcPr>
          <w:p w14:paraId="54CCAE03">
            <w:pPr>
              <w:pStyle w:val="1535"/>
            </w:pPr>
            <w:r>
              <w:t>2003</w:t>
            </w:r>
          </w:p>
        </w:tc>
        <w:tc>
          <w:tcPr>
            <w:tcW w:w="768" w:type="pct"/>
            <w:noWrap/>
            <w:vAlign w:val="center"/>
          </w:tcPr>
          <w:p w14:paraId="4B3C86D3">
            <w:pPr>
              <w:pStyle w:val="1535"/>
            </w:pPr>
            <w:r>
              <w:t>学校</w:t>
            </w:r>
          </w:p>
        </w:tc>
        <w:tc>
          <w:tcPr>
            <w:tcW w:w="1471" w:type="pct"/>
            <w:noWrap/>
            <w:vAlign w:val="center"/>
          </w:tcPr>
          <w:p w14:paraId="6C0D2F68">
            <w:pPr>
              <w:pStyle w:val="1535"/>
            </w:pPr>
            <w:r>
              <w:t>师生800人</w:t>
            </w:r>
          </w:p>
        </w:tc>
      </w:tr>
      <w:tr w14:paraId="498A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525004DE">
            <w:pPr>
              <w:pStyle w:val="1535"/>
            </w:pPr>
          </w:p>
        </w:tc>
        <w:tc>
          <w:tcPr>
            <w:tcW w:w="283" w:type="pct"/>
            <w:noWrap/>
            <w:vAlign w:val="center"/>
          </w:tcPr>
          <w:p w14:paraId="62D7940F">
            <w:pPr>
              <w:pStyle w:val="1535"/>
            </w:pPr>
            <w:r>
              <w:t>40</w:t>
            </w:r>
          </w:p>
        </w:tc>
        <w:tc>
          <w:tcPr>
            <w:tcW w:w="796" w:type="pct"/>
            <w:noWrap/>
            <w:vAlign w:val="center"/>
          </w:tcPr>
          <w:p w14:paraId="0357F45F">
            <w:pPr>
              <w:pStyle w:val="1535"/>
            </w:pPr>
            <w:r>
              <w:t>西彭镇第二中学校</w:t>
            </w:r>
          </w:p>
        </w:tc>
        <w:tc>
          <w:tcPr>
            <w:tcW w:w="614" w:type="pct"/>
            <w:noWrap/>
            <w:vAlign w:val="center"/>
          </w:tcPr>
          <w:p w14:paraId="604689B8">
            <w:pPr>
              <w:pStyle w:val="1535"/>
            </w:pPr>
            <w:r>
              <w:t>NE</w:t>
            </w:r>
          </w:p>
        </w:tc>
        <w:tc>
          <w:tcPr>
            <w:tcW w:w="614" w:type="pct"/>
            <w:noWrap/>
            <w:vAlign w:val="center"/>
          </w:tcPr>
          <w:p w14:paraId="0D1E544E">
            <w:pPr>
              <w:pStyle w:val="1535"/>
            </w:pPr>
            <w:r>
              <w:t>2163</w:t>
            </w:r>
          </w:p>
        </w:tc>
        <w:tc>
          <w:tcPr>
            <w:tcW w:w="768" w:type="pct"/>
            <w:noWrap/>
            <w:vAlign w:val="center"/>
          </w:tcPr>
          <w:p w14:paraId="5F94DC7F">
            <w:pPr>
              <w:pStyle w:val="1535"/>
            </w:pPr>
            <w:r>
              <w:t>学校</w:t>
            </w:r>
          </w:p>
        </w:tc>
        <w:tc>
          <w:tcPr>
            <w:tcW w:w="1471" w:type="pct"/>
            <w:noWrap/>
            <w:vAlign w:val="center"/>
          </w:tcPr>
          <w:p w14:paraId="6CDBDBC3">
            <w:pPr>
              <w:pStyle w:val="1535"/>
            </w:pPr>
            <w:r>
              <w:t>师生700人</w:t>
            </w:r>
          </w:p>
        </w:tc>
      </w:tr>
      <w:tr w14:paraId="3316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679CF431">
            <w:pPr>
              <w:pStyle w:val="1535"/>
            </w:pPr>
          </w:p>
        </w:tc>
        <w:tc>
          <w:tcPr>
            <w:tcW w:w="283" w:type="pct"/>
            <w:noWrap/>
            <w:vAlign w:val="center"/>
          </w:tcPr>
          <w:p w14:paraId="0B50F689">
            <w:pPr>
              <w:pStyle w:val="1535"/>
            </w:pPr>
            <w:r>
              <w:t>41</w:t>
            </w:r>
          </w:p>
        </w:tc>
        <w:tc>
          <w:tcPr>
            <w:tcW w:w="796" w:type="pct"/>
            <w:noWrap/>
            <w:vAlign w:val="center"/>
          </w:tcPr>
          <w:p w14:paraId="3C0EAD7A">
            <w:pPr>
              <w:pStyle w:val="1535"/>
            </w:pPr>
            <w:r>
              <w:t>康居花园</w:t>
            </w:r>
          </w:p>
        </w:tc>
        <w:tc>
          <w:tcPr>
            <w:tcW w:w="614" w:type="pct"/>
            <w:noWrap/>
            <w:vAlign w:val="center"/>
          </w:tcPr>
          <w:p w14:paraId="1A21F4A5">
            <w:pPr>
              <w:pStyle w:val="1535"/>
            </w:pPr>
            <w:r>
              <w:t>NE</w:t>
            </w:r>
          </w:p>
        </w:tc>
        <w:tc>
          <w:tcPr>
            <w:tcW w:w="614" w:type="pct"/>
            <w:noWrap/>
            <w:vAlign w:val="center"/>
          </w:tcPr>
          <w:p w14:paraId="23B310D2">
            <w:pPr>
              <w:pStyle w:val="1535"/>
            </w:pPr>
            <w:r>
              <w:t>2636</w:t>
            </w:r>
          </w:p>
        </w:tc>
        <w:tc>
          <w:tcPr>
            <w:tcW w:w="768" w:type="pct"/>
            <w:noWrap/>
            <w:vAlign w:val="center"/>
          </w:tcPr>
          <w:p w14:paraId="27990894">
            <w:pPr>
              <w:pStyle w:val="1535"/>
            </w:pPr>
            <w:r>
              <w:t>居住区</w:t>
            </w:r>
          </w:p>
        </w:tc>
        <w:tc>
          <w:tcPr>
            <w:tcW w:w="1471" w:type="pct"/>
            <w:noWrap/>
            <w:vAlign w:val="center"/>
          </w:tcPr>
          <w:p w14:paraId="34EAE9C3">
            <w:pPr>
              <w:pStyle w:val="1535"/>
            </w:pPr>
            <w:r>
              <w:t>集中居住区，300户，约1000人</w:t>
            </w:r>
          </w:p>
        </w:tc>
      </w:tr>
      <w:tr w14:paraId="190A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0760D91B">
            <w:pPr>
              <w:pStyle w:val="1535"/>
            </w:pPr>
          </w:p>
        </w:tc>
        <w:tc>
          <w:tcPr>
            <w:tcW w:w="283" w:type="pct"/>
            <w:noWrap/>
            <w:vAlign w:val="center"/>
          </w:tcPr>
          <w:p w14:paraId="297591D0">
            <w:pPr>
              <w:pStyle w:val="1535"/>
            </w:pPr>
            <w:r>
              <w:t>42</w:t>
            </w:r>
          </w:p>
        </w:tc>
        <w:tc>
          <w:tcPr>
            <w:tcW w:w="796" w:type="pct"/>
            <w:noWrap/>
            <w:vAlign w:val="center"/>
          </w:tcPr>
          <w:p w14:paraId="1E67AA76">
            <w:pPr>
              <w:pStyle w:val="1535"/>
            </w:pPr>
            <w:r>
              <w:t>宝华村</w:t>
            </w:r>
          </w:p>
        </w:tc>
        <w:tc>
          <w:tcPr>
            <w:tcW w:w="614" w:type="pct"/>
            <w:noWrap/>
            <w:vAlign w:val="center"/>
          </w:tcPr>
          <w:p w14:paraId="0A0338CD">
            <w:pPr>
              <w:pStyle w:val="1535"/>
            </w:pPr>
            <w:r>
              <w:t>NE</w:t>
            </w:r>
          </w:p>
        </w:tc>
        <w:tc>
          <w:tcPr>
            <w:tcW w:w="614" w:type="pct"/>
            <w:noWrap/>
            <w:vAlign w:val="center"/>
          </w:tcPr>
          <w:p w14:paraId="38A6D256">
            <w:pPr>
              <w:pStyle w:val="1535"/>
            </w:pPr>
            <w:r>
              <w:t>2755</w:t>
            </w:r>
          </w:p>
        </w:tc>
        <w:tc>
          <w:tcPr>
            <w:tcW w:w="768" w:type="pct"/>
            <w:noWrap/>
            <w:vAlign w:val="center"/>
          </w:tcPr>
          <w:p w14:paraId="72DFFA1E">
            <w:pPr>
              <w:pStyle w:val="1535"/>
            </w:pPr>
            <w:r>
              <w:t>居住区</w:t>
            </w:r>
          </w:p>
        </w:tc>
        <w:tc>
          <w:tcPr>
            <w:tcW w:w="1471" w:type="pct"/>
            <w:noWrap/>
            <w:vAlign w:val="center"/>
          </w:tcPr>
          <w:p w14:paraId="158B38AD">
            <w:pPr>
              <w:pStyle w:val="1535"/>
            </w:pPr>
            <w:r>
              <w:t>集中居住区，300户，约1000人</w:t>
            </w:r>
          </w:p>
        </w:tc>
      </w:tr>
      <w:tr w14:paraId="76AD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31D573CE">
            <w:pPr>
              <w:pStyle w:val="1535"/>
            </w:pPr>
          </w:p>
        </w:tc>
        <w:tc>
          <w:tcPr>
            <w:tcW w:w="283" w:type="pct"/>
            <w:noWrap/>
            <w:vAlign w:val="center"/>
          </w:tcPr>
          <w:p w14:paraId="64C868E5">
            <w:pPr>
              <w:pStyle w:val="1535"/>
            </w:pPr>
            <w:r>
              <w:rPr>
                <w:rFonts w:hint="eastAsia"/>
              </w:rPr>
              <w:t>43</w:t>
            </w:r>
          </w:p>
        </w:tc>
        <w:tc>
          <w:tcPr>
            <w:tcW w:w="796" w:type="pct"/>
            <w:noWrap/>
            <w:vAlign w:val="center"/>
          </w:tcPr>
          <w:p w14:paraId="776D08D5">
            <w:pPr>
              <w:pStyle w:val="1535"/>
            </w:pPr>
            <w:r>
              <w:rPr>
                <w:rFonts w:hint="eastAsia"/>
              </w:rPr>
              <w:t>规划居住用地</w:t>
            </w:r>
          </w:p>
        </w:tc>
        <w:tc>
          <w:tcPr>
            <w:tcW w:w="614" w:type="pct"/>
            <w:noWrap/>
            <w:vAlign w:val="center"/>
          </w:tcPr>
          <w:p w14:paraId="2CF8C5F2">
            <w:pPr>
              <w:pStyle w:val="1535"/>
            </w:pPr>
            <w:r>
              <w:t>SE</w:t>
            </w:r>
          </w:p>
        </w:tc>
        <w:tc>
          <w:tcPr>
            <w:tcW w:w="614" w:type="pct"/>
            <w:noWrap/>
            <w:vAlign w:val="center"/>
          </w:tcPr>
          <w:p w14:paraId="5ECEA469">
            <w:pPr>
              <w:pStyle w:val="1535"/>
            </w:pPr>
            <w:r>
              <w:rPr>
                <w:rFonts w:hint="eastAsia"/>
              </w:rPr>
              <w:t>1800</w:t>
            </w:r>
          </w:p>
        </w:tc>
        <w:tc>
          <w:tcPr>
            <w:tcW w:w="768" w:type="pct"/>
            <w:noWrap/>
            <w:vAlign w:val="center"/>
          </w:tcPr>
          <w:p w14:paraId="388645A2">
            <w:pPr>
              <w:pStyle w:val="1535"/>
            </w:pPr>
            <w:r>
              <w:rPr>
                <w:rFonts w:hint="eastAsia"/>
              </w:rPr>
              <w:t>规划居住区</w:t>
            </w:r>
          </w:p>
        </w:tc>
        <w:tc>
          <w:tcPr>
            <w:tcW w:w="1471" w:type="pct"/>
            <w:noWrap/>
            <w:vAlign w:val="center"/>
          </w:tcPr>
          <w:p w14:paraId="122A2A80">
            <w:pPr>
              <w:pStyle w:val="1535"/>
            </w:pPr>
            <w:r>
              <w:rPr>
                <w:rFonts w:hint="eastAsia"/>
              </w:rPr>
              <w:t>规划居住区，约8000人</w:t>
            </w:r>
          </w:p>
        </w:tc>
      </w:tr>
      <w:tr w14:paraId="6111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6D4C8857">
            <w:pPr>
              <w:pStyle w:val="1535"/>
            </w:pPr>
          </w:p>
        </w:tc>
        <w:tc>
          <w:tcPr>
            <w:tcW w:w="283" w:type="pct"/>
            <w:noWrap/>
            <w:vAlign w:val="center"/>
          </w:tcPr>
          <w:p w14:paraId="2C1768AB">
            <w:pPr>
              <w:pStyle w:val="1535"/>
            </w:pPr>
            <w:r>
              <w:t>/</w:t>
            </w:r>
          </w:p>
        </w:tc>
        <w:tc>
          <w:tcPr>
            <w:tcW w:w="2792" w:type="pct"/>
            <w:gridSpan w:val="4"/>
            <w:noWrap/>
            <w:vAlign w:val="center"/>
          </w:tcPr>
          <w:p w14:paraId="191733BA">
            <w:pPr>
              <w:pStyle w:val="1535"/>
            </w:pPr>
            <w:r>
              <w:t>厂址周边500m范围人口数小计</w:t>
            </w:r>
          </w:p>
        </w:tc>
        <w:tc>
          <w:tcPr>
            <w:tcW w:w="1471" w:type="pct"/>
            <w:noWrap/>
            <w:vAlign w:val="center"/>
          </w:tcPr>
          <w:p w14:paraId="2A28249D">
            <w:pPr>
              <w:pStyle w:val="1535"/>
            </w:pPr>
            <w:r>
              <w:t>小于500人</w:t>
            </w:r>
          </w:p>
        </w:tc>
      </w:tr>
      <w:tr w14:paraId="2FD7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2482EE0">
            <w:pPr>
              <w:pStyle w:val="1535"/>
            </w:pPr>
          </w:p>
        </w:tc>
        <w:tc>
          <w:tcPr>
            <w:tcW w:w="283" w:type="pct"/>
            <w:noWrap/>
            <w:vAlign w:val="center"/>
          </w:tcPr>
          <w:p w14:paraId="563B4A6C">
            <w:pPr>
              <w:pStyle w:val="1535"/>
            </w:pPr>
            <w:r>
              <w:t>/</w:t>
            </w:r>
          </w:p>
        </w:tc>
        <w:tc>
          <w:tcPr>
            <w:tcW w:w="2792" w:type="pct"/>
            <w:gridSpan w:val="4"/>
            <w:noWrap/>
            <w:vAlign w:val="center"/>
          </w:tcPr>
          <w:p w14:paraId="3BA30599">
            <w:pPr>
              <w:pStyle w:val="1535"/>
            </w:pPr>
            <w:r>
              <w:t>厂址周边5km范围内人口数小计</w:t>
            </w:r>
          </w:p>
        </w:tc>
        <w:tc>
          <w:tcPr>
            <w:tcW w:w="1471" w:type="pct"/>
            <w:noWrap/>
            <w:vAlign w:val="center"/>
          </w:tcPr>
          <w:p w14:paraId="781A9BCA">
            <w:pPr>
              <w:pStyle w:val="1535"/>
            </w:pPr>
            <w:r>
              <w:t>约</w:t>
            </w:r>
            <w:r>
              <w:rPr>
                <w:rFonts w:hint="eastAsia"/>
              </w:rPr>
              <w:t>4.7</w:t>
            </w:r>
            <w:r>
              <w:t>万人</w:t>
            </w:r>
          </w:p>
        </w:tc>
      </w:tr>
      <w:tr w14:paraId="4833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7C3292D2">
            <w:pPr>
              <w:pStyle w:val="1535"/>
            </w:pPr>
          </w:p>
        </w:tc>
        <w:tc>
          <w:tcPr>
            <w:tcW w:w="283" w:type="pct"/>
            <w:noWrap/>
            <w:vAlign w:val="center"/>
          </w:tcPr>
          <w:p w14:paraId="3B378EB5">
            <w:pPr>
              <w:pStyle w:val="1535"/>
            </w:pPr>
            <w:r>
              <w:t>/</w:t>
            </w:r>
          </w:p>
        </w:tc>
        <w:tc>
          <w:tcPr>
            <w:tcW w:w="2792" w:type="pct"/>
            <w:gridSpan w:val="4"/>
            <w:noWrap/>
            <w:vAlign w:val="center"/>
          </w:tcPr>
          <w:p w14:paraId="5D6A7883">
            <w:pPr>
              <w:pStyle w:val="1535"/>
            </w:pPr>
            <w:r>
              <w:t>大气环境敏感程度E值</w:t>
            </w:r>
          </w:p>
        </w:tc>
        <w:tc>
          <w:tcPr>
            <w:tcW w:w="1471" w:type="pct"/>
            <w:noWrap/>
            <w:vAlign w:val="center"/>
          </w:tcPr>
          <w:p w14:paraId="589E33B9">
            <w:pPr>
              <w:pStyle w:val="1535"/>
            </w:pPr>
            <w:r>
              <w:t>E2</w:t>
            </w:r>
          </w:p>
        </w:tc>
      </w:tr>
      <w:tr w14:paraId="30BE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restart"/>
            <w:noWrap/>
            <w:vAlign w:val="center"/>
          </w:tcPr>
          <w:p w14:paraId="6BE84B1D">
            <w:pPr>
              <w:pStyle w:val="1535"/>
            </w:pPr>
            <w:r>
              <w:t>地表水</w:t>
            </w:r>
          </w:p>
        </w:tc>
        <w:tc>
          <w:tcPr>
            <w:tcW w:w="4546" w:type="pct"/>
            <w:gridSpan w:val="6"/>
            <w:noWrap/>
            <w:vAlign w:val="center"/>
          </w:tcPr>
          <w:p w14:paraId="49969424">
            <w:pPr>
              <w:pStyle w:val="1535"/>
            </w:pPr>
            <w:r>
              <w:t>受纳水体</w:t>
            </w:r>
          </w:p>
        </w:tc>
      </w:tr>
      <w:tr w14:paraId="67C2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04EA3E64">
            <w:pPr>
              <w:pStyle w:val="1535"/>
            </w:pPr>
          </w:p>
        </w:tc>
        <w:tc>
          <w:tcPr>
            <w:tcW w:w="283" w:type="pct"/>
            <w:noWrap/>
            <w:vAlign w:val="center"/>
          </w:tcPr>
          <w:p w14:paraId="29683A73">
            <w:pPr>
              <w:pStyle w:val="1535"/>
            </w:pPr>
            <w:r>
              <w:t>序号</w:t>
            </w:r>
          </w:p>
        </w:tc>
        <w:tc>
          <w:tcPr>
            <w:tcW w:w="796" w:type="pct"/>
            <w:noWrap/>
            <w:vAlign w:val="center"/>
          </w:tcPr>
          <w:p w14:paraId="1E97297E">
            <w:pPr>
              <w:pStyle w:val="1535"/>
            </w:pPr>
            <w:r>
              <w:t>受纳水体名称</w:t>
            </w:r>
          </w:p>
        </w:tc>
        <w:tc>
          <w:tcPr>
            <w:tcW w:w="614" w:type="pct"/>
            <w:noWrap/>
            <w:vAlign w:val="center"/>
          </w:tcPr>
          <w:p w14:paraId="281F86D7">
            <w:pPr>
              <w:pStyle w:val="1535"/>
            </w:pPr>
            <w:r>
              <w:t>排放点水域功能</w:t>
            </w:r>
          </w:p>
        </w:tc>
        <w:tc>
          <w:tcPr>
            <w:tcW w:w="2853" w:type="pct"/>
            <w:gridSpan w:val="3"/>
            <w:noWrap/>
            <w:vAlign w:val="center"/>
          </w:tcPr>
          <w:p w14:paraId="5C84A532">
            <w:pPr>
              <w:pStyle w:val="1535"/>
            </w:pPr>
            <w:r>
              <w:t>24h内流经范围/Km</w:t>
            </w:r>
          </w:p>
        </w:tc>
      </w:tr>
      <w:tr w14:paraId="7636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232140EB">
            <w:pPr>
              <w:pStyle w:val="1535"/>
            </w:pPr>
          </w:p>
        </w:tc>
        <w:tc>
          <w:tcPr>
            <w:tcW w:w="283" w:type="pct"/>
            <w:noWrap/>
            <w:vAlign w:val="center"/>
          </w:tcPr>
          <w:p w14:paraId="4DC432F0">
            <w:pPr>
              <w:pStyle w:val="1535"/>
            </w:pPr>
            <w:r>
              <w:t>43</w:t>
            </w:r>
          </w:p>
        </w:tc>
        <w:tc>
          <w:tcPr>
            <w:tcW w:w="796" w:type="pct"/>
            <w:vAlign w:val="center"/>
          </w:tcPr>
          <w:p w14:paraId="7AE30A89">
            <w:pPr>
              <w:pStyle w:val="1535"/>
            </w:pPr>
            <w:r>
              <w:rPr>
                <w:rFonts w:hint="eastAsia"/>
              </w:rPr>
              <w:t>桥头河</w:t>
            </w:r>
          </w:p>
        </w:tc>
        <w:tc>
          <w:tcPr>
            <w:tcW w:w="614" w:type="pct"/>
            <w:noWrap/>
            <w:vAlign w:val="center"/>
          </w:tcPr>
          <w:p w14:paraId="73181271">
            <w:pPr>
              <w:pStyle w:val="1535"/>
            </w:pPr>
            <w:r>
              <w:t>无水域功能</w:t>
            </w:r>
          </w:p>
        </w:tc>
        <w:tc>
          <w:tcPr>
            <w:tcW w:w="2853" w:type="pct"/>
            <w:gridSpan w:val="3"/>
            <w:noWrap/>
            <w:vAlign w:val="center"/>
          </w:tcPr>
          <w:p w14:paraId="7D886FCF">
            <w:pPr>
              <w:pStyle w:val="1535"/>
            </w:pPr>
            <w:r>
              <w:t>未跨省界</w:t>
            </w:r>
          </w:p>
        </w:tc>
      </w:tr>
      <w:tr w14:paraId="1494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1D5A7FA2">
            <w:pPr>
              <w:pStyle w:val="1535"/>
            </w:pPr>
          </w:p>
        </w:tc>
        <w:tc>
          <w:tcPr>
            <w:tcW w:w="4546" w:type="pct"/>
            <w:gridSpan w:val="6"/>
            <w:noWrap/>
            <w:vAlign w:val="center"/>
          </w:tcPr>
          <w:p w14:paraId="33DF3229">
            <w:pPr>
              <w:pStyle w:val="1535"/>
            </w:pPr>
            <w:r>
              <w:t>内陆水体排放点下游10km范围内敏感目标</w:t>
            </w:r>
          </w:p>
        </w:tc>
      </w:tr>
      <w:tr w14:paraId="2130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0ECC956F">
            <w:pPr>
              <w:pStyle w:val="1535"/>
            </w:pPr>
          </w:p>
        </w:tc>
        <w:tc>
          <w:tcPr>
            <w:tcW w:w="283" w:type="pct"/>
            <w:noWrap/>
            <w:vAlign w:val="center"/>
          </w:tcPr>
          <w:p w14:paraId="598D869C">
            <w:pPr>
              <w:pStyle w:val="1535"/>
            </w:pPr>
            <w:r>
              <w:t>序号</w:t>
            </w:r>
          </w:p>
        </w:tc>
        <w:tc>
          <w:tcPr>
            <w:tcW w:w="796" w:type="pct"/>
            <w:noWrap/>
            <w:vAlign w:val="center"/>
          </w:tcPr>
          <w:p w14:paraId="2571ECDC">
            <w:pPr>
              <w:pStyle w:val="1535"/>
            </w:pPr>
            <w:r>
              <w:t>敏感点名称</w:t>
            </w:r>
          </w:p>
        </w:tc>
        <w:tc>
          <w:tcPr>
            <w:tcW w:w="614" w:type="pct"/>
            <w:noWrap/>
            <w:vAlign w:val="center"/>
          </w:tcPr>
          <w:p w14:paraId="1E9873C3">
            <w:pPr>
              <w:pStyle w:val="1535"/>
            </w:pPr>
            <w:r>
              <w:t>环境敏感特征</w:t>
            </w:r>
          </w:p>
        </w:tc>
        <w:tc>
          <w:tcPr>
            <w:tcW w:w="614" w:type="pct"/>
            <w:noWrap/>
            <w:vAlign w:val="center"/>
          </w:tcPr>
          <w:p w14:paraId="599DD063">
            <w:pPr>
              <w:pStyle w:val="1535"/>
            </w:pPr>
            <w:r>
              <w:t>水质目标</w:t>
            </w:r>
          </w:p>
        </w:tc>
        <w:tc>
          <w:tcPr>
            <w:tcW w:w="2239" w:type="pct"/>
            <w:gridSpan w:val="2"/>
            <w:noWrap/>
            <w:vAlign w:val="center"/>
          </w:tcPr>
          <w:p w14:paraId="165049EC">
            <w:pPr>
              <w:pStyle w:val="1535"/>
            </w:pPr>
            <w:r>
              <w:t>与排放点距离/m</w:t>
            </w:r>
          </w:p>
        </w:tc>
      </w:tr>
      <w:tr w14:paraId="2C8C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61C592DB">
            <w:pPr>
              <w:pStyle w:val="1535"/>
            </w:pPr>
          </w:p>
        </w:tc>
        <w:tc>
          <w:tcPr>
            <w:tcW w:w="283" w:type="pct"/>
            <w:noWrap/>
            <w:vAlign w:val="center"/>
          </w:tcPr>
          <w:p w14:paraId="739FB5FF">
            <w:pPr>
              <w:pStyle w:val="1535"/>
            </w:pPr>
            <w:r>
              <w:t>44</w:t>
            </w:r>
          </w:p>
        </w:tc>
        <w:tc>
          <w:tcPr>
            <w:tcW w:w="796" w:type="pct"/>
            <w:noWrap/>
            <w:vAlign w:val="center"/>
          </w:tcPr>
          <w:p w14:paraId="5115DAB1">
            <w:pPr>
              <w:pStyle w:val="1535"/>
            </w:pPr>
            <w:r>
              <w:t>无</w:t>
            </w:r>
          </w:p>
        </w:tc>
        <w:tc>
          <w:tcPr>
            <w:tcW w:w="614" w:type="pct"/>
            <w:noWrap/>
            <w:vAlign w:val="center"/>
          </w:tcPr>
          <w:p w14:paraId="4E73973C">
            <w:pPr>
              <w:pStyle w:val="1535"/>
            </w:pPr>
            <w:r>
              <w:t>F3</w:t>
            </w:r>
          </w:p>
        </w:tc>
        <w:tc>
          <w:tcPr>
            <w:tcW w:w="614" w:type="pct"/>
            <w:noWrap/>
            <w:vAlign w:val="center"/>
          </w:tcPr>
          <w:p w14:paraId="437DB7F5">
            <w:pPr>
              <w:pStyle w:val="1535"/>
            </w:pPr>
            <w:r>
              <w:t>无水域功能</w:t>
            </w:r>
          </w:p>
        </w:tc>
        <w:tc>
          <w:tcPr>
            <w:tcW w:w="2239" w:type="pct"/>
            <w:gridSpan w:val="2"/>
            <w:noWrap/>
            <w:vAlign w:val="center"/>
          </w:tcPr>
          <w:p w14:paraId="4906FFB4">
            <w:pPr>
              <w:pStyle w:val="1535"/>
            </w:pPr>
            <w:r>
              <w:t>/</w:t>
            </w:r>
          </w:p>
        </w:tc>
      </w:tr>
      <w:tr w14:paraId="39AE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14:paraId="25B44F2F">
            <w:pPr>
              <w:pStyle w:val="1535"/>
            </w:pPr>
          </w:p>
        </w:tc>
        <w:tc>
          <w:tcPr>
            <w:tcW w:w="3075" w:type="pct"/>
            <w:gridSpan w:val="5"/>
            <w:noWrap/>
            <w:vAlign w:val="center"/>
          </w:tcPr>
          <w:p w14:paraId="114E75F9">
            <w:pPr>
              <w:pStyle w:val="1535"/>
            </w:pPr>
            <w:r>
              <w:t>地表水环境敏感程度E值</w:t>
            </w:r>
          </w:p>
        </w:tc>
        <w:tc>
          <w:tcPr>
            <w:tcW w:w="1471" w:type="pct"/>
            <w:noWrap/>
            <w:vAlign w:val="center"/>
          </w:tcPr>
          <w:p w14:paraId="0A109845">
            <w:pPr>
              <w:pStyle w:val="1535"/>
            </w:pPr>
            <w:r>
              <w:t>E3</w:t>
            </w:r>
          </w:p>
        </w:tc>
      </w:tr>
    </w:tbl>
    <w:p w14:paraId="6B391751">
      <w:pPr>
        <w:pStyle w:val="5"/>
        <w:rPr>
          <w:color w:val="000000" w:themeColor="text1"/>
          <w14:textFill>
            <w14:solidFill>
              <w14:schemeClr w14:val="tx1"/>
            </w14:solidFill>
          </w14:textFill>
        </w:rPr>
      </w:pPr>
      <w:r>
        <w:rPr>
          <w:color w:val="000000" w:themeColor="text1"/>
          <w14:textFill>
            <w14:solidFill>
              <w14:schemeClr w14:val="tx1"/>
            </w14:solidFill>
          </w14:textFill>
        </w:rPr>
        <w:t>风险源调查</w:t>
      </w:r>
    </w:p>
    <w:p w14:paraId="08406096">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根据《建设项目环境风险评价技术导则》（HJ169-2018）中规定，根据物质不同的特性，危险物质可分为有毒物质、易燃物质和爆炸性物质三大类，风险评价对项目</w:t>
      </w:r>
      <w:r>
        <w:rPr>
          <w:rFonts w:hint="eastAsia"/>
          <w:color w:val="000000" w:themeColor="text1"/>
          <w:lang w:eastAsia="zh-CN"/>
          <w14:textFill>
            <w14:solidFill>
              <w14:schemeClr w14:val="tx1"/>
            </w14:solidFill>
          </w14:textFill>
        </w:rPr>
        <w:t>涉及</w:t>
      </w:r>
      <w:r>
        <w:rPr>
          <w:color w:val="000000" w:themeColor="text1"/>
          <w14:textFill>
            <w14:solidFill>
              <w14:schemeClr w14:val="tx1"/>
            </w14:solidFill>
          </w14:textFill>
        </w:rPr>
        <w:t>的物质进行物质危险性判定。扩建项目</w:t>
      </w:r>
      <w:r>
        <w:rPr>
          <w:rFonts w:hint="eastAsia"/>
          <w:color w:val="000000" w:themeColor="text1"/>
          <w14:textFill>
            <w14:solidFill>
              <w14:schemeClr w14:val="tx1"/>
            </w14:solidFill>
          </w14:textFill>
        </w:rPr>
        <w:t>涉及环境风险物质依托现有贮存设施贮存，故本次对臻宝半导体公司整体环境风险源进行调查，具体如下：</w:t>
      </w:r>
      <w:r>
        <w:rPr>
          <w:color w:val="000000" w:themeColor="text1"/>
          <w14:textFill>
            <w14:solidFill>
              <w14:schemeClr w14:val="tx1"/>
            </w14:solidFill>
          </w14:textFill>
        </w:rPr>
        <w:t>原辅材料中，氢氟酸、硝酸、盐酸、硫酸具有腐蚀性及刺激性，硝酸、等具有易燃易爆性。项目危险物质数量、分布情况和危险特性见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_Ref160555962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表7.2</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，其中，根据健康危害急性毒性物质分类见GB30000.18判定物质危险特性。</w:t>
      </w:r>
    </w:p>
    <w:p w14:paraId="28C60C2C">
      <w:pPr>
        <w:ind w:firstLine="0" w:firstLineChars="0"/>
        <w:jc w:val="center"/>
        <w:rPr>
          <w:color w:val="000000" w:themeColor="text1"/>
          <w14:textFill>
            <w14:solidFill>
              <w14:schemeClr w14:val="tx1"/>
            </w14:solidFill>
          </w14:textFill>
        </w:rPr>
      </w:pPr>
      <w:bookmarkStart w:id="326" w:name="_Ref160555962"/>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2</w:t>
      </w:r>
      <w:r>
        <w:rPr>
          <w:color w:val="000000" w:themeColor="text1"/>
          <w:szCs w:val="26"/>
          <w14:textFill>
            <w14:solidFill>
              <w14:schemeClr w14:val="tx1"/>
            </w14:solidFill>
          </w14:textFill>
        </w:rPr>
        <w:fldChar w:fldCharType="end"/>
      </w:r>
      <w:bookmarkEnd w:id="326"/>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项目涉及的主要风险物质及成分识别</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046"/>
        <w:gridCol w:w="1827"/>
        <w:gridCol w:w="747"/>
        <w:gridCol w:w="846"/>
        <w:gridCol w:w="1322"/>
        <w:gridCol w:w="1795"/>
        <w:gridCol w:w="1211"/>
      </w:tblGrid>
      <w:tr w14:paraId="24C3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vAlign w:val="center"/>
          </w:tcPr>
          <w:p w14:paraId="50CDB7DE">
            <w:pPr>
              <w:pStyle w:val="1535"/>
            </w:pPr>
            <w:r>
              <w:t>序号</w:t>
            </w:r>
          </w:p>
        </w:tc>
        <w:tc>
          <w:tcPr>
            <w:tcW w:w="553" w:type="pct"/>
            <w:vAlign w:val="center"/>
          </w:tcPr>
          <w:p w14:paraId="7F13AF37">
            <w:pPr>
              <w:pStyle w:val="1535"/>
            </w:pPr>
            <w:r>
              <w:t>材料名称</w:t>
            </w:r>
          </w:p>
        </w:tc>
        <w:tc>
          <w:tcPr>
            <w:tcW w:w="966" w:type="pct"/>
            <w:vAlign w:val="center"/>
          </w:tcPr>
          <w:p w14:paraId="3135BC94">
            <w:pPr>
              <w:pStyle w:val="1535"/>
            </w:pPr>
            <w:r>
              <w:t>主要成分</w:t>
            </w:r>
          </w:p>
        </w:tc>
        <w:tc>
          <w:tcPr>
            <w:tcW w:w="395" w:type="pct"/>
            <w:vAlign w:val="center"/>
          </w:tcPr>
          <w:p w14:paraId="75904D4F">
            <w:pPr>
              <w:pStyle w:val="1535"/>
            </w:pPr>
            <w:r>
              <w:t>储存方式</w:t>
            </w:r>
          </w:p>
        </w:tc>
        <w:tc>
          <w:tcPr>
            <w:tcW w:w="447" w:type="pct"/>
            <w:vAlign w:val="center"/>
          </w:tcPr>
          <w:p w14:paraId="3BF2BDD8">
            <w:pPr>
              <w:pStyle w:val="1535"/>
            </w:pPr>
            <w:r>
              <w:t>最大储存量（t）</w:t>
            </w:r>
          </w:p>
        </w:tc>
        <w:tc>
          <w:tcPr>
            <w:tcW w:w="699" w:type="pct"/>
            <w:vAlign w:val="center"/>
          </w:tcPr>
          <w:p w14:paraId="6A69E1E8">
            <w:pPr>
              <w:pStyle w:val="1535"/>
            </w:pPr>
            <w:r>
              <w:t>CAS号</w:t>
            </w:r>
          </w:p>
        </w:tc>
        <w:tc>
          <w:tcPr>
            <w:tcW w:w="949" w:type="pct"/>
            <w:vAlign w:val="center"/>
          </w:tcPr>
          <w:p w14:paraId="7B0C6455">
            <w:pPr>
              <w:pStyle w:val="1535"/>
            </w:pPr>
            <w:r>
              <w:t>储存位置</w:t>
            </w:r>
          </w:p>
        </w:tc>
        <w:tc>
          <w:tcPr>
            <w:tcW w:w="640" w:type="pct"/>
            <w:vAlign w:val="center"/>
          </w:tcPr>
          <w:p w14:paraId="25721607">
            <w:pPr>
              <w:pStyle w:val="1535"/>
            </w:pPr>
            <w:r>
              <w:t>附录B重点关注的危险物质</w:t>
            </w:r>
          </w:p>
        </w:tc>
      </w:tr>
      <w:tr w14:paraId="6F21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vAlign w:val="center"/>
          </w:tcPr>
          <w:p w14:paraId="08D5A405">
            <w:pPr>
              <w:pStyle w:val="1535"/>
            </w:pPr>
            <w:r>
              <w:t>1</w:t>
            </w:r>
          </w:p>
        </w:tc>
        <w:tc>
          <w:tcPr>
            <w:tcW w:w="553" w:type="pct"/>
            <w:vAlign w:val="center"/>
          </w:tcPr>
          <w:p w14:paraId="0702104A">
            <w:pPr>
              <w:pStyle w:val="1535"/>
            </w:pPr>
            <w:r>
              <w:t>氢氟酸</w:t>
            </w:r>
          </w:p>
        </w:tc>
        <w:tc>
          <w:tcPr>
            <w:tcW w:w="966" w:type="pct"/>
            <w:noWrap/>
            <w:vAlign w:val="center"/>
          </w:tcPr>
          <w:p w14:paraId="75378A65">
            <w:pPr>
              <w:pStyle w:val="1535"/>
            </w:pPr>
            <w:r>
              <w:t>氢氟酸49%</w:t>
            </w:r>
          </w:p>
        </w:tc>
        <w:tc>
          <w:tcPr>
            <w:tcW w:w="395" w:type="pct"/>
            <w:vAlign w:val="center"/>
          </w:tcPr>
          <w:p w14:paraId="6EC548A3">
            <w:pPr>
              <w:pStyle w:val="1535"/>
            </w:pPr>
            <w:r>
              <w:t>20L/桶</w:t>
            </w:r>
          </w:p>
        </w:tc>
        <w:tc>
          <w:tcPr>
            <w:tcW w:w="447" w:type="pct"/>
            <w:vAlign w:val="center"/>
          </w:tcPr>
          <w:p w14:paraId="21809079">
            <w:pPr>
              <w:pStyle w:val="1535"/>
            </w:pPr>
            <w:r>
              <w:rPr>
                <w:rFonts w:hint="eastAsia"/>
              </w:rPr>
              <w:t>0.32</w:t>
            </w:r>
          </w:p>
        </w:tc>
        <w:tc>
          <w:tcPr>
            <w:tcW w:w="699" w:type="pct"/>
            <w:vAlign w:val="center"/>
          </w:tcPr>
          <w:p w14:paraId="5C334427">
            <w:pPr>
              <w:pStyle w:val="1535"/>
            </w:pPr>
            <w:r>
              <w:t>7664-39-3</w:t>
            </w:r>
          </w:p>
        </w:tc>
        <w:tc>
          <w:tcPr>
            <w:tcW w:w="949" w:type="pct"/>
            <w:vMerge w:val="restart"/>
            <w:vAlign w:val="center"/>
          </w:tcPr>
          <w:p w14:paraId="35CA6FF9">
            <w:pPr>
              <w:pStyle w:val="1535"/>
            </w:pPr>
            <w:r>
              <w:t>1#厂房化学品库、浸洗槽、蚀刻槽</w:t>
            </w:r>
          </w:p>
        </w:tc>
        <w:tc>
          <w:tcPr>
            <w:tcW w:w="640" w:type="pct"/>
            <w:vAlign w:val="center"/>
          </w:tcPr>
          <w:p w14:paraId="32367B33">
            <w:pPr>
              <w:pStyle w:val="1535"/>
            </w:pPr>
            <w:r>
              <w:t>氢氟酸</w:t>
            </w:r>
          </w:p>
        </w:tc>
      </w:tr>
      <w:tr w14:paraId="687D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vAlign w:val="center"/>
          </w:tcPr>
          <w:p w14:paraId="651E749B">
            <w:pPr>
              <w:pStyle w:val="1535"/>
            </w:pPr>
            <w:r>
              <w:t>2</w:t>
            </w:r>
          </w:p>
        </w:tc>
        <w:tc>
          <w:tcPr>
            <w:tcW w:w="553" w:type="pct"/>
            <w:vAlign w:val="center"/>
          </w:tcPr>
          <w:p w14:paraId="5C6C487B">
            <w:pPr>
              <w:pStyle w:val="1535"/>
            </w:pPr>
            <w:r>
              <w:t>硝酸</w:t>
            </w:r>
          </w:p>
        </w:tc>
        <w:tc>
          <w:tcPr>
            <w:tcW w:w="966" w:type="pct"/>
            <w:noWrap/>
            <w:vAlign w:val="center"/>
          </w:tcPr>
          <w:p w14:paraId="41257F49">
            <w:pPr>
              <w:pStyle w:val="1535"/>
            </w:pPr>
            <w:r>
              <w:t>硝酸68%</w:t>
            </w:r>
          </w:p>
        </w:tc>
        <w:tc>
          <w:tcPr>
            <w:tcW w:w="395" w:type="pct"/>
            <w:vAlign w:val="center"/>
          </w:tcPr>
          <w:p w14:paraId="5690DCE0">
            <w:pPr>
              <w:pStyle w:val="1535"/>
            </w:pPr>
            <w:r>
              <w:t>20L/桶</w:t>
            </w:r>
          </w:p>
        </w:tc>
        <w:tc>
          <w:tcPr>
            <w:tcW w:w="447" w:type="pct"/>
            <w:vAlign w:val="center"/>
          </w:tcPr>
          <w:p w14:paraId="0E76508C">
            <w:pPr>
              <w:pStyle w:val="1535"/>
            </w:pPr>
            <w:r>
              <w:rPr>
                <w:rFonts w:hint="eastAsia"/>
              </w:rPr>
              <w:t>1.9</w:t>
            </w:r>
          </w:p>
        </w:tc>
        <w:tc>
          <w:tcPr>
            <w:tcW w:w="699" w:type="pct"/>
            <w:vAlign w:val="center"/>
          </w:tcPr>
          <w:p w14:paraId="6BFCD629">
            <w:pPr>
              <w:pStyle w:val="1535"/>
            </w:pPr>
            <w:r>
              <w:t>7697-37-2</w:t>
            </w:r>
          </w:p>
        </w:tc>
        <w:tc>
          <w:tcPr>
            <w:tcW w:w="949" w:type="pct"/>
            <w:vMerge w:val="continue"/>
            <w:vAlign w:val="center"/>
          </w:tcPr>
          <w:p w14:paraId="5DB0D1C9">
            <w:pPr>
              <w:pStyle w:val="1535"/>
            </w:pPr>
          </w:p>
        </w:tc>
        <w:tc>
          <w:tcPr>
            <w:tcW w:w="640" w:type="pct"/>
            <w:vAlign w:val="center"/>
          </w:tcPr>
          <w:p w14:paraId="636D05A0">
            <w:pPr>
              <w:pStyle w:val="1535"/>
            </w:pPr>
            <w:r>
              <w:t>硝酸</w:t>
            </w:r>
          </w:p>
        </w:tc>
      </w:tr>
      <w:tr w14:paraId="2E28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vAlign w:val="center"/>
          </w:tcPr>
          <w:p w14:paraId="3BCBD440">
            <w:pPr>
              <w:pStyle w:val="1535"/>
            </w:pPr>
            <w:r>
              <w:t>3</w:t>
            </w:r>
          </w:p>
        </w:tc>
        <w:tc>
          <w:tcPr>
            <w:tcW w:w="553" w:type="pct"/>
            <w:vAlign w:val="center"/>
          </w:tcPr>
          <w:p w14:paraId="159A6EDF">
            <w:pPr>
              <w:pStyle w:val="1535"/>
            </w:pPr>
            <w:r>
              <w:t>盐酸</w:t>
            </w:r>
          </w:p>
        </w:tc>
        <w:tc>
          <w:tcPr>
            <w:tcW w:w="966" w:type="pct"/>
            <w:noWrap/>
            <w:vAlign w:val="center"/>
          </w:tcPr>
          <w:p w14:paraId="609C2FC2">
            <w:pPr>
              <w:pStyle w:val="1535"/>
            </w:pPr>
            <w:r>
              <w:t>盐酸37%</w:t>
            </w:r>
          </w:p>
        </w:tc>
        <w:tc>
          <w:tcPr>
            <w:tcW w:w="395" w:type="pct"/>
            <w:vAlign w:val="center"/>
          </w:tcPr>
          <w:p w14:paraId="62E12201">
            <w:pPr>
              <w:pStyle w:val="1535"/>
            </w:pPr>
            <w:r>
              <w:t>20L/桶</w:t>
            </w:r>
          </w:p>
        </w:tc>
        <w:tc>
          <w:tcPr>
            <w:tcW w:w="447" w:type="pct"/>
            <w:vAlign w:val="center"/>
          </w:tcPr>
          <w:p w14:paraId="71E27C38">
            <w:pPr>
              <w:pStyle w:val="1535"/>
            </w:pPr>
            <w:r>
              <w:rPr>
                <w:rFonts w:hint="eastAsia"/>
              </w:rPr>
              <w:t>0.5</w:t>
            </w:r>
          </w:p>
        </w:tc>
        <w:tc>
          <w:tcPr>
            <w:tcW w:w="699" w:type="pct"/>
            <w:vAlign w:val="center"/>
          </w:tcPr>
          <w:p w14:paraId="18C453DA">
            <w:pPr>
              <w:pStyle w:val="1535"/>
            </w:pPr>
            <w:r>
              <w:t>7647-01-0</w:t>
            </w:r>
          </w:p>
        </w:tc>
        <w:tc>
          <w:tcPr>
            <w:tcW w:w="949" w:type="pct"/>
            <w:vMerge w:val="continue"/>
            <w:vAlign w:val="center"/>
          </w:tcPr>
          <w:p w14:paraId="3ED18E10">
            <w:pPr>
              <w:pStyle w:val="1535"/>
            </w:pPr>
          </w:p>
        </w:tc>
        <w:tc>
          <w:tcPr>
            <w:tcW w:w="640" w:type="pct"/>
            <w:vAlign w:val="center"/>
          </w:tcPr>
          <w:p w14:paraId="0843DAAD">
            <w:pPr>
              <w:pStyle w:val="1535"/>
            </w:pPr>
            <w:r>
              <w:t>盐酸（≥37%）</w:t>
            </w:r>
          </w:p>
        </w:tc>
      </w:tr>
      <w:tr w14:paraId="1DF0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vAlign w:val="center"/>
          </w:tcPr>
          <w:p w14:paraId="6EDA4EAB">
            <w:pPr>
              <w:pStyle w:val="1535"/>
            </w:pPr>
            <w:r>
              <w:t>4</w:t>
            </w:r>
          </w:p>
        </w:tc>
        <w:tc>
          <w:tcPr>
            <w:tcW w:w="553" w:type="pct"/>
            <w:vAlign w:val="center"/>
          </w:tcPr>
          <w:p w14:paraId="4808DD72">
            <w:pPr>
              <w:pStyle w:val="1535"/>
            </w:pPr>
            <w:r>
              <w:t>清洗液</w:t>
            </w:r>
          </w:p>
        </w:tc>
        <w:tc>
          <w:tcPr>
            <w:tcW w:w="966" w:type="pct"/>
            <w:noWrap/>
            <w:vAlign w:val="center"/>
          </w:tcPr>
          <w:p w14:paraId="17244AD7">
            <w:pPr>
              <w:pStyle w:val="1535"/>
            </w:pPr>
            <w:r>
              <w:t>氯化氢0.8~1.2%</w:t>
            </w:r>
          </w:p>
        </w:tc>
        <w:tc>
          <w:tcPr>
            <w:tcW w:w="395" w:type="pct"/>
            <w:vAlign w:val="center"/>
          </w:tcPr>
          <w:p w14:paraId="6657C736">
            <w:pPr>
              <w:pStyle w:val="1535"/>
            </w:pPr>
            <w:r>
              <w:t>20kg/桶</w:t>
            </w:r>
          </w:p>
        </w:tc>
        <w:tc>
          <w:tcPr>
            <w:tcW w:w="447" w:type="pct"/>
            <w:vAlign w:val="center"/>
          </w:tcPr>
          <w:p w14:paraId="508249CB">
            <w:pPr>
              <w:pStyle w:val="1535"/>
            </w:pPr>
            <w:r>
              <w:rPr>
                <w:rFonts w:hint="eastAsia"/>
              </w:rPr>
              <w:t>3</w:t>
            </w:r>
          </w:p>
        </w:tc>
        <w:tc>
          <w:tcPr>
            <w:tcW w:w="699" w:type="pct"/>
            <w:vAlign w:val="center"/>
          </w:tcPr>
          <w:p w14:paraId="3155CF28">
            <w:pPr>
              <w:pStyle w:val="1535"/>
            </w:pPr>
            <w:r>
              <w:t>7647-01-0</w:t>
            </w:r>
          </w:p>
        </w:tc>
        <w:tc>
          <w:tcPr>
            <w:tcW w:w="949" w:type="pct"/>
            <w:vMerge w:val="continue"/>
            <w:vAlign w:val="center"/>
          </w:tcPr>
          <w:p w14:paraId="43F90646">
            <w:pPr>
              <w:pStyle w:val="1535"/>
            </w:pPr>
          </w:p>
        </w:tc>
        <w:tc>
          <w:tcPr>
            <w:tcW w:w="640" w:type="pct"/>
            <w:vAlign w:val="center"/>
          </w:tcPr>
          <w:p w14:paraId="437295FA">
            <w:pPr>
              <w:pStyle w:val="1535"/>
            </w:pPr>
            <w:r>
              <w:t>盐酸</w:t>
            </w:r>
          </w:p>
        </w:tc>
      </w:tr>
      <w:tr w14:paraId="54CE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vAlign w:val="center"/>
          </w:tcPr>
          <w:p w14:paraId="2DF45EAB">
            <w:pPr>
              <w:pStyle w:val="1535"/>
            </w:pPr>
            <w:r>
              <w:t>5</w:t>
            </w:r>
          </w:p>
        </w:tc>
        <w:tc>
          <w:tcPr>
            <w:tcW w:w="553" w:type="pct"/>
            <w:vAlign w:val="center"/>
          </w:tcPr>
          <w:p w14:paraId="12E09B2B">
            <w:pPr>
              <w:pStyle w:val="1535"/>
            </w:pPr>
            <w:r>
              <w:t>醋酸</w:t>
            </w:r>
          </w:p>
        </w:tc>
        <w:tc>
          <w:tcPr>
            <w:tcW w:w="966" w:type="pct"/>
            <w:noWrap/>
            <w:vAlign w:val="center"/>
          </w:tcPr>
          <w:p w14:paraId="4DAD7A51">
            <w:pPr>
              <w:pStyle w:val="1535"/>
            </w:pPr>
            <w:r>
              <w:t>乙酸99.85%</w:t>
            </w:r>
          </w:p>
        </w:tc>
        <w:tc>
          <w:tcPr>
            <w:tcW w:w="395" w:type="pct"/>
            <w:vAlign w:val="center"/>
          </w:tcPr>
          <w:p w14:paraId="133A4A06">
            <w:pPr>
              <w:pStyle w:val="1535"/>
            </w:pPr>
            <w:r>
              <w:t>20L/桶</w:t>
            </w:r>
          </w:p>
        </w:tc>
        <w:tc>
          <w:tcPr>
            <w:tcW w:w="447" w:type="pct"/>
            <w:vAlign w:val="center"/>
          </w:tcPr>
          <w:p w14:paraId="3E367E6E">
            <w:pPr>
              <w:pStyle w:val="1535"/>
            </w:pPr>
            <w:r>
              <w:rPr>
                <w:rFonts w:hint="eastAsia"/>
              </w:rPr>
              <w:t>0.4</w:t>
            </w:r>
          </w:p>
        </w:tc>
        <w:tc>
          <w:tcPr>
            <w:tcW w:w="699" w:type="pct"/>
            <w:vAlign w:val="center"/>
          </w:tcPr>
          <w:p w14:paraId="4B9D08EB">
            <w:pPr>
              <w:pStyle w:val="1535"/>
            </w:pPr>
            <w:r>
              <w:t>64-19-7</w:t>
            </w:r>
          </w:p>
        </w:tc>
        <w:tc>
          <w:tcPr>
            <w:tcW w:w="949" w:type="pct"/>
            <w:vMerge w:val="continue"/>
            <w:vAlign w:val="center"/>
          </w:tcPr>
          <w:p w14:paraId="626BF9BC">
            <w:pPr>
              <w:pStyle w:val="1535"/>
            </w:pPr>
          </w:p>
        </w:tc>
        <w:tc>
          <w:tcPr>
            <w:tcW w:w="640" w:type="pct"/>
            <w:vAlign w:val="center"/>
          </w:tcPr>
          <w:p w14:paraId="63587D62">
            <w:pPr>
              <w:pStyle w:val="1535"/>
            </w:pPr>
            <w:r>
              <w:t>乙酸</w:t>
            </w:r>
          </w:p>
        </w:tc>
      </w:tr>
      <w:tr w14:paraId="1B02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vAlign w:val="center"/>
          </w:tcPr>
          <w:p w14:paraId="23937B14">
            <w:pPr>
              <w:pStyle w:val="1535"/>
            </w:pPr>
            <w:r>
              <w:t>6</w:t>
            </w:r>
          </w:p>
        </w:tc>
        <w:tc>
          <w:tcPr>
            <w:tcW w:w="553" w:type="pct"/>
            <w:vAlign w:val="center"/>
          </w:tcPr>
          <w:p w14:paraId="6BE5615D">
            <w:pPr>
              <w:pStyle w:val="1535"/>
            </w:pPr>
            <w:r>
              <w:t>蚀刻液</w:t>
            </w:r>
          </w:p>
        </w:tc>
        <w:tc>
          <w:tcPr>
            <w:tcW w:w="966" w:type="pct"/>
            <w:noWrap/>
            <w:vAlign w:val="center"/>
          </w:tcPr>
          <w:p w14:paraId="59D52857">
            <w:pPr>
              <w:pStyle w:val="1535"/>
            </w:pPr>
            <w:r>
              <w:t>硫酸50.0~60.0%</w:t>
            </w:r>
          </w:p>
        </w:tc>
        <w:tc>
          <w:tcPr>
            <w:tcW w:w="395" w:type="pct"/>
            <w:vAlign w:val="center"/>
          </w:tcPr>
          <w:p w14:paraId="61797FAC">
            <w:pPr>
              <w:pStyle w:val="1535"/>
            </w:pPr>
            <w:r>
              <w:t>20kg/桶</w:t>
            </w:r>
          </w:p>
        </w:tc>
        <w:tc>
          <w:tcPr>
            <w:tcW w:w="447" w:type="pct"/>
            <w:vAlign w:val="center"/>
          </w:tcPr>
          <w:p w14:paraId="0D23E32C">
            <w:pPr>
              <w:pStyle w:val="1535"/>
            </w:pPr>
            <w:r>
              <w:rPr>
                <w:rFonts w:hint="eastAsia"/>
              </w:rPr>
              <w:t>5.04</w:t>
            </w:r>
          </w:p>
        </w:tc>
        <w:tc>
          <w:tcPr>
            <w:tcW w:w="699" w:type="pct"/>
            <w:vAlign w:val="center"/>
          </w:tcPr>
          <w:p w14:paraId="34CEC1DD">
            <w:pPr>
              <w:pStyle w:val="1535"/>
            </w:pPr>
            <w:r>
              <w:t>7664-93-9</w:t>
            </w:r>
          </w:p>
        </w:tc>
        <w:tc>
          <w:tcPr>
            <w:tcW w:w="949" w:type="pct"/>
            <w:vMerge w:val="continue"/>
            <w:vAlign w:val="center"/>
          </w:tcPr>
          <w:p w14:paraId="7AEFFB92">
            <w:pPr>
              <w:pStyle w:val="1535"/>
            </w:pPr>
          </w:p>
        </w:tc>
        <w:tc>
          <w:tcPr>
            <w:tcW w:w="640" w:type="pct"/>
            <w:vAlign w:val="center"/>
          </w:tcPr>
          <w:p w14:paraId="63930A65">
            <w:pPr>
              <w:pStyle w:val="1535"/>
            </w:pPr>
            <w:r>
              <w:t>硫酸</w:t>
            </w:r>
          </w:p>
        </w:tc>
      </w:tr>
      <w:tr w14:paraId="362A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vAlign w:val="center"/>
          </w:tcPr>
          <w:p w14:paraId="521AAFF4">
            <w:pPr>
              <w:pStyle w:val="1535"/>
            </w:pPr>
            <w:r>
              <w:t>7</w:t>
            </w:r>
          </w:p>
        </w:tc>
        <w:tc>
          <w:tcPr>
            <w:tcW w:w="553" w:type="pct"/>
            <w:vAlign w:val="center"/>
          </w:tcPr>
          <w:p w14:paraId="64DCF6E2">
            <w:pPr>
              <w:pStyle w:val="1535"/>
            </w:pPr>
            <w:r>
              <w:t>MTS</w:t>
            </w:r>
          </w:p>
        </w:tc>
        <w:tc>
          <w:tcPr>
            <w:tcW w:w="966" w:type="pct"/>
            <w:noWrap/>
            <w:vAlign w:val="center"/>
          </w:tcPr>
          <w:p w14:paraId="0BF834BD">
            <w:pPr>
              <w:pStyle w:val="1535"/>
            </w:pPr>
            <w:r>
              <w:t>三氯甲基硅烷</w:t>
            </w:r>
          </w:p>
          <w:p w14:paraId="4C0BFB12">
            <w:pPr>
              <w:pStyle w:val="1535"/>
            </w:pPr>
            <w:r>
              <w:t>99.5%</w:t>
            </w:r>
          </w:p>
        </w:tc>
        <w:tc>
          <w:tcPr>
            <w:tcW w:w="395" w:type="pct"/>
            <w:vAlign w:val="center"/>
          </w:tcPr>
          <w:p w14:paraId="02ABB52A">
            <w:pPr>
              <w:pStyle w:val="1535"/>
            </w:pPr>
            <w:r>
              <w:t>1t/罐</w:t>
            </w:r>
          </w:p>
        </w:tc>
        <w:tc>
          <w:tcPr>
            <w:tcW w:w="447" w:type="pct"/>
            <w:vAlign w:val="center"/>
          </w:tcPr>
          <w:p w14:paraId="1051B4A6">
            <w:pPr>
              <w:pStyle w:val="1535"/>
            </w:pPr>
            <w:r>
              <w:rPr>
                <w:rFonts w:hint="eastAsia"/>
              </w:rPr>
              <w:t>12.5</w:t>
            </w:r>
          </w:p>
        </w:tc>
        <w:tc>
          <w:tcPr>
            <w:tcW w:w="699" w:type="pct"/>
            <w:vAlign w:val="center"/>
          </w:tcPr>
          <w:p w14:paraId="298BF41D">
            <w:pPr>
              <w:pStyle w:val="1535"/>
            </w:pPr>
            <w:r>
              <w:t>75-79-6</w:t>
            </w:r>
          </w:p>
        </w:tc>
        <w:tc>
          <w:tcPr>
            <w:tcW w:w="949" w:type="pct"/>
            <w:vAlign w:val="center"/>
          </w:tcPr>
          <w:p w14:paraId="7920C2AA">
            <w:pPr>
              <w:pStyle w:val="1535"/>
            </w:pPr>
            <w:r>
              <w:t>MTS贮存间</w:t>
            </w:r>
          </w:p>
        </w:tc>
        <w:tc>
          <w:tcPr>
            <w:tcW w:w="640" w:type="pct"/>
            <w:vAlign w:val="center"/>
          </w:tcPr>
          <w:p w14:paraId="78D8F48E">
            <w:pPr>
              <w:pStyle w:val="1535"/>
            </w:pPr>
            <w:r>
              <w:t>甲基三氯硅烷</w:t>
            </w:r>
          </w:p>
        </w:tc>
      </w:tr>
      <w:tr w14:paraId="0715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51" w:type="pct"/>
            <w:vAlign w:val="center"/>
          </w:tcPr>
          <w:p w14:paraId="2908E618">
            <w:pPr>
              <w:pStyle w:val="1535"/>
            </w:pPr>
            <w:r>
              <w:t>8</w:t>
            </w:r>
          </w:p>
        </w:tc>
        <w:tc>
          <w:tcPr>
            <w:tcW w:w="553" w:type="pct"/>
            <w:vAlign w:val="center"/>
          </w:tcPr>
          <w:p w14:paraId="556FFACA">
            <w:pPr>
              <w:pStyle w:val="1535"/>
            </w:pPr>
            <w:r>
              <w:t>氢气</w:t>
            </w:r>
          </w:p>
        </w:tc>
        <w:tc>
          <w:tcPr>
            <w:tcW w:w="966" w:type="pct"/>
            <w:noWrap/>
            <w:vAlign w:val="center"/>
          </w:tcPr>
          <w:p w14:paraId="43F4E994">
            <w:pPr>
              <w:pStyle w:val="1535"/>
            </w:pPr>
            <w:r>
              <w:t>H</w:t>
            </w:r>
            <w:r>
              <w:rPr>
                <w:vertAlign w:val="subscript"/>
              </w:rPr>
              <w:t>2</w:t>
            </w:r>
          </w:p>
        </w:tc>
        <w:tc>
          <w:tcPr>
            <w:tcW w:w="395" w:type="pct"/>
            <w:vAlign w:val="center"/>
          </w:tcPr>
          <w:p w14:paraId="25B1B692">
            <w:pPr>
              <w:pStyle w:val="1535"/>
            </w:pPr>
            <w:r>
              <w:t>6</w:t>
            </w:r>
            <w:r>
              <w:rPr>
                <w:rFonts w:hint="eastAsia"/>
              </w:rPr>
              <w:t xml:space="preserve"> m</w:t>
            </w:r>
            <w:r>
              <w:rPr>
                <w:rFonts w:hint="eastAsia"/>
                <w:vertAlign w:val="superscript"/>
              </w:rPr>
              <w:t>3</w:t>
            </w:r>
            <w:r>
              <w:t>/瓶</w:t>
            </w:r>
          </w:p>
        </w:tc>
        <w:tc>
          <w:tcPr>
            <w:tcW w:w="447" w:type="pct"/>
            <w:vAlign w:val="center"/>
          </w:tcPr>
          <w:p w14:paraId="2DB5D6C8">
            <w:pPr>
              <w:pStyle w:val="1535"/>
            </w:pPr>
            <w:r>
              <w:rPr>
                <w:rFonts w:hint="eastAsia"/>
              </w:rPr>
              <w:t>40</w:t>
            </w:r>
          </w:p>
        </w:tc>
        <w:tc>
          <w:tcPr>
            <w:tcW w:w="699" w:type="pct"/>
            <w:vAlign w:val="center"/>
          </w:tcPr>
          <w:p w14:paraId="33FD8508">
            <w:pPr>
              <w:pStyle w:val="1535"/>
            </w:pPr>
            <w:r>
              <w:t>1333-74-0</w:t>
            </w:r>
          </w:p>
        </w:tc>
        <w:tc>
          <w:tcPr>
            <w:tcW w:w="949" w:type="pct"/>
            <w:vAlign w:val="center"/>
          </w:tcPr>
          <w:p w14:paraId="1FE55D99">
            <w:pPr>
              <w:pStyle w:val="1535"/>
            </w:pPr>
            <w:r>
              <w:t>气站</w:t>
            </w:r>
          </w:p>
        </w:tc>
        <w:tc>
          <w:tcPr>
            <w:tcW w:w="640" w:type="pct"/>
            <w:vAlign w:val="center"/>
          </w:tcPr>
          <w:p w14:paraId="3D447A51">
            <w:pPr>
              <w:pStyle w:val="1535"/>
            </w:pPr>
            <w:r>
              <w:t>/</w:t>
            </w:r>
          </w:p>
        </w:tc>
      </w:tr>
      <w:tr w14:paraId="616E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51" w:type="pct"/>
            <w:vAlign w:val="center"/>
          </w:tcPr>
          <w:p w14:paraId="58B9A7ED">
            <w:pPr>
              <w:pStyle w:val="1535"/>
            </w:pPr>
            <w:r>
              <w:rPr>
                <w:rFonts w:hint="eastAsia"/>
              </w:rPr>
              <w:t>9</w:t>
            </w:r>
          </w:p>
        </w:tc>
        <w:tc>
          <w:tcPr>
            <w:tcW w:w="553" w:type="pct"/>
            <w:vAlign w:val="center"/>
          </w:tcPr>
          <w:p w14:paraId="656C01E4">
            <w:pPr>
              <w:pStyle w:val="1535"/>
            </w:pPr>
            <w:r>
              <w:rPr>
                <w:rFonts w:hint="eastAsia"/>
              </w:rPr>
              <w:t>甲苯</w:t>
            </w:r>
          </w:p>
        </w:tc>
        <w:tc>
          <w:tcPr>
            <w:tcW w:w="966" w:type="pct"/>
            <w:noWrap/>
            <w:vAlign w:val="center"/>
          </w:tcPr>
          <w:p w14:paraId="7B917D03">
            <w:pPr>
              <w:pStyle w:val="1535"/>
            </w:pPr>
            <w:r>
              <w:rPr>
                <w:rFonts w:hint="eastAsia"/>
              </w:rPr>
              <w:t>甲苯</w:t>
            </w:r>
          </w:p>
        </w:tc>
        <w:tc>
          <w:tcPr>
            <w:tcW w:w="395" w:type="pct"/>
            <w:vAlign w:val="center"/>
          </w:tcPr>
          <w:p w14:paraId="1775DF98">
            <w:pPr>
              <w:pStyle w:val="1535"/>
            </w:pPr>
            <w:r>
              <w:t>20L/桶</w:t>
            </w:r>
          </w:p>
        </w:tc>
        <w:tc>
          <w:tcPr>
            <w:tcW w:w="447" w:type="pct"/>
            <w:vAlign w:val="center"/>
          </w:tcPr>
          <w:p w14:paraId="200F754E">
            <w:pPr>
              <w:pStyle w:val="1535"/>
            </w:pPr>
            <w:r>
              <w:rPr>
                <w:rFonts w:hint="eastAsia"/>
              </w:rPr>
              <w:t>0.1</w:t>
            </w:r>
          </w:p>
        </w:tc>
        <w:tc>
          <w:tcPr>
            <w:tcW w:w="699" w:type="pct"/>
            <w:vAlign w:val="center"/>
          </w:tcPr>
          <w:p w14:paraId="0C13F5D3">
            <w:pPr>
              <w:pStyle w:val="1535"/>
            </w:pPr>
            <w:r>
              <w:t>108-88-3</w:t>
            </w:r>
          </w:p>
        </w:tc>
        <w:tc>
          <w:tcPr>
            <w:tcW w:w="949" w:type="pct"/>
            <w:vAlign w:val="center"/>
          </w:tcPr>
          <w:p w14:paraId="74CA53E0">
            <w:pPr>
              <w:pStyle w:val="1535"/>
            </w:pPr>
            <w:r>
              <w:rPr>
                <w:rFonts w:hint="eastAsia"/>
              </w:rPr>
              <w:t>化学品柜</w:t>
            </w:r>
          </w:p>
        </w:tc>
        <w:tc>
          <w:tcPr>
            <w:tcW w:w="640" w:type="pct"/>
            <w:vAlign w:val="center"/>
          </w:tcPr>
          <w:p w14:paraId="1100A95F">
            <w:pPr>
              <w:pStyle w:val="1535"/>
            </w:pPr>
            <w:r>
              <w:rPr>
                <w:rFonts w:hint="eastAsia"/>
              </w:rPr>
              <w:t>甲苯</w:t>
            </w:r>
          </w:p>
        </w:tc>
      </w:tr>
      <w:tr w14:paraId="534B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vAlign w:val="center"/>
          </w:tcPr>
          <w:p w14:paraId="6040C545">
            <w:pPr>
              <w:pStyle w:val="1535"/>
            </w:pPr>
            <w:r>
              <w:rPr>
                <w:rFonts w:hint="eastAsia"/>
              </w:rPr>
              <w:t>10</w:t>
            </w:r>
          </w:p>
        </w:tc>
        <w:tc>
          <w:tcPr>
            <w:tcW w:w="553" w:type="pct"/>
            <w:vAlign w:val="center"/>
          </w:tcPr>
          <w:p w14:paraId="2FDCDD55">
            <w:pPr>
              <w:pStyle w:val="1535"/>
            </w:pPr>
            <w:r>
              <w:t>切削液</w:t>
            </w:r>
          </w:p>
        </w:tc>
        <w:tc>
          <w:tcPr>
            <w:tcW w:w="966" w:type="pct"/>
            <w:noWrap/>
            <w:vAlign w:val="center"/>
          </w:tcPr>
          <w:p w14:paraId="4723C39F">
            <w:pPr>
              <w:pStyle w:val="1535"/>
            </w:pPr>
            <w:r>
              <w:t>油类物质</w:t>
            </w:r>
          </w:p>
        </w:tc>
        <w:tc>
          <w:tcPr>
            <w:tcW w:w="395" w:type="pct"/>
            <w:vAlign w:val="center"/>
          </w:tcPr>
          <w:p w14:paraId="42147803">
            <w:pPr>
              <w:pStyle w:val="1535"/>
            </w:pPr>
            <w:r>
              <w:t>2t/桶</w:t>
            </w:r>
          </w:p>
        </w:tc>
        <w:tc>
          <w:tcPr>
            <w:tcW w:w="447" w:type="pct"/>
            <w:vAlign w:val="center"/>
          </w:tcPr>
          <w:p w14:paraId="264CEF59">
            <w:pPr>
              <w:pStyle w:val="1535"/>
            </w:pPr>
            <w:r>
              <w:rPr>
                <w:rFonts w:hint="eastAsia"/>
              </w:rPr>
              <w:t>40</w:t>
            </w:r>
          </w:p>
        </w:tc>
        <w:tc>
          <w:tcPr>
            <w:tcW w:w="699" w:type="pct"/>
            <w:vAlign w:val="center"/>
          </w:tcPr>
          <w:p w14:paraId="7086DE27">
            <w:pPr>
              <w:pStyle w:val="1535"/>
            </w:pPr>
            <w:r>
              <w:t>/</w:t>
            </w:r>
          </w:p>
        </w:tc>
        <w:tc>
          <w:tcPr>
            <w:tcW w:w="949" w:type="pct"/>
            <w:vAlign w:val="center"/>
          </w:tcPr>
          <w:p w14:paraId="0105808C">
            <w:pPr>
              <w:pStyle w:val="1535"/>
            </w:pPr>
            <w:r>
              <w:t>切削液回收车间</w:t>
            </w:r>
          </w:p>
        </w:tc>
        <w:tc>
          <w:tcPr>
            <w:tcW w:w="640" w:type="pct"/>
            <w:vAlign w:val="center"/>
          </w:tcPr>
          <w:p w14:paraId="4B21306F">
            <w:pPr>
              <w:pStyle w:val="1535"/>
            </w:pPr>
            <w:r>
              <w:t>油类物质</w:t>
            </w:r>
          </w:p>
        </w:tc>
      </w:tr>
    </w:tbl>
    <w:p w14:paraId="21F50CCD">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MTS理化性质及危险特性一览表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89"/>
        <w:gridCol w:w="730"/>
        <w:gridCol w:w="2124"/>
        <w:gridCol w:w="2122"/>
        <w:gridCol w:w="2152"/>
      </w:tblGrid>
      <w:tr w14:paraId="5ABD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vMerge w:val="restart"/>
            <w:tcMar>
              <w:left w:w="0" w:type="dxa"/>
              <w:right w:w="0" w:type="dxa"/>
            </w:tcMar>
            <w:vAlign w:val="center"/>
          </w:tcPr>
          <w:p w14:paraId="50F8E52B">
            <w:pPr>
              <w:pStyle w:val="1535"/>
            </w:pPr>
            <w:r>
              <w:t>标识</w:t>
            </w:r>
          </w:p>
        </w:tc>
        <w:tc>
          <w:tcPr>
            <w:tcW w:w="2019" w:type="dxa"/>
            <w:gridSpan w:val="2"/>
            <w:tcMar>
              <w:left w:w="0" w:type="dxa"/>
              <w:right w:w="0" w:type="dxa"/>
            </w:tcMar>
            <w:vAlign w:val="center"/>
          </w:tcPr>
          <w:p w14:paraId="777C9482">
            <w:pPr>
              <w:pStyle w:val="1535"/>
            </w:pPr>
            <w:r>
              <w:t>别名</w:t>
            </w:r>
          </w:p>
        </w:tc>
        <w:tc>
          <w:tcPr>
            <w:tcW w:w="2124" w:type="dxa"/>
            <w:tcMar>
              <w:left w:w="0" w:type="dxa"/>
              <w:right w:w="0" w:type="dxa"/>
            </w:tcMar>
            <w:vAlign w:val="center"/>
          </w:tcPr>
          <w:p w14:paraId="015A4308">
            <w:pPr>
              <w:pStyle w:val="1535"/>
            </w:pPr>
            <w:r>
              <w:t>甲基硅仿；三氯甲基硅烷</w:t>
            </w:r>
          </w:p>
        </w:tc>
        <w:tc>
          <w:tcPr>
            <w:tcW w:w="2122" w:type="dxa"/>
            <w:tcMar>
              <w:left w:w="0" w:type="dxa"/>
              <w:right w:w="0" w:type="dxa"/>
            </w:tcMar>
            <w:vAlign w:val="center"/>
          </w:tcPr>
          <w:p w14:paraId="7ECA2A7F">
            <w:pPr>
              <w:pStyle w:val="1535"/>
            </w:pPr>
            <w:r>
              <w:t>危险货物编号</w:t>
            </w:r>
          </w:p>
        </w:tc>
        <w:tc>
          <w:tcPr>
            <w:tcW w:w="2152" w:type="dxa"/>
            <w:tcMar>
              <w:left w:w="0" w:type="dxa"/>
              <w:right w:w="0" w:type="dxa"/>
            </w:tcMar>
            <w:vAlign w:val="center"/>
          </w:tcPr>
          <w:p w14:paraId="2CCD4ADE">
            <w:pPr>
              <w:pStyle w:val="1535"/>
            </w:pPr>
            <w:r>
              <w:t>32186</w:t>
            </w:r>
          </w:p>
        </w:tc>
      </w:tr>
      <w:tr w14:paraId="1321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vMerge w:val="continue"/>
            <w:tcMar>
              <w:left w:w="0" w:type="dxa"/>
              <w:right w:w="0" w:type="dxa"/>
            </w:tcMar>
            <w:vAlign w:val="center"/>
          </w:tcPr>
          <w:p w14:paraId="4276B780">
            <w:pPr>
              <w:pStyle w:val="1535"/>
            </w:pPr>
          </w:p>
        </w:tc>
        <w:tc>
          <w:tcPr>
            <w:tcW w:w="2019" w:type="dxa"/>
            <w:gridSpan w:val="2"/>
            <w:tcMar>
              <w:left w:w="0" w:type="dxa"/>
              <w:right w:w="0" w:type="dxa"/>
            </w:tcMar>
            <w:vAlign w:val="center"/>
          </w:tcPr>
          <w:p w14:paraId="5F6A8BE1">
            <w:pPr>
              <w:pStyle w:val="1535"/>
            </w:pPr>
            <w:r>
              <w:t>英文名</w:t>
            </w:r>
          </w:p>
        </w:tc>
        <w:tc>
          <w:tcPr>
            <w:tcW w:w="2124" w:type="dxa"/>
            <w:tcMar>
              <w:left w:w="0" w:type="dxa"/>
              <w:right w:w="0" w:type="dxa"/>
            </w:tcMar>
            <w:vAlign w:val="center"/>
          </w:tcPr>
          <w:p w14:paraId="15852389">
            <w:pPr>
              <w:pStyle w:val="1535"/>
            </w:pPr>
            <w:r>
              <w:t>methyltrichlorosilane；methylsilicochloroform</w:t>
            </w:r>
          </w:p>
        </w:tc>
        <w:tc>
          <w:tcPr>
            <w:tcW w:w="2122" w:type="dxa"/>
            <w:tcMar>
              <w:left w:w="0" w:type="dxa"/>
              <w:right w:w="0" w:type="dxa"/>
            </w:tcMar>
            <w:vAlign w:val="center"/>
          </w:tcPr>
          <w:p w14:paraId="2FB10EB8">
            <w:pPr>
              <w:pStyle w:val="1535"/>
            </w:pPr>
            <w:r>
              <w:t>CAS号</w:t>
            </w:r>
          </w:p>
        </w:tc>
        <w:tc>
          <w:tcPr>
            <w:tcW w:w="2152" w:type="dxa"/>
            <w:tcMar>
              <w:left w:w="0" w:type="dxa"/>
              <w:right w:w="0" w:type="dxa"/>
            </w:tcMar>
            <w:vAlign w:val="center"/>
          </w:tcPr>
          <w:p w14:paraId="368E7B6A">
            <w:pPr>
              <w:pStyle w:val="1535"/>
            </w:pPr>
            <w:r>
              <w:t>75-79-6</w:t>
            </w:r>
          </w:p>
        </w:tc>
      </w:tr>
      <w:tr w14:paraId="3B84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vMerge w:val="restart"/>
            <w:tcMar>
              <w:left w:w="0" w:type="dxa"/>
              <w:right w:w="0" w:type="dxa"/>
            </w:tcMar>
            <w:vAlign w:val="center"/>
          </w:tcPr>
          <w:p w14:paraId="05173BE3">
            <w:pPr>
              <w:pStyle w:val="1535"/>
            </w:pPr>
            <w:r>
              <w:t>理化性质</w:t>
            </w:r>
          </w:p>
        </w:tc>
        <w:tc>
          <w:tcPr>
            <w:tcW w:w="2019" w:type="dxa"/>
            <w:gridSpan w:val="2"/>
            <w:tcMar>
              <w:left w:w="0" w:type="dxa"/>
              <w:right w:w="0" w:type="dxa"/>
            </w:tcMar>
            <w:vAlign w:val="center"/>
          </w:tcPr>
          <w:p w14:paraId="67611D59">
            <w:pPr>
              <w:pStyle w:val="1535"/>
            </w:pPr>
            <w:r>
              <w:t>分子式</w:t>
            </w:r>
          </w:p>
        </w:tc>
        <w:tc>
          <w:tcPr>
            <w:tcW w:w="2124" w:type="dxa"/>
            <w:tcMar>
              <w:left w:w="0" w:type="dxa"/>
              <w:right w:w="0" w:type="dxa"/>
            </w:tcMar>
            <w:vAlign w:val="center"/>
          </w:tcPr>
          <w:p w14:paraId="13AFCDC8">
            <w:pPr>
              <w:pStyle w:val="1535"/>
            </w:pPr>
            <w:r>
              <w:t>CH3Cl3Si；CH3SiCl3</w:t>
            </w:r>
          </w:p>
        </w:tc>
        <w:tc>
          <w:tcPr>
            <w:tcW w:w="2122" w:type="dxa"/>
            <w:tcMar>
              <w:left w:w="0" w:type="dxa"/>
              <w:right w:w="0" w:type="dxa"/>
            </w:tcMar>
            <w:vAlign w:val="center"/>
          </w:tcPr>
          <w:p w14:paraId="5A761B17">
            <w:pPr>
              <w:pStyle w:val="1535"/>
            </w:pPr>
            <w:r>
              <w:t>分子量</w:t>
            </w:r>
          </w:p>
        </w:tc>
        <w:tc>
          <w:tcPr>
            <w:tcW w:w="2152" w:type="dxa"/>
            <w:tcMar>
              <w:left w:w="0" w:type="dxa"/>
              <w:right w:w="0" w:type="dxa"/>
            </w:tcMar>
            <w:vAlign w:val="center"/>
          </w:tcPr>
          <w:p w14:paraId="7FFA2C59">
            <w:pPr>
              <w:pStyle w:val="1535"/>
            </w:pPr>
            <w:r>
              <w:t>149.46</w:t>
            </w:r>
          </w:p>
        </w:tc>
      </w:tr>
      <w:tr w14:paraId="7E8B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vMerge w:val="continue"/>
            <w:tcMar>
              <w:left w:w="0" w:type="dxa"/>
              <w:right w:w="0" w:type="dxa"/>
            </w:tcMar>
            <w:vAlign w:val="center"/>
          </w:tcPr>
          <w:p w14:paraId="60928A2B">
            <w:pPr>
              <w:pStyle w:val="1535"/>
            </w:pPr>
          </w:p>
        </w:tc>
        <w:tc>
          <w:tcPr>
            <w:tcW w:w="2019" w:type="dxa"/>
            <w:gridSpan w:val="2"/>
            <w:tcMar>
              <w:left w:w="0" w:type="dxa"/>
              <w:right w:w="0" w:type="dxa"/>
            </w:tcMar>
            <w:vAlign w:val="center"/>
          </w:tcPr>
          <w:p w14:paraId="70CB71E1">
            <w:pPr>
              <w:pStyle w:val="1535"/>
            </w:pPr>
            <w:r>
              <w:t>沸点（℃）</w:t>
            </w:r>
          </w:p>
        </w:tc>
        <w:tc>
          <w:tcPr>
            <w:tcW w:w="2124" w:type="dxa"/>
            <w:tcMar>
              <w:left w:w="0" w:type="dxa"/>
              <w:right w:w="0" w:type="dxa"/>
            </w:tcMar>
            <w:vAlign w:val="center"/>
          </w:tcPr>
          <w:p w14:paraId="47DCB1E9">
            <w:pPr>
              <w:pStyle w:val="1535"/>
            </w:pPr>
            <w:r>
              <w:t>66.5℃</w:t>
            </w:r>
          </w:p>
        </w:tc>
        <w:tc>
          <w:tcPr>
            <w:tcW w:w="2122" w:type="dxa"/>
            <w:tcMar>
              <w:left w:w="0" w:type="dxa"/>
              <w:right w:w="0" w:type="dxa"/>
            </w:tcMar>
            <w:vAlign w:val="center"/>
          </w:tcPr>
          <w:p w14:paraId="78A20425">
            <w:pPr>
              <w:pStyle w:val="1535"/>
            </w:pPr>
            <w:r>
              <w:t>溶点（℃）</w:t>
            </w:r>
          </w:p>
        </w:tc>
        <w:tc>
          <w:tcPr>
            <w:tcW w:w="2152" w:type="dxa"/>
            <w:tcMar>
              <w:left w:w="0" w:type="dxa"/>
              <w:right w:w="0" w:type="dxa"/>
            </w:tcMar>
            <w:vAlign w:val="center"/>
          </w:tcPr>
          <w:p w14:paraId="7A85EABC">
            <w:pPr>
              <w:pStyle w:val="1535"/>
            </w:pPr>
            <w:r>
              <w:t>-90℃</w:t>
            </w:r>
          </w:p>
        </w:tc>
      </w:tr>
      <w:tr w14:paraId="0143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vMerge w:val="continue"/>
            <w:tcMar>
              <w:left w:w="0" w:type="dxa"/>
              <w:right w:w="0" w:type="dxa"/>
            </w:tcMar>
            <w:vAlign w:val="center"/>
          </w:tcPr>
          <w:p w14:paraId="3D24AF01">
            <w:pPr>
              <w:pStyle w:val="1535"/>
            </w:pPr>
          </w:p>
        </w:tc>
        <w:tc>
          <w:tcPr>
            <w:tcW w:w="2019" w:type="dxa"/>
            <w:gridSpan w:val="2"/>
            <w:tcMar>
              <w:left w:w="0" w:type="dxa"/>
              <w:right w:w="0" w:type="dxa"/>
            </w:tcMar>
            <w:vAlign w:val="center"/>
          </w:tcPr>
          <w:p w14:paraId="435A9932">
            <w:pPr>
              <w:pStyle w:val="1535"/>
            </w:pPr>
            <w:r>
              <w:t>相对密度</w:t>
            </w:r>
          </w:p>
        </w:tc>
        <w:tc>
          <w:tcPr>
            <w:tcW w:w="2124" w:type="dxa"/>
            <w:tcMar>
              <w:left w:w="0" w:type="dxa"/>
              <w:right w:w="0" w:type="dxa"/>
            </w:tcMar>
            <w:vAlign w:val="center"/>
          </w:tcPr>
          <w:p w14:paraId="05B3F938">
            <w:pPr>
              <w:pStyle w:val="1535"/>
            </w:pPr>
            <w:r>
              <w:t>相对密度(水=1)1.28；相对密度(空气=1)5.17</w:t>
            </w:r>
          </w:p>
        </w:tc>
        <w:tc>
          <w:tcPr>
            <w:tcW w:w="2122" w:type="dxa"/>
            <w:tcMar>
              <w:left w:w="0" w:type="dxa"/>
              <w:right w:w="0" w:type="dxa"/>
            </w:tcMar>
            <w:vAlign w:val="center"/>
          </w:tcPr>
          <w:p w14:paraId="646C9BF4">
            <w:pPr>
              <w:pStyle w:val="1535"/>
            </w:pPr>
            <w:r>
              <w:t>蒸气压</w:t>
            </w:r>
          </w:p>
        </w:tc>
        <w:tc>
          <w:tcPr>
            <w:tcW w:w="2152" w:type="dxa"/>
            <w:tcMar>
              <w:left w:w="0" w:type="dxa"/>
              <w:right w:w="0" w:type="dxa"/>
            </w:tcMar>
            <w:vAlign w:val="center"/>
          </w:tcPr>
          <w:p w14:paraId="35A7CBD7">
            <w:pPr>
              <w:pStyle w:val="1535"/>
            </w:pPr>
            <w:r>
              <w:t>20.0kPa/25℃闪点：-9℃</w:t>
            </w:r>
          </w:p>
        </w:tc>
      </w:tr>
      <w:tr w14:paraId="4E0A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00" w:type="dxa"/>
            <w:vMerge w:val="continue"/>
            <w:tcMar>
              <w:left w:w="0" w:type="dxa"/>
              <w:right w:w="0" w:type="dxa"/>
            </w:tcMar>
            <w:vAlign w:val="center"/>
          </w:tcPr>
          <w:p w14:paraId="1D9D54AA">
            <w:pPr>
              <w:pStyle w:val="1535"/>
            </w:pPr>
          </w:p>
        </w:tc>
        <w:tc>
          <w:tcPr>
            <w:tcW w:w="1289" w:type="dxa"/>
            <w:tcMar>
              <w:left w:w="0" w:type="dxa"/>
              <w:right w:w="0" w:type="dxa"/>
            </w:tcMar>
            <w:vAlign w:val="center"/>
          </w:tcPr>
          <w:p w14:paraId="37C5B4AF">
            <w:pPr>
              <w:pStyle w:val="1535"/>
            </w:pPr>
            <w:r>
              <w:t>溶解性</w:t>
            </w:r>
          </w:p>
        </w:tc>
        <w:tc>
          <w:tcPr>
            <w:tcW w:w="7128" w:type="dxa"/>
            <w:gridSpan w:val="4"/>
            <w:tcMar>
              <w:left w:w="0" w:type="dxa"/>
              <w:right w:w="0" w:type="dxa"/>
            </w:tcMar>
            <w:vAlign w:val="center"/>
          </w:tcPr>
          <w:p w14:paraId="36B16206">
            <w:pPr>
              <w:pStyle w:val="1535"/>
            </w:pPr>
            <w:r>
              <w:t>溶于苯、醚</w:t>
            </w:r>
          </w:p>
        </w:tc>
      </w:tr>
      <w:tr w14:paraId="2609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vMerge w:val="continue"/>
            <w:tcMar>
              <w:left w:w="0" w:type="dxa"/>
              <w:right w:w="0" w:type="dxa"/>
            </w:tcMar>
            <w:vAlign w:val="center"/>
          </w:tcPr>
          <w:p w14:paraId="7AE20961">
            <w:pPr>
              <w:pStyle w:val="1535"/>
            </w:pPr>
          </w:p>
        </w:tc>
        <w:tc>
          <w:tcPr>
            <w:tcW w:w="1289" w:type="dxa"/>
            <w:tcMar>
              <w:left w:w="0" w:type="dxa"/>
              <w:right w:w="0" w:type="dxa"/>
            </w:tcMar>
            <w:vAlign w:val="center"/>
          </w:tcPr>
          <w:p w14:paraId="4C8EB9D6">
            <w:pPr>
              <w:pStyle w:val="1535"/>
            </w:pPr>
            <w:r>
              <w:t>外观、性状</w:t>
            </w:r>
          </w:p>
        </w:tc>
        <w:tc>
          <w:tcPr>
            <w:tcW w:w="7128" w:type="dxa"/>
            <w:gridSpan w:val="4"/>
            <w:tcMar>
              <w:left w:w="0" w:type="dxa"/>
              <w:right w:w="0" w:type="dxa"/>
            </w:tcMar>
            <w:vAlign w:val="center"/>
          </w:tcPr>
          <w:p w14:paraId="1A7C1A4A">
            <w:pPr>
              <w:pStyle w:val="1535"/>
            </w:pPr>
            <w:r>
              <w:t>无色液体，具有刺鼻恶臭，易潮解</w:t>
            </w:r>
          </w:p>
        </w:tc>
      </w:tr>
      <w:tr w14:paraId="42EB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vMerge w:val="continue"/>
            <w:tcMar>
              <w:left w:w="0" w:type="dxa"/>
              <w:right w:w="0" w:type="dxa"/>
            </w:tcMar>
            <w:vAlign w:val="center"/>
          </w:tcPr>
          <w:p w14:paraId="4E68640C">
            <w:pPr>
              <w:pStyle w:val="1535"/>
            </w:pPr>
          </w:p>
        </w:tc>
        <w:tc>
          <w:tcPr>
            <w:tcW w:w="1289" w:type="dxa"/>
            <w:tcMar>
              <w:left w:w="0" w:type="dxa"/>
              <w:right w:w="0" w:type="dxa"/>
            </w:tcMar>
            <w:vAlign w:val="center"/>
          </w:tcPr>
          <w:p w14:paraId="15D2F57B">
            <w:pPr>
              <w:pStyle w:val="1535"/>
            </w:pPr>
            <w:r>
              <w:t>危险标记</w:t>
            </w:r>
          </w:p>
        </w:tc>
        <w:tc>
          <w:tcPr>
            <w:tcW w:w="7128" w:type="dxa"/>
            <w:gridSpan w:val="4"/>
            <w:tcMar>
              <w:left w:w="0" w:type="dxa"/>
              <w:right w:w="0" w:type="dxa"/>
            </w:tcMar>
            <w:vAlign w:val="center"/>
          </w:tcPr>
          <w:p w14:paraId="59203058">
            <w:pPr>
              <w:pStyle w:val="1535"/>
            </w:pPr>
            <w:r>
              <w:t>7(易燃液体)，20(腐蚀品)</w:t>
            </w:r>
          </w:p>
        </w:tc>
      </w:tr>
      <w:tr w14:paraId="31EA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tcMar>
              <w:left w:w="0" w:type="dxa"/>
              <w:right w:w="0" w:type="dxa"/>
            </w:tcMar>
            <w:vAlign w:val="center"/>
          </w:tcPr>
          <w:p w14:paraId="630539D2">
            <w:pPr>
              <w:pStyle w:val="1535"/>
            </w:pPr>
            <w:r>
              <w:t>健康危害</w:t>
            </w:r>
          </w:p>
        </w:tc>
        <w:tc>
          <w:tcPr>
            <w:tcW w:w="8417" w:type="dxa"/>
            <w:gridSpan w:val="5"/>
            <w:tcMar>
              <w:left w:w="0" w:type="dxa"/>
              <w:right w:w="0" w:type="dxa"/>
            </w:tcMar>
            <w:vAlign w:val="center"/>
          </w:tcPr>
          <w:p w14:paraId="5A881716">
            <w:pPr>
              <w:pStyle w:val="1535"/>
            </w:pPr>
            <w:r>
              <w:t>侵入途径：吸入、食入、经皮肤吸收。健康危害：对呼吸道和眼结膜有强烈刺激作用。接触者可出现流泪、咳嗽、头痛、恶心、呕吐、喘息、易激动、皮肤发痒等症状。吸入后可因喉、支气管的痉挛、水肿，化学性肺炎、肺炎、肺水肿而致死。</w:t>
            </w:r>
          </w:p>
        </w:tc>
      </w:tr>
      <w:tr w14:paraId="54B3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tcMar>
              <w:left w:w="0" w:type="dxa"/>
              <w:right w:w="0" w:type="dxa"/>
            </w:tcMar>
            <w:vAlign w:val="center"/>
          </w:tcPr>
          <w:p w14:paraId="0F1A9D80">
            <w:pPr>
              <w:pStyle w:val="1535"/>
            </w:pPr>
            <w:r>
              <w:t>毒理学资料及环境行为</w:t>
            </w:r>
          </w:p>
        </w:tc>
        <w:tc>
          <w:tcPr>
            <w:tcW w:w="8417" w:type="dxa"/>
            <w:gridSpan w:val="5"/>
            <w:tcMar>
              <w:left w:w="0" w:type="dxa"/>
              <w:right w:w="0" w:type="dxa"/>
            </w:tcMar>
            <w:vAlign w:val="center"/>
          </w:tcPr>
          <w:p w14:paraId="0B18E270">
            <w:pPr>
              <w:pStyle w:val="1535"/>
            </w:pPr>
            <w:r>
              <w:t>急性毒性：LC502740mg/m(大鼠吸入)危险特性：易燃，遇高热、明火或与氧化剂接触，有引起燃烧爆炸的危险。受热或遇水分解放热，放出有毒的腐蚀性烟气。具有腐蚀性。燃烧(分解)产物：一氧化碳、氧化硅、氯化氢、光气。</w:t>
            </w:r>
          </w:p>
        </w:tc>
      </w:tr>
      <w:tr w14:paraId="0ED6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tcMar>
              <w:left w:w="0" w:type="dxa"/>
              <w:right w:w="0" w:type="dxa"/>
            </w:tcMar>
            <w:vAlign w:val="center"/>
          </w:tcPr>
          <w:p w14:paraId="090A75A2">
            <w:pPr>
              <w:pStyle w:val="1535"/>
            </w:pPr>
            <w:r>
              <w:t>泄漏应急处理</w:t>
            </w:r>
          </w:p>
        </w:tc>
        <w:tc>
          <w:tcPr>
            <w:tcW w:w="8417" w:type="dxa"/>
            <w:gridSpan w:val="5"/>
            <w:tcMar>
              <w:left w:w="0" w:type="dxa"/>
              <w:right w:w="0" w:type="dxa"/>
            </w:tcMar>
            <w:vAlign w:val="center"/>
          </w:tcPr>
          <w:p w14:paraId="714F6B5D">
            <w:pPr>
              <w:pStyle w:val="1535"/>
            </w:pPr>
            <w:r>
              <w:t>迅速撤离泄漏污染区人员至安全区，并进行隔离，严格限制出入。切断火源。建议应急处理人员戴自给正压式呼吸器，穿防毒服。不要直接接触泄漏物。尽可能切断泄漏源，防止进入下水道、排烘沟等限制性空间。小量泄漏：用砂土或其它不燃材料吸附或吸收。大量泄漏：用防爆泵转移至槽车或专用收集器内，回收或运至废物处理场所处置。</w:t>
            </w:r>
          </w:p>
        </w:tc>
      </w:tr>
      <w:tr w14:paraId="7BCA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tcMar>
              <w:left w:w="0" w:type="dxa"/>
              <w:right w:w="0" w:type="dxa"/>
            </w:tcMar>
            <w:vAlign w:val="center"/>
          </w:tcPr>
          <w:p w14:paraId="625F4B30">
            <w:pPr>
              <w:pStyle w:val="1535"/>
            </w:pPr>
            <w:r>
              <w:t>防护措施</w:t>
            </w:r>
          </w:p>
        </w:tc>
        <w:tc>
          <w:tcPr>
            <w:tcW w:w="8417" w:type="dxa"/>
            <w:gridSpan w:val="5"/>
            <w:tcMar>
              <w:left w:w="0" w:type="dxa"/>
              <w:right w:w="0" w:type="dxa"/>
            </w:tcMar>
            <w:vAlign w:val="center"/>
          </w:tcPr>
          <w:p w14:paraId="7CD468EB">
            <w:pPr>
              <w:pStyle w:val="1535"/>
            </w:pPr>
            <w:r>
              <w:t>呼吸系统防护：可能接触其蒸气时，应该佩戴自吸过滤式防毒面具(全面罩)。紧急事态抢救或撤离时，建议佩戴自给式呼吸器。眼睛防护：呼吸系统防护中已作防护。身体防护：穿胶布防毒衣。手防护：戴橡胶手套。其它：工作现场严禁吸烟。工作毕，淋浴更衣。注意个人清洁卫生。</w:t>
            </w:r>
          </w:p>
        </w:tc>
      </w:tr>
      <w:tr w14:paraId="0D28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tcMar>
              <w:left w:w="0" w:type="dxa"/>
              <w:right w:w="0" w:type="dxa"/>
            </w:tcMar>
            <w:vAlign w:val="center"/>
          </w:tcPr>
          <w:p w14:paraId="0FD176FB">
            <w:pPr>
              <w:pStyle w:val="1535"/>
            </w:pPr>
            <w:r>
              <w:t>急救措施</w:t>
            </w:r>
          </w:p>
        </w:tc>
        <w:tc>
          <w:tcPr>
            <w:tcW w:w="8417" w:type="dxa"/>
            <w:gridSpan w:val="5"/>
            <w:tcMar>
              <w:left w:w="0" w:type="dxa"/>
              <w:right w:w="0" w:type="dxa"/>
            </w:tcMar>
            <w:vAlign w:val="center"/>
          </w:tcPr>
          <w:p w14:paraId="71CE29DC">
            <w:pPr>
              <w:pStyle w:val="1535"/>
            </w:pPr>
            <w:r>
              <w:t>皮肤接触：立即脱去被污染的衣着，用大量流动清水冲洗至少15分钟。就医。眼睛接触：立即提起眼睑，用大量流动清水或生理盐水彻底冲洗至少15分钟。就医。立即进行人工呼吸。就医。食入：误服者用水漱口，给饮牛奶或蛋清。就医。</w:t>
            </w:r>
          </w:p>
        </w:tc>
      </w:tr>
      <w:tr w14:paraId="3465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tcMar>
              <w:left w:w="0" w:type="dxa"/>
              <w:right w:w="0" w:type="dxa"/>
            </w:tcMar>
            <w:vAlign w:val="center"/>
          </w:tcPr>
          <w:p w14:paraId="74A67BB6">
            <w:pPr>
              <w:pStyle w:val="1535"/>
            </w:pPr>
            <w:r>
              <w:t>灭火方法</w:t>
            </w:r>
          </w:p>
        </w:tc>
        <w:tc>
          <w:tcPr>
            <w:tcW w:w="8417" w:type="dxa"/>
            <w:gridSpan w:val="5"/>
            <w:tcMar>
              <w:left w:w="0" w:type="dxa"/>
              <w:right w:w="0" w:type="dxa"/>
            </w:tcMar>
            <w:vAlign w:val="center"/>
          </w:tcPr>
          <w:p w14:paraId="31E4DFAB">
            <w:pPr>
              <w:pStyle w:val="1535"/>
            </w:pPr>
            <w:r>
              <w:t>喷水冷却容器，可能的话将容器从火场移至空旷处。灭火剂：二氧化碳、干粉、砂土。禁止用水或泡沫灭火。</w:t>
            </w:r>
          </w:p>
        </w:tc>
      </w:tr>
    </w:tbl>
    <w:p w14:paraId="306CE999">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硫酸理化性质及危险特性一览表</w:t>
      </w:r>
    </w:p>
    <w:tbl>
      <w:tblPr>
        <w:tblStyle w:val="88"/>
        <w:tblW w:w="0" w:type="auto"/>
        <w:tblInd w:w="0" w:type="dxa"/>
        <w:tblLayout w:type="fixed"/>
        <w:tblCellMar>
          <w:top w:w="0" w:type="dxa"/>
          <w:left w:w="108" w:type="dxa"/>
          <w:bottom w:w="0" w:type="dxa"/>
          <w:right w:w="108" w:type="dxa"/>
        </w:tblCellMar>
      </w:tblPr>
      <w:tblGrid>
        <w:gridCol w:w="700"/>
        <w:gridCol w:w="1289"/>
        <w:gridCol w:w="730"/>
        <w:gridCol w:w="2124"/>
        <w:gridCol w:w="2122"/>
        <w:gridCol w:w="2152"/>
      </w:tblGrid>
      <w:tr w14:paraId="4AC82B58">
        <w:tblPrEx>
          <w:tblCellMar>
            <w:top w:w="0" w:type="dxa"/>
            <w:left w:w="108" w:type="dxa"/>
            <w:bottom w:w="0" w:type="dxa"/>
            <w:right w:w="108" w:type="dxa"/>
          </w:tblCellMar>
        </w:tblPrEx>
        <w:trPr>
          <w:cantSplit/>
          <w:trHeight w:val="23" w:hRule="atLeast"/>
        </w:trPr>
        <w:tc>
          <w:tcPr>
            <w:tcW w:w="700"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D4A5F62">
            <w:pPr>
              <w:pStyle w:val="1535"/>
            </w:pPr>
            <w:r>
              <w:t>标识</w:t>
            </w: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93A136A">
            <w:pPr>
              <w:pStyle w:val="1535"/>
            </w:pPr>
            <w:r>
              <w:t>品名</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40770B3">
            <w:pPr>
              <w:pStyle w:val="1535"/>
            </w:pPr>
            <w:r>
              <w:t>硫酸</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C7B366D">
            <w:pPr>
              <w:pStyle w:val="1535"/>
            </w:pPr>
            <w:r>
              <w:t>别名</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DE3E4AB">
            <w:pPr>
              <w:pStyle w:val="1535"/>
            </w:pPr>
            <w:r>
              <w:t>磺镪水</w:t>
            </w:r>
          </w:p>
        </w:tc>
      </w:tr>
      <w:tr w14:paraId="25620E1D">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C33A3C9">
            <w:pPr>
              <w:pStyle w:val="1535"/>
            </w:pP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41F4789">
            <w:pPr>
              <w:pStyle w:val="1535"/>
            </w:pPr>
            <w:r>
              <w:t>英文名</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F0833CE">
            <w:pPr>
              <w:pStyle w:val="1535"/>
            </w:pPr>
            <w:r>
              <w:t>Sulfuricacid</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8B821EE">
            <w:pPr>
              <w:pStyle w:val="1535"/>
            </w:pPr>
            <w:r>
              <w:t>危险标记</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AFA74DC">
            <w:pPr>
              <w:pStyle w:val="1535"/>
            </w:pPr>
            <w:r>
              <w:t>20</w:t>
            </w:r>
          </w:p>
        </w:tc>
      </w:tr>
      <w:tr w14:paraId="3DB96A7D">
        <w:tblPrEx>
          <w:tblCellMar>
            <w:top w:w="0" w:type="dxa"/>
            <w:left w:w="108" w:type="dxa"/>
            <w:bottom w:w="0" w:type="dxa"/>
            <w:right w:w="108" w:type="dxa"/>
          </w:tblCellMar>
        </w:tblPrEx>
        <w:trPr>
          <w:cantSplit/>
          <w:trHeight w:val="23" w:hRule="atLeast"/>
        </w:trPr>
        <w:tc>
          <w:tcPr>
            <w:tcW w:w="700"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DC4417B">
            <w:pPr>
              <w:pStyle w:val="1535"/>
            </w:pPr>
            <w:r>
              <w:t>理化性质</w:t>
            </w: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D10E872">
            <w:pPr>
              <w:pStyle w:val="1535"/>
            </w:pPr>
            <w:r>
              <w:t>分子式</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CB2324E">
            <w:pPr>
              <w:pStyle w:val="1535"/>
            </w:pPr>
            <w:r>
              <w:t>H2SO4</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B40D2D2">
            <w:pPr>
              <w:pStyle w:val="1535"/>
            </w:pPr>
            <w:r>
              <w:t>分子量</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0E49F20">
            <w:pPr>
              <w:pStyle w:val="1535"/>
            </w:pPr>
            <w:r>
              <w:t>98.08</w:t>
            </w:r>
          </w:p>
        </w:tc>
      </w:tr>
      <w:tr w14:paraId="6CD7EFC7">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D370B6A">
            <w:pPr>
              <w:pStyle w:val="1535"/>
            </w:pP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3BD985C">
            <w:pPr>
              <w:pStyle w:val="1535"/>
            </w:pPr>
            <w:r>
              <w:t>沸点（℃）</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B8AB366">
            <w:pPr>
              <w:pStyle w:val="1535"/>
            </w:pPr>
            <w:r>
              <w:t>330.0℃</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3112FD0">
            <w:pPr>
              <w:pStyle w:val="1535"/>
            </w:pPr>
            <w:r>
              <w:t>溶点（℃）</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5641DCD">
            <w:pPr>
              <w:pStyle w:val="1535"/>
            </w:pPr>
            <w:r>
              <w:t>10.5℃</w:t>
            </w:r>
          </w:p>
        </w:tc>
      </w:tr>
      <w:tr w14:paraId="07A9E8FD">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31688E0">
            <w:pPr>
              <w:pStyle w:val="1535"/>
            </w:pP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28DBC4A">
            <w:pPr>
              <w:pStyle w:val="1535"/>
            </w:pPr>
            <w:r>
              <w:t>相对密度</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27D1E3B">
            <w:pPr>
              <w:pStyle w:val="1535"/>
            </w:pPr>
            <w:r>
              <w:t>相对密度(水=1)1.83</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4FD6B84">
            <w:pPr>
              <w:pStyle w:val="1535"/>
            </w:pPr>
            <w:r>
              <w:t>蒸气压</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9128CA1">
            <w:pPr>
              <w:pStyle w:val="1535"/>
            </w:pPr>
            <w:r>
              <w:t>0.13kPa(145.8℃)</w:t>
            </w:r>
          </w:p>
        </w:tc>
      </w:tr>
      <w:tr w14:paraId="7E299027">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C5BE5FD">
            <w:pPr>
              <w:pStyle w:val="1535"/>
            </w:pPr>
          </w:p>
        </w:tc>
        <w:tc>
          <w:tcPr>
            <w:tcW w:w="1289"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C92D79B">
            <w:pPr>
              <w:pStyle w:val="1535"/>
            </w:pPr>
            <w:r>
              <w:t>溶解性</w:t>
            </w:r>
          </w:p>
        </w:tc>
        <w:tc>
          <w:tcPr>
            <w:tcW w:w="7128" w:type="dxa"/>
            <w:gridSpan w:val="4"/>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8660DBA">
            <w:pPr>
              <w:pStyle w:val="1535"/>
            </w:pPr>
            <w:r>
              <w:t>与水混溶</w:t>
            </w:r>
          </w:p>
        </w:tc>
      </w:tr>
      <w:tr w14:paraId="5C875CCD">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B8C247A">
            <w:pPr>
              <w:pStyle w:val="1535"/>
            </w:pPr>
          </w:p>
        </w:tc>
        <w:tc>
          <w:tcPr>
            <w:tcW w:w="1289"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A601CFB">
            <w:pPr>
              <w:pStyle w:val="1535"/>
            </w:pPr>
            <w:r>
              <w:t>外观、性状</w:t>
            </w:r>
          </w:p>
        </w:tc>
        <w:tc>
          <w:tcPr>
            <w:tcW w:w="7128" w:type="dxa"/>
            <w:gridSpan w:val="4"/>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444C006">
            <w:pPr>
              <w:pStyle w:val="1535"/>
            </w:pPr>
            <w:r>
              <w:t>纯品为无色透明油状液体，无臭</w:t>
            </w:r>
          </w:p>
        </w:tc>
      </w:tr>
      <w:tr w14:paraId="32DA6466">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0000E45">
            <w:pPr>
              <w:pStyle w:val="1535"/>
            </w:pPr>
            <w:r>
              <w:t>稳定型、危险性</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D305930">
            <w:pPr>
              <w:pStyle w:val="1535"/>
            </w:pPr>
            <w:r>
              <w:t>稳定性：稳定危险性：与易燃物(如苯)和有机物(如糖、纤维素等)接触会发生剧烈反应，甚至引起燃烧。能与一些活性金属粉末发生反应，放出氢气。遇水大量放热，可发生沸溅。具有强腐蚀性。燃烧(分解)产物：氧化硫。</w:t>
            </w:r>
          </w:p>
        </w:tc>
      </w:tr>
      <w:tr w14:paraId="5392D023">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F4A6E59">
            <w:pPr>
              <w:pStyle w:val="1535"/>
            </w:pPr>
            <w:r>
              <w:t>毒理学资料</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5784F9B">
            <w:pPr>
              <w:pStyle w:val="1535"/>
            </w:pPr>
            <w:r>
              <w:t>毒性：属中等毒性。急性毒性：LD5080mg/kg(大鼠经口)；LC50510mg/m，2小时(大鼠吸入)320mg/m，2小时(小鼠吸入)</w:t>
            </w:r>
          </w:p>
        </w:tc>
      </w:tr>
      <w:tr w14:paraId="1BB867AD">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247BEF5">
            <w:pPr>
              <w:pStyle w:val="1535"/>
            </w:pPr>
            <w:r>
              <w:t>健康危害</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5759A97">
            <w:pPr>
              <w:pStyle w:val="1535"/>
            </w:pPr>
            <w:r>
              <w:t>侵入途径：吸入、食入。健康危害：对皮肤、粘膜等组织有强烈的刺激和腐蚀作用。对眼睛可引起结膜炎、水肿、角膜混浊，以致失明；引起呼吸道刺激症状，重者发生呼吸困难和肺水肿；高浓度引起喉痉挛喉痉挛和声门水肿、肾损害、休克等。慢性影响有牙齿酸蚀症、慢性支气管炎、肺气肿和肺硬化。</w:t>
            </w:r>
          </w:p>
        </w:tc>
      </w:tr>
      <w:tr w14:paraId="076F6D7F">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C6E2301">
            <w:pPr>
              <w:pStyle w:val="1535"/>
            </w:pPr>
            <w:r>
              <w:t>泄漏应急处理</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84197F4">
            <w:pPr>
              <w:pStyle w:val="1535"/>
            </w:pPr>
            <w:r>
              <w:t>疏散泄漏污染区人员至安全区，禁止无关人员进入污染区，建议应急处理人员戴好面罩，穿化学防护服。合理通风，不要直接接触泄漏物，勿使泄漏物与可燃物质(木材、纸、油等)接触，在确保安全情况下堵漏。喷水雾减慢挥发(或扩散)用沙土、干燥石灰或苏打灰混合，然后收集运至废物处理场所处置。也可以用大量水冲洗，经稀释的洗水放入废水系统。如大量泄漏，利用围堤收容，然后收集、转移、回收或无害处理后废弃。</w:t>
            </w:r>
          </w:p>
        </w:tc>
      </w:tr>
      <w:tr w14:paraId="4178652C">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8C84C5F">
            <w:pPr>
              <w:pStyle w:val="1535"/>
            </w:pPr>
            <w:r>
              <w:t>防护措施</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726AAF0">
            <w:pPr>
              <w:pStyle w:val="1535"/>
            </w:pPr>
            <w:r>
              <w:t>呼吸系统防护：可能接触其蒸气或烟雾时，必须佩戴防毒面具或供气式头盔。紧急事态抢救或逃生时，建议佩带自给式呼吸器。眼睛防护：戴化学安全防护眼镜。防护服：穿工作服(防腐材料制作)。手防护：戴橡皮手套。其它：工作后，淋浴更衣。单独存放被毒物污染的衣服，洗后再用。保持良好的卫生习惯。</w:t>
            </w:r>
          </w:p>
        </w:tc>
      </w:tr>
      <w:tr w14:paraId="70BAD6A4">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2CE145D">
            <w:pPr>
              <w:pStyle w:val="1535"/>
            </w:pPr>
            <w:r>
              <w:t>急救措施</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6F00348">
            <w:pPr>
              <w:pStyle w:val="1535"/>
            </w:pPr>
            <w:r>
              <w:t>皮肤接触：脱去污染衣着，立即用水冲洗至少15分钟。或用2%碳酸氢钠溶液冲洗。就医。眼睛接触：立即提起眼睑，用流动清水或生理盐水冲洗至少15分钟。就医。吸入：迅速脱离现场至空气新鲜处。呼吸困难时给输氧。给予2-4%碳酸氢钠溶液雾化吸入。就医。食入：误服者给牛奶、蛋清、植物油等口服，不可催吐。立即就医。</w:t>
            </w:r>
          </w:p>
        </w:tc>
      </w:tr>
      <w:tr w14:paraId="41199546">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AC94A96">
            <w:pPr>
              <w:pStyle w:val="1535"/>
            </w:pPr>
            <w:r>
              <w:t>灭火方法</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73F43D2">
            <w:pPr>
              <w:pStyle w:val="1535"/>
            </w:pPr>
            <w:r>
              <w:t>砂土。禁止用水。</w:t>
            </w:r>
          </w:p>
        </w:tc>
      </w:tr>
    </w:tbl>
    <w:p w14:paraId="0D806AEF">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5</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盐酸理化性质及危险特性一览表</w:t>
      </w:r>
    </w:p>
    <w:tbl>
      <w:tblPr>
        <w:tblStyle w:val="88"/>
        <w:tblW w:w="0" w:type="auto"/>
        <w:tblInd w:w="0" w:type="dxa"/>
        <w:tblLayout w:type="fixed"/>
        <w:tblCellMar>
          <w:top w:w="0" w:type="dxa"/>
          <w:left w:w="108" w:type="dxa"/>
          <w:bottom w:w="0" w:type="dxa"/>
          <w:right w:w="108" w:type="dxa"/>
        </w:tblCellMar>
      </w:tblPr>
      <w:tblGrid>
        <w:gridCol w:w="700"/>
        <w:gridCol w:w="1289"/>
        <w:gridCol w:w="730"/>
        <w:gridCol w:w="2124"/>
        <w:gridCol w:w="2122"/>
        <w:gridCol w:w="2152"/>
      </w:tblGrid>
      <w:tr w14:paraId="42823B7E">
        <w:tblPrEx>
          <w:tblCellMar>
            <w:top w:w="0" w:type="dxa"/>
            <w:left w:w="108" w:type="dxa"/>
            <w:bottom w:w="0" w:type="dxa"/>
            <w:right w:w="108" w:type="dxa"/>
          </w:tblCellMar>
        </w:tblPrEx>
        <w:trPr>
          <w:cantSplit/>
          <w:trHeight w:val="23" w:hRule="atLeast"/>
        </w:trPr>
        <w:tc>
          <w:tcPr>
            <w:tcW w:w="700"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129317C3">
            <w:pPr>
              <w:pStyle w:val="1535"/>
            </w:pPr>
            <w:r>
              <w:t>标识</w:t>
            </w: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tcPr>
          <w:p w14:paraId="30034B83">
            <w:pPr>
              <w:pStyle w:val="1535"/>
            </w:pPr>
            <w:r>
              <w:t>品名</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tcPr>
          <w:p w14:paraId="0974B8DC">
            <w:pPr>
              <w:pStyle w:val="1535"/>
            </w:pPr>
            <w:r>
              <w:t>盐酸</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tcPr>
          <w:p w14:paraId="5DE48259">
            <w:pPr>
              <w:pStyle w:val="1535"/>
            </w:pPr>
            <w:r>
              <w:t>别名</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tcPr>
          <w:p w14:paraId="2269738A">
            <w:pPr>
              <w:pStyle w:val="1535"/>
            </w:pPr>
            <w:r>
              <w:t>氢氯酸</w:t>
            </w:r>
          </w:p>
        </w:tc>
      </w:tr>
      <w:tr w14:paraId="7D00E666">
        <w:tblPrEx>
          <w:tblCellMar>
            <w:top w:w="0" w:type="dxa"/>
            <w:left w:w="108" w:type="dxa"/>
            <w:bottom w:w="0" w:type="dxa"/>
            <w:right w:w="108" w:type="dxa"/>
          </w:tblCellMar>
        </w:tblPrEx>
        <w:trPr>
          <w:cantSplit/>
          <w:trHeight w:val="90"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tcPr>
          <w:p w14:paraId="193119C2">
            <w:pPr>
              <w:pStyle w:val="1535"/>
            </w:pP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tcPr>
          <w:p w14:paraId="0BB5D7CF">
            <w:pPr>
              <w:pStyle w:val="1535"/>
            </w:pPr>
            <w:r>
              <w:t>英文名</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tcPr>
          <w:p w14:paraId="5A24D9BE">
            <w:pPr>
              <w:pStyle w:val="1535"/>
            </w:pPr>
            <w:r>
              <w:t>Hydrochloricacid</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tcPr>
          <w:p w14:paraId="52C23B0B">
            <w:pPr>
              <w:pStyle w:val="1535"/>
            </w:pPr>
            <w:r>
              <w:t>危险标记</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tcPr>
          <w:p w14:paraId="005FF9DB">
            <w:pPr>
              <w:pStyle w:val="1535"/>
            </w:pPr>
            <w:r>
              <w:t>81013</w:t>
            </w:r>
          </w:p>
        </w:tc>
      </w:tr>
      <w:tr w14:paraId="4024A181">
        <w:tblPrEx>
          <w:tblCellMar>
            <w:top w:w="0" w:type="dxa"/>
            <w:left w:w="108" w:type="dxa"/>
            <w:bottom w:w="0" w:type="dxa"/>
            <w:right w:w="108" w:type="dxa"/>
          </w:tblCellMar>
        </w:tblPrEx>
        <w:trPr>
          <w:cantSplit/>
          <w:trHeight w:val="23" w:hRule="atLeast"/>
        </w:trPr>
        <w:tc>
          <w:tcPr>
            <w:tcW w:w="700"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2693DED4">
            <w:pPr>
              <w:pStyle w:val="1535"/>
            </w:pPr>
            <w:r>
              <w:t>理化性质</w:t>
            </w: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tcPr>
          <w:p w14:paraId="11D831FA">
            <w:pPr>
              <w:pStyle w:val="1535"/>
            </w:pPr>
            <w:r>
              <w:t>分子式</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tcPr>
          <w:p w14:paraId="2E01F7D2">
            <w:pPr>
              <w:pStyle w:val="1535"/>
            </w:pPr>
            <w:r>
              <w:t>HCl</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tcPr>
          <w:p w14:paraId="1C8D0F61">
            <w:pPr>
              <w:pStyle w:val="1535"/>
            </w:pPr>
            <w:r>
              <w:t>分子量</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tcPr>
          <w:p w14:paraId="6A93B8C7">
            <w:pPr>
              <w:pStyle w:val="1535"/>
            </w:pPr>
            <w:r>
              <w:t>36.46</w:t>
            </w:r>
          </w:p>
        </w:tc>
      </w:tr>
      <w:tr w14:paraId="502FCC1D">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tcPr>
          <w:p w14:paraId="5854AB54">
            <w:pPr>
              <w:pStyle w:val="1535"/>
            </w:pP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tcPr>
          <w:p w14:paraId="433D8AB6">
            <w:pPr>
              <w:pStyle w:val="1535"/>
            </w:pPr>
            <w:r>
              <w:t>沸点（℃）</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tcPr>
          <w:p w14:paraId="2AFF2FC0">
            <w:pPr>
              <w:pStyle w:val="1535"/>
            </w:pPr>
            <w:r>
              <w:t>108.6℃</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tcPr>
          <w:p w14:paraId="1AD7A51B">
            <w:pPr>
              <w:pStyle w:val="1535"/>
            </w:pPr>
            <w:r>
              <w:t>溶点（℃）</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tcPr>
          <w:p w14:paraId="5DE5B3CE">
            <w:pPr>
              <w:pStyle w:val="1535"/>
            </w:pPr>
            <w:r>
              <w:t>-114.8℃</w:t>
            </w:r>
          </w:p>
        </w:tc>
      </w:tr>
      <w:tr w14:paraId="691E9D6E">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tcPr>
          <w:p w14:paraId="54B64C0D">
            <w:pPr>
              <w:pStyle w:val="1535"/>
            </w:pP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tcPr>
          <w:p w14:paraId="70906E8E">
            <w:pPr>
              <w:pStyle w:val="1535"/>
            </w:pPr>
            <w:r>
              <w:t>相对密度</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tcPr>
          <w:p w14:paraId="6FEE23A3">
            <w:pPr>
              <w:pStyle w:val="1535"/>
            </w:pPr>
            <w:r>
              <w:t>相对密度(水=1)1.26</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tcPr>
          <w:p w14:paraId="1DDA0D57">
            <w:pPr>
              <w:pStyle w:val="1535"/>
            </w:pPr>
            <w:r>
              <w:t>蒸气压</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tcPr>
          <w:p w14:paraId="513E9673">
            <w:pPr>
              <w:pStyle w:val="1535"/>
            </w:pPr>
            <w:r>
              <w:t>30.66kPa(21℃)</w:t>
            </w:r>
          </w:p>
        </w:tc>
      </w:tr>
      <w:tr w14:paraId="36BD9A08">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tcPr>
          <w:p w14:paraId="568A7521">
            <w:pPr>
              <w:pStyle w:val="1535"/>
            </w:pPr>
          </w:p>
        </w:tc>
        <w:tc>
          <w:tcPr>
            <w:tcW w:w="1289" w:type="dxa"/>
            <w:tcBorders>
              <w:top w:val="single" w:color="000000" w:sz="6" w:space="0"/>
              <w:left w:val="single" w:color="000000" w:sz="6" w:space="0"/>
              <w:bottom w:val="single" w:color="000000" w:sz="6" w:space="0"/>
              <w:right w:val="single" w:color="000000" w:sz="6" w:space="0"/>
            </w:tcBorders>
            <w:tcMar>
              <w:left w:w="0" w:type="dxa"/>
              <w:right w:w="0" w:type="dxa"/>
            </w:tcMar>
          </w:tcPr>
          <w:p w14:paraId="18BC499C">
            <w:pPr>
              <w:pStyle w:val="1535"/>
            </w:pPr>
            <w:r>
              <w:t>溶解性</w:t>
            </w:r>
          </w:p>
        </w:tc>
        <w:tc>
          <w:tcPr>
            <w:tcW w:w="7128" w:type="dxa"/>
            <w:gridSpan w:val="4"/>
            <w:tcBorders>
              <w:top w:val="single" w:color="000000" w:sz="6" w:space="0"/>
              <w:left w:val="single" w:color="000000" w:sz="6" w:space="0"/>
              <w:bottom w:val="single" w:color="000000" w:sz="6" w:space="0"/>
              <w:right w:val="single" w:color="000000" w:sz="6" w:space="0"/>
            </w:tcBorders>
            <w:tcMar>
              <w:left w:w="0" w:type="dxa"/>
              <w:right w:w="0" w:type="dxa"/>
            </w:tcMar>
          </w:tcPr>
          <w:p w14:paraId="0A609841">
            <w:pPr>
              <w:pStyle w:val="1535"/>
            </w:pPr>
            <w:r>
              <w:t>与水混溶</w:t>
            </w:r>
          </w:p>
        </w:tc>
      </w:tr>
      <w:tr w14:paraId="424A824F">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tcPr>
          <w:p w14:paraId="22CAE306">
            <w:pPr>
              <w:pStyle w:val="1535"/>
            </w:pPr>
          </w:p>
        </w:tc>
        <w:tc>
          <w:tcPr>
            <w:tcW w:w="1289" w:type="dxa"/>
            <w:tcBorders>
              <w:top w:val="single" w:color="000000" w:sz="6" w:space="0"/>
              <w:left w:val="single" w:color="000000" w:sz="6" w:space="0"/>
              <w:bottom w:val="single" w:color="000000" w:sz="6" w:space="0"/>
              <w:right w:val="single" w:color="000000" w:sz="6" w:space="0"/>
            </w:tcBorders>
            <w:tcMar>
              <w:left w:w="0" w:type="dxa"/>
              <w:right w:w="0" w:type="dxa"/>
            </w:tcMar>
          </w:tcPr>
          <w:p w14:paraId="5C7426E8">
            <w:pPr>
              <w:pStyle w:val="1535"/>
            </w:pPr>
            <w:r>
              <w:t>外观、性状</w:t>
            </w:r>
          </w:p>
        </w:tc>
        <w:tc>
          <w:tcPr>
            <w:tcW w:w="7128" w:type="dxa"/>
            <w:gridSpan w:val="4"/>
            <w:tcBorders>
              <w:top w:val="single" w:color="000000" w:sz="6" w:space="0"/>
              <w:left w:val="single" w:color="000000" w:sz="6" w:space="0"/>
              <w:bottom w:val="single" w:color="000000" w:sz="6" w:space="0"/>
              <w:right w:val="single" w:color="000000" w:sz="6" w:space="0"/>
            </w:tcBorders>
            <w:tcMar>
              <w:left w:w="0" w:type="dxa"/>
              <w:right w:w="0" w:type="dxa"/>
            </w:tcMar>
          </w:tcPr>
          <w:p w14:paraId="6F05884A">
            <w:pPr>
              <w:pStyle w:val="1535"/>
            </w:pPr>
            <w:r>
              <w:t>无色或微黄色发烟液体，有刺鼻的酸味。</w:t>
            </w:r>
          </w:p>
        </w:tc>
      </w:tr>
      <w:tr w14:paraId="066B3389">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tcPr>
          <w:p w14:paraId="3F75DB41">
            <w:pPr>
              <w:pStyle w:val="1535"/>
            </w:pPr>
            <w:r>
              <w:t>稳定型、危险性</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tcPr>
          <w:p w14:paraId="27691C30">
            <w:pPr>
              <w:pStyle w:val="1535"/>
            </w:pPr>
            <w:r>
              <w:t>稳定性：稳定危险性：能与一些活性金属粉末发生反应，放出氢气。遇氰化物产生剧毒的氰化氢气体。与碱发生中和反应，并放出水大量放热。具有强腐蚀性。</w:t>
            </w:r>
          </w:p>
        </w:tc>
      </w:tr>
      <w:tr w14:paraId="78121DD8">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tcPr>
          <w:p w14:paraId="59A4B6EE">
            <w:pPr>
              <w:pStyle w:val="1535"/>
            </w:pPr>
            <w:r>
              <w:t>毒理学资料</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tcPr>
          <w:p w14:paraId="1F0AB017">
            <w:pPr>
              <w:pStyle w:val="1535"/>
            </w:pPr>
            <w:r>
              <w:t>毒性：属中等毒性。急性毒性：LD50900mg/kg(兔经口)；LC503124ppm，1小时(大鼠吸入)</w:t>
            </w:r>
          </w:p>
        </w:tc>
      </w:tr>
      <w:tr w14:paraId="2B0D7654">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tcPr>
          <w:p w14:paraId="6A0FF036">
            <w:pPr>
              <w:pStyle w:val="1535"/>
            </w:pPr>
            <w:r>
              <w:t>健康危害</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tcPr>
          <w:p w14:paraId="007F347E">
            <w:pPr>
              <w:pStyle w:val="1535"/>
            </w:pPr>
            <w:r>
              <w:t>侵入途径：吸入、食入。健康危害：接触其蒸汽或烟雾，可引起急性中毒，出现对眼结膜炎、鼻及口腔黏膜有灼感，腹膜炎等。慢性影响有牙齿酸蚀症、慢性支气管炎、慢性鼻炎和皮肤损害。</w:t>
            </w:r>
          </w:p>
        </w:tc>
      </w:tr>
      <w:tr w14:paraId="25039E0E">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tcPr>
          <w:p w14:paraId="3E8142F8">
            <w:pPr>
              <w:pStyle w:val="1535"/>
            </w:pPr>
            <w:r>
              <w:t>泄漏应急处理</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tcPr>
          <w:p w14:paraId="7FF2E9E3">
            <w:pPr>
              <w:pStyle w:val="1535"/>
            </w:pPr>
            <w:r>
              <w:t>疏散泄漏污染区人员至安全区，禁止无关人员进入污染区，建议应急处理人员戴好面罩，穿化学防护服。合理通风，不要直接接触泄漏物，勿使泄漏物与可燃物质(木材、纸、油等)接触，在确保安全情况下堵漏。喷水雾减慢挥发(或扩散)用沙土、干燥石灰或苏打灰混合，然后收集运至废物处理场所处置。也可以用大量水冲洗，经稀释的洗水放入废水系统。如大量泄漏，利用围堤收容，然后收集、转移、回收或无害处理后废弃。</w:t>
            </w:r>
          </w:p>
        </w:tc>
      </w:tr>
      <w:tr w14:paraId="48899483">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tcPr>
          <w:p w14:paraId="16D34AD7">
            <w:pPr>
              <w:pStyle w:val="1535"/>
            </w:pPr>
            <w:r>
              <w:t>防护措施</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tcPr>
          <w:p w14:paraId="42EAE615">
            <w:pPr>
              <w:pStyle w:val="1535"/>
            </w:pPr>
            <w:r>
              <w:t>呼吸系统防护：可能接触其蒸气或烟雾时，必须佩戴防毒面具或供气式头盔。紧急事态抢救或逃生时，建议佩带自给式呼吸器。眼睛防护：戴化学安全防护眼镜。防护服：穿工作服(防腐材料制作)。手防护：戴橡皮手套。其它：工作后，淋浴更衣。单独存放被毒物污染的衣服，洗后再用。保持良好的卫生习惯。</w:t>
            </w:r>
          </w:p>
        </w:tc>
      </w:tr>
      <w:tr w14:paraId="27503201">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tcPr>
          <w:p w14:paraId="61133A1B">
            <w:pPr>
              <w:pStyle w:val="1535"/>
            </w:pPr>
            <w:r>
              <w:t>急救措施</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tcPr>
          <w:p w14:paraId="39A919D1">
            <w:pPr>
              <w:pStyle w:val="1535"/>
            </w:pPr>
            <w:r>
              <w:t>皮肤接触：立即用水冲洗至少15分钟。或用2%碳酸氢钠溶液冲洗。就医。眼睛接触：立即提起眼睑，用流动清水或用碳酸氢钠溶液冲洗。吸入：迅速脱离现场至空气新鲜处。呼吸困难时给输氧。给予2-4%碳酸氢钠溶液雾化吸入。就医。食入：误服者给牛奶、蛋清、植物油等口服，不可催吐。立即就医。</w:t>
            </w:r>
          </w:p>
        </w:tc>
      </w:tr>
      <w:tr w14:paraId="5529E77B">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tcPr>
          <w:p w14:paraId="4A9B2A5A">
            <w:pPr>
              <w:pStyle w:val="1535"/>
            </w:pPr>
            <w:r>
              <w:t>灭火方法</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tcPr>
          <w:p w14:paraId="3DB49E4E">
            <w:pPr>
              <w:pStyle w:val="1535"/>
            </w:pPr>
            <w:r>
              <w:t>用碱性物质如碳酸氢钠、碳酸钠、消石灰等中和。也可用大量水扑救。</w:t>
            </w:r>
          </w:p>
        </w:tc>
      </w:tr>
    </w:tbl>
    <w:p w14:paraId="43A24F05">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硝酸理化性质及危险特性一览表</w:t>
      </w:r>
    </w:p>
    <w:tbl>
      <w:tblPr>
        <w:tblStyle w:val="88"/>
        <w:tblW w:w="0" w:type="auto"/>
        <w:tblInd w:w="0" w:type="dxa"/>
        <w:tblLayout w:type="fixed"/>
        <w:tblCellMar>
          <w:top w:w="0" w:type="dxa"/>
          <w:left w:w="108" w:type="dxa"/>
          <w:bottom w:w="0" w:type="dxa"/>
          <w:right w:w="108" w:type="dxa"/>
        </w:tblCellMar>
      </w:tblPr>
      <w:tblGrid>
        <w:gridCol w:w="700"/>
        <w:gridCol w:w="1289"/>
        <w:gridCol w:w="730"/>
        <w:gridCol w:w="2124"/>
        <w:gridCol w:w="2122"/>
        <w:gridCol w:w="2152"/>
      </w:tblGrid>
      <w:tr w14:paraId="0FE46905">
        <w:tblPrEx>
          <w:tblCellMar>
            <w:top w:w="0" w:type="dxa"/>
            <w:left w:w="108" w:type="dxa"/>
            <w:bottom w:w="0" w:type="dxa"/>
            <w:right w:w="108" w:type="dxa"/>
          </w:tblCellMar>
        </w:tblPrEx>
        <w:trPr>
          <w:cantSplit/>
          <w:trHeight w:val="23" w:hRule="atLeast"/>
        </w:trPr>
        <w:tc>
          <w:tcPr>
            <w:tcW w:w="700"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4BE5DE4">
            <w:pPr>
              <w:pStyle w:val="1535"/>
            </w:pPr>
            <w:r>
              <w:t>标识</w:t>
            </w: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624BCF5">
            <w:pPr>
              <w:pStyle w:val="1535"/>
            </w:pPr>
            <w:r>
              <w:t>中文名称</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A71E7A2">
            <w:pPr>
              <w:pStyle w:val="1535"/>
            </w:pPr>
            <w:r>
              <w:t>硝酸</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ED00984">
            <w:pPr>
              <w:pStyle w:val="1535"/>
            </w:pPr>
            <w:r>
              <w:t>英文名称</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E09FAB8">
            <w:pPr>
              <w:pStyle w:val="1535"/>
            </w:pPr>
            <w:r>
              <w:t>Nitricacid</w:t>
            </w:r>
          </w:p>
        </w:tc>
      </w:tr>
      <w:tr w14:paraId="55C26E9A">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89DA82D">
            <w:pPr>
              <w:pStyle w:val="1535"/>
            </w:pP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349AB80">
            <w:pPr>
              <w:pStyle w:val="1535"/>
            </w:pPr>
            <w:r>
              <w:t>英文名</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C452F95">
            <w:pPr>
              <w:pStyle w:val="1535"/>
            </w:pPr>
            <w:r>
              <w:t>Hydrochloricacid</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53F380E">
            <w:pPr>
              <w:pStyle w:val="1535"/>
            </w:pPr>
            <w:r>
              <w:t>危险标记</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5562B29">
            <w:pPr>
              <w:pStyle w:val="1535"/>
            </w:pPr>
            <w:r>
              <w:t>81013</w:t>
            </w:r>
          </w:p>
        </w:tc>
      </w:tr>
      <w:tr w14:paraId="04AD0E75">
        <w:tblPrEx>
          <w:tblCellMar>
            <w:top w:w="0" w:type="dxa"/>
            <w:left w:w="108" w:type="dxa"/>
            <w:bottom w:w="0" w:type="dxa"/>
            <w:right w:w="108" w:type="dxa"/>
          </w:tblCellMar>
        </w:tblPrEx>
        <w:trPr>
          <w:cantSplit/>
          <w:trHeight w:val="23" w:hRule="atLeast"/>
        </w:trPr>
        <w:tc>
          <w:tcPr>
            <w:tcW w:w="700"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F19F851">
            <w:pPr>
              <w:pStyle w:val="1535"/>
            </w:pPr>
            <w:r>
              <w:t>理化性质</w:t>
            </w: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2580442">
            <w:pPr>
              <w:pStyle w:val="1535"/>
            </w:pPr>
            <w:r>
              <w:t>分子式</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5A820BB">
            <w:pPr>
              <w:pStyle w:val="1535"/>
            </w:pPr>
            <w:r>
              <w:t>HNO3</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DFC8E15">
            <w:pPr>
              <w:pStyle w:val="1535"/>
            </w:pPr>
            <w:r>
              <w:t>分子量</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CE3A7E7">
            <w:pPr>
              <w:pStyle w:val="1535"/>
            </w:pPr>
            <w:r>
              <w:t>63.01</w:t>
            </w:r>
          </w:p>
        </w:tc>
      </w:tr>
      <w:tr w14:paraId="2F6A038E">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E104131">
            <w:pPr>
              <w:pStyle w:val="1535"/>
            </w:pP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0A1F8D3">
            <w:pPr>
              <w:pStyle w:val="1535"/>
            </w:pPr>
            <w:r>
              <w:t>熔点（℃）</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0D39296">
            <w:pPr>
              <w:pStyle w:val="1535"/>
            </w:pPr>
            <w:r>
              <w:t>-42</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FAB7FD2">
            <w:pPr>
              <w:pStyle w:val="1535"/>
            </w:pPr>
            <w:r>
              <w:t>沸点（℃）</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1539AE4">
            <w:pPr>
              <w:pStyle w:val="1535"/>
            </w:pPr>
            <w:r>
              <w:t>86</w:t>
            </w:r>
          </w:p>
        </w:tc>
      </w:tr>
      <w:tr w14:paraId="4AC56C6B">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11739A1">
            <w:pPr>
              <w:pStyle w:val="1535"/>
            </w:pPr>
          </w:p>
        </w:tc>
        <w:tc>
          <w:tcPr>
            <w:tcW w:w="2019"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30A7D33">
            <w:pPr>
              <w:pStyle w:val="1535"/>
            </w:pPr>
            <w:r>
              <w:t>相对密度</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471F1B6">
            <w:pPr>
              <w:pStyle w:val="1535"/>
            </w:pPr>
            <w:r>
              <w:t>相对密度(水=1)1.50(无水)；相对密度(空气=1)2.17</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25280FA">
            <w:pPr>
              <w:pStyle w:val="1535"/>
            </w:pPr>
            <w:r>
              <w:t>蒸汽压</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22AB097">
            <w:pPr>
              <w:pStyle w:val="1535"/>
            </w:pPr>
            <w:r>
              <w:t>4.4kPa(20C)</w:t>
            </w:r>
          </w:p>
        </w:tc>
      </w:tr>
      <w:tr w14:paraId="11216182">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2DD1D5D">
            <w:pPr>
              <w:pStyle w:val="1535"/>
            </w:pPr>
          </w:p>
        </w:tc>
        <w:tc>
          <w:tcPr>
            <w:tcW w:w="1289"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7BC401E">
            <w:pPr>
              <w:pStyle w:val="1535"/>
            </w:pPr>
            <w:r>
              <w:t>溶解性</w:t>
            </w:r>
          </w:p>
        </w:tc>
        <w:tc>
          <w:tcPr>
            <w:tcW w:w="7128" w:type="dxa"/>
            <w:gridSpan w:val="4"/>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BF495BE">
            <w:pPr>
              <w:pStyle w:val="1535"/>
            </w:pPr>
            <w:r>
              <w:t>与水混溶</w:t>
            </w:r>
          </w:p>
        </w:tc>
      </w:tr>
      <w:tr w14:paraId="5C73B3B8">
        <w:tblPrEx>
          <w:tblCellMar>
            <w:top w:w="0" w:type="dxa"/>
            <w:left w:w="108" w:type="dxa"/>
            <w:bottom w:w="0" w:type="dxa"/>
            <w:right w:w="108" w:type="dxa"/>
          </w:tblCellMar>
        </w:tblPrEx>
        <w:trPr>
          <w:cantSplit/>
          <w:trHeight w:val="23" w:hRule="atLeast"/>
        </w:trPr>
        <w:tc>
          <w:tcPr>
            <w:tcW w:w="700"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8A676A4">
            <w:pPr>
              <w:pStyle w:val="1535"/>
            </w:pPr>
          </w:p>
        </w:tc>
        <w:tc>
          <w:tcPr>
            <w:tcW w:w="1289"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522572F">
            <w:pPr>
              <w:pStyle w:val="1535"/>
            </w:pPr>
            <w:r>
              <w:t>外观与气味</w:t>
            </w:r>
          </w:p>
        </w:tc>
        <w:tc>
          <w:tcPr>
            <w:tcW w:w="7128" w:type="dxa"/>
            <w:gridSpan w:val="4"/>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177653E">
            <w:pPr>
              <w:pStyle w:val="1535"/>
            </w:pPr>
            <w:r>
              <w:t>纯品为无色透明发烟液体，有酸味</w:t>
            </w:r>
          </w:p>
        </w:tc>
      </w:tr>
      <w:tr w14:paraId="13A72F97">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DC27C86">
            <w:pPr>
              <w:pStyle w:val="1535"/>
            </w:pPr>
            <w:r>
              <w:t>用途</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9300E74">
            <w:pPr>
              <w:pStyle w:val="1535"/>
            </w:pPr>
            <w:r>
              <w:t>用途极广，主要用于化肥、染料、国防、炸药、冶金、医药等工业。</w:t>
            </w:r>
          </w:p>
        </w:tc>
      </w:tr>
      <w:tr w14:paraId="5C8B206E">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FD97738">
            <w:pPr>
              <w:pStyle w:val="1535"/>
            </w:pPr>
            <w:r>
              <w:t>毒性</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4BF5E23">
            <w:pPr>
              <w:pStyle w:val="1535"/>
            </w:pPr>
            <w:r>
              <w:t>属高毒类</w:t>
            </w:r>
          </w:p>
        </w:tc>
      </w:tr>
      <w:tr w14:paraId="76F872DC">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068133F">
            <w:pPr>
              <w:pStyle w:val="1535"/>
            </w:pPr>
            <w:r>
              <w:t>健康危害</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3B73853">
            <w:pPr>
              <w:pStyle w:val="1535"/>
            </w:pPr>
            <w:r>
              <w:t>其蒸气有刺激作用，引起粘膜和上呼吸道的刺激症状。如流泪、咽喉刺激感、呛咳、并伴有头痛、头晕、胸闷等。长期接触可引起牙齿酸蚀症，皮肤接触引起灼伤。口服硝酸，引起上消化道剧痛、烧灼伤以至形成溃疡；严重者可能有胃穿孔、腹膜炎、喉痉挛、肾损害、休克以至窒息等。</w:t>
            </w:r>
          </w:p>
        </w:tc>
      </w:tr>
      <w:tr w14:paraId="3972A5E4">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45B504B">
            <w:pPr>
              <w:pStyle w:val="1535"/>
            </w:pPr>
            <w:r>
              <w:t>危险特性</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E241627">
            <w:pPr>
              <w:pStyle w:val="1535"/>
            </w:pPr>
            <w:r>
              <w:t>具有强氧化性。与易燃物(如苯)和有机物(如糖、纤维素等)接触会发生剧烈反应，甚至引起燃烧。与碱金属能发生剧烈反应。具有强腐蚀性。</w:t>
            </w:r>
          </w:p>
        </w:tc>
      </w:tr>
      <w:tr w14:paraId="7B53F06A">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E52FFDB">
            <w:pPr>
              <w:pStyle w:val="1535"/>
            </w:pPr>
            <w:r>
              <w:t>燃烧产物</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12E6134">
            <w:pPr>
              <w:pStyle w:val="1535"/>
            </w:pPr>
            <w:r>
              <w:t>氧化氮</w:t>
            </w:r>
          </w:p>
        </w:tc>
      </w:tr>
      <w:tr w14:paraId="1EBEE3BD">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E3AFB42">
            <w:pPr>
              <w:pStyle w:val="1535"/>
            </w:pPr>
            <w:r>
              <w:t>泄漏途径及防控措施</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7C5EA6C">
            <w:pPr>
              <w:pStyle w:val="1535"/>
            </w:pPr>
            <w:r>
              <w:t>泄漏途径：原料桶破损、装卸事故、自然灾害防控措施：分类储存、定期检查，小心装卸。</w:t>
            </w:r>
          </w:p>
        </w:tc>
      </w:tr>
      <w:tr w14:paraId="71B7D084">
        <w:tblPrEx>
          <w:tblCellMar>
            <w:top w:w="0" w:type="dxa"/>
            <w:left w:w="108" w:type="dxa"/>
            <w:bottom w:w="0" w:type="dxa"/>
            <w:right w:w="108" w:type="dxa"/>
          </w:tblCellMar>
        </w:tblPrEx>
        <w:trPr>
          <w:cantSplit/>
          <w:trHeight w:val="23" w:hRule="atLeast"/>
        </w:trPr>
        <w:tc>
          <w:tcPr>
            <w:tcW w:w="700"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C338D79">
            <w:pPr>
              <w:pStyle w:val="1535"/>
            </w:pPr>
            <w:r>
              <w:t>泄漏时应急措施</w:t>
            </w:r>
          </w:p>
        </w:tc>
        <w:tc>
          <w:tcPr>
            <w:tcW w:w="8417"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0C71D33">
            <w:pPr>
              <w:pStyle w:val="1535"/>
            </w:pPr>
            <w:r>
              <w:t>疏散泄漏污染区人员至安全区，禁止无关人员进入污染区，建议应急处理人员戴好防毒面具，穿化学防护服。不要直接接触泄漏物，勿使泄漏物与可燃物质（木材、纸、油等）接触，在确保安全情况下堵漏。喷水雾能减少蒸发但不要使水进入储存容器内。将地面洒上苏打灰，然后收集运至废物处理场所处置。也可以用大量水冲洗，经稀释的洗水放入废水系统。如大量泄漏，则利用围堤收容，然后收集、转移、回收或无害处理后废弃。</w:t>
            </w:r>
          </w:p>
        </w:tc>
      </w:tr>
    </w:tbl>
    <w:p w14:paraId="33C7517D">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氢氟酸理化性质及危险特性一览表</w:t>
      </w:r>
    </w:p>
    <w:tbl>
      <w:tblPr>
        <w:tblStyle w:val="88"/>
        <w:tblW w:w="0" w:type="auto"/>
        <w:tblInd w:w="0" w:type="dxa"/>
        <w:tblLayout w:type="fixed"/>
        <w:tblCellMar>
          <w:top w:w="0" w:type="dxa"/>
          <w:left w:w="108" w:type="dxa"/>
          <w:bottom w:w="0" w:type="dxa"/>
          <w:right w:w="108" w:type="dxa"/>
        </w:tblCellMar>
      </w:tblPr>
      <w:tblGrid>
        <w:gridCol w:w="985"/>
        <w:gridCol w:w="1004"/>
        <w:gridCol w:w="730"/>
        <w:gridCol w:w="2124"/>
        <w:gridCol w:w="2122"/>
        <w:gridCol w:w="2152"/>
      </w:tblGrid>
      <w:tr w14:paraId="0A15DF46">
        <w:tblPrEx>
          <w:tblCellMar>
            <w:top w:w="0" w:type="dxa"/>
            <w:left w:w="108" w:type="dxa"/>
            <w:bottom w:w="0" w:type="dxa"/>
            <w:right w:w="108" w:type="dxa"/>
          </w:tblCellMar>
        </w:tblPrEx>
        <w:trPr>
          <w:cantSplit/>
          <w:trHeight w:val="23" w:hRule="atLeast"/>
        </w:trPr>
        <w:tc>
          <w:tcPr>
            <w:tcW w:w="985"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08DFF42">
            <w:pPr>
              <w:pStyle w:val="1535"/>
            </w:pPr>
            <w:r>
              <w:t>标识</w:t>
            </w:r>
          </w:p>
        </w:tc>
        <w:tc>
          <w:tcPr>
            <w:tcW w:w="1734"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2862818">
            <w:pPr>
              <w:pStyle w:val="1535"/>
            </w:pPr>
            <w:r>
              <w:t>品名</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FBD057F">
            <w:pPr>
              <w:pStyle w:val="1535"/>
            </w:pPr>
            <w:r>
              <w:t>氢氟酸</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188CA35">
            <w:pPr>
              <w:pStyle w:val="1535"/>
            </w:pPr>
            <w:r>
              <w:t>别名</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7C20A67">
            <w:pPr>
              <w:pStyle w:val="1535"/>
            </w:pPr>
            <w:r>
              <w:t>氟化氢溶液</w:t>
            </w:r>
          </w:p>
        </w:tc>
      </w:tr>
      <w:tr w14:paraId="5B6E88FA">
        <w:tblPrEx>
          <w:tblCellMar>
            <w:top w:w="0" w:type="dxa"/>
            <w:left w:w="108" w:type="dxa"/>
            <w:bottom w:w="0" w:type="dxa"/>
            <w:right w:w="108" w:type="dxa"/>
          </w:tblCellMar>
        </w:tblPrEx>
        <w:trPr>
          <w:cantSplit/>
          <w:trHeight w:val="90" w:hRule="atLeast"/>
        </w:trPr>
        <w:tc>
          <w:tcPr>
            <w:tcW w:w="985"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4232958">
            <w:pPr>
              <w:pStyle w:val="1535"/>
            </w:pPr>
          </w:p>
        </w:tc>
        <w:tc>
          <w:tcPr>
            <w:tcW w:w="1734"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3F5CF30">
            <w:pPr>
              <w:pStyle w:val="1535"/>
            </w:pPr>
            <w:r>
              <w:t>英文名</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81A4373">
            <w:pPr>
              <w:pStyle w:val="1535"/>
            </w:pPr>
            <w:r>
              <w:t>Hydrofluoricacid</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29A528B">
            <w:pPr>
              <w:pStyle w:val="1535"/>
            </w:pPr>
            <w:r>
              <w:t>危险标记</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55D6814">
            <w:pPr>
              <w:pStyle w:val="1535"/>
            </w:pPr>
            <w:r>
              <w:t>81016</w:t>
            </w:r>
          </w:p>
        </w:tc>
      </w:tr>
      <w:tr w14:paraId="6376E204">
        <w:tblPrEx>
          <w:tblCellMar>
            <w:top w:w="0" w:type="dxa"/>
            <w:left w:w="108" w:type="dxa"/>
            <w:bottom w:w="0" w:type="dxa"/>
            <w:right w:w="108" w:type="dxa"/>
          </w:tblCellMar>
        </w:tblPrEx>
        <w:trPr>
          <w:cantSplit/>
          <w:trHeight w:val="23" w:hRule="atLeast"/>
        </w:trPr>
        <w:tc>
          <w:tcPr>
            <w:tcW w:w="985"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A89C420">
            <w:pPr>
              <w:pStyle w:val="1535"/>
            </w:pPr>
            <w:r>
              <w:t>理化性质</w:t>
            </w:r>
          </w:p>
        </w:tc>
        <w:tc>
          <w:tcPr>
            <w:tcW w:w="1734"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235C947">
            <w:pPr>
              <w:pStyle w:val="1535"/>
            </w:pPr>
            <w:r>
              <w:t>分子式</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47797D5">
            <w:pPr>
              <w:pStyle w:val="1535"/>
            </w:pPr>
            <w:r>
              <w:t>HF</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B08CDED">
            <w:pPr>
              <w:pStyle w:val="1535"/>
            </w:pPr>
            <w:r>
              <w:t>分子量</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BD0C735">
            <w:pPr>
              <w:pStyle w:val="1535"/>
            </w:pPr>
            <w:r>
              <w:t>20.01</w:t>
            </w:r>
          </w:p>
        </w:tc>
      </w:tr>
      <w:tr w14:paraId="07D06F23">
        <w:tblPrEx>
          <w:tblCellMar>
            <w:top w:w="0" w:type="dxa"/>
            <w:left w:w="108" w:type="dxa"/>
            <w:bottom w:w="0" w:type="dxa"/>
            <w:right w:w="108" w:type="dxa"/>
          </w:tblCellMar>
        </w:tblPrEx>
        <w:trPr>
          <w:cantSplit/>
          <w:trHeight w:val="23" w:hRule="atLeast"/>
        </w:trPr>
        <w:tc>
          <w:tcPr>
            <w:tcW w:w="985"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2C9A245">
            <w:pPr>
              <w:pStyle w:val="1535"/>
            </w:pPr>
          </w:p>
        </w:tc>
        <w:tc>
          <w:tcPr>
            <w:tcW w:w="1734"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C6323B4">
            <w:pPr>
              <w:pStyle w:val="1535"/>
            </w:pPr>
            <w:r>
              <w:t>沸点（℃）</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25DAD26">
            <w:pPr>
              <w:pStyle w:val="1535"/>
            </w:pPr>
            <w:r>
              <w:t>120℃</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EC84EEA">
            <w:pPr>
              <w:pStyle w:val="1535"/>
            </w:pPr>
            <w:r>
              <w:t>溶点（℃）</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588451D">
            <w:pPr>
              <w:pStyle w:val="1535"/>
            </w:pPr>
            <w:r>
              <w:t>-83.1℃</w:t>
            </w:r>
          </w:p>
        </w:tc>
      </w:tr>
      <w:tr w14:paraId="24CAA39F">
        <w:tblPrEx>
          <w:tblCellMar>
            <w:top w:w="0" w:type="dxa"/>
            <w:left w:w="108" w:type="dxa"/>
            <w:bottom w:w="0" w:type="dxa"/>
            <w:right w:w="108" w:type="dxa"/>
          </w:tblCellMar>
        </w:tblPrEx>
        <w:trPr>
          <w:cantSplit/>
          <w:trHeight w:val="23" w:hRule="atLeast"/>
        </w:trPr>
        <w:tc>
          <w:tcPr>
            <w:tcW w:w="985"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2444018">
            <w:pPr>
              <w:pStyle w:val="1535"/>
            </w:pPr>
          </w:p>
        </w:tc>
        <w:tc>
          <w:tcPr>
            <w:tcW w:w="1734" w:type="dxa"/>
            <w:gridSpan w:val="2"/>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F5BC344">
            <w:pPr>
              <w:pStyle w:val="1535"/>
            </w:pPr>
            <w:r>
              <w:t>相对密度</w:t>
            </w:r>
          </w:p>
        </w:tc>
        <w:tc>
          <w:tcPr>
            <w:tcW w:w="212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E5EECC8">
            <w:pPr>
              <w:pStyle w:val="1535"/>
            </w:pPr>
            <w:r>
              <w:t>相对密度(水=1)1.26</w:t>
            </w:r>
          </w:p>
        </w:tc>
        <w:tc>
          <w:tcPr>
            <w:tcW w:w="212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AAE8FD9">
            <w:pPr>
              <w:pStyle w:val="1535"/>
            </w:pPr>
            <w:r>
              <w:t>蒸气压</w:t>
            </w:r>
          </w:p>
        </w:tc>
        <w:tc>
          <w:tcPr>
            <w:tcW w:w="2152"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5D12D7B">
            <w:pPr>
              <w:pStyle w:val="1535"/>
            </w:pPr>
            <w:r>
              <w:t>/</w:t>
            </w:r>
          </w:p>
        </w:tc>
      </w:tr>
      <w:tr w14:paraId="6E16A56E">
        <w:tblPrEx>
          <w:tblCellMar>
            <w:top w:w="0" w:type="dxa"/>
            <w:left w:w="108" w:type="dxa"/>
            <w:bottom w:w="0" w:type="dxa"/>
            <w:right w:w="108" w:type="dxa"/>
          </w:tblCellMar>
        </w:tblPrEx>
        <w:trPr>
          <w:cantSplit/>
          <w:trHeight w:val="23" w:hRule="atLeast"/>
        </w:trPr>
        <w:tc>
          <w:tcPr>
            <w:tcW w:w="985"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CF3DFBC">
            <w:pPr>
              <w:pStyle w:val="1535"/>
            </w:pPr>
          </w:p>
        </w:tc>
        <w:tc>
          <w:tcPr>
            <w:tcW w:w="100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2DAE207">
            <w:pPr>
              <w:pStyle w:val="1535"/>
            </w:pPr>
            <w:r>
              <w:t>溶解性</w:t>
            </w:r>
          </w:p>
        </w:tc>
        <w:tc>
          <w:tcPr>
            <w:tcW w:w="7128" w:type="dxa"/>
            <w:gridSpan w:val="4"/>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21DD8E6">
            <w:pPr>
              <w:pStyle w:val="1535"/>
            </w:pPr>
            <w:r>
              <w:t>与水混溶</w:t>
            </w:r>
          </w:p>
        </w:tc>
      </w:tr>
      <w:tr w14:paraId="7850040B">
        <w:tblPrEx>
          <w:tblCellMar>
            <w:top w:w="0" w:type="dxa"/>
            <w:left w:w="108" w:type="dxa"/>
            <w:bottom w:w="0" w:type="dxa"/>
            <w:right w:w="108" w:type="dxa"/>
          </w:tblCellMar>
        </w:tblPrEx>
        <w:trPr>
          <w:cantSplit/>
          <w:trHeight w:val="23" w:hRule="atLeast"/>
        </w:trPr>
        <w:tc>
          <w:tcPr>
            <w:tcW w:w="985" w:type="dxa"/>
            <w:vMerge w:val="continue"/>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5D54E71">
            <w:pPr>
              <w:pStyle w:val="1535"/>
            </w:pPr>
          </w:p>
        </w:tc>
        <w:tc>
          <w:tcPr>
            <w:tcW w:w="100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32F2B08">
            <w:pPr>
              <w:pStyle w:val="1535"/>
            </w:pPr>
            <w:r>
              <w:t>外观、性状</w:t>
            </w:r>
          </w:p>
        </w:tc>
        <w:tc>
          <w:tcPr>
            <w:tcW w:w="7128" w:type="dxa"/>
            <w:gridSpan w:val="4"/>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3928DA1">
            <w:pPr>
              <w:pStyle w:val="1535"/>
            </w:pPr>
            <w:r>
              <w:t>无色透明有刺激臭味的液体。</w:t>
            </w:r>
          </w:p>
        </w:tc>
      </w:tr>
      <w:tr w14:paraId="74FD0C2A">
        <w:tblPrEx>
          <w:tblCellMar>
            <w:top w:w="0" w:type="dxa"/>
            <w:left w:w="108" w:type="dxa"/>
            <w:bottom w:w="0" w:type="dxa"/>
            <w:right w:w="108" w:type="dxa"/>
          </w:tblCellMar>
        </w:tblPrEx>
        <w:trPr>
          <w:cantSplit/>
          <w:trHeight w:val="23" w:hRule="atLeast"/>
        </w:trPr>
        <w:tc>
          <w:tcPr>
            <w:tcW w:w="985"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0B820CB">
            <w:pPr>
              <w:pStyle w:val="1535"/>
            </w:pPr>
            <w:r>
              <w:t>稳定型、危险性</w:t>
            </w:r>
          </w:p>
        </w:tc>
        <w:tc>
          <w:tcPr>
            <w:tcW w:w="8132"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2CEDCE5">
            <w:pPr>
              <w:pStyle w:val="1535"/>
            </w:pPr>
            <w:r>
              <w:t>稳定性：稳定危险性：腐蚀性极强，遇H发泡剂立即燃烧，能与普通金属发生反应，放出氢气而与空气形成爆炸性混合物。</w:t>
            </w:r>
          </w:p>
        </w:tc>
      </w:tr>
      <w:tr w14:paraId="567E613A">
        <w:tblPrEx>
          <w:tblCellMar>
            <w:top w:w="0" w:type="dxa"/>
            <w:left w:w="108" w:type="dxa"/>
            <w:bottom w:w="0" w:type="dxa"/>
            <w:right w:w="108" w:type="dxa"/>
          </w:tblCellMar>
        </w:tblPrEx>
        <w:trPr>
          <w:cantSplit/>
          <w:trHeight w:val="23" w:hRule="atLeast"/>
        </w:trPr>
        <w:tc>
          <w:tcPr>
            <w:tcW w:w="985"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AC89255">
            <w:pPr>
              <w:pStyle w:val="1535"/>
            </w:pPr>
            <w:r>
              <w:t>毒理学资料</w:t>
            </w:r>
          </w:p>
        </w:tc>
        <w:tc>
          <w:tcPr>
            <w:tcW w:w="8132"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BA29015">
            <w:pPr>
              <w:pStyle w:val="1535"/>
            </w:pPr>
            <w:r>
              <w:t>毒性：属中等毒性。急性毒性：LC501276ppm，1小时(大鼠吸入)；</w:t>
            </w:r>
          </w:p>
        </w:tc>
      </w:tr>
      <w:tr w14:paraId="6248C8FF">
        <w:tblPrEx>
          <w:tblCellMar>
            <w:top w:w="0" w:type="dxa"/>
            <w:left w:w="108" w:type="dxa"/>
            <w:bottom w:w="0" w:type="dxa"/>
            <w:right w:w="108" w:type="dxa"/>
          </w:tblCellMar>
        </w:tblPrEx>
        <w:trPr>
          <w:cantSplit/>
          <w:trHeight w:val="23" w:hRule="atLeast"/>
        </w:trPr>
        <w:tc>
          <w:tcPr>
            <w:tcW w:w="985"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964C19D">
            <w:pPr>
              <w:pStyle w:val="1535"/>
            </w:pPr>
            <w:r>
              <w:t>健康危害</w:t>
            </w:r>
          </w:p>
        </w:tc>
        <w:tc>
          <w:tcPr>
            <w:tcW w:w="8132"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964922E">
            <w:pPr>
              <w:pStyle w:val="1535"/>
            </w:pPr>
            <w:r>
              <w:t>侵入途径：吸入、食入。健康危害：对皮肤有强烈的腐蚀作用，灼伤初期皮肤潮红、干燥，创面苍白，坏死，继而呈紫黑色或灰黑色。深部灼伤或处理不当时，可形成难以愈合的深溃疡，损及骨骼和骨质。本品灼伤痛感剧烈，眼接触高浓度可引起角膜穿孔。接触其蒸汽，可发生支气管炎、肺炎等。慢性影响有眼和上呼吸道刺激症状，或有鼻衄，嗅觉减退，牙齿酸蚀症。</w:t>
            </w:r>
          </w:p>
        </w:tc>
      </w:tr>
      <w:tr w14:paraId="1A482F93">
        <w:tblPrEx>
          <w:tblCellMar>
            <w:top w:w="0" w:type="dxa"/>
            <w:left w:w="108" w:type="dxa"/>
            <w:bottom w:w="0" w:type="dxa"/>
            <w:right w:w="108" w:type="dxa"/>
          </w:tblCellMar>
        </w:tblPrEx>
        <w:trPr>
          <w:cantSplit/>
          <w:trHeight w:val="23" w:hRule="atLeast"/>
        </w:trPr>
        <w:tc>
          <w:tcPr>
            <w:tcW w:w="985"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D53DA1F">
            <w:pPr>
              <w:pStyle w:val="1535"/>
            </w:pPr>
            <w:r>
              <w:t>泄漏应急处理</w:t>
            </w:r>
          </w:p>
        </w:tc>
        <w:tc>
          <w:tcPr>
            <w:tcW w:w="8132"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4E397ED">
            <w:pPr>
              <w:pStyle w:val="1535"/>
            </w:pPr>
            <w:r>
              <w:t>疏散泄漏污染区人员至安全区，禁止无关人员进入污染区，建议应急处理人员戴好面罩，穿化学防护服。不要直接接触泄漏物，在确保安全情况下堵漏。喷水雾减慢挥发(或扩散)，但不要对泄漏物或泄漏点直接喷水。用沙土、干燥石灰或苏打灰混合，然后收集运至废物处理然后收集、转移、回收或无害处理后废弃。</w:t>
            </w:r>
          </w:p>
        </w:tc>
      </w:tr>
      <w:tr w14:paraId="579EAEF1">
        <w:tblPrEx>
          <w:tblCellMar>
            <w:top w:w="0" w:type="dxa"/>
            <w:left w:w="108" w:type="dxa"/>
            <w:bottom w:w="0" w:type="dxa"/>
            <w:right w:w="108" w:type="dxa"/>
          </w:tblCellMar>
        </w:tblPrEx>
        <w:trPr>
          <w:cantSplit/>
          <w:trHeight w:val="23" w:hRule="atLeast"/>
        </w:trPr>
        <w:tc>
          <w:tcPr>
            <w:tcW w:w="985"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E55D106">
            <w:pPr>
              <w:pStyle w:val="1535"/>
            </w:pPr>
            <w:r>
              <w:t>防护措施</w:t>
            </w:r>
          </w:p>
        </w:tc>
        <w:tc>
          <w:tcPr>
            <w:tcW w:w="8132"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D40BCFB">
            <w:pPr>
              <w:pStyle w:val="1535"/>
            </w:pPr>
            <w:r>
              <w:t>呼吸系统防护：可能接触其蒸气或烟雾时，必须佩戴防毒面具或供气式头盔。紧急事态抢救或逃生时，建议佩带自给式呼吸器。眼睛防护：戴化学安全防护眼镜。防护服：穿工作服(防腐材料制作)。手防护：戴橡皮手套。其它：工作后，淋浴更衣。单独存放被毒物污染的衣服，洗后再用。保持良好的卫生习惯。</w:t>
            </w:r>
          </w:p>
        </w:tc>
      </w:tr>
      <w:tr w14:paraId="26B1C474">
        <w:tblPrEx>
          <w:tblCellMar>
            <w:top w:w="0" w:type="dxa"/>
            <w:left w:w="108" w:type="dxa"/>
            <w:bottom w:w="0" w:type="dxa"/>
            <w:right w:w="108" w:type="dxa"/>
          </w:tblCellMar>
        </w:tblPrEx>
        <w:trPr>
          <w:cantSplit/>
          <w:trHeight w:val="23" w:hRule="atLeast"/>
        </w:trPr>
        <w:tc>
          <w:tcPr>
            <w:tcW w:w="985"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DAA3182">
            <w:pPr>
              <w:pStyle w:val="1535"/>
            </w:pPr>
            <w:r>
              <w:t>急救措施</w:t>
            </w:r>
          </w:p>
        </w:tc>
        <w:tc>
          <w:tcPr>
            <w:tcW w:w="8132"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53A3FE4">
            <w:pPr>
              <w:pStyle w:val="1535"/>
            </w:pPr>
            <w:r>
              <w:t>皮肤接触：立即用水冲洗至少15分钟。或用2%碳酸氢钠溶液冲洗。就医。眼睛接触：立即提起眼睑，用流动清水或用生理盐水冲洗。吸入：迅速脱离现场至空气新鲜处。呼吸困难时给输氧。给予2-4%碳酸氢钠溶液雾化吸入。就医。食入：误服者给牛奶、蛋清、植物油等口服，不可催吐。立即就医。</w:t>
            </w:r>
          </w:p>
        </w:tc>
      </w:tr>
      <w:tr w14:paraId="7C7A1AA3">
        <w:tblPrEx>
          <w:tblCellMar>
            <w:top w:w="0" w:type="dxa"/>
            <w:left w:w="108" w:type="dxa"/>
            <w:bottom w:w="0" w:type="dxa"/>
            <w:right w:w="108" w:type="dxa"/>
          </w:tblCellMar>
        </w:tblPrEx>
        <w:trPr>
          <w:cantSplit/>
          <w:trHeight w:val="23" w:hRule="atLeast"/>
        </w:trPr>
        <w:tc>
          <w:tcPr>
            <w:tcW w:w="985"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0CCA5994">
            <w:pPr>
              <w:pStyle w:val="1535"/>
            </w:pPr>
            <w:r>
              <w:t>灭火方法</w:t>
            </w:r>
          </w:p>
        </w:tc>
        <w:tc>
          <w:tcPr>
            <w:tcW w:w="8132" w:type="dxa"/>
            <w:gridSpan w:val="5"/>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9DB4886">
            <w:pPr>
              <w:pStyle w:val="1535"/>
            </w:pPr>
            <w:r>
              <w:t>用雾状水、泡沫灭火。</w:t>
            </w:r>
          </w:p>
        </w:tc>
      </w:tr>
    </w:tbl>
    <w:p w14:paraId="735CD6DF">
      <w:pPr>
        <w:pStyle w:val="4"/>
        <w:rPr>
          <w:color w:val="000000" w:themeColor="text1"/>
          <w14:textFill>
            <w14:solidFill>
              <w14:schemeClr w14:val="tx1"/>
            </w14:solidFill>
          </w14:textFill>
        </w:rPr>
      </w:pPr>
      <w:bookmarkStart w:id="327" w:name="_Toc3505"/>
      <w:r>
        <w:rPr>
          <w:color w:val="000000" w:themeColor="text1"/>
          <w14:textFill>
            <w14:solidFill>
              <w14:schemeClr w14:val="tx1"/>
            </w14:solidFill>
          </w14:textFill>
        </w:rPr>
        <w:t>评价等级判定</w:t>
      </w:r>
      <w:bookmarkEnd w:id="327"/>
    </w:p>
    <w:p w14:paraId="4BAC2C5C">
      <w:pPr>
        <w:pStyle w:val="5"/>
        <w:rPr>
          <w:color w:val="000000" w:themeColor="text1"/>
          <w14:textFill>
            <w14:solidFill>
              <w14:schemeClr w14:val="tx1"/>
            </w14:solidFill>
          </w14:textFill>
        </w:rPr>
      </w:pPr>
      <w:r>
        <w:rPr>
          <w:color w:val="000000" w:themeColor="text1"/>
          <w14:textFill>
            <w14:solidFill>
              <w14:schemeClr w14:val="tx1"/>
            </w14:solidFill>
          </w14:textFill>
        </w:rPr>
        <w:t>危险物质及工艺系统危险性(P)判定</w:t>
      </w:r>
    </w:p>
    <w:p w14:paraId="272EAF4C">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根据《建设项目环境风险评价技术导则》(HJ169-2018)附录C，对危险物质及工艺系统危险性(P)进行分级计算。</w:t>
      </w:r>
    </w:p>
    <w:p w14:paraId="4507C356">
      <w:pPr>
        <w:ind w:firstLine="522"/>
        <w:rPr>
          <w:b/>
          <w:bCs/>
          <w:color w:val="000000" w:themeColor="text1"/>
          <w14:textFill>
            <w14:solidFill>
              <w14:schemeClr w14:val="tx1"/>
            </w14:solidFill>
          </w14:textFill>
        </w:rPr>
      </w:pPr>
      <w:r>
        <w:rPr>
          <w:b/>
          <w:color w:val="000000" w:themeColor="text1"/>
          <w14:textFill>
            <w14:solidFill>
              <w14:schemeClr w14:val="tx1"/>
            </w14:solidFill>
          </w14:textFill>
        </w:rPr>
        <w:t>(1)危险物质数量与临界量比值(Q)</w:t>
      </w:r>
    </w:p>
    <w:p w14:paraId="55DD9415">
      <w:pPr>
        <w:ind w:firstLine="520"/>
        <w:rPr>
          <w:color w:val="000000" w:themeColor="text1"/>
          <w14:textFill>
            <w14:solidFill>
              <w14:schemeClr w14:val="tx1"/>
            </w14:solidFill>
          </w14:textFill>
        </w:rPr>
      </w:pPr>
      <w:r>
        <w:rPr>
          <w:color w:val="000000" w:themeColor="text1"/>
          <w14:textFill>
            <w14:solidFill>
              <w14:schemeClr w14:val="tx1"/>
            </w14:solidFill>
          </w14:textFill>
        </w:rPr>
        <w:t>计算所涉及的每种危险物质在厂界内的最大存在总量与其在附录B中对应临界量的比值Q。在不同厂区的同一种物质，按其在厂界内的最大存在总量计算。单元内存在的危险物质为多品种时，则按下式计算：</w:t>
      </w:r>
    </w:p>
    <w:p w14:paraId="3086BB4D">
      <w:pPr>
        <w:ind w:firstLine="520"/>
        <w:jc w:val="center"/>
        <w:rPr>
          <w:color w:val="000000" w:themeColor="text1"/>
          <w14:textFill>
            <w14:solidFill>
              <w14:schemeClr w14:val="tx1"/>
            </w14:solidFill>
          </w14:textFill>
        </w:rPr>
      </w:pPr>
      <w:r>
        <w:rPr>
          <w:color w:val="000000" w:themeColor="text1"/>
          <w14:textFill>
            <w14:solidFill>
              <w14:schemeClr w14:val="tx1"/>
            </w14:solidFill>
          </w14:textFill>
        </w:rPr>
        <w:t>Q=q</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n</w:t>
      </w:r>
    </w:p>
    <w:p w14:paraId="3BCC525D">
      <w:pPr>
        <w:ind w:firstLine="520"/>
        <w:rPr>
          <w:color w:val="000000" w:themeColor="text1"/>
          <w14:textFill>
            <w14:solidFill>
              <w14:schemeClr w14:val="tx1"/>
            </w14:solidFill>
          </w14:textFill>
        </w:rPr>
      </w:pPr>
      <w:r>
        <w:rPr>
          <w:color w:val="000000" w:themeColor="text1"/>
          <w14:textFill>
            <w14:solidFill>
              <w14:schemeClr w14:val="tx1"/>
            </w14:solidFill>
          </w14:textFill>
        </w:rPr>
        <w:t>式中：q</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……qn为每种危险物质实际存在量，t；</w:t>
      </w:r>
    </w:p>
    <w:p w14:paraId="28808803">
      <w:pPr>
        <w:ind w:firstLine="520"/>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为每种危险物质的临界量，t。</w:t>
      </w:r>
    </w:p>
    <w:p w14:paraId="65EEA6D7">
      <w:pPr>
        <w:ind w:firstLine="520"/>
        <w:rPr>
          <w:color w:val="000000" w:themeColor="text1"/>
          <w14:textFill>
            <w14:solidFill>
              <w14:schemeClr w14:val="tx1"/>
            </w14:solidFill>
          </w14:textFill>
        </w:rPr>
      </w:pPr>
      <w:r>
        <w:rPr>
          <w:color w:val="000000" w:themeColor="text1"/>
          <w14:textFill>
            <w14:solidFill>
              <w14:schemeClr w14:val="tx1"/>
            </w14:solidFill>
          </w14:textFill>
        </w:rPr>
        <w:t>当Q＜1时，该项目的环境风险潜势为I。</w:t>
      </w:r>
    </w:p>
    <w:p w14:paraId="0F837873">
      <w:pPr>
        <w:ind w:firstLine="520"/>
        <w:rPr>
          <w:color w:val="000000" w:themeColor="text1"/>
          <w14:textFill>
            <w14:solidFill>
              <w14:schemeClr w14:val="tx1"/>
            </w14:solidFill>
          </w14:textFill>
        </w:rPr>
      </w:pPr>
      <w:r>
        <w:rPr>
          <w:color w:val="000000" w:themeColor="text1"/>
          <w14:textFill>
            <w14:solidFill>
              <w14:schemeClr w14:val="tx1"/>
            </w14:solidFill>
          </w14:textFill>
        </w:rPr>
        <w:t>当Q≥1时，将Q值划分为：(1)1≤Q＜10；(2)10≤Q＜100；(3)Q≥100；</w:t>
      </w:r>
    </w:p>
    <w:p w14:paraId="41B08E4C">
      <w:pPr>
        <w:ind w:firstLine="520"/>
        <w:rPr>
          <w:color w:val="000000" w:themeColor="text1"/>
          <w14:textFill>
            <w14:solidFill>
              <w14:schemeClr w14:val="tx1"/>
            </w14:solidFill>
          </w14:textFill>
        </w:rPr>
      </w:pPr>
      <w:r>
        <w:rPr>
          <w:color w:val="000000" w:themeColor="text1"/>
          <w14:textFill>
            <w14:solidFill>
              <w14:schemeClr w14:val="tx1"/>
            </w14:solidFill>
          </w14:textFill>
        </w:rPr>
        <w:t>结合附录B、《危险化学品重大危险源辨识》(GB18218-2018)可知，扩建项目所涉及危险物质储存情况详见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_Ref160556215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表7.3</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2D4FCE21">
      <w:pPr>
        <w:spacing w:before="32"/>
        <w:ind w:firstLine="0" w:firstLineChars="0"/>
        <w:jc w:val="center"/>
        <w:rPr>
          <w:color w:val="000000" w:themeColor="text1"/>
          <w14:textFill>
            <w14:solidFill>
              <w14:schemeClr w14:val="tx1"/>
            </w14:solidFill>
          </w14:textFill>
        </w:rPr>
      </w:pPr>
      <w:bookmarkStart w:id="328" w:name="_Ref160556215"/>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328"/>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扩建项目Q值计算表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129"/>
        <w:gridCol w:w="2122"/>
        <w:gridCol w:w="1277"/>
        <w:gridCol w:w="1349"/>
        <w:gridCol w:w="1235"/>
        <w:gridCol w:w="1099"/>
      </w:tblGrid>
      <w:tr w14:paraId="08E0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69A39DA1">
            <w:pPr>
              <w:pStyle w:val="1535"/>
            </w:pPr>
            <w:r>
              <w:t>序号</w:t>
            </w:r>
          </w:p>
        </w:tc>
        <w:tc>
          <w:tcPr>
            <w:tcW w:w="597" w:type="pct"/>
            <w:vAlign w:val="center"/>
          </w:tcPr>
          <w:p w14:paraId="44E31AEE">
            <w:pPr>
              <w:pStyle w:val="1535"/>
            </w:pPr>
            <w:r>
              <w:t>原料名称</w:t>
            </w:r>
          </w:p>
        </w:tc>
        <w:tc>
          <w:tcPr>
            <w:tcW w:w="1122" w:type="pct"/>
            <w:vAlign w:val="center"/>
          </w:tcPr>
          <w:p w14:paraId="578CF673">
            <w:pPr>
              <w:pStyle w:val="1535"/>
            </w:pPr>
            <w:r>
              <w:t>风险物质</w:t>
            </w:r>
          </w:p>
        </w:tc>
        <w:tc>
          <w:tcPr>
            <w:tcW w:w="675" w:type="pct"/>
            <w:vAlign w:val="center"/>
          </w:tcPr>
          <w:p w14:paraId="55D77963">
            <w:pPr>
              <w:pStyle w:val="1535"/>
            </w:pPr>
            <w:r>
              <w:t>储存</w:t>
            </w:r>
          </w:p>
          <w:p w14:paraId="46589C1D">
            <w:pPr>
              <w:pStyle w:val="1535"/>
            </w:pPr>
            <w:r>
              <w:t>方式</w:t>
            </w:r>
          </w:p>
        </w:tc>
        <w:tc>
          <w:tcPr>
            <w:tcW w:w="713" w:type="pct"/>
            <w:vAlign w:val="center"/>
          </w:tcPr>
          <w:p w14:paraId="5069D382">
            <w:pPr>
              <w:pStyle w:val="1535"/>
            </w:pPr>
            <w:r>
              <w:t>原料最大储量（t）</w:t>
            </w:r>
          </w:p>
        </w:tc>
        <w:tc>
          <w:tcPr>
            <w:tcW w:w="653" w:type="pct"/>
            <w:vAlign w:val="center"/>
          </w:tcPr>
          <w:p w14:paraId="06E40D4E">
            <w:pPr>
              <w:pStyle w:val="1535"/>
            </w:pPr>
            <w:r>
              <w:t>临界量（t）</w:t>
            </w:r>
          </w:p>
        </w:tc>
        <w:tc>
          <w:tcPr>
            <w:tcW w:w="581" w:type="pct"/>
            <w:vAlign w:val="center"/>
          </w:tcPr>
          <w:p w14:paraId="75DF0C1A">
            <w:pPr>
              <w:pStyle w:val="1535"/>
            </w:pPr>
            <w:r>
              <w:t>q/Q</w:t>
            </w:r>
          </w:p>
        </w:tc>
      </w:tr>
      <w:tr w14:paraId="6CB9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1A217EA5">
            <w:pPr>
              <w:pStyle w:val="1535"/>
            </w:pPr>
            <w:r>
              <w:t>1</w:t>
            </w:r>
          </w:p>
        </w:tc>
        <w:tc>
          <w:tcPr>
            <w:tcW w:w="597" w:type="pct"/>
            <w:vAlign w:val="center"/>
          </w:tcPr>
          <w:p w14:paraId="12044E52">
            <w:pPr>
              <w:pStyle w:val="1535"/>
            </w:pPr>
            <w:r>
              <w:t>氢氟酸</w:t>
            </w:r>
          </w:p>
        </w:tc>
        <w:tc>
          <w:tcPr>
            <w:tcW w:w="1122" w:type="pct"/>
            <w:vAlign w:val="center"/>
          </w:tcPr>
          <w:p w14:paraId="4A3D531D">
            <w:pPr>
              <w:pStyle w:val="1535"/>
            </w:pPr>
            <w:r>
              <w:t>氢氟酸49%</w:t>
            </w:r>
          </w:p>
        </w:tc>
        <w:tc>
          <w:tcPr>
            <w:tcW w:w="675" w:type="pct"/>
            <w:vAlign w:val="center"/>
          </w:tcPr>
          <w:p w14:paraId="2DAA69A3">
            <w:pPr>
              <w:pStyle w:val="1535"/>
            </w:pPr>
            <w:r>
              <w:t>20L/桶</w:t>
            </w:r>
          </w:p>
        </w:tc>
        <w:tc>
          <w:tcPr>
            <w:tcW w:w="713" w:type="pct"/>
            <w:noWrap/>
            <w:vAlign w:val="center"/>
          </w:tcPr>
          <w:p w14:paraId="7DA34D7B">
            <w:pPr>
              <w:pStyle w:val="1535"/>
            </w:pPr>
            <w:r>
              <w:rPr>
                <w:rFonts w:hint="eastAsia"/>
              </w:rPr>
              <w:t>0.32</w:t>
            </w:r>
          </w:p>
        </w:tc>
        <w:tc>
          <w:tcPr>
            <w:tcW w:w="653" w:type="pct"/>
            <w:noWrap/>
            <w:vAlign w:val="center"/>
          </w:tcPr>
          <w:p w14:paraId="7CE05B85">
            <w:pPr>
              <w:pStyle w:val="1535"/>
            </w:pPr>
            <w:r>
              <w:t>1</w:t>
            </w:r>
          </w:p>
        </w:tc>
        <w:tc>
          <w:tcPr>
            <w:tcW w:w="581" w:type="pct"/>
            <w:vAlign w:val="center"/>
          </w:tcPr>
          <w:p w14:paraId="4623F6A0">
            <w:pPr>
              <w:pStyle w:val="1535"/>
            </w:pPr>
            <w:r>
              <w:t>0.3</w:t>
            </w:r>
            <w:r>
              <w:rPr>
                <w:rFonts w:hint="eastAsia"/>
              </w:rPr>
              <w:t>2</w:t>
            </w:r>
          </w:p>
        </w:tc>
      </w:tr>
      <w:tr w14:paraId="2084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18319D3B">
            <w:pPr>
              <w:pStyle w:val="1535"/>
            </w:pPr>
            <w:r>
              <w:t>2</w:t>
            </w:r>
          </w:p>
        </w:tc>
        <w:tc>
          <w:tcPr>
            <w:tcW w:w="597" w:type="pct"/>
            <w:vAlign w:val="center"/>
          </w:tcPr>
          <w:p w14:paraId="4269AE95">
            <w:pPr>
              <w:pStyle w:val="1535"/>
            </w:pPr>
            <w:r>
              <w:t>硝酸</w:t>
            </w:r>
          </w:p>
        </w:tc>
        <w:tc>
          <w:tcPr>
            <w:tcW w:w="1122" w:type="pct"/>
            <w:vAlign w:val="center"/>
          </w:tcPr>
          <w:p w14:paraId="6B5B7546">
            <w:pPr>
              <w:pStyle w:val="1535"/>
            </w:pPr>
            <w:r>
              <w:t>硝酸68%</w:t>
            </w:r>
          </w:p>
        </w:tc>
        <w:tc>
          <w:tcPr>
            <w:tcW w:w="675" w:type="pct"/>
            <w:vAlign w:val="center"/>
          </w:tcPr>
          <w:p w14:paraId="2EAEF4E5">
            <w:pPr>
              <w:pStyle w:val="1535"/>
            </w:pPr>
            <w:r>
              <w:t>20L/桶</w:t>
            </w:r>
          </w:p>
        </w:tc>
        <w:tc>
          <w:tcPr>
            <w:tcW w:w="713" w:type="pct"/>
            <w:noWrap/>
            <w:vAlign w:val="center"/>
          </w:tcPr>
          <w:p w14:paraId="08F5AF6A">
            <w:pPr>
              <w:pStyle w:val="1535"/>
            </w:pPr>
            <w:r>
              <w:rPr>
                <w:rFonts w:hint="eastAsia"/>
              </w:rPr>
              <w:t>1.9</w:t>
            </w:r>
          </w:p>
        </w:tc>
        <w:tc>
          <w:tcPr>
            <w:tcW w:w="653" w:type="pct"/>
            <w:noWrap/>
            <w:vAlign w:val="center"/>
          </w:tcPr>
          <w:p w14:paraId="54572E27">
            <w:pPr>
              <w:pStyle w:val="1535"/>
            </w:pPr>
            <w:r>
              <w:t>7.5</w:t>
            </w:r>
          </w:p>
        </w:tc>
        <w:tc>
          <w:tcPr>
            <w:tcW w:w="581" w:type="pct"/>
            <w:vAlign w:val="center"/>
          </w:tcPr>
          <w:p w14:paraId="2F92744C">
            <w:pPr>
              <w:pStyle w:val="1535"/>
            </w:pPr>
            <w:r>
              <w:t>0.2</w:t>
            </w:r>
            <w:r>
              <w:rPr>
                <w:rFonts w:hint="eastAsia"/>
              </w:rPr>
              <w:t>5</w:t>
            </w:r>
          </w:p>
        </w:tc>
      </w:tr>
      <w:tr w14:paraId="3C79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0F2B8684">
            <w:pPr>
              <w:pStyle w:val="1535"/>
            </w:pPr>
            <w:r>
              <w:t>3</w:t>
            </w:r>
          </w:p>
        </w:tc>
        <w:tc>
          <w:tcPr>
            <w:tcW w:w="597" w:type="pct"/>
            <w:vAlign w:val="center"/>
          </w:tcPr>
          <w:p w14:paraId="13D434E5">
            <w:pPr>
              <w:pStyle w:val="1535"/>
            </w:pPr>
            <w:r>
              <w:t>盐酸</w:t>
            </w:r>
          </w:p>
        </w:tc>
        <w:tc>
          <w:tcPr>
            <w:tcW w:w="1122" w:type="pct"/>
            <w:vAlign w:val="center"/>
          </w:tcPr>
          <w:p w14:paraId="4EFDFED8">
            <w:pPr>
              <w:pStyle w:val="1535"/>
            </w:pPr>
            <w:r>
              <w:t>盐酸37%</w:t>
            </w:r>
          </w:p>
        </w:tc>
        <w:tc>
          <w:tcPr>
            <w:tcW w:w="675" w:type="pct"/>
            <w:vAlign w:val="center"/>
          </w:tcPr>
          <w:p w14:paraId="01269384">
            <w:pPr>
              <w:pStyle w:val="1535"/>
            </w:pPr>
            <w:r>
              <w:t>20L/桶</w:t>
            </w:r>
          </w:p>
        </w:tc>
        <w:tc>
          <w:tcPr>
            <w:tcW w:w="713" w:type="pct"/>
            <w:noWrap/>
            <w:vAlign w:val="center"/>
          </w:tcPr>
          <w:p w14:paraId="3FF5E9C6">
            <w:pPr>
              <w:pStyle w:val="1535"/>
            </w:pPr>
            <w:r>
              <w:rPr>
                <w:rFonts w:hint="eastAsia"/>
              </w:rPr>
              <w:t>0.5</w:t>
            </w:r>
          </w:p>
        </w:tc>
        <w:tc>
          <w:tcPr>
            <w:tcW w:w="653" w:type="pct"/>
            <w:noWrap/>
            <w:vAlign w:val="center"/>
          </w:tcPr>
          <w:p w14:paraId="58161AF5">
            <w:pPr>
              <w:pStyle w:val="1535"/>
            </w:pPr>
            <w:r>
              <w:t>7.5</w:t>
            </w:r>
          </w:p>
        </w:tc>
        <w:tc>
          <w:tcPr>
            <w:tcW w:w="581" w:type="pct"/>
            <w:vAlign w:val="center"/>
          </w:tcPr>
          <w:p w14:paraId="63151FFD">
            <w:pPr>
              <w:pStyle w:val="1535"/>
            </w:pPr>
            <w:r>
              <w:t xml:space="preserve">0.07 </w:t>
            </w:r>
          </w:p>
        </w:tc>
      </w:tr>
      <w:tr w14:paraId="5F56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0C9427F0">
            <w:pPr>
              <w:pStyle w:val="1535"/>
            </w:pPr>
            <w:r>
              <w:t>4</w:t>
            </w:r>
          </w:p>
        </w:tc>
        <w:tc>
          <w:tcPr>
            <w:tcW w:w="597" w:type="pct"/>
            <w:vAlign w:val="center"/>
          </w:tcPr>
          <w:p w14:paraId="2ACCE8B2">
            <w:pPr>
              <w:pStyle w:val="1535"/>
            </w:pPr>
            <w:r>
              <w:t>清洗液</w:t>
            </w:r>
          </w:p>
        </w:tc>
        <w:tc>
          <w:tcPr>
            <w:tcW w:w="1122" w:type="pct"/>
            <w:vAlign w:val="center"/>
          </w:tcPr>
          <w:p w14:paraId="1207CB96">
            <w:pPr>
              <w:pStyle w:val="1535"/>
            </w:pPr>
            <w:r>
              <w:t>氯化氢0.8~1.2%</w:t>
            </w:r>
          </w:p>
        </w:tc>
        <w:tc>
          <w:tcPr>
            <w:tcW w:w="675" w:type="pct"/>
            <w:vAlign w:val="center"/>
          </w:tcPr>
          <w:p w14:paraId="5019E194">
            <w:pPr>
              <w:pStyle w:val="1535"/>
            </w:pPr>
            <w:r>
              <w:t>20kg/桶</w:t>
            </w:r>
          </w:p>
        </w:tc>
        <w:tc>
          <w:tcPr>
            <w:tcW w:w="713" w:type="pct"/>
            <w:noWrap/>
            <w:vAlign w:val="center"/>
          </w:tcPr>
          <w:p w14:paraId="0BEFCB6D">
            <w:pPr>
              <w:pStyle w:val="1535"/>
            </w:pPr>
            <w:r>
              <w:rPr>
                <w:rFonts w:hint="eastAsia"/>
              </w:rPr>
              <w:t>3</w:t>
            </w:r>
          </w:p>
        </w:tc>
        <w:tc>
          <w:tcPr>
            <w:tcW w:w="653" w:type="pct"/>
            <w:noWrap/>
            <w:vAlign w:val="center"/>
          </w:tcPr>
          <w:p w14:paraId="095BD437">
            <w:pPr>
              <w:pStyle w:val="1535"/>
            </w:pPr>
            <w:r>
              <w:t>2.5</w:t>
            </w:r>
          </w:p>
        </w:tc>
        <w:tc>
          <w:tcPr>
            <w:tcW w:w="581" w:type="pct"/>
            <w:vAlign w:val="center"/>
          </w:tcPr>
          <w:p w14:paraId="22E8FDA0">
            <w:pPr>
              <w:pStyle w:val="1535"/>
            </w:pPr>
            <w:r>
              <w:t xml:space="preserve">1.20 </w:t>
            </w:r>
          </w:p>
        </w:tc>
      </w:tr>
      <w:tr w14:paraId="00F8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1B3ABCD2">
            <w:pPr>
              <w:pStyle w:val="1535"/>
            </w:pPr>
            <w:r>
              <w:t>5</w:t>
            </w:r>
          </w:p>
        </w:tc>
        <w:tc>
          <w:tcPr>
            <w:tcW w:w="597" w:type="pct"/>
            <w:vAlign w:val="center"/>
          </w:tcPr>
          <w:p w14:paraId="376A94FD">
            <w:pPr>
              <w:pStyle w:val="1535"/>
            </w:pPr>
            <w:r>
              <w:t>醋酸</w:t>
            </w:r>
          </w:p>
        </w:tc>
        <w:tc>
          <w:tcPr>
            <w:tcW w:w="1122" w:type="pct"/>
            <w:vAlign w:val="center"/>
          </w:tcPr>
          <w:p w14:paraId="0EE27971">
            <w:pPr>
              <w:pStyle w:val="1535"/>
            </w:pPr>
            <w:r>
              <w:t>乙酸99.85%</w:t>
            </w:r>
          </w:p>
        </w:tc>
        <w:tc>
          <w:tcPr>
            <w:tcW w:w="675" w:type="pct"/>
            <w:vAlign w:val="center"/>
          </w:tcPr>
          <w:p w14:paraId="21599B20">
            <w:pPr>
              <w:pStyle w:val="1535"/>
            </w:pPr>
            <w:r>
              <w:t>20L/桶</w:t>
            </w:r>
          </w:p>
        </w:tc>
        <w:tc>
          <w:tcPr>
            <w:tcW w:w="713" w:type="pct"/>
            <w:noWrap/>
            <w:vAlign w:val="center"/>
          </w:tcPr>
          <w:p w14:paraId="05A0E183">
            <w:pPr>
              <w:pStyle w:val="1535"/>
            </w:pPr>
            <w:r>
              <w:rPr>
                <w:rFonts w:hint="eastAsia"/>
              </w:rPr>
              <w:t>0.4</w:t>
            </w:r>
          </w:p>
        </w:tc>
        <w:tc>
          <w:tcPr>
            <w:tcW w:w="653" w:type="pct"/>
            <w:noWrap/>
            <w:vAlign w:val="center"/>
          </w:tcPr>
          <w:p w14:paraId="07F80BA0">
            <w:pPr>
              <w:pStyle w:val="1535"/>
            </w:pPr>
            <w:r>
              <w:t>10</w:t>
            </w:r>
          </w:p>
        </w:tc>
        <w:tc>
          <w:tcPr>
            <w:tcW w:w="581" w:type="pct"/>
            <w:vAlign w:val="center"/>
          </w:tcPr>
          <w:p w14:paraId="51E2B2F8">
            <w:pPr>
              <w:pStyle w:val="1535"/>
            </w:pPr>
            <w:r>
              <w:t xml:space="preserve">0.04 </w:t>
            </w:r>
          </w:p>
        </w:tc>
      </w:tr>
      <w:tr w14:paraId="157E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6082EC7E">
            <w:pPr>
              <w:pStyle w:val="1535"/>
            </w:pPr>
            <w:r>
              <w:t>6</w:t>
            </w:r>
          </w:p>
        </w:tc>
        <w:tc>
          <w:tcPr>
            <w:tcW w:w="597" w:type="pct"/>
            <w:vAlign w:val="center"/>
          </w:tcPr>
          <w:p w14:paraId="19B78BD9">
            <w:pPr>
              <w:pStyle w:val="1535"/>
            </w:pPr>
            <w:r>
              <w:t>蚀刻液</w:t>
            </w:r>
          </w:p>
        </w:tc>
        <w:tc>
          <w:tcPr>
            <w:tcW w:w="1122" w:type="pct"/>
            <w:vAlign w:val="center"/>
          </w:tcPr>
          <w:p w14:paraId="317CBC41">
            <w:pPr>
              <w:pStyle w:val="1535"/>
            </w:pPr>
            <w:r>
              <w:t>硫酸50.0~60.0%</w:t>
            </w:r>
          </w:p>
        </w:tc>
        <w:tc>
          <w:tcPr>
            <w:tcW w:w="675" w:type="pct"/>
            <w:vAlign w:val="center"/>
          </w:tcPr>
          <w:p w14:paraId="194EDAD7">
            <w:pPr>
              <w:pStyle w:val="1535"/>
            </w:pPr>
            <w:r>
              <w:t>20kg/桶</w:t>
            </w:r>
          </w:p>
        </w:tc>
        <w:tc>
          <w:tcPr>
            <w:tcW w:w="713" w:type="pct"/>
            <w:noWrap/>
            <w:vAlign w:val="center"/>
          </w:tcPr>
          <w:p w14:paraId="012E19B0">
            <w:pPr>
              <w:pStyle w:val="1535"/>
            </w:pPr>
            <w:r>
              <w:rPr>
                <w:rFonts w:hint="eastAsia"/>
              </w:rPr>
              <w:t>5.04</w:t>
            </w:r>
          </w:p>
        </w:tc>
        <w:tc>
          <w:tcPr>
            <w:tcW w:w="653" w:type="pct"/>
            <w:noWrap/>
            <w:vAlign w:val="center"/>
          </w:tcPr>
          <w:p w14:paraId="609C3586">
            <w:pPr>
              <w:pStyle w:val="1535"/>
            </w:pPr>
            <w:r>
              <w:t>10</w:t>
            </w:r>
          </w:p>
        </w:tc>
        <w:tc>
          <w:tcPr>
            <w:tcW w:w="581" w:type="pct"/>
            <w:vAlign w:val="center"/>
          </w:tcPr>
          <w:p w14:paraId="63BE458C">
            <w:pPr>
              <w:pStyle w:val="1535"/>
            </w:pPr>
            <w:r>
              <w:t xml:space="preserve">0.50 </w:t>
            </w:r>
          </w:p>
        </w:tc>
      </w:tr>
      <w:tr w14:paraId="1AD9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430D755E">
            <w:pPr>
              <w:pStyle w:val="1535"/>
            </w:pPr>
            <w:r>
              <w:t>7</w:t>
            </w:r>
          </w:p>
        </w:tc>
        <w:tc>
          <w:tcPr>
            <w:tcW w:w="597" w:type="pct"/>
            <w:vAlign w:val="center"/>
          </w:tcPr>
          <w:p w14:paraId="765C7614">
            <w:pPr>
              <w:pStyle w:val="1535"/>
            </w:pPr>
            <w:r>
              <w:t>MTS</w:t>
            </w:r>
          </w:p>
        </w:tc>
        <w:tc>
          <w:tcPr>
            <w:tcW w:w="1122" w:type="pct"/>
            <w:vAlign w:val="center"/>
          </w:tcPr>
          <w:p w14:paraId="542AE2C9">
            <w:pPr>
              <w:pStyle w:val="1535"/>
            </w:pPr>
            <w:r>
              <w:t>三氯甲基硅烷</w:t>
            </w:r>
          </w:p>
          <w:p w14:paraId="0C4B2D3D">
            <w:pPr>
              <w:pStyle w:val="1535"/>
            </w:pPr>
            <w:r>
              <w:t>99.5%</w:t>
            </w:r>
          </w:p>
        </w:tc>
        <w:tc>
          <w:tcPr>
            <w:tcW w:w="675" w:type="pct"/>
            <w:vAlign w:val="center"/>
          </w:tcPr>
          <w:p w14:paraId="3B132612">
            <w:pPr>
              <w:pStyle w:val="1535"/>
            </w:pPr>
            <w:r>
              <w:t>1t/罐</w:t>
            </w:r>
          </w:p>
        </w:tc>
        <w:tc>
          <w:tcPr>
            <w:tcW w:w="713" w:type="pct"/>
            <w:noWrap/>
            <w:vAlign w:val="center"/>
          </w:tcPr>
          <w:p w14:paraId="68A8611F">
            <w:pPr>
              <w:pStyle w:val="1535"/>
            </w:pPr>
            <w:r>
              <w:rPr>
                <w:rFonts w:hint="eastAsia"/>
              </w:rPr>
              <w:t>12.5</w:t>
            </w:r>
          </w:p>
        </w:tc>
        <w:tc>
          <w:tcPr>
            <w:tcW w:w="653" w:type="pct"/>
            <w:noWrap/>
            <w:vAlign w:val="center"/>
          </w:tcPr>
          <w:p w14:paraId="1EA2C146">
            <w:pPr>
              <w:pStyle w:val="1535"/>
            </w:pPr>
            <w:r>
              <w:t>2.5</w:t>
            </w:r>
          </w:p>
        </w:tc>
        <w:tc>
          <w:tcPr>
            <w:tcW w:w="581" w:type="pct"/>
            <w:vAlign w:val="center"/>
          </w:tcPr>
          <w:p w14:paraId="64DD5A31">
            <w:pPr>
              <w:pStyle w:val="1535"/>
            </w:pPr>
            <w:r>
              <w:rPr>
                <w:rFonts w:hint="eastAsia"/>
              </w:rPr>
              <w:t>5.0</w:t>
            </w:r>
          </w:p>
        </w:tc>
      </w:tr>
      <w:tr w14:paraId="3DEF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374ED61A">
            <w:pPr>
              <w:pStyle w:val="1535"/>
            </w:pPr>
            <w:r>
              <w:rPr>
                <w:rFonts w:hint="eastAsia"/>
              </w:rPr>
              <w:t>8</w:t>
            </w:r>
          </w:p>
        </w:tc>
        <w:tc>
          <w:tcPr>
            <w:tcW w:w="597" w:type="pct"/>
            <w:vAlign w:val="center"/>
          </w:tcPr>
          <w:p w14:paraId="66786262">
            <w:pPr>
              <w:pStyle w:val="1535"/>
            </w:pPr>
            <w:r>
              <w:rPr>
                <w:rFonts w:hint="eastAsia"/>
              </w:rPr>
              <w:t>甲苯</w:t>
            </w:r>
          </w:p>
        </w:tc>
        <w:tc>
          <w:tcPr>
            <w:tcW w:w="1122" w:type="pct"/>
            <w:vAlign w:val="center"/>
          </w:tcPr>
          <w:p w14:paraId="3363399F">
            <w:pPr>
              <w:pStyle w:val="1535"/>
            </w:pPr>
            <w:r>
              <w:rPr>
                <w:rFonts w:hint="eastAsia"/>
              </w:rPr>
              <w:t>甲苯</w:t>
            </w:r>
          </w:p>
        </w:tc>
        <w:tc>
          <w:tcPr>
            <w:tcW w:w="675" w:type="pct"/>
            <w:vAlign w:val="center"/>
          </w:tcPr>
          <w:p w14:paraId="00A65172">
            <w:pPr>
              <w:pStyle w:val="1535"/>
            </w:pPr>
            <w:r>
              <w:t>20L/桶</w:t>
            </w:r>
          </w:p>
        </w:tc>
        <w:tc>
          <w:tcPr>
            <w:tcW w:w="713" w:type="pct"/>
            <w:noWrap/>
            <w:vAlign w:val="center"/>
          </w:tcPr>
          <w:p w14:paraId="078F3D3D">
            <w:pPr>
              <w:pStyle w:val="1535"/>
            </w:pPr>
            <w:r>
              <w:rPr>
                <w:rFonts w:hint="eastAsia"/>
              </w:rPr>
              <w:t>0.1</w:t>
            </w:r>
          </w:p>
        </w:tc>
        <w:tc>
          <w:tcPr>
            <w:tcW w:w="653" w:type="pct"/>
            <w:noWrap/>
            <w:vAlign w:val="center"/>
          </w:tcPr>
          <w:p w14:paraId="1D2CF0D4">
            <w:pPr>
              <w:pStyle w:val="1535"/>
            </w:pPr>
            <w:r>
              <w:rPr>
                <w:rFonts w:hint="eastAsia"/>
              </w:rPr>
              <w:t>10</w:t>
            </w:r>
          </w:p>
        </w:tc>
        <w:tc>
          <w:tcPr>
            <w:tcW w:w="581" w:type="pct"/>
            <w:vAlign w:val="center"/>
          </w:tcPr>
          <w:p w14:paraId="601FC5AD">
            <w:pPr>
              <w:pStyle w:val="1535"/>
            </w:pPr>
            <w:r>
              <w:rPr>
                <w:rFonts w:hint="eastAsia"/>
              </w:rPr>
              <w:t>0.01</w:t>
            </w:r>
          </w:p>
        </w:tc>
      </w:tr>
      <w:tr w14:paraId="7CEF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2238FA2E">
            <w:pPr>
              <w:pStyle w:val="1535"/>
            </w:pPr>
            <w:r>
              <w:rPr>
                <w:rFonts w:hint="eastAsia"/>
              </w:rPr>
              <w:t>9</w:t>
            </w:r>
          </w:p>
        </w:tc>
        <w:tc>
          <w:tcPr>
            <w:tcW w:w="597" w:type="pct"/>
            <w:vAlign w:val="center"/>
          </w:tcPr>
          <w:p w14:paraId="7EE28D1A">
            <w:pPr>
              <w:pStyle w:val="1535"/>
            </w:pPr>
            <w:r>
              <w:t>切削液</w:t>
            </w:r>
          </w:p>
        </w:tc>
        <w:tc>
          <w:tcPr>
            <w:tcW w:w="1122" w:type="pct"/>
            <w:vAlign w:val="center"/>
          </w:tcPr>
          <w:p w14:paraId="544C08D8">
            <w:pPr>
              <w:pStyle w:val="1535"/>
            </w:pPr>
            <w:r>
              <w:t>油类物质</w:t>
            </w:r>
          </w:p>
        </w:tc>
        <w:tc>
          <w:tcPr>
            <w:tcW w:w="675" w:type="pct"/>
            <w:vAlign w:val="center"/>
          </w:tcPr>
          <w:p w14:paraId="03FC1D9D">
            <w:pPr>
              <w:pStyle w:val="1535"/>
            </w:pPr>
            <w:r>
              <w:t>2t/桶</w:t>
            </w:r>
          </w:p>
        </w:tc>
        <w:tc>
          <w:tcPr>
            <w:tcW w:w="713" w:type="pct"/>
            <w:noWrap/>
            <w:vAlign w:val="center"/>
          </w:tcPr>
          <w:p w14:paraId="7A08CD06">
            <w:pPr>
              <w:pStyle w:val="1535"/>
            </w:pPr>
            <w:r>
              <w:rPr>
                <w:rFonts w:hint="eastAsia"/>
              </w:rPr>
              <w:t>40</w:t>
            </w:r>
          </w:p>
        </w:tc>
        <w:tc>
          <w:tcPr>
            <w:tcW w:w="653" w:type="pct"/>
            <w:noWrap/>
            <w:vAlign w:val="center"/>
          </w:tcPr>
          <w:p w14:paraId="3EAE59D6">
            <w:pPr>
              <w:pStyle w:val="1535"/>
            </w:pPr>
            <w:r>
              <w:t>2500</w:t>
            </w:r>
          </w:p>
        </w:tc>
        <w:tc>
          <w:tcPr>
            <w:tcW w:w="581" w:type="pct"/>
            <w:vAlign w:val="center"/>
          </w:tcPr>
          <w:p w14:paraId="41B94DEB">
            <w:pPr>
              <w:pStyle w:val="1535"/>
            </w:pPr>
            <w:r>
              <w:t>0.0</w:t>
            </w:r>
            <w:r>
              <w:rPr>
                <w:rFonts w:hint="eastAsia"/>
              </w:rPr>
              <w:t>2</w:t>
            </w:r>
          </w:p>
        </w:tc>
      </w:tr>
      <w:tr w14:paraId="5961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7A16E366">
            <w:pPr>
              <w:pStyle w:val="1535"/>
            </w:pPr>
            <w:r>
              <w:rPr>
                <w:rFonts w:hint="eastAsia"/>
              </w:rPr>
              <w:t>10</w:t>
            </w:r>
          </w:p>
        </w:tc>
        <w:tc>
          <w:tcPr>
            <w:tcW w:w="597" w:type="pct"/>
            <w:vAlign w:val="center"/>
          </w:tcPr>
          <w:p w14:paraId="5B1EAAAD">
            <w:pPr>
              <w:pStyle w:val="1535"/>
            </w:pPr>
            <w:r>
              <w:rPr>
                <w:rFonts w:hint="eastAsia"/>
              </w:rPr>
              <w:t>氯化氢</w:t>
            </w:r>
          </w:p>
        </w:tc>
        <w:tc>
          <w:tcPr>
            <w:tcW w:w="1122" w:type="pct"/>
            <w:vAlign w:val="center"/>
          </w:tcPr>
          <w:p w14:paraId="42869AF8">
            <w:pPr>
              <w:pStyle w:val="1535"/>
            </w:pPr>
            <w:r>
              <w:rPr>
                <w:rFonts w:hint="eastAsia"/>
              </w:rPr>
              <w:t>氯化氢</w:t>
            </w:r>
          </w:p>
        </w:tc>
        <w:tc>
          <w:tcPr>
            <w:tcW w:w="675" w:type="pct"/>
            <w:vAlign w:val="center"/>
          </w:tcPr>
          <w:p w14:paraId="40F3FA0E">
            <w:pPr>
              <w:pStyle w:val="1535"/>
            </w:pPr>
            <w:r>
              <w:rPr>
                <w:snapToGrid/>
              </w:rPr>
              <w:t>1 m</w:t>
            </w:r>
            <w:r>
              <w:rPr>
                <w:snapToGrid/>
                <w:vertAlign w:val="superscript"/>
              </w:rPr>
              <w:t>3</w:t>
            </w:r>
            <w:r>
              <w:rPr>
                <w:snapToGrid/>
              </w:rPr>
              <w:t>/瓶</w:t>
            </w:r>
          </w:p>
        </w:tc>
        <w:tc>
          <w:tcPr>
            <w:tcW w:w="713" w:type="pct"/>
            <w:noWrap/>
            <w:vAlign w:val="center"/>
          </w:tcPr>
          <w:p w14:paraId="6ACCBC61">
            <w:pPr>
              <w:pStyle w:val="1535"/>
            </w:pPr>
            <w:r>
              <w:rPr>
                <w:rFonts w:hint="eastAsia"/>
              </w:rPr>
              <w:t>0.3</w:t>
            </w:r>
          </w:p>
        </w:tc>
        <w:tc>
          <w:tcPr>
            <w:tcW w:w="653" w:type="pct"/>
            <w:noWrap/>
            <w:vAlign w:val="center"/>
          </w:tcPr>
          <w:p w14:paraId="4B63D883">
            <w:pPr>
              <w:pStyle w:val="1535"/>
            </w:pPr>
            <w:r>
              <w:rPr>
                <w:rFonts w:hint="eastAsia"/>
              </w:rPr>
              <w:t>7.5</w:t>
            </w:r>
          </w:p>
        </w:tc>
        <w:tc>
          <w:tcPr>
            <w:tcW w:w="581" w:type="pct"/>
            <w:vAlign w:val="center"/>
          </w:tcPr>
          <w:p w14:paraId="5075FC6B">
            <w:pPr>
              <w:pStyle w:val="1535"/>
            </w:pPr>
            <w:r>
              <w:t xml:space="preserve">0.04 </w:t>
            </w:r>
          </w:p>
        </w:tc>
      </w:tr>
      <w:tr w14:paraId="5581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0D3C8720">
            <w:pPr>
              <w:pStyle w:val="1535"/>
            </w:pPr>
            <w:r>
              <w:rPr>
                <w:rFonts w:hint="eastAsia"/>
              </w:rPr>
              <w:t>11</w:t>
            </w:r>
          </w:p>
        </w:tc>
        <w:tc>
          <w:tcPr>
            <w:tcW w:w="597" w:type="pct"/>
            <w:vAlign w:val="center"/>
          </w:tcPr>
          <w:p w14:paraId="66188514">
            <w:pPr>
              <w:pStyle w:val="1535"/>
            </w:pPr>
            <w:r>
              <w:rPr>
                <w:rFonts w:hint="eastAsia"/>
              </w:rPr>
              <w:t>导轨油</w:t>
            </w:r>
          </w:p>
        </w:tc>
        <w:tc>
          <w:tcPr>
            <w:tcW w:w="1122" w:type="pct"/>
            <w:vAlign w:val="center"/>
          </w:tcPr>
          <w:p w14:paraId="55B641C8">
            <w:pPr>
              <w:pStyle w:val="1535"/>
            </w:pPr>
            <w:r>
              <w:rPr>
                <w:rFonts w:hint="eastAsia"/>
              </w:rPr>
              <w:t>机油70~80%</w:t>
            </w:r>
          </w:p>
        </w:tc>
        <w:tc>
          <w:tcPr>
            <w:tcW w:w="675" w:type="pct"/>
            <w:vAlign w:val="center"/>
          </w:tcPr>
          <w:p w14:paraId="4C06769D">
            <w:pPr>
              <w:pStyle w:val="1535"/>
              <w:rPr>
                <w:snapToGrid/>
              </w:rPr>
            </w:pPr>
            <w:r>
              <w:rPr>
                <w:rFonts w:hint="eastAsia"/>
                <w:snapToGrid/>
              </w:rPr>
              <w:t>208L/桶</w:t>
            </w:r>
          </w:p>
        </w:tc>
        <w:tc>
          <w:tcPr>
            <w:tcW w:w="713" w:type="pct"/>
            <w:noWrap/>
            <w:vAlign w:val="center"/>
          </w:tcPr>
          <w:p w14:paraId="2F014086">
            <w:pPr>
              <w:pStyle w:val="1535"/>
            </w:pPr>
            <w:r>
              <w:rPr>
                <w:rFonts w:hint="eastAsia"/>
              </w:rPr>
              <w:t>6</w:t>
            </w:r>
          </w:p>
        </w:tc>
        <w:tc>
          <w:tcPr>
            <w:tcW w:w="653" w:type="pct"/>
            <w:noWrap/>
            <w:vAlign w:val="center"/>
          </w:tcPr>
          <w:p w14:paraId="5E152633">
            <w:pPr>
              <w:pStyle w:val="1535"/>
            </w:pPr>
            <w:r>
              <w:rPr>
                <w:rFonts w:hint="eastAsia"/>
              </w:rPr>
              <w:t>2500</w:t>
            </w:r>
          </w:p>
        </w:tc>
        <w:tc>
          <w:tcPr>
            <w:tcW w:w="581" w:type="pct"/>
            <w:vAlign w:val="center"/>
          </w:tcPr>
          <w:p w14:paraId="6C676457">
            <w:pPr>
              <w:pStyle w:val="1535"/>
            </w:pPr>
            <w:r>
              <w:t xml:space="preserve">0.00 </w:t>
            </w:r>
          </w:p>
        </w:tc>
      </w:tr>
      <w:tr w14:paraId="574F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5E7745D7">
            <w:pPr>
              <w:pStyle w:val="1535"/>
            </w:pPr>
            <w:r>
              <w:rPr>
                <w:rFonts w:hint="eastAsia"/>
              </w:rPr>
              <w:t>12</w:t>
            </w:r>
          </w:p>
        </w:tc>
        <w:tc>
          <w:tcPr>
            <w:tcW w:w="597" w:type="pct"/>
            <w:vAlign w:val="center"/>
          </w:tcPr>
          <w:p w14:paraId="20BF2A11">
            <w:pPr>
              <w:pStyle w:val="1535"/>
            </w:pPr>
            <w:r>
              <w:rPr>
                <w:rFonts w:hint="eastAsia"/>
              </w:rPr>
              <w:t>异丙醇</w:t>
            </w:r>
          </w:p>
        </w:tc>
        <w:tc>
          <w:tcPr>
            <w:tcW w:w="1122" w:type="pct"/>
            <w:vAlign w:val="center"/>
          </w:tcPr>
          <w:p w14:paraId="60BD834C">
            <w:pPr>
              <w:pStyle w:val="1535"/>
            </w:pPr>
            <w:r>
              <w:rPr>
                <w:rFonts w:hint="eastAsia"/>
              </w:rPr>
              <w:t>异丙醇</w:t>
            </w:r>
          </w:p>
        </w:tc>
        <w:tc>
          <w:tcPr>
            <w:tcW w:w="675" w:type="pct"/>
            <w:vAlign w:val="center"/>
          </w:tcPr>
          <w:p w14:paraId="6162F27E">
            <w:pPr>
              <w:pStyle w:val="1535"/>
              <w:rPr>
                <w:snapToGrid/>
              </w:rPr>
            </w:pPr>
            <w:r>
              <w:rPr>
                <w:rFonts w:hint="eastAsia"/>
                <w:snapToGrid/>
              </w:rPr>
              <w:t>瓶装</w:t>
            </w:r>
          </w:p>
        </w:tc>
        <w:tc>
          <w:tcPr>
            <w:tcW w:w="713" w:type="pct"/>
            <w:noWrap/>
            <w:vAlign w:val="center"/>
          </w:tcPr>
          <w:p w14:paraId="2BFDBD97">
            <w:pPr>
              <w:pStyle w:val="1535"/>
            </w:pPr>
            <w:r>
              <w:rPr>
                <w:rFonts w:hint="eastAsia"/>
              </w:rPr>
              <w:t>0.08</w:t>
            </w:r>
          </w:p>
        </w:tc>
        <w:tc>
          <w:tcPr>
            <w:tcW w:w="653" w:type="pct"/>
            <w:noWrap/>
            <w:vAlign w:val="center"/>
          </w:tcPr>
          <w:p w14:paraId="405F2053">
            <w:pPr>
              <w:pStyle w:val="1535"/>
            </w:pPr>
            <w:r>
              <w:rPr>
                <w:rFonts w:hint="eastAsia"/>
              </w:rPr>
              <w:t>10</w:t>
            </w:r>
          </w:p>
        </w:tc>
        <w:tc>
          <w:tcPr>
            <w:tcW w:w="581" w:type="pct"/>
            <w:vAlign w:val="center"/>
          </w:tcPr>
          <w:p w14:paraId="1C67DB28">
            <w:pPr>
              <w:pStyle w:val="1535"/>
            </w:pPr>
            <w:r>
              <w:t xml:space="preserve">0.01 </w:t>
            </w:r>
          </w:p>
        </w:tc>
      </w:tr>
      <w:tr w14:paraId="21A6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1B37E4F4">
            <w:pPr>
              <w:pStyle w:val="1535"/>
            </w:pPr>
            <w:r>
              <w:rPr>
                <w:rFonts w:hint="eastAsia"/>
              </w:rPr>
              <w:t>13</w:t>
            </w:r>
          </w:p>
        </w:tc>
        <w:tc>
          <w:tcPr>
            <w:tcW w:w="597" w:type="pct"/>
            <w:vAlign w:val="center"/>
          </w:tcPr>
          <w:p w14:paraId="4A57356A">
            <w:pPr>
              <w:pStyle w:val="1535"/>
            </w:pPr>
            <w:r>
              <w:rPr>
                <w:rFonts w:hint="eastAsia"/>
              </w:rPr>
              <w:t>二氯甲烷</w:t>
            </w:r>
          </w:p>
        </w:tc>
        <w:tc>
          <w:tcPr>
            <w:tcW w:w="1122" w:type="pct"/>
            <w:vAlign w:val="center"/>
          </w:tcPr>
          <w:p w14:paraId="0EA8F602">
            <w:pPr>
              <w:pStyle w:val="1535"/>
            </w:pPr>
            <w:r>
              <w:rPr>
                <w:rFonts w:hint="eastAsia"/>
              </w:rPr>
              <w:t>二氯甲烷</w:t>
            </w:r>
          </w:p>
        </w:tc>
        <w:tc>
          <w:tcPr>
            <w:tcW w:w="675" w:type="pct"/>
            <w:vAlign w:val="center"/>
          </w:tcPr>
          <w:p w14:paraId="02F25DAF">
            <w:pPr>
              <w:pStyle w:val="1535"/>
              <w:rPr>
                <w:snapToGrid/>
              </w:rPr>
            </w:pPr>
            <w:r>
              <w:rPr>
                <w:rFonts w:hint="eastAsia"/>
                <w:snapToGrid/>
              </w:rPr>
              <w:t>瓶装</w:t>
            </w:r>
          </w:p>
        </w:tc>
        <w:tc>
          <w:tcPr>
            <w:tcW w:w="713" w:type="pct"/>
            <w:noWrap/>
            <w:vAlign w:val="center"/>
          </w:tcPr>
          <w:p w14:paraId="2700A378">
            <w:pPr>
              <w:pStyle w:val="1535"/>
            </w:pPr>
            <w:r>
              <w:rPr>
                <w:rFonts w:hint="eastAsia"/>
              </w:rPr>
              <w:t>0.3</w:t>
            </w:r>
          </w:p>
        </w:tc>
        <w:tc>
          <w:tcPr>
            <w:tcW w:w="653" w:type="pct"/>
            <w:noWrap/>
            <w:vAlign w:val="center"/>
          </w:tcPr>
          <w:p w14:paraId="5E8C0278">
            <w:pPr>
              <w:pStyle w:val="1535"/>
            </w:pPr>
            <w:r>
              <w:rPr>
                <w:rFonts w:hint="eastAsia"/>
              </w:rPr>
              <w:t>10</w:t>
            </w:r>
          </w:p>
        </w:tc>
        <w:tc>
          <w:tcPr>
            <w:tcW w:w="581" w:type="pct"/>
            <w:vAlign w:val="center"/>
          </w:tcPr>
          <w:p w14:paraId="3C479833">
            <w:pPr>
              <w:pStyle w:val="1535"/>
            </w:pPr>
            <w:r>
              <w:t xml:space="preserve">0.03 </w:t>
            </w:r>
          </w:p>
        </w:tc>
      </w:tr>
      <w:tr w14:paraId="4E42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13E8833D">
            <w:pPr>
              <w:pStyle w:val="1535"/>
            </w:pPr>
            <w:r>
              <w:rPr>
                <w:rFonts w:hint="eastAsia"/>
              </w:rPr>
              <w:t>14</w:t>
            </w:r>
          </w:p>
        </w:tc>
        <w:tc>
          <w:tcPr>
            <w:tcW w:w="597" w:type="pct"/>
            <w:vAlign w:val="center"/>
          </w:tcPr>
          <w:p w14:paraId="59FF687E">
            <w:pPr>
              <w:pStyle w:val="1535"/>
            </w:pPr>
            <w:r>
              <w:rPr>
                <w:rFonts w:hint="eastAsia"/>
              </w:rPr>
              <w:t>废切削液</w:t>
            </w:r>
          </w:p>
        </w:tc>
        <w:tc>
          <w:tcPr>
            <w:tcW w:w="1122" w:type="pct"/>
            <w:vAlign w:val="center"/>
          </w:tcPr>
          <w:p w14:paraId="36587F7E">
            <w:pPr>
              <w:pStyle w:val="1535"/>
            </w:pPr>
            <w:r>
              <w:rPr>
                <w:rFonts w:hint="eastAsia"/>
              </w:rPr>
              <w:t>切削液</w:t>
            </w:r>
          </w:p>
        </w:tc>
        <w:tc>
          <w:tcPr>
            <w:tcW w:w="675" w:type="pct"/>
            <w:vAlign w:val="center"/>
          </w:tcPr>
          <w:p w14:paraId="7C1FD6D1">
            <w:pPr>
              <w:pStyle w:val="1535"/>
              <w:rPr>
                <w:snapToGrid/>
              </w:rPr>
            </w:pPr>
            <w:r>
              <w:rPr>
                <w:rFonts w:hint="eastAsia"/>
                <w:snapToGrid/>
              </w:rPr>
              <w:t>桶装</w:t>
            </w:r>
          </w:p>
        </w:tc>
        <w:tc>
          <w:tcPr>
            <w:tcW w:w="713" w:type="pct"/>
            <w:noWrap/>
            <w:vAlign w:val="center"/>
          </w:tcPr>
          <w:p w14:paraId="6C810C28">
            <w:pPr>
              <w:pStyle w:val="1535"/>
            </w:pPr>
            <w:r>
              <w:rPr>
                <w:rFonts w:hint="eastAsia"/>
              </w:rPr>
              <w:t>50</w:t>
            </w:r>
          </w:p>
        </w:tc>
        <w:tc>
          <w:tcPr>
            <w:tcW w:w="653" w:type="pct"/>
            <w:noWrap/>
            <w:vAlign w:val="center"/>
          </w:tcPr>
          <w:p w14:paraId="2DBC3AAA">
            <w:pPr>
              <w:pStyle w:val="1535"/>
            </w:pPr>
            <w:r>
              <w:rPr>
                <w:rFonts w:hint="eastAsia"/>
              </w:rPr>
              <w:t>2500</w:t>
            </w:r>
          </w:p>
        </w:tc>
        <w:tc>
          <w:tcPr>
            <w:tcW w:w="581" w:type="pct"/>
            <w:vAlign w:val="center"/>
          </w:tcPr>
          <w:p w14:paraId="29236766">
            <w:pPr>
              <w:pStyle w:val="1535"/>
            </w:pPr>
            <w:r>
              <w:t xml:space="preserve">0.02 </w:t>
            </w:r>
          </w:p>
        </w:tc>
      </w:tr>
      <w:tr w14:paraId="4D40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9" w:type="pct"/>
            <w:vAlign w:val="center"/>
          </w:tcPr>
          <w:p w14:paraId="65623460">
            <w:pPr>
              <w:pStyle w:val="1535"/>
            </w:pPr>
            <w:r>
              <w:rPr>
                <w:rFonts w:hint="eastAsia"/>
              </w:rPr>
              <w:t>15</w:t>
            </w:r>
          </w:p>
        </w:tc>
        <w:tc>
          <w:tcPr>
            <w:tcW w:w="597" w:type="pct"/>
            <w:vAlign w:val="center"/>
          </w:tcPr>
          <w:p w14:paraId="03804475">
            <w:pPr>
              <w:pStyle w:val="1535"/>
            </w:pPr>
            <w:r>
              <w:rPr>
                <w:rFonts w:hint="eastAsia"/>
              </w:rPr>
              <w:t>废机油</w:t>
            </w:r>
          </w:p>
        </w:tc>
        <w:tc>
          <w:tcPr>
            <w:tcW w:w="1122" w:type="pct"/>
            <w:vAlign w:val="center"/>
          </w:tcPr>
          <w:p w14:paraId="6ACF0076">
            <w:pPr>
              <w:pStyle w:val="1535"/>
            </w:pPr>
            <w:r>
              <w:rPr>
                <w:rFonts w:hint="eastAsia"/>
              </w:rPr>
              <w:t>油类</w:t>
            </w:r>
          </w:p>
        </w:tc>
        <w:tc>
          <w:tcPr>
            <w:tcW w:w="675" w:type="pct"/>
            <w:vAlign w:val="center"/>
          </w:tcPr>
          <w:p w14:paraId="2251A568">
            <w:pPr>
              <w:pStyle w:val="1535"/>
              <w:rPr>
                <w:snapToGrid/>
              </w:rPr>
            </w:pPr>
            <w:r>
              <w:rPr>
                <w:rFonts w:hint="eastAsia"/>
                <w:snapToGrid/>
              </w:rPr>
              <w:t>桶装</w:t>
            </w:r>
          </w:p>
        </w:tc>
        <w:tc>
          <w:tcPr>
            <w:tcW w:w="713" w:type="pct"/>
            <w:noWrap/>
            <w:vAlign w:val="center"/>
          </w:tcPr>
          <w:p w14:paraId="3143480C">
            <w:pPr>
              <w:pStyle w:val="1535"/>
            </w:pPr>
            <w:r>
              <w:rPr>
                <w:rFonts w:hint="eastAsia"/>
              </w:rPr>
              <w:t>20</w:t>
            </w:r>
          </w:p>
        </w:tc>
        <w:tc>
          <w:tcPr>
            <w:tcW w:w="653" w:type="pct"/>
            <w:noWrap/>
            <w:vAlign w:val="center"/>
          </w:tcPr>
          <w:p w14:paraId="7D2FAFD9">
            <w:pPr>
              <w:pStyle w:val="1535"/>
            </w:pPr>
            <w:r>
              <w:rPr>
                <w:rFonts w:hint="eastAsia"/>
              </w:rPr>
              <w:t>2500</w:t>
            </w:r>
          </w:p>
        </w:tc>
        <w:tc>
          <w:tcPr>
            <w:tcW w:w="581" w:type="pct"/>
            <w:vAlign w:val="center"/>
          </w:tcPr>
          <w:p w14:paraId="297A2094">
            <w:pPr>
              <w:pStyle w:val="1535"/>
            </w:pPr>
            <w:r>
              <w:t xml:space="preserve">0.01 </w:t>
            </w:r>
          </w:p>
        </w:tc>
      </w:tr>
      <w:tr w14:paraId="7139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9" w:type="pct"/>
            <w:gridSpan w:val="6"/>
            <w:vAlign w:val="center"/>
          </w:tcPr>
          <w:p w14:paraId="41851859">
            <w:pPr>
              <w:pStyle w:val="1535"/>
            </w:pPr>
            <w:r>
              <w:rPr>
                <w:rFonts w:hint="eastAsia"/>
              </w:rPr>
              <w:t>Q值</w:t>
            </w:r>
          </w:p>
        </w:tc>
        <w:tc>
          <w:tcPr>
            <w:tcW w:w="581" w:type="pct"/>
            <w:vAlign w:val="center"/>
          </w:tcPr>
          <w:p w14:paraId="2A03DCC9">
            <w:pPr>
              <w:pStyle w:val="1535"/>
            </w:pPr>
            <w:r>
              <w:rPr>
                <w:rFonts w:hint="eastAsia"/>
              </w:rPr>
              <w:t>7.52</w:t>
            </w:r>
          </w:p>
        </w:tc>
      </w:tr>
    </w:tbl>
    <w:p w14:paraId="5053740A">
      <w:pPr>
        <w:ind w:firstLine="520"/>
        <w:rPr>
          <w:color w:val="000000" w:themeColor="text1"/>
          <w14:textFill>
            <w14:solidFill>
              <w14:schemeClr w14:val="tx1"/>
            </w14:solidFill>
          </w14:textFill>
        </w:rPr>
      </w:pPr>
      <w:r>
        <w:rPr>
          <w:color w:val="000000" w:themeColor="text1"/>
          <w14:textFill>
            <w14:solidFill>
              <w14:schemeClr w14:val="tx1"/>
            </w14:solidFill>
          </w14:textFill>
        </w:rPr>
        <w:t>根据</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_Ref160556215 \h  \* MERGEFORMAT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表7.3</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知，扩建项目所使用各类原辅料和成品，Q=</w:t>
      </w:r>
      <w:r>
        <w:rPr>
          <w:rFonts w:hint="eastAsia"/>
          <w:color w:val="000000" w:themeColor="text1"/>
          <w14:textFill>
            <w14:solidFill>
              <w14:schemeClr w14:val="tx1"/>
            </w14:solidFill>
          </w14:textFill>
        </w:rPr>
        <w:t>7.52</w:t>
      </w:r>
      <w:r>
        <w:rPr>
          <w:color w:val="000000" w:themeColor="text1"/>
          <w14:textFill>
            <w14:solidFill>
              <w14:schemeClr w14:val="tx1"/>
            </w14:solidFill>
          </w14:textFill>
        </w:rPr>
        <w:t>，1&lt;Q&lt;10。</w:t>
      </w:r>
    </w:p>
    <w:p w14:paraId="2C9785B7">
      <w:pPr>
        <w:ind w:firstLine="522"/>
        <w:rPr>
          <w:b/>
          <w:bCs/>
          <w:color w:val="000000" w:themeColor="text1"/>
          <w14:textFill>
            <w14:solidFill>
              <w14:schemeClr w14:val="tx1"/>
            </w14:solidFill>
          </w14:textFill>
        </w:rPr>
      </w:pPr>
      <w:r>
        <w:rPr>
          <w:b/>
          <w:color w:val="000000" w:themeColor="text1"/>
          <w14:textFill>
            <w14:solidFill>
              <w14:schemeClr w14:val="tx1"/>
            </w14:solidFill>
          </w14:textFill>
        </w:rPr>
        <w:t>（2）所属行业及生产工艺特点(M)</w:t>
      </w:r>
    </w:p>
    <w:p w14:paraId="4BF18E67">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附录C中表C.1评估扩建项目所属行业及生产工艺特点，具有多套工艺单元的项目，对每套生产工艺分别评分并求和。将M划分为(1)M&gt;20；(2)10&lt;M&lt;20；(3)5&lt;M&lt;10；(4)M=5，分别以M1、M2、M3和M4表示。评估情况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_Ref160556283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表7.3</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0CF0E5DB">
      <w:pPr>
        <w:spacing w:before="32"/>
        <w:ind w:firstLine="0" w:firstLineChars="0"/>
        <w:jc w:val="center"/>
        <w:rPr>
          <w:color w:val="000000" w:themeColor="text1"/>
          <w14:textFill>
            <w14:solidFill>
              <w14:schemeClr w14:val="tx1"/>
            </w14:solidFill>
          </w14:textFill>
        </w:rPr>
      </w:pPr>
      <w:bookmarkStart w:id="329" w:name="_Ref160556283"/>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2</w:t>
      </w:r>
      <w:r>
        <w:rPr>
          <w:color w:val="000000" w:themeColor="text1"/>
          <w:szCs w:val="26"/>
          <w14:textFill>
            <w14:solidFill>
              <w14:schemeClr w14:val="tx1"/>
            </w14:solidFill>
          </w14:textFill>
        </w:rPr>
        <w:fldChar w:fldCharType="end"/>
      </w:r>
      <w:bookmarkEnd w:id="329"/>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所属行业及生产工艺特点判定表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0"/>
        <w:gridCol w:w="6102"/>
        <w:gridCol w:w="1264"/>
      </w:tblGrid>
      <w:tr w14:paraId="1B58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0" w:type="dxa"/>
            <w:vAlign w:val="center"/>
          </w:tcPr>
          <w:p w14:paraId="10AEAD45">
            <w:pPr>
              <w:pStyle w:val="1535"/>
            </w:pPr>
            <w:r>
              <w:t>行业</w:t>
            </w:r>
          </w:p>
        </w:tc>
        <w:tc>
          <w:tcPr>
            <w:tcW w:w="6102" w:type="dxa"/>
            <w:vAlign w:val="center"/>
          </w:tcPr>
          <w:p w14:paraId="1839F813">
            <w:pPr>
              <w:pStyle w:val="1535"/>
            </w:pPr>
            <w:r>
              <w:t>评估依据</w:t>
            </w:r>
          </w:p>
        </w:tc>
        <w:tc>
          <w:tcPr>
            <w:tcW w:w="1264" w:type="dxa"/>
            <w:vAlign w:val="center"/>
          </w:tcPr>
          <w:p w14:paraId="02EEB9BD">
            <w:pPr>
              <w:pStyle w:val="1535"/>
            </w:pPr>
            <w:r>
              <w:t>分值</w:t>
            </w:r>
          </w:p>
        </w:tc>
      </w:tr>
      <w:tr w14:paraId="0838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0" w:type="dxa"/>
            <w:vMerge w:val="restart"/>
            <w:vAlign w:val="center"/>
          </w:tcPr>
          <w:p w14:paraId="20521CE1">
            <w:pPr>
              <w:pStyle w:val="1535"/>
            </w:pPr>
            <w:r>
              <w:t>石化、化工、医药、轻工、化纤、有色冶炼等</w:t>
            </w:r>
          </w:p>
        </w:tc>
        <w:tc>
          <w:tcPr>
            <w:tcW w:w="6102" w:type="dxa"/>
            <w:vAlign w:val="center"/>
          </w:tcPr>
          <w:p w14:paraId="092A9A4A">
            <w:pPr>
              <w:pStyle w:val="1535"/>
            </w:pPr>
            <w: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64" w:type="dxa"/>
            <w:vAlign w:val="center"/>
          </w:tcPr>
          <w:p w14:paraId="426DC55A">
            <w:pPr>
              <w:pStyle w:val="1535"/>
            </w:pPr>
            <w:r>
              <w:t>10/套</w:t>
            </w:r>
          </w:p>
        </w:tc>
      </w:tr>
      <w:tr w14:paraId="45BE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0" w:type="dxa"/>
            <w:vMerge w:val="continue"/>
            <w:vAlign w:val="center"/>
          </w:tcPr>
          <w:p w14:paraId="07B2FFFE">
            <w:pPr>
              <w:pStyle w:val="1535"/>
            </w:pPr>
          </w:p>
        </w:tc>
        <w:tc>
          <w:tcPr>
            <w:tcW w:w="6102" w:type="dxa"/>
            <w:vAlign w:val="center"/>
          </w:tcPr>
          <w:p w14:paraId="791361BA">
            <w:pPr>
              <w:pStyle w:val="1535"/>
            </w:pPr>
            <w:r>
              <w:t>无机酸制酸工艺、焦化工艺</w:t>
            </w:r>
          </w:p>
        </w:tc>
        <w:tc>
          <w:tcPr>
            <w:tcW w:w="1264" w:type="dxa"/>
            <w:vAlign w:val="center"/>
          </w:tcPr>
          <w:p w14:paraId="77990E15">
            <w:pPr>
              <w:pStyle w:val="1535"/>
            </w:pPr>
            <w:r>
              <w:t>5/套</w:t>
            </w:r>
          </w:p>
        </w:tc>
      </w:tr>
      <w:tr w14:paraId="7772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0" w:type="dxa"/>
            <w:vMerge w:val="continue"/>
            <w:vAlign w:val="center"/>
          </w:tcPr>
          <w:p w14:paraId="2F1E1FB6">
            <w:pPr>
              <w:pStyle w:val="1535"/>
            </w:pPr>
          </w:p>
        </w:tc>
        <w:tc>
          <w:tcPr>
            <w:tcW w:w="6102" w:type="dxa"/>
            <w:vAlign w:val="center"/>
          </w:tcPr>
          <w:p w14:paraId="31B35D7D">
            <w:pPr>
              <w:pStyle w:val="1535"/>
            </w:pPr>
            <w:r>
              <w:t>其他高温或高压，且涉及危险物质的工艺过程a、危险物质贮存罐区</w:t>
            </w:r>
          </w:p>
        </w:tc>
        <w:tc>
          <w:tcPr>
            <w:tcW w:w="1264" w:type="dxa"/>
            <w:vAlign w:val="center"/>
          </w:tcPr>
          <w:p w14:paraId="49164C1E">
            <w:pPr>
              <w:pStyle w:val="1535"/>
            </w:pPr>
            <w:r>
              <w:t>5/套（罐区）</w:t>
            </w:r>
          </w:p>
        </w:tc>
      </w:tr>
      <w:tr w14:paraId="4163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0" w:type="dxa"/>
            <w:vAlign w:val="center"/>
          </w:tcPr>
          <w:p w14:paraId="0F29B396">
            <w:pPr>
              <w:pStyle w:val="1535"/>
            </w:pPr>
            <w:r>
              <w:t>管道、港口/码头等</w:t>
            </w:r>
          </w:p>
        </w:tc>
        <w:tc>
          <w:tcPr>
            <w:tcW w:w="6102" w:type="dxa"/>
            <w:vAlign w:val="center"/>
          </w:tcPr>
          <w:p w14:paraId="4DDB41DB">
            <w:pPr>
              <w:pStyle w:val="1535"/>
            </w:pPr>
            <w:r>
              <w:t>涉及危险物质管道运输项目、港口/码头等</w:t>
            </w:r>
          </w:p>
        </w:tc>
        <w:tc>
          <w:tcPr>
            <w:tcW w:w="1264" w:type="dxa"/>
            <w:vAlign w:val="center"/>
          </w:tcPr>
          <w:p w14:paraId="6F7A4985">
            <w:pPr>
              <w:pStyle w:val="1535"/>
            </w:pPr>
            <w:r>
              <w:t>10</w:t>
            </w:r>
          </w:p>
        </w:tc>
      </w:tr>
      <w:tr w14:paraId="3B5A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0" w:type="dxa"/>
            <w:vAlign w:val="center"/>
          </w:tcPr>
          <w:p w14:paraId="1C84E766">
            <w:pPr>
              <w:pStyle w:val="1535"/>
            </w:pPr>
            <w:r>
              <w:t>石油天然气</w:t>
            </w:r>
          </w:p>
        </w:tc>
        <w:tc>
          <w:tcPr>
            <w:tcW w:w="6102" w:type="dxa"/>
            <w:vAlign w:val="center"/>
          </w:tcPr>
          <w:p w14:paraId="31ADE881">
            <w:pPr>
              <w:pStyle w:val="1535"/>
            </w:pPr>
            <w:r>
              <w:t>石油、天然气、页岩气开采（含净化），气库（不含加气站的气库），油库（不含加气站的油库）、油气管线b（不含城镇燃气管线）</w:t>
            </w:r>
          </w:p>
        </w:tc>
        <w:tc>
          <w:tcPr>
            <w:tcW w:w="1264" w:type="dxa"/>
            <w:vAlign w:val="center"/>
          </w:tcPr>
          <w:p w14:paraId="77BD7C65">
            <w:pPr>
              <w:pStyle w:val="1535"/>
            </w:pPr>
            <w:r>
              <w:t>10</w:t>
            </w:r>
          </w:p>
        </w:tc>
      </w:tr>
      <w:tr w14:paraId="423B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10" w:type="dxa"/>
            <w:vAlign w:val="center"/>
          </w:tcPr>
          <w:p w14:paraId="0B6D140C">
            <w:pPr>
              <w:pStyle w:val="1535"/>
            </w:pPr>
            <w:r>
              <w:t>其他</w:t>
            </w:r>
          </w:p>
        </w:tc>
        <w:tc>
          <w:tcPr>
            <w:tcW w:w="6102" w:type="dxa"/>
            <w:vAlign w:val="center"/>
          </w:tcPr>
          <w:p w14:paraId="72A6BC44">
            <w:pPr>
              <w:pStyle w:val="1535"/>
            </w:pPr>
            <w:r>
              <w:t>涉及危险物质使用、贮存的项目</w:t>
            </w:r>
          </w:p>
        </w:tc>
        <w:tc>
          <w:tcPr>
            <w:tcW w:w="1264" w:type="dxa"/>
            <w:vAlign w:val="center"/>
          </w:tcPr>
          <w:p w14:paraId="0191677B">
            <w:pPr>
              <w:pStyle w:val="1535"/>
            </w:pPr>
            <w:r>
              <w:t>5</w:t>
            </w:r>
          </w:p>
        </w:tc>
      </w:tr>
      <w:tr w14:paraId="5FB0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176" w:type="dxa"/>
            <w:gridSpan w:val="3"/>
            <w:vAlign w:val="center"/>
          </w:tcPr>
          <w:p w14:paraId="00B77A2D">
            <w:pPr>
              <w:pStyle w:val="1535"/>
            </w:pPr>
            <w:r>
              <w:t>a高温指工艺温度≥300℃，高压指压力容器的设计压力（P）≥10.0MPa；</w:t>
            </w:r>
          </w:p>
          <w:p w14:paraId="19D6C77F">
            <w:pPr>
              <w:pStyle w:val="1535"/>
            </w:pPr>
            <w:r>
              <w:t>b长输管道运输项目应按站场、管线分段进行评价。</w:t>
            </w:r>
          </w:p>
        </w:tc>
      </w:tr>
    </w:tbl>
    <w:p w14:paraId="02EE64B1">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扩建项目为上表的“其他行业”，且为涉及危险物质使用、贮存的项目，因此行业及生产工艺M值为5，以M4表示。</w:t>
      </w:r>
    </w:p>
    <w:p w14:paraId="0E997CC5">
      <w:pPr>
        <w:ind w:firstLine="522"/>
        <w:rPr>
          <w:b/>
          <w:bCs/>
          <w:color w:val="000000" w:themeColor="text1"/>
          <w14:textFill>
            <w14:solidFill>
              <w14:schemeClr w14:val="tx1"/>
            </w14:solidFill>
          </w14:textFill>
        </w:rPr>
      </w:pPr>
      <w:r>
        <w:rPr>
          <w:b/>
          <w:color w:val="000000" w:themeColor="text1"/>
          <w14:textFill>
            <w14:solidFill>
              <w14:schemeClr w14:val="tx1"/>
            </w14:solidFill>
          </w14:textFill>
        </w:rPr>
        <w:t>（3）危险物质及工艺系统危险性(P)等级判断</w:t>
      </w:r>
    </w:p>
    <w:p w14:paraId="31545A53">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根据《建设项目环境风险评价技术导则》(HJ169-2018)附录C中表C.2确定P等级，项目危险物质数量与临界量比值Q为</w:t>
      </w:r>
      <w:r>
        <w:rPr>
          <w:rFonts w:hint="eastAsia"/>
          <w:color w:val="000000" w:themeColor="text1"/>
          <w14:textFill>
            <w14:solidFill>
              <w14:schemeClr w14:val="tx1"/>
            </w14:solidFill>
          </w14:textFill>
        </w:rPr>
        <w:t>7.52</w:t>
      </w:r>
      <w:r>
        <w:rPr>
          <w:color w:val="000000" w:themeColor="text1"/>
          <w14:textFill>
            <w14:solidFill>
              <w14:schemeClr w14:val="tx1"/>
            </w14:solidFill>
          </w14:textFill>
        </w:rPr>
        <w:t>，行业及生产工艺(M)以M4表示，等级判断情况详见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_Ref160556340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表7.3</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0C19FAF2">
      <w:pPr>
        <w:spacing w:before="32"/>
        <w:ind w:firstLine="0" w:firstLineChars="0"/>
        <w:jc w:val="center"/>
        <w:rPr>
          <w:color w:val="000000" w:themeColor="text1"/>
          <w14:textFill>
            <w14:solidFill>
              <w14:schemeClr w14:val="tx1"/>
            </w14:solidFill>
          </w14:textFill>
        </w:rPr>
      </w:pPr>
      <w:bookmarkStart w:id="330" w:name="_Ref160556340"/>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3</w:t>
      </w:r>
      <w:r>
        <w:rPr>
          <w:color w:val="000000" w:themeColor="text1"/>
          <w:szCs w:val="26"/>
          <w14:textFill>
            <w14:solidFill>
              <w14:schemeClr w14:val="tx1"/>
            </w14:solidFill>
          </w14:textFill>
        </w:rPr>
        <w:fldChar w:fldCharType="end"/>
      </w:r>
      <w:bookmarkEnd w:id="330"/>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危险物质及工艺系统危险性等级判断表</w:t>
      </w:r>
    </w:p>
    <w:tbl>
      <w:tblPr>
        <w:tblStyle w:val="88"/>
        <w:tblW w:w="0" w:type="auto"/>
        <w:jc w:val="center"/>
        <w:tblLayout w:type="fixed"/>
        <w:tblCellMar>
          <w:top w:w="0" w:type="dxa"/>
          <w:left w:w="0" w:type="dxa"/>
          <w:bottom w:w="0" w:type="dxa"/>
          <w:right w:w="0" w:type="dxa"/>
        </w:tblCellMar>
      </w:tblPr>
      <w:tblGrid>
        <w:gridCol w:w="2236"/>
        <w:gridCol w:w="1735"/>
        <w:gridCol w:w="1736"/>
        <w:gridCol w:w="1736"/>
        <w:gridCol w:w="1733"/>
      </w:tblGrid>
      <w:tr w14:paraId="4BBB34B9">
        <w:tblPrEx>
          <w:tblCellMar>
            <w:top w:w="0" w:type="dxa"/>
            <w:left w:w="0" w:type="dxa"/>
            <w:bottom w:w="0" w:type="dxa"/>
            <w:right w:w="0" w:type="dxa"/>
          </w:tblCellMar>
        </w:tblPrEx>
        <w:trPr>
          <w:trHeight w:val="23" w:hRule="atLeast"/>
          <w:jc w:val="center"/>
        </w:trPr>
        <w:tc>
          <w:tcPr>
            <w:tcW w:w="2236" w:type="dxa"/>
            <w:vMerge w:val="restart"/>
            <w:tcBorders>
              <w:top w:val="single" w:color="000000" w:sz="8" w:space="0"/>
              <w:left w:val="single" w:color="000000" w:sz="8" w:space="0"/>
              <w:right w:val="single" w:color="000000" w:sz="4" w:space="0"/>
            </w:tcBorders>
            <w:vAlign w:val="center"/>
          </w:tcPr>
          <w:p w14:paraId="5BBCD2C1">
            <w:pPr>
              <w:pStyle w:val="1535"/>
            </w:pPr>
            <w:r>
              <w:t>危险物质数量与临界量比值（Q）</w:t>
            </w:r>
          </w:p>
        </w:tc>
        <w:tc>
          <w:tcPr>
            <w:tcW w:w="6940" w:type="dxa"/>
            <w:gridSpan w:val="4"/>
            <w:tcBorders>
              <w:top w:val="single" w:color="000000" w:sz="8" w:space="0"/>
              <w:left w:val="single" w:color="000000" w:sz="4" w:space="0"/>
              <w:bottom w:val="single" w:color="000000" w:sz="4" w:space="0"/>
              <w:right w:val="single" w:color="000000" w:sz="8" w:space="0"/>
            </w:tcBorders>
            <w:vAlign w:val="center"/>
          </w:tcPr>
          <w:p w14:paraId="75EE22D5">
            <w:pPr>
              <w:pStyle w:val="1535"/>
            </w:pPr>
            <w:r>
              <w:t>行业及生产工艺（M）</w:t>
            </w:r>
          </w:p>
        </w:tc>
      </w:tr>
      <w:tr w14:paraId="6DE7D0B1">
        <w:tblPrEx>
          <w:tblCellMar>
            <w:top w:w="0" w:type="dxa"/>
            <w:left w:w="0" w:type="dxa"/>
            <w:bottom w:w="0" w:type="dxa"/>
            <w:right w:w="0" w:type="dxa"/>
          </w:tblCellMar>
        </w:tblPrEx>
        <w:trPr>
          <w:trHeight w:val="23" w:hRule="atLeast"/>
          <w:jc w:val="center"/>
        </w:trPr>
        <w:tc>
          <w:tcPr>
            <w:tcW w:w="2236" w:type="dxa"/>
            <w:vMerge w:val="continue"/>
            <w:tcBorders>
              <w:left w:val="single" w:color="000000" w:sz="8" w:space="0"/>
              <w:bottom w:val="single" w:color="000000" w:sz="4" w:space="0"/>
              <w:right w:val="single" w:color="000000" w:sz="4" w:space="0"/>
            </w:tcBorders>
            <w:vAlign w:val="center"/>
          </w:tcPr>
          <w:p w14:paraId="67E2740C">
            <w:pPr>
              <w:pStyle w:val="1535"/>
            </w:pPr>
          </w:p>
        </w:tc>
        <w:tc>
          <w:tcPr>
            <w:tcW w:w="1735" w:type="dxa"/>
            <w:tcBorders>
              <w:top w:val="single" w:color="000000" w:sz="4" w:space="0"/>
              <w:left w:val="single" w:color="000000" w:sz="4" w:space="0"/>
              <w:bottom w:val="single" w:color="000000" w:sz="4" w:space="0"/>
              <w:right w:val="single" w:color="000000" w:sz="4" w:space="0"/>
            </w:tcBorders>
            <w:vAlign w:val="center"/>
          </w:tcPr>
          <w:p w14:paraId="758ADE34">
            <w:pPr>
              <w:pStyle w:val="1535"/>
            </w:pPr>
            <w:r>
              <w:t>M1</w:t>
            </w:r>
          </w:p>
        </w:tc>
        <w:tc>
          <w:tcPr>
            <w:tcW w:w="1736" w:type="dxa"/>
            <w:tcBorders>
              <w:top w:val="single" w:color="000000" w:sz="4" w:space="0"/>
              <w:left w:val="single" w:color="000000" w:sz="4" w:space="0"/>
              <w:bottom w:val="single" w:color="000000" w:sz="4" w:space="0"/>
              <w:right w:val="single" w:color="000000" w:sz="4" w:space="0"/>
            </w:tcBorders>
            <w:vAlign w:val="center"/>
          </w:tcPr>
          <w:p w14:paraId="6B7B55AB">
            <w:pPr>
              <w:pStyle w:val="1535"/>
            </w:pPr>
            <w:r>
              <w:t>M2</w:t>
            </w:r>
          </w:p>
        </w:tc>
        <w:tc>
          <w:tcPr>
            <w:tcW w:w="1736" w:type="dxa"/>
            <w:tcBorders>
              <w:top w:val="single" w:color="000000" w:sz="4" w:space="0"/>
              <w:left w:val="single" w:color="000000" w:sz="4" w:space="0"/>
              <w:bottom w:val="single" w:color="000000" w:sz="4" w:space="0"/>
              <w:right w:val="single" w:color="000000" w:sz="4" w:space="0"/>
            </w:tcBorders>
            <w:vAlign w:val="center"/>
          </w:tcPr>
          <w:p w14:paraId="759266CC">
            <w:pPr>
              <w:pStyle w:val="1535"/>
            </w:pPr>
            <w:r>
              <w:t>M3</w:t>
            </w:r>
          </w:p>
        </w:tc>
        <w:tc>
          <w:tcPr>
            <w:tcW w:w="1733" w:type="dxa"/>
            <w:tcBorders>
              <w:top w:val="single" w:color="000000" w:sz="4" w:space="0"/>
              <w:left w:val="single" w:color="000000" w:sz="4" w:space="0"/>
              <w:bottom w:val="single" w:color="000000" w:sz="4" w:space="0"/>
              <w:right w:val="single" w:color="000000" w:sz="8" w:space="0"/>
            </w:tcBorders>
            <w:vAlign w:val="center"/>
          </w:tcPr>
          <w:p w14:paraId="0C7E8CAF">
            <w:pPr>
              <w:pStyle w:val="1535"/>
            </w:pPr>
            <w:r>
              <w:t>M4</w:t>
            </w:r>
          </w:p>
        </w:tc>
      </w:tr>
      <w:tr w14:paraId="0668845E">
        <w:tblPrEx>
          <w:tblCellMar>
            <w:top w:w="0" w:type="dxa"/>
            <w:left w:w="0" w:type="dxa"/>
            <w:bottom w:w="0" w:type="dxa"/>
            <w:right w:w="0" w:type="dxa"/>
          </w:tblCellMar>
        </w:tblPrEx>
        <w:trPr>
          <w:trHeight w:val="23" w:hRule="atLeast"/>
          <w:jc w:val="center"/>
        </w:trPr>
        <w:tc>
          <w:tcPr>
            <w:tcW w:w="2236" w:type="dxa"/>
            <w:tcBorders>
              <w:top w:val="single" w:color="000000" w:sz="4" w:space="0"/>
              <w:left w:val="single" w:color="000000" w:sz="8" w:space="0"/>
              <w:bottom w:val="single" w:color="000000" w:sz="4" w:space="0"/>
              <w:right w:val="single" w:color="000000" w:sz="4" w:space="0"/>
            </w:tcBorders>
            <w:vAlign w:val="center"/>
          </w:tcPr>
          <w:p w14:paraId="713DFC33">
            <w:pPr>
              <w:pStyle w:val="1535"/>
            </w:pPr>
            <w:r>
              <w:t>Q≥100</w:t>
            </w:r>
          </w:p>
        </w:tc>
        <w:tc>
          <w:tcPr>
            <w:tcW w:w="1735" w:type="dxa"/>
            <w:tcBorders>
              <w:top w:val="single" w:color="000000" w:sz="4" w:space="0"/>
              <w:left w:val="single" w:color="000000" w:sz="4" w:space="0"/>
              <w:bottom w:val="single" w:color="000000" w:sz="4" w:space="0"/>
              <w:right w:val="single" w:color="000000" w:sz="4" w:space="0"/>
            </w:tcBorders>
            <w:vAlign w:val="center"/>
          </w:tcPr>
          <w:p w14:paraId="720131ED">
            <w:pPr>
              <w:pStyle w:val="1535"/>
            </w:pPr>
            <w:r>
              <w:t>P1</w:t>
            </w:r>
          </w:p>
        </w:tc>
        <w:tc>
          <w:tcPr>
            <w:tcW w:w="1736" w:type="dxa"/>
            <w:tcBorders>
              <w:top w:val="single" w:color="000000" w:sz="4" w:space="0"/>
              <w:left w:val="single" w:color="000000" w:sz="4" w:space="0"/>
              <w:bottom w:val="single" w:color="000000" w:sz="4" w:space="0"/>
              <w:right w:val="single" w:color="000000" w:sz="4" w:space="0"/>
            </w:tcBorders>
            <w:vAlign w:val="center"/>
          </w:tcPr>
          <w:p w14:paraId="32E5459D">
            <w:pPr>
              <w:pStyle w:val="1535"/>
            </w:pPr>
            <w:r>
              <w:t>P1</w:t>
            </w:r>
          </w:p>
        </w:tc>
        <w:tc>
          <w:tcPr>
            <w:tcW w:w="1736" w:type="dxa"/>
            <w:tcBorders>
              <w:top w:val="single" w:color="000000" w:sz="4" w:space="0"/>
              <w:left w:val="single" w:color="000000" w:sz="4" w:space="0"/>
              <w:bottom w:val="single" w:color="000000" w:sz="4" w:space="0"/>
              <w:right w:val="single" w:color="000000" w:sz="4" w:space="0"/>
            </w:tcBorders>
            <w:vAlign w:val="center"/>
          </w:tcPr>
          <w:p w14:paraId="20AC5CE6">
            <w:pPr>
              <w:pStyle w:val="1535"/>
            </w:pPr>
            <w:r>
              <w:t>P2</w:t>
            </w:r>
          </w:p>
        </w:tc>
        <w:tc>
          <w:tcPr>
            <w:tcW w:w="1733" w:type="dxa"/>
            <w:tcBorders>
              <w:top w:val="single" w:color="000000" w:sz="4" w:space="0"/>
              <w:left w:val="single" w:color="000000" w:sz="4" w:space="0"/>
              <w:bottom w:val="single" w:color="000000" w:sz="4" w:space="0"/>
              <w:right w:val="single" w:color="000000" w:sz="8" w:space="0"/>
            </w:tcBorders>
            <w:vAlign w:val="center"/>
          </w:tcPr>
          <w:p w14:paraId="0F749443">
            <w:pPr>
              <w:pStyle w:val="1535"/>
            </w:pPr>
            <w:r>
              <w:t>P3</w:t>
            </w:r>
          </w:p>
        </w:tc>
      </w:tr>
      <w:tr w14:paraId="0F245B1D">
        <w:tblPrEx>
          <w:tblCellMar>
            <w:top w:w="0" w:type="dxa"/>
            <w:left w:w="0" w:type="dxa"/>
            <w:bottom w:w="0" w:type="dxa"/>
            <w:right w:w="0" w:type="dxa"/>
          </w:tblCellMar>
        </w:tblPrEx>
        <w:trPr>
          <w:trHeight w:val="23" w:hRule="atLeast"/>
          <w:jc w:val="center"/>
        </w:trPr>
        <w:tc>
          <w:tcPr>
            <w:tcW w:w="2236" w:type="dxa"/>
            <w:tcBorders>
              <w:top w:val="single" w:color="000000" w:sz="4" w:space="0"/>
              <w:left w:val="single" w:color="000000" w:sz="8" w:space="0"/>
              <w:bottom w:val="single" w:color="000000" w:sz="4" w:space="0"/>
              <w:right w:val="single" w:color="000000" w:sz="4" w:space="0"/>
            </w:tcBorders>
            <w:vAlign w:val="center"/>
          </w:tcPr>
          <w:p w14:paraId="72AABC33">
            <w:pPr>
              <w:pStyle w:val="1535"/>
            </w:pPr>
            <w:r>
              <w:t>10≤Q＜100</w:t>
            </w:r>
          </w:p>
        </w:tc>
        <w:tc>
          <w:tcPr>
            <w:tcW w:w="1735" w:type="dxa"/>
            <w:tcBorders>
              <w:top w:val="single" w:color="000000" w:sz="4" w:space="0"/>
              <w:left w:val="single" w:color="000000" w:sz="4" w:space="0"/>
              <w:bottom w:val="single" w:color="000000" w:sz="4" w:space="0"/>
              <w:right w:val="single" w:color="000000" w:sz="4" w:space="0"/>
            </w:tcBorders>
            <w:vAlign w:val="center"/>
          </w:tcPr>
          <w:p w14:paraId="1B02D742">
            <w:pPr>
              <w:pStyle w:val="1535"/>
            </w:pPr>
            <w:r>
              <w:t>P1</w:t>
            </w:r>
          </w:p>
        </w:tc>
        <w:tc>
          <w:tcPr>
            <w:tcW w:w="1736" w:type="dxa"/>
            <w:tcBorders>
              <w:top w:val="single" w:color="000000" w:sz="4" w:space="0"/>
              <w:left w:val="single" w:color="000000" w:sz="4" w:space="0"/>
              <w:bottom w:val="single" w:color="000000" w:sz="4" w:space="0"/>
              <w:right w:val="single" w:color="000000" w:sz="4" w:space="0"/>
            </w:tcBorders>
            <w:vAlign w:val="center"/>
          </w:tcPr>
          <w:p w14:paraId="5708B3A6">
            <w:pPr>
              <w:pStyle w:val="1535"/>
            </w:pPr>
            <w:r>
              <w:t>P2</w:t>
            </w:r>
          </w:p>
        </w:tc>
        <w:tc>
          <w:tcPr>
            <w:tcW w:w="1736" w:type="dxa"/>
            <w:tcBorders>
              <w:top w:val="single" w:color="000000" w:sz="4" w:space="0"/>
              <w:left w:val="single" w:color="000000" w:sz="4" w:space="0"/>
              <w:bottom w:val="single" w:color="000000" w:sz="4" w:space="0"/>
              <w:right w:val="single" w:color="000000" w:sz="4" w:space="0"/>
            </w:tcBorders>
            <w:vAlign w:val="center"/>
          </w:tcPr>
          <w:p w14:paraId="03E0DBBF">
            <w:pPr>
              <w:pStyle w:val="1535"/>
            </w:pPr>
            <w:r>
              <w:t>P3</w:t>
            </w:r>
          </w:p>
        </w:tc>
        <w:tc>
          <w:tcPr>
            <w:tcW w:w="1733" w:type="dxa"/>
            <w:tcBorders>
              <w:top w:val="single" w:color="000000" w:sz="4" w:space="0"/>
              <w:left w:val="single" w:color="000000" w:sz="4" w:space="0"/>
              <w:bottom w:val="single" w:color="000000" w:sz="4" w:space="0"/>
              <w:right w:val="single" w:color="000000" w:sz="8" w:space="0"/>
            </w:tcBorders>
            <w:vAlign w:val="center"/>
          </w:tcPr>
          <w:p w14:paraId="645AEC33">
            <w:pPr>
              <w:pStyle w:val="1535"/>
            </w:pPr>
            <w:r>
              <w:t>P4</w:t>
            </w:r>
          </w:p>
        </w:tc>
      </w:tr>
      <w:tr w14:paraId="0A439D25">
        <w:tblPrEx>
          <w:tblCellMar>
            <w:top w:w="0" w:type="dxa"/>
            <w:left w:w="0" w:type="dxa"/>
            <w:bottom w:w="0" w:type="dxa"/>
            <w:right w:w="0" w:type="dxa"/>
          </w:tblCellMar>
        </w:tblPrEx>
        <w:trPr>
          <w:trHeight w:val="23" w:hRule="atLeast"/>
          <w:jc w:val="center"/>
        </w:trPr>
        <w:tc>
          <w:tcPr>
            <w:tcW w:w="2236" w:type="dxa"/>
            <w:tcBorders>
              <w:top w:val="single" w:color="000000" w:sz="4" w:space="0"/>
              <w:left w:val="single" w:color="000000" w:sz="8" w:space="0"/>
              <w:bottom w:val="single" w:color="000000" w:sz="8" w:space="0"/>
              <w:right w:val="single" w:color="000000" w:sz="4" w:space="0"/>
            </w:tcBorders>
            <w:vAlign w:val="center"/>
          </w:tcPr>
          <w:p w14:paraId="00C8214F">
            <w:pPr>
              <w:pStyle w:val="1535"/>
            </w:pPr>
            <w:r>
              <w:t>1≤Q＜10</w:t>
            </w:r>
          </w:p>
        </w:tc>
        <w:tc>
          <w:tcPr>
            <w:tcW w:w="1735" w:type="dxa"/>
            <w:tcBorders>
              <w:top w:val="single" w:color="000000" w:sz="4" w:space="0"/>
              <w:left w:val="single" w:color="000000" w:sz="4" w:space="0"/>
              <w:bottom w:val="single" w:color="000000" w:sz="8" w:space="0"/>
              <w:right w:val="single" w:color="000000" w:sz="4" w:space="0"/>
            </w:tcBorders>
            <w:vAlign w:val="center"/>
          </w:tcPr>
          <w:p w14:paraId="18B288E7">
            <w:pPr>
              <w:pStyle w:val="1535"/>
            </w:pPr>
            <w:r>
              <w:t>P2</w:t>
            </w:r>
          </w:p>
        </w:tc>
        <w:tc>
          <w:tcPr>
            <w:tcW w:w="1736" w:type="dxa"/>
            <w:tcBorders>
              <w:top w:val="single" w:color="000000" w:sz="4" w:space="0"/>
              <w:left w:val="single" w:color="000000" w:sz="4" w:space="0"/>
              <w:bottom w:val="single" w:color="000000" w:sz="8" w:space="0"/>
              <w:right w:val="single" w:color="000000" w:sz="4" w:space="0"/>
            </w:tcBorders>
            <w:vAlign w:val="center"/>
          </w:tcPr>
          <w:p w14:paraId="143AB80D">
            <w:pPr>
              <w:pStyle w:val="1535"/>
            </w:pPr>
            <w:r>
              <w:t>P3</w:t>
            </w:r>
          </w:p>
        </w:tc>
        <w:tc>
          <w:tcPr>
            <w:tcW w:w="1736" w:type="dxa"/>
            <w:tcBorders>
              <w:top w:val="single" w:color="000000" w:sz="4" w:space="0"/>
              <w:left w:val="single" w:color="000000" w:sz="4" w:space="0"/>
              <w:bottom w:val="single" w:color="000000" w:sz="8" w:space="0"/>
              <w:right w:val="single" w:color="000000" w:sz="4" w:space="0"/>
            </w:tcBorders>
            <w:vAlign w:val="center"/>
          </w:tcPr>
          <w:p w14:paraId="2BB37732">
            <w:pPr>
              <w:pStyle w:val="1535"/>
            </w:pPr>
            <w:r>
              <w:t>P4</w:t>
            </w:r>
          </w:p>
        </w:tc>
        <w:tc>
          <w:tcPr>
            <w:tcW w:w="1733" w:type="dxa"/>
            <w:tcBorders>
              <w:top w:val="single" w:color="000000" w:sz="4" w:space="0"/>
              <w:left w:val="single" w:color="000000" w:sz="4" w:space="0"/>
              <w:bottom w:val="single" w:color="000000" w:sz="8" w:space="0"/>
              <w:right w:val="single" w:color="000000" w:sz="8" w:space="0"/>
            </w:tcBorders>
            <w:vAlign w:val="center"/>
          </w:tcPr>
          <w:p w14:paraId="1EF0784B">
            <w:pPr>
              <w:pStyle w:val="1535"/>
            </w:pPr>
            <w:r>
              <w:t>P4</w:t>
            </w:r>
          </w:p>
        </w:tc>
      </w:tr>
    </w:tbl>
    <w:p w14:paraId="5EF03FA3">
      <w:pPr>
        <w:ind w:firstLine="520"/>
        <w:rPr>
          <w:color w:val="000000" w:themeColor="text1"/>
          <w14:textFill>
            <w14:solidFill>
              <w14:schemeClr w14:val="tx1"/>
            </w14:solidFill>
          </w14:textFill>
        </w:rPr>
      </w:pPr>
      <w:r>
        <w:rPr>
          <w:color w:val="000000" w:themeColor="text1"/>
          <w14:textFill>
            <w14:solidFill>
              <w14:schemeClr w14:val="tx1"/>
            </w14:solidFill>
          </w14:textFill>
        </w:rPr>
        <w:t>根据</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_Ref160556340 \h  \* MERGEFORMAT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表7.3</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判断，企业地表水、地下水、大气环境危险物质及工艺系统危险性(P)等级均为P4。</w:t>
      </w:r>
    </w:p>
    <w:p w14:paraId="41C63255">
      <w:pPr>
        <w:pStyle w:val="5"/>
        <w:rPr>
          <w:color w:val="000000" w:themeColor="text1"/>
          <w14:textFill>
            <w14:solidFill>
              <w14:schemeClr w14:val="tx1"/>
            </w14:solidFill>
          </w14:textFill>
        </w:rPr>
      </w:pPr>
      <w:r>
        <w:rPr>
          <w:color w:val="000000" w:themeColor="text1"/>
          <w14:textFill>
            <w14:solidFill>
              <w14:schemeClr w14:val="tx1"/>
            </w14:solidFill>
          </w14:textFill>
        </w:rPr>
        <w:t>环境敏感程度(E)的分级</w:t>
      </w:r>
    </w:p>
    <w:p w14:paraId="6B85CE6D">
      <w:pPr>
        <w:ind w:firstLine="520"/>
        <w:rPr>
          <w:color w:val="000000" w:themeColor="text1"/>
          <w14:textFill>
            <w14:solidFill>
              <w14:schemeClr w14:val="tx1"/>
            </w14:solidFill>
          </w14:textFill>
        </w:rPr>
      </w:pPr>
      <w:r>
        <w:rPr>
          <w:color w:val="000000" w:themeColor="text1"/>
          <w14:textFill>
            <w14:solidFill>
              <w14:schemeClr w14:val="tx1"/>
            </w14:solidFill>
          </w14:textFill>
        </w:rPr>
        <w:t>（1）大气环境</w:t>
      </w:r>
    </w:p>
    <w:p w14:paraId="074D2CDA">
      <w:pPr>
        <w:ind w:firstLine="520"/>
        <w:rPr>
          <w:color w:val="000000" w:themeColor="text1"/>
          <w14:textFill>
            <w14:solidFill>
              <w14:schemeClr w14:val="tx1"/>
            </w14:solidFill>
          </w14:textFill>
        </w:rPr>
      </w:pPr>
      <w:r>
        <w:rPr>
          <w:color w:val="000000" w:themeColor="text1"/>
          <w14:textFill>
            <w14:solidFill>
              <w14:schemeClr w14:val="tx1"/>
            </w14:solidFill>
          </w14:textFill>
        </w:rPr>
        <w:t>根据扩建项目环境保护目标调查情况，对比《建设项目环境风险评价技术导则》(HJ169-2018)附录D，将大气环境敏感性分为三种类型，E1为环境高度敏感区，E2为环境中度敏感区，E3为环境低度敏感区，分级原则详见下表。</w:t>
      </w:r>
    </w:p>
    <w:p w14:paraId="36BE6769">
      <w:pPr>
        <w:spacing w:line="240" w:lineRule="auto"/>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大气环境敏感度分级</w:t>
      </w:r>
    </w:p>
    <w:tbl>
      <w:tblPr>
        <w:tblStyle w:val="88"/>
        <w:tblW w:w="5000" w:type="pct"/>
        <w:jc w:val="center"/>
        <w:tblLayout w:type="fixed"/>
        <w:tblCellMar>
          <w:top w:w="0" w:type="dxa"/>
          <w:left w:w="0" w:type="dxa"/>
          <w:bottom w:w="0" w:type="dxa"/>
          <w:right w:w="0" w:type="dxa"/>
        </w:tblCellMar>
      </w:tblPr>
      <w:tblGrid>
        <w:gridCol w:w="2120"/>
        <w:gridCol w:w="7142"/>
      </w:tblGrid>
      <w:tr w14:paraId="1B2CA36F">
        <w:tblPrEx>
          <w:tblCellMar>
            <w:top w:w="0" w:type="dxa"/>
            <w:left w:w="0" w:type="dxa"/>
            <w:bottom w:w="0" w:type="dxa"/>
            <w:right w:w="0" w:type="dxa"/>
          </w:tblCellMar>
        </w:tblPrEx>
        <w:trPr>
          <w:trHeight w:val="23" w:hRule="atLeast"/>
          <w:jc w:val="center"/>
        </w:trPr>
        <w:tc>
          <w:tcPr>
            <w:tcW w:w="2100" w:type="dxa"/>
            <w:tcBorders>
              <w:top w:val="single" w:color="000000" w:sz="8" w:space="0"/>
              <w:left w:val="single" w:color="000000" w:sz="8" w:space="0"/>
              <w:bottom w:val="single" w:color="000000" w:sz="4" w:space="0"/>
              <w:right w:val="single" w:color="000000" w:sz="4" w:space="0"/>
            </w:tcBorders>
            <w:vAlign w:val="center"/>
          </w:tcPr>
          <w:p w14:paraId="4191F42C">
            <w:pPr>
              <w:pStyle w:val="1535"/>
            </w:pPr>
            <w:r>
              <w:t>分级</w:t>
            </w:r>
          </w:p>
        </w:tc>
        <w:tc>
          <w:tcPr>
            <w:tcW w:w="7075" w:type="dxa"/>
            <w:tcBorders>
              <w:top w:val="single" w:color="000000" w:sz="8" w:space="0"/>
              <w:left w:val="single" w:color="000000" w:sz="4" w:space="0"/>
              <w:bottom w:val="single" w:color="000000" w:sz="4" w:space="0"/>
              <w:right w:val="single" w:color="000000" w:sz="8" w:space="0"/>
            </w:tcBorders>
            <w:vAlign w:val="center"/>
          </w:tcPr>
          <w:p w14:paraId="17510B56">
            <w:pPr>
              <w:pStyle w:val="1535"/>
            </w:pPr>
            <w:r>
              <w:t>大气环境敏感性</w:t>
            </w:r>
          </w:p>
        </w:tc>
      </w:tr>
      <w:tr w14:paraId="15393D4E">
        <w:tblPrEx>
          <w:tblCellMar>
            <w:top w:w="0" w:type="dxa"/>
            <w:left w:w="0" w:type="dxa"/>
            <w:bottom w:w="0" w:type="dxa"/>
            <w:right w:w="0" w:type="dxa"/>
          </w:tblCellMar>
        </w:tblPrEx>
        <w:trPr>
          <w:trHeight w:val="23" w:hRule="atLeast"/>
          <w:jc w:val="center"/>
        </w:trPr>
        <w:tc>
          <w:tcPr>
            <w:tcW w:w="2100" w:type="dxa"/>
            <w:tcBorders>
              <w:top w:val="single" w:color="000000" w:sz="4" w:space="0"/>
              <w:left w:val="single" w:color="000000" w:sz="8" w:space="0"/>
              <w:bottom w:val="single" w:color="000000" w:sz="4" w:space="0"/>
              <w:right w:val="single" w:color="000000" w:sz="4" w:space="0"/>
            </w:tcBorders>
            <w:vAlign w:val="center"/>
          </w:tcPr>
          <w:p w14:paraId="1A868DDA">
            <w:pPr>
              <w:pStyle w:val="1535"/>
            </w:pPr>
            <w:r>
              <w:t>E1</w:t>
            </w:r>
          </w:p>
        </w:tc>
        <w:tc>
          <w:tcPr>
            <w:tcW w:w="7075" w:type="dxa"/>
            <w:tcBorders>
              <w:top w:val="single" w:color="000000" w:sz="4" w:space="0"/>
              <w:left w:val="single" w:color="000000" w:sz="4" w:space="0"/>
              <w:bottom w:val="single" w:color="000000" w:sz="4" w:space="0"/>
              <w:right w:val="single" w:color="000000" w:sz="8" w:space="0"/>
            </w:tcBorders>
            <w:vAlign w:val="center"/>
          </w:tcPr>
          <w:p w14:paraId="36FCA456">
            <w:pPr>
              <w:pStyle w:val="1535"/>
            </w:pPr>
            <w: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7140837A">
        <w:tblPrEx>
          <w:tblCellMar>
            <w:top w:w="0" w:type="dxa"/>
            <w:left w:w="0" w:type="dxa"/>
            <w:bottom w:w="0" w:type="dxa"/>
            <w:right w:w="0" w:type="dxa"/>
          </w:tblCellMar>
        </w:tblPrEx>
        <w:trPr>
          <w:trHeight w:val="23" w:hRule="atLeast"/>
          <w:jc w:val="center"/>
        </w:trPr>
        <w:tc>
          <w:tcPr>
            <w:tcW w:w="2100" w:type="dxa"/>
            <w:tcBorders>
              <w:top w:val="single" w:color="000000" w:sz="4" w:space="0"/>
              <w:left w:val="single" w:color="000000" w:sz="8" w:space="0"/>
              <w:bottom w:val="single" w:color="000000" w:sz="4" w:space="0"/>
              <w:right w:val="single" w:color="000000" w:sz="4" w:space="0"/>
            </w:tcBorders>
            <w:vAlign w:val="center"/>
          </w:tcPr>
          <w:p w14:paraId="4FF18671">
            <w:pPr>
              <w:pStyle w:val="1535"/>
            </w:pPr>
            <w:r>
              <w:t>E2</w:t>
            </w:r>
          </w:p>
        </w:tc>
        <w:tc>
          <w:tcPr>
            <w:tcW w:w="7075" w:type="dxa"/>
            <w:tcBorders>
              <w:top w:val="single" w:color="000000" w:sz="4" w:space="0"/>
              <w:left w:val="single" w:color="000000" w:sz="4" w:space="0"/>
              <w:bottom w:val="single" w:color="000000" w:sz="4" w:space="0"/>
              <w:right w:val="single" w:color="000000" w:sz="8" w:space="0"/>
            </w:tcBorders>
            <w:vAlign w:val="center"/>
          </w:tcPr>
          <w:p w14:paraId="7FBF8439">
            <w:pPr>
              <w:pStyle w:val="1535"/>
            </w:pPr>
            <w: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3ED2BA64">
        <w:tblPrEx>
          <w:tblCellMar>
            <w:top w:w="0" w:type="dxa"/>
            <w:left w:w="0" w:type="dxa"/>
            <w:bottom w:w="0" w:type="dxa"/>
            <w:right w:w="0" w:type="dxa"/>
          </w:tblCellMar>
        </w:tblPrEx>
        <w:trPr>
          <w:trHeight w:val="23" w:hRule="atLeast"/>
          <w:jc w:val="center"/>
        </w:trPr>
        <w:tc>
          <w:tcPr>
            <w:tcW w:w="2100" w:type="dxa"/>
            <w:tcBorders>
              <w:top w:val="single" w:color="000000" w:sz="4" w:space="0"/>
              <w:left w:val="single" w:color="000000" w:sz="8" w:space="0"/>
              <w:bottom w:val="single" w:color="000000" w:sz="8" w:space="0"/>
              <w:right w:val="single" w:color="000000" w:sz="4" w:space="0"/>
            </w:tcBorders>
            <w:vAlign w:val="center"/>
          </w:tcPr>
          <w:p w14:paraId="5300DA6D">
            <w:pPr>
              <w:pStyle w:val="1535"/>
            </w:pPr>
            <w:r>
              <w:t>E3</w:t>
            </w:r>
          </w:p>
        </w:tc>
        <w:tc>
          <w:tcPr>
            <w:tcW w:w="7075" w:type="dxa"/>
            <w:tcBorders>
              <w:top w:val="single" w:color="000000" w:sz="4" w:space="0"/>
              <w:left w:val="single" w:color="000000" w:sz="4" w:space="0"/>
              <w:bottom w:val="single" w:color="000000" w:sz="8" w:space="0"/>
              <w:right w:val="single" w:color="000000" w:sz="8" w:space="0"/>
            </w:tcBorders>
            <w:vAlign w:val="center"/>
          </w:tcPr>
          <w:p w14:paraId="62C87238">
            <w:pPr>
              <w:pStyle w:val="1535"/>
            </w:pPr>
            <w:r>
              <w:t>周边5km范围内居住区、医疗卫生、文化教育、科研、行政办公等机构人口总数小于1万人；或周边500m范围内人口总数小于500人；油气、化学品输送管线管段周边200m范围内，每千米管段人口数小于100人</w:t>
            </w:r>
          </w:p>
        </w:tc>
      </w:tr>
    </w:tbl>
    <w:p w14:paraId="35456552">
      <w:pPr>
        <w:ind w:firstLine="520"/>
        <w:rPr>
          <w:color w:val="000000" w:themeColor="text1"/>
          <w14:textFill>
            <w14:solidFill>
              <w14:schemeClr w14:val="tx1"/>
            </w14:solidFill>
          </w14:textFill>
        </w:rPr>
      </w:pPr>
      <w:r>
        <w:rPr>
          <w:color w:val="000000" w:themeColor="text1"/>
          <w14:textFill>
            <w14:solidFill>
              <w14:schemeClr w14:val="tx1"/>
            </w14:solidFill>
          </w14:textFill>
        </w:rPr>
        <w:t>根据环境保护目标调查情况，扩建项目位于重庆市九龙坡区西彭镇森迪大道8号1幢、森迪大道56号，企业周边5公里范围内居住区、医疗卫生机构、文化教育机构、科研单位、行政机关、企事业单位、商场、公园等人口总数约38638人，对比表6.3-4可知，项目大气环境敏感程度为E2环境中度敏感区。</w:t>
      </w:r>
    </w:p>
    <w:p w14:paraId="424CD035">
      <w:pPr>
        <w:ind w:firstLine="520"/>
        <w:rPr>
          <w:color w:val="000000" w:themeColor="text1"/>
          <w14:textFill>
            <w14:solidFill>
              <w14:schemeClr w14:val="tx1"/>
            </w14:solidFill>
          </w14:textFill>
        </w:rPr>
      </w:pPr>
      <w:r>
        <w:rPr>
          <w:color w:val="000000" w:themeColor="text1"/>
          <w14:textFill>
            <w14:solidFill>
              <w14:schemeClr w14:val="tx1"/>
            </w14:solidFill>
          </w14:textFill>
        </w:rPr>
        <w:t>（2）地表水环境</w:t>
      </w:r>
    </w:p>
    <w:p w14:paraId="17DC5DCB">
      <w:pPr>
        <w:ind w:firstLine="520"/>
        <w:rPr>
          <w:color w:val="000000" w:themeColor="text1"/>
          <w14:textFill>
            <w14:solidFill>
              <w14:schemeClr w14:val="tx1"/>
            </w14:solidFill>
          </w14:textFill>
        </w:rPr>
      </w:pPr>
      <w:r>
        <w:rPr>
          <w:color w:val="000000" w:themeColor="text1"/>
          <w14:textFill>
            <w14:solidFill>
              <w14:schemeClr w14:val="tx1"/>
            </w14:solidFill>
          </w14:textFill>
        </w:rPr>
        <w:t>依据事故情况下危险物质泄漏到水体的排放点受纳地表水体功能敏感性，与下游环境敏感目标情况，共分为三种类型，E1为环境高度敏感区，E2为环境中度敏感区，E3为环境低度敏感区，分级原则、地表水功能敏感性分区和环境敏感目标分级分别见下表。</w:t>
      </w:r>
    </w:p>
    <w:p w14:paraId="7C06F4BB">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5</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地表水功能敏感性分区</w:t>
      </w:r>
    </w:p>
    <w:tbl>
      <w:tblPr>
        <w:tblStyle w:val="88"/>
        <w:tblW w:w="0" w:type="auto"/>
        <w:jc w:val="center"/>
        <w:tblLayout w:type="fixed"/>
        <w:tblCellMar>
          <w:top w:w="0" w:type="dxa"/>
          <w:left w:w="0" w:type="dxa"/>
          <w:bottom w:w="0" w:type="dxa"/>
          <w:right w:w="0" w:type="dxa"/>
        </w:tblCellMar>
      </w:tblPr>
      <w:tblGrid>
        <w:gridCol w:w="1338"/>
        <w:gridCol w:w="7837"/>
      </w:tblGrid>
      <w:tr w14:paraId="61827E72">
        <w:tblPrEx>
          <w:tblCellMar>
            <w:top w:w="0" w:type="dxa"/>
            <w:left w:w="0" w:type="dxa"/>
            <w:bottom w:w="0" w:type="dxa"/>
            <w:right w:w="0" w:type="dxa"/>
          </w:tblCellMar>
        </w:tblPrEx>
        <w:trPr>
          <w:trHeight w:val="23" w:hRule="atLeast"/>
          <w:jc w:val="center"/>
        </w:trPr>
        <w:tc>
          <w:tcPr>
            <w:tcW w:w="1338" w:type="dxa"/>
            <w:tcBorders>
              <w:top w:val="single" w:color="000000" w:sz="8" w:space="0"/>
              <w:left w:val="single" w:color="000000" w:sz="8" w:space="0"/>
              <w:bottom w:val="single" w:color="000000" w:sz="4" w:space="0"/>
              <w:right w:val="single" w:color="000000" w:sz="4" w:space="0"/>
            </w:tcBorders>
            <w:vAlign w:val="center"/>
          </w:tcPr>
          <w:p w14:paraId="31E7AEC8">
            <w:pPr>
              <w:pStyle w:val="1535"/>
            </w:pPr>
            <w:r>
              <w:t>敏感性</w:t>
            </w:r>
          </w:p>
        </w:tc>
        <w:tc>
          <w:tcPr>
            <w:tcW w:w="7837" w:type="dxa"/>
            <w:tcBorders>
              <w:top w:val="single" w:color="000000" w:sz="8" w:space="0"/>
              <w:left w:val="single" w:color="000000" w:sz="4" w:space="0"/>
              <w:bottom w:val="single" w:color="000000" w:sz="4" w:space="0"/>
              <w:right w:val="single" w:color="000000" w:sz="8" w:space="0"/>
            </w:tcBorders>
            <w:vAlign w:val="center"/>
          </w:tcPr>
          <w:p w14:paraId="20290A72">
            <w:pPr>
              <w:pStyle w:val="1535"/>
            </w:pPr>
            <w:r>
              <w:t>地表水环境敏感特征</w:t>
            </w:r>
          </w:p>
        </w:tc>
      </w:tr>
      <w:tr w14:paraId="47F536FA">
        <w:tblPrEx>
          <w:tblCellMar>
            <w:top w:w="0" w:type="dxa"/>
            <w:left w:w="0" w:type="dxa"/>
            <w:bottom w:w="0" w:type="dxa"/>
            <w:right w:w="0" w:type="dxa"/>
          </w:tblCellMar>
        </w:tblPrEx>
        <w:trPr>
          <w:trHeight w:val="23" w:hRule="atLeast"/>
          <w:jc w:val="center"/>
        </w:trPr>
        <w:tc>
          <w:tcPr>
            <w:tcW w:w="1338" w:type="dxa"/>
            <w:tcBorders>
              <w:top w:val="single" w:color="000000" w:sz="4" w:space="0"/>
              <w:left w:val="single" w:color="000000" w:sz="8" w:space="0"/>
              <w:bottom w:val="single" w:color="000000" w:sz="4" w:space="0"/>
              <w:right w:val="single" w:color="000000" w:sz="4" w:space="0"/>
            </w:tcBorders>
            <w:vAlign w:val="center"/>
          </w:tcPr>
          <w:p w14:paraId="6639BCBE">
            <w:pPr>
              <w:pStyle w:val="1535"/>
            </w:pPr>
            <w:r>
              <w:t>敏感F1</w:t>
            </w:r>
          </w:p>
        </w:tc>
        <w:tc>
          <w:tcPr>
            <w:tcW w:w="7837" w:type="dxa"/>
            <w:tcBorders>
              <w:top w:val="single" w:color="000000" w:sz="4" w:space="0"/>
              <w:left w:val="single" w:color="000000" w:sz="4" w:space="0"/>
              <w:bottom w:val="single" w:color="000000" w:sz="4" w:space="0"/>
              <w:right w:val="single" w:color="000000" w:sz="8" w:space="0"/>
            </w:tcBorders>
            <w:vAlign w:val="center"/>
          </w:tcPr>
          <w:p w14:paraId="500AC35A">
            <w:pPr>
              <w:pStyle w:val="1535"/>
            </w:pPr>
            <w:r>
              <w:t>排放点进入地表水水域环境功能为Ⅱ类及以上，或海水水质分类第一类；或以发生事故时，危险物质泄漏到水体的排放点算起，排放进入受纳河流最大流速时24h流经范围内涉跨国界的</w:t>
            </w:r>
          </w:p>
        </w:tc>
      </w:tr>
      <w:tr w14:paraId="5D04A0D3">
        <w:tblPrEx>
          <w:tblCellMar>
            <w:top w:w="0" w:type="dxa"/>
            <w:left w:w="0" w:type="dxa"/>
            <w:bottom w:w="0" w:type="dxa"/>
            <w:right w:w="0" w:type="dxa"/>
          </w:tblCellMar>
        </w:tblPrEx>
        <w:trPr>
          <w:trHeight w:val="23" w:hRule="atLeast"/>
          <w:jc w:val="center"/>
        </w:trPr>
        <w:tc>
          <w:tcPr>
            <w:tcW w:w="1338" w:type="dxa"/>
            <w:tcBorders>
              <w:top w:val="single" w:color="000000" w:sz="4" w:space="0"/>
              <w:left w:val="single" w:color="000000" w:sz="8" w:space="0"/>
              <w:bottom w:val="single" w:color="000000" w:sz="4" w:space="0"/>
              <w:right w:val="single" w:color="000000" w:sz="4" w:space="0"/>
            </w:tcBorders>
            <w:vAlign w:val="center"/>
          </w:tcPr>
          <w:p w14:paraId="254AE226">
            <w:pPr>
              <w:pStyle w:val="1535"/>
            </w:pPr>
            <w:r>
              <w:t>较敏感F2</w:t>
            </w:r>
          </w:p>
        </w:tc>
        <w:tc>
          <w:tcPr>
            <w:tcW w:w="7837" w:type="dxa"/>
            <w:tcBorders>
              <w:top w:val="single" w:color="000000" w:sz="4" w:space="0"/>
              <w:left w:val="single" w:color="000000" w:sz="4" w:space="0"/>
              <w:bottom w:val="single" w:color="000000" w:sz="4" w:space="0"/>
              <w:right w:val="single" w:color="000000" w:sz="8" w:space="0"/>
            </w:tcBorders>
            <w:vAlign w:val="center"/>
          </w:tcPr>
          <w:p w14:paraId="44D290AA">
            <w:pPr>
              <w:pStyle w:val="1535"/>
            </w:pPr>
            <w:r>
              <w:t>排放点进入地表水水域环境功能为Ⅲ类，或海水水质分类第二类；或以发生事故时，危险物质泄漏到水体的排放点算起，排放进入受纳河流最大流速时，24h流经范围内涉跨省界的</w:t>
            </w:r>
          </w:p>
        </w:tc>
      </w:tr>
      <w:tr w14:paraId="50275E16">
        <w:tblPrEx>
          <w:tblCellMar>
            <w:top w:w="0" w:type="dxa"/>
            <w:left w:w="0" w:type="dxa"/>
            <w:bottom w:w="0" w:type="dxa"/>
            <w:right w:w="0" w:type="dxa"/>
          </w:tblCellMar>
        </w:tblPrEx>
        <w:trPr>
          <w:trHeight w:val="23" w:hRule="atLeast"/>
          <w:jc w:val="center"/>
        </w:trPr>
        <w:tc>
          <w:tcPr>
            <w:tcW w:w="1338" w:type="dxa"/>
            <w:tcBorders>
              <w:top w:val="single" w:color="000000" w:sz="4" w:space="0"/>
              <w:left w:val="single" w:color="000000" w:sz="8" w:space="0"/>
              <w:bottom w:val="single" w:color="000000" w:sz="8" w:space="0"/>
              <w:right w:val="single" w:color="000000" w:sz="4" w:space="0"/>
            </w:tcBorders>
            <w:vAlign w:val="center"/>
          </w:tcPr>
          <w:p w14:paraId="159A9B0B">
            <w:pPr>
              <w:pStyle w:val="1535"/>
            </w:pPr>
            <w:r>
              <w:t>低敏感F3</w:t>
            </w:r>
          </w:p>
        </w:tc>
        <w:tc>
          <w:tcPr>
            <w:tcW w:w="7837" w:type="dxa"/>
            <w:tcBorders>
              <w:top w:val="single" w:color="000000" w:sz="4" w:space="0"/>
              <w:left w:val="single" w:color="000000" w:sz="4" w:space="0"/>
              <w:bottom w:val="single" w:color="000000" w:sz="8" w:space="0"/>
              <w:right w:val="single" w:color="000000" w:sz="8" w:space="0"/>
            </w:tcBorders>
            <w:vAlign w:val="center"/>
          </w:tcPr>
          <w:p w14:paraId="673AA70C">
            <w:pPr>
              <w:pStyle w:val="1535"/>
            </w:pPr>
            <w:r>
              <w:t>上述地区之外的其他地区</w:t>
            </w:r>
          </w:p>
        </w:tc>
      </w:tr>
    </w:tbl>
    <w:p w14:paraId="11514CF5">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6</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水环境敏感目标分级</w:t>
      </w:r>
    </w:p>
    <w:tbl>
      <w:tblPr>
        <w:tblStyle w:val="88"/>
        <w:tblW w:w="0" w:type="auto"/>
        <w:jc w:val="center"/>
        <w:tblLayout w:type="fixed"/>
        <w:tblCellMar>
          <w:top w:w="0" w:type="dxa"/>
          <w:left w:w="0" w:type="dxa"/>
          <w:bottom w:w="0" w:type="dxa"/>
          <w:right w:w="0" w:type="dxa"/>
        </w:tblCellMar>
      </w:tblPr>
      <w:tblGrid>
        <w:gridCol w:w="1144"/>
        <w:gridCol w:w="8032"/>
      </w:tblGrid>
      <w:tr w14:paraId="5E09D1CD">
        <w:tblPrEx>
          <w:tblCellMar>
            <w:top w:w="0" w:type="dxa"/>
            <w:left w:w="0" w:type="dxa"/>
            <w:bottom w:w="0" w:type="dxa"/>
            <w:right w:w="0" w:type="dxa"/>
          </w:tblCellMar>
        </w:tblPrEx>
        <w:trPr>
          <w:trHeight w:val="23" w:hRule="atLeast"/>
          <w:jc w:val="center"/>
        </w:trPr>
        <w:tc>
          <w:tcPr>
            <w:tcW w:w="1144" w:type="dxa"/>
            <w:tcBorders>
              <w:top w:val="single" w:color="000000" w:sz="8" w:space="0"/>
              <w:left w:val="single" w:color="000000" w:sz="8" w:space="0"/>
              <w:bottom w:val="single" w:color="000000" w:sz="4" w:space="0"/>
              <w:right w:val="single" w:color="000000" w:sz="4" w:space="0"/>
            </w:tcBorders>
            <w:vAlign w:val="center"/>
          </w:tcPr>
          <w:p w14:paraId="77021A1C">
            <w:pPr>
              <w:pStyle w:val="1535"/>
            </w:pPr>
            <w:r>
              <w:t>分级</w:t>
            </w:r>
          </w:p>
        </w:tc>
        <w:tc>
          <w:tcPr>
            <w:tcW w:w="8032" w:type="dxa"/>
            <w:tcBorders>
              <w:top w:val="single" w:color="000000" w:sz="8" w:space="0"/>
              <w:left w:val="single" w:color="000000" w:sz="4" w:space="0"/>
              <w:bottom w:val="single" w:color="000000" w:sz="4" w:space="0"/>
              <w:right w:val="single" w:color="000000" w:sz="8" w:space="0"/>
            </w:tcBorders>
            <w:vAlign w:val="center"/>
          </w:tcPr>
          <w:p w14:paraId="26B08C79">
            <w:pPr>
              <w:pStyle w:val="1535"/>
            </w:pPr>
            <w:r>
              <w:t>环境敏感目标</w:t>
            </w:r>
          </w:p>
        </w:tc>
      </w:tr>
      <w:tr w14:paraId="4240C25D">
        <w:tblPrEx>
          <w:tblCellMar>
            <w:top w:w="0" w:type="dxa"/>
            <w:left w:w="0" w:type="dxa"/>
            <w:bottom w:w="0" w:type="dxa"/>
            <w:right w:w="0" w:type="dxa"/>
          </w:tblCellMar>
        </w:tblPrEx>
        <w:trPr>
          <w:trHeight w:val="23" w:hRule="atLeast"/>
          <w:jc w:val="center"/>
        </w:trPr>
        <w:tc>
          <w:tcPr>
            <w:tcW w:w="1144" w:type="dxa"/>
            <w:tcBorders>
              <w:top w:val="single" w:color="000000" w:sz="4" w:space="0"/>
              <w:left w:val="single" w:color="000000" w:sz="8" w:space="0"/>
              <w:bottom w:val="single" w:color="000000" w:sz="4" w:space="0"/>
              <w:right w:val="single" w:color="000000" w:sz="4" w:space="0"/>
            </w:tcBorders>
            <w:vAlign w:val="center"/>
          </w:tcPr>
          <w:p w14:paraId="39C28921">
            <w:pPr>
              <w:pStyle w:val="1535"/>
            </w:pPr>
            <w:r>
              <w:t>S1</w:t>
            </w:r>
          </w:p>
        </w:tc>
        <w:tc>
          <w:tcPr>
            <w:tcW w:w="8032" w:type="dxa"/>
            <w:tcBorders>
              <w:top w:val="single" w:color="000000" w:sz="4" w:space="0"/>
              <w:left w:val="single" w:color="000000" w:sz="4" w:space="0"/>
              <w:bottom w:val="single" w:color="000000" w:sz="4" w:space="0"/>
              <w:right w:val="single" w:color="000000" w:sz="8" w:space="0"/>
            </w:tcBorders>
            <w:vAlign w:val="center"/>
          </w:tcPr>
          <w:p w14:paraId="771380CA">
            <w:pPr>
              <w:pStyle w:val="1535"/>
            </w:pPr>
            <w: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109ECED0">
        <w:tblPrEx>
          <w:tblCellMar>
            <w:top w:w="0" w:type="dxa"/>
            <w:left w:w="0" w:type="dxa"/>
            <w:bottom w:w="0" w:type="dxa"/>
            <w:right w:w="0" w:type="dxa"/>
          </w:tblCellMar>
        </w:tblPrEx>
        <w:trPr>
          <w:trHeight w:val="23" w:hRule="atLeast"/>
          <w:jc w:val="center"/>
        </w:trPr>
        <w:tc>
          <w:tcPr>
            <w:tcW w:w="1144" w:type="dxa"/>
            <w:tcBorders>
              <w:top w:val="single" w:color="000000" w:sz="4" w:space="0"/>
              <w:left w:val="single" w:color="000000" w:sz="8" w:space="0"/>
              <w:bottom w:val="single" w:color="000000" w:sz="4" w:space="0"/>
              <w:right w:val="single" w:color="000000" w:sz="4" w:space="0"/>
            </w:tcBorders>
            <w:vAlign w:val="center"/>
          </w:tcPr>
          <w:p w14:paraId="496D42BA">
            <w:pPr>
              <w:pStyle w:val="1535"/>
            </w:pPr>
            <w:r>
              <w:t>S2</w:t>
            </w:r>
          </w:p>
        </w:tc>
        <w:tc>
          <w:tcPr>
            <w:tcW w:w="8032" w:type="dxa"/>
            <w:tcBorders>
              <w:top w:val="single" w:color="000000" w:sz="4" w:space="0"/>
              <w:left w:val="single" w:color="000000" w:sz="4" w:space="0"/>
              <w:bottom w:val="single" w:color="000000" w:sz="4" w:space="0"/>
              <w:right w:val="single" w:color="000000" w:sz="8" w:space="0"/>
            </w:tcBorders>
            <w:vAlign w:val="center"/>
          </w:tcPr>
          <w:p w14:paraId="7FA5A458">
            <w:pPr>
              <w:pStyle w:val="1535"/>
            </w:pPr>
            <w: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35685725">
        <w:tblPrEx>
          <w:tblCellMar>
            <w:top w:w="0" w:type="dxa"/>
            <w:left w:w="0" w:type="dxa"/>
            <w:bottom w:w="0" w:type="dxa"/>
            <w:right w:w="0" w:type="dxa"/>
          </w:tblCellMar>
        </w:tblPrEx>
        <w:trPr>
          <w:trHeight w:val="23" w:hRule="atLeast"/>
          <w:jc w:val="center"/>
        </w:trPr>
        <w:tc>
          <w:tcPr>
            <w:tcW w:w="1144" w:type="dxa"/>
            <w:tcBorders>
              <w:top w:val="single" w:color="000000" w:sz="4" w:space="0"/>
              <w:left w:val="single" w:color="000000" w:sz="8" w:space="0"/>
              <w:bottom w:val="single" w:color="000000" w:sz="8" w:space="0"/>
              <w:right w:val="single" w:color="000000" w:sz="4" w:space="0"/>
            </w:tcBorders>
            <w:vAlign w:val="center"/>
          </w:tcPr>
          <w:p w14:paraId="3770CB5E">
            <w:pPr>
              <w:pStyle w:val="1535"/>
            </w:pPr>
            <w:r>
              <w:t>S3</w:t>
            </w:r>
          </w:p>
        </w:tc>
        <w:tc>
          <w:tcPr>
            <w:tcW w:w="8032" w:type="dxa"/>
            <w:tcBorders>
              <w:top w:val="single" w:color="000000" w:sz="4" w:space="0"/>
              <w:left w:val="single" w:color="000000" w:sz="4" w:space="0"/>
              <w:bottom w:val="single" w:color="000000" w:sz="8" w:space="0"/>
              <w:right w:val="single" w:color="000000" w:sz="8" w:space="0"/>
            </w:tcBorders>
            <w:vAlign w:val="center"/>
          </w:tcPr>
          <w:p w14:paraId="7D36ABC3">
            <w:pPr>
              <w:pStyle w:val="1535"/>
            </w:pPr>
            <w:r>
              <w:t>排放点下游（顺水流向）10km范围、近岸海域一个潮周期水质点可能达到的最大水平距离的两倍范围内无上述类型1和类型2包括的敏感保护目标</w:t>
            </w:r>
          </w:p>
        </w:tc>
      </w:tr>
    </w:tbl>
    <w:p w14:paraId="7EE3F14B">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地表水环境敏感度分级</w:t>
      </w:r>
    </w:p>
    <w:tbl>
      <w:tblPr>
        <w:tblStyle w:val="88"/>
        <w:tblW w:w="0" w:type="auto"/>
        <w:jc w:val="center"/>
        <w:tblLayout w:type="fixed"/>
        <w:tblCellMar>
          <w:top w:w="0" w:type="dxa"/>
          <w:left w:w="0" w:type="dxa"/>
          <w:bottom w:w="0" w:type="dxa"/>
          <w:right w:w="0" w:type="dxa"/>
        </w:tblCellMar>
      </w:tblPr>
      <w:tblGrid>
        <w:gridCol w:w="2722"/>
        <w:gridCol w:w="2064"/>
        <w:gridCol w:w="2268"/>
        <w:gridCol w:w="2126"/>
      </w:tblGrid>
      <w:tr w14:paraId="78989431">
        <w:tblPrEx>
          <w:tblCellMar>
            <w:top w:w="0" w:type="dxa"/>
            <w:left w:w="0" w:type="dxa"/>
            <w:bottom w:w="0" w:type="dxa"/>
            <w:right w:w="0" w:type="dxa"/>
          </w:tblCellMar>
        </w:tblPrEx>
        <w:trPr>
          <w:trHeight w:val="23" w:hRule="atLeast"/>
          <w:jc w:val="center"/>
        </w:trPr>
        <w:tc>
          <w:tcPr>
            <w:tcW w:w="2722" w:type="dxa"/>
            <w:vMerge w:val="restart"/>
            <w:tcBorders>
              <w:top w:val="single" w:color="000000" w:sz="8" w:space="0"/>
              <w:left w:val="single" w:color="000000" w:sz="8" w:space="0"/>
              <w:right w:val="single" w:color="000000" w:sz="4" w:space="0"/>
            </w:tcBorders>
            <w:vAlign w:val="center"/>
          </w:tcPr>
          <w:p w14:paraId="09ACB5B2">
            <w:pPr>
              <w:pStyle w:val="1535"/>
            </w:pPr>
            <w:r>
              <w:t>环境敏感目标</w:t>
            </w:r>
          </w:p>
        </w:tc>
        <w:tc>
          <w:tcPr>
            <w:tcW w:w="6458" w:type="dxa"/>
            <w:gridSpan w:val="3"/>
            <w:tcBorders>
              <w:top w:val="single" w:color="000000" w:sz="8" w:space="0"/>
              <w:left w:val="single" w:color="000000" w:sz="4" w:space="0"/>
              <w:bottom w:val="single" w:color="000000" w:sz="4" w:space="0"/>
              <w:right w:val="single" w:color="000000" w:sz="8" w:space="0"/>
            </w:tcBorders>
            <w:vAlign w:val="center"/>
          </w:tcPr>
          <w:p w14:paraId="41C3336C">
            <w:pPr>
              <w:pStyle w:val="1535"/>
            </w:pPr>
            <w:r>
              <w:t>地表水功能敏感性</w:t>
            </w:r>
          </w:p>
        </w:tc>
      </w:tr>
      <w:tr w14:paraId="5D95FAA6">
        <w:tblPrEx>
          <w:tblCellMar>
            <w:top w:w="0" w:type="dxa"/>
            <w:left w:w="0" w:type="dxa"/>
            <w:bottom w:w="0" w:type="dxa"/>
            <w:right w:w="0" w:type="dxa"/>
          </w:tblCellMar>
        </w:tblPrEx>
        <w:trPr>
          <w:trHeight w:val="23" w:hRule="atLeast"/>
          <w:jc w:val="center"/>
        </w:trPr>
        <w:tc>
          <w:tcPr>
            <w:tcW w:w="2722" w:type="dxa"/>
            <w:vMerge w:val="continue"/>
            <w:tcBorders>
              <w:left w:val="single" w:color="000000" w:sz="8" w:space="0"/>
              <w:bottom w:val="single" w:color="000000" w:sz="4" w:space="0"/>
              <w:right w:val="single" w:color="000000" w:sz="4" w:space="0"/>
            </w:tcBorders>
            <w:vAlign w:val="center"/>
          </w:tcPr>
          <w:p w14:paraId="107A1377">
            <w:pPr>
              <w:pStyle w:val="1535"/>
            </w:pPr>
          </w:p>
        </w:tc>
        <w:tc>
          <w:tcPr>
            <w:tcW w:w="2064" w:type="dxa"/>
            <w:tcBorders>
              <w:top w:val="single" w:color="000000" w:sz="4" w:space="0"/>
              <w:left w:val="single" w:color="000000" w:sz="4" w:space="0"/>
              <w:bottom w:val="single" w:color="000000" w:sz="4" w:space="0"/>
              <w:right w:val="single" w:color="000000" w:sz="4" w:space="0"/>
            </w:tcBorders>
            <w:vAlign w:val="center"/>
          </w:tcPr>
          <w:p w14:paraId="364972DB">
            <w:pPr>
              <w:pStyle w:val="1535"/>
            </w:pPr>
            <w:r>
              <w:t>F1</w:t>
            </w:r>
          </w:p>
        </w:tc>
        <w:tc>
          <w:tcPr>
            <w:tcW w:w="2268" w:type="dxa"/>
            <w:tcBorders>
              <w:top w:val="single" w:color="000000" w:sz="4" w:space="0"/>
              <w:left w:val="single" w:color="000000" w:sz="4" w:space="0"/>
              <w:bottom w:val="single" w:color="000000" w:sz="4" w:space="0"/>
              <w:right w:val="single" w:color="000000" w:sz="4" w:space="0"/>
            </w:tcBorders>
            <w:vAlign w:val="center"/>
          </w:tcPr>
          <w:p w14:paraId="3AC7FEFF">
            <w:pPr>
              <w:pStyle w:val="1535"/>
            </w:pPr>
            <w:r>
              <w:t>F2</w:t>
            </w:r>
          </w:p>
        </w:tc>
        <w:tc>
          <w:tcPr>
            <w:tcW w:w="2126" w:type="dxa"/>
            <w:tcBorders>
              <w:top w:val="single" w:color="000000" w:sz="4" w:space="0"/>
              <w:left w:val="single" w:color="000000" w:sz="4" w:space="0"/>
              <w:bottom w:val="single" w:color="000000" w:sz="4" w:space="0"/>
              <w:right w:val="single" w:color="000000" w:sz="8" w:space="0"/>
            </w:tcBorders>
            <w:vAlign w:val="center"/>
          </w:tcPr>
          <w:p w14:paraId="258E4266">
            <w:pPr>
              <w:pStyle w:val="1535"/>
            </w:pPr>
            <w:r>
              <w:t>F3</w:t>
            </w:r>
          </w:p>
        </w:tc>
      </w:tr>
      <w:tr w14:paraId="48A570C4">
        <w:tblPrEx>
          <w:tblCellMar>
            <w:top w:w="0" w:type="dxa"/>
            <w:left w:w="0" w:type="dxa"/>
            <w:bottom w:w="0" w:type="dxa"/>
            <w:right w:w="0" w:type="dxa"/>
          </w:tblCellMar>
        </w:tblPrEx>
        <w:trPr>
          <w:trHeight w:val="23" w:hRule="atLeast"/>
          <w:jc w:val="center"/>
        </w:trPr>
        <w:tc>
          <w:tcPr>
            <w:tcW w:w="2722" w:type="dxa"/>
            <w:tcBorders>
              <w:top w:val="single" w:color="000000" w:sz="4" w:space="0"/>
              <w:left w:val="single" w:color="000000" w:sz="8" w:space="0"/>
              <w:bottom w:val="single" w:color="000000" w:sz="4" w:space="0"/>
              <w:right w:val="single" w:color="000000" w:sz="4" w:space="0"/>
            </w:tcBorders>
            <w:vAlign w:val="center"/>
          </w:tcPr>
          <w:p w14:paraId="5DBDA9F7">
            <w:pPr>
              <w:pStyle w:val="1535"/>
            </w:pPr>
            <w:r>
              <w:t>S1</w:t>
            </w:r>
          </w:p>
        </w:tc>
        <w:tc>
          <w:tcPr>
            <w:tcW w:w="2064" w:type="dxa"/>
            <w:tcBorders>
              <w:top w:val="single" w:color="000000" w:sz="4" w:space="0"/>
              <w:left w:val="single" w:color="000000" w:sz="4" w:space="0"/>
              <w:bottom w:val="single" w:color="000000" w:sz="4" w:space="0"/>
              <w:right w:val="single" w:color="000000" w:sz="4" w:space="0"/>
            </w:tcBorders>
            <w:vAlign w:val="center"/>
          </w:tcPr>
          <w:p w14:paraId="502E45A4">
            <w:pPr>
              <w:pStyle w:val="1535"/>
            </w:pPr>
            <w:r>
              <w:t>E1</w:t>
            </w:r>
          </w:p>
        </w:tc>
        <w:tc>
          <w:tcPr>
            <w:tcW w:w="2268" w:type="dxa"/>
            <w:tcBorders>
              <w:top w:val="single" w:color="000000" w:sz="4" w:space="0"/>
              <w:left w:val="single" w:color="000000" w:sz="4" w:space="0"/>
              <w:bottom w:val="single" w:color="000000" w:sz="4" w:space="0"/>
              <w:right w:val="single" w:color="000000" w:sz="4" w:space="0"/>
            </w:tcBorders>
            <w:vAlign w:val="center"/>
          </w:tcPr>
          <w:p w14:paraId="1A328769">
            <w:pPr>
              <w:pStyle w:val="1535"/>
            </w:pPr>
            <w:r>
              <w:t>E1</w:t>
            </w:r>
          </w:p>
        </w:tc>
        <w:tc>
          <w:tcPr>
            <w:tcW w:w="2126" w:type="dxa"/>
            <w:tcBorders>
              <w:top w:val="single" w:color="000000" w:sz="4" w:space="0"/>
              <w:left w:val="single" w:color="000000" w:sz="4" w:space="0"/>
              <w:bottom w:val="single" w:color="000000" w:sz="4" w:space="0"/>
              <w:right w:val="single" w:color="000000" w:sz="8" w:space="0"/>
            </w:tcBorders>
            <w:vAlign w:val="center"/>
          </w:tcPr>
          <w:p w14:paraId="1F819107">
            <w:pPr>
              <w:pStyle w:val="1535"/>
            </w:pPr>
            <w:r>
              <w:t>E2</w:t>
            </w:r>
          </w:p>
        </w:tc>
      </w:tr>
      <w:tr w14:paraId="1CF65FB3">
        <w:tblPrEx>
          <w:tblCellMar>
            <w:top w:w="0" w:type="dxa"/>
            <w:left w:w="0" w:type="dxa"/>
            <w:bottom w:w="0" w:type="dxa"/>
            <w:right w:w="0" w:type="dxa"/>
          </w:tblCellMar>
        </w:tblPrEx>
        <w:trPr>
          <w:trHeight w:val="23" w:hRule="atLeast"/>
          <w:jc w:val="center"/>
        </w:trPr>
        <w:tc>
          <w:tcPr>
            <w:tcW w:w="2722" w:type="dxa"/>
            <w:tcBorders>
              <w:top w:val="single" w:color="000000" w:sz="4" w:space="0"/>
              <w:left w:val="single" w:color="000000" w:sz="8" w:space="0"/>
              <w:bottom w:val="single" w:color="000000" w:sz="4" w:space="0"/>
              <w:right w:val="single" w:color="000000" w:sz="4" w:space="0"/>
            </w:tcBorders>
            <w:vAlign w:val="center"/>
          </w:tcPr>
          <w:p w14:paraId="0DE3E406">
            <w:pPr>
              <w:pStyle w:val="1535"/>
            </w:pPr>
            <w:r>
              <w:t>S2</w:t>
            </w:r>
          </w:p>
        </w:tc>
        <w:tc>
          <w:tcPr>
            <w:tcW w:w="2064" w:type="dxa"/>
            <w:tcBorders>
              <w:top w:val="single" w:color="000000" w:sz="4" w:space="0"/>
              <w:left w:val="single" w:color="000000" w:sz="4" w:space="0"/>
              <w:bottom w:val="single" w:color="000000" w:sz="4" w:space="0"/>
              <w:right w:val="single" w:color="000000" w:sz="4" w:space="0"/>
            </w:tcBorders>
            <w:vAlign w:val="center"/>
          </w:tcPr>
          <w:p w14:paraId="7AAF8554">
            <w:pPr>
              <w:pStyle w:val="1535"/>
            </w:pPr>
            <w:r>
              <w:t>E1</w:t>
            </w:r>
          </w:p>
        </w:tc>
        <w:tc>
          <w:tcPr>
            <w:tcW w:w="2268" w:type="dxa"/>
            <w:tcBorders>
              <w:top w:val="single" w:color="000000" w:sz="4" w:space="0"/>
              <w:left w:val="single" w:color="000000" w:sz="4" w:space="0"/>
              <w:bottom w:val="single" w:color="000000" w:sz="4" w:space="0"/>
              <w:right w:val="single" w:color="000000" w:sz="4" w:space="0"/>
            </w:tcBorders>
            <w:vAlign w:val="center"/>
          </w:tcPr>
          <w:p w14:paraId="3A9AEED6">
            <w:pPr>
              <w:pStyle w:val="1535"/>
            </w:pPr>
            <w:r>
              <w:t>E2</w:t>
            </w:r>
          </w:p>
        </w:tc>
        <w:tc>
          <w:tcPr>
            <w:tcW w:w="2126" w:type="dxa"/>
            <w:tcBorders>
              <w:top w:val="single" w:color="000000" w:sz="4" w:space="0"/>
              <w:left w:val="single" w:color="000000" w:sz="4" w:space="0"/>
              <w:bottom w:val="single" w:color="000000" w:sz="4" w:space="0"/>
              <w:right w:val="single" w:color="000000" w:sz="8" w:space="0"/>
            </w:tcBorders>
            <w:vAlign w:val="center"/>
          </w:tcPr>
          <w:p w14:paraId="64C96361">
            <w:pPr>
              <w:pStyle w:val="1535"/>
            </w:pPr>
            <w:r>
              <w:t>E3</w:t>
            </w:r>
          </w:p>
        </w:tc>
      </w:tr>
      <w:tr w14:paraId="1B21A382">
        <w:tblPrEx>
          <w:tblCellMar>
            <w:top w:w="0" w:type="dxa"/>
            <w:left w:w="0" w:type="dxa"/>
            <w:bottom w:w="0" w:type="dxa"/>
            <w:right w:w="0" w:type="dxa"/>
          </w:tblCellMar>
        </w:tblPrEx>
        <w:trPr>
          <w:trHeight w:val="23" w:hRule="atLeast"/>
          <w:jc w:val="center"/>
        </w:trPr>
        <w:tc>
          <w:tcPr>
            <w:tcW w:w="2722" w:type="dxa"/>
            <w:tcBorders>
              <w:top w:val="single" w:color="000000" w:sz="4" w:space="0"/>
              <w:left w:val="single" w:color="000000" w:sz="8" w:space="0"/>
              <w:bottom w:val="single" w:color="000000" w:sz="8" w:space="0"/>
              <w:right w:val="single" w:color="000000" w:sz="4" w:space="0"/>
            </w:tcBorders>
            <w:vAlign w:val="center"/>
          </w:tcPr>
          <w:p w14:paraId="32C2193D">
            <w:pPr>
              <w:pStyle w:val="1535"/>
            </w:pPr>
            <w:r>
              <w:t>S3</w:t>
            </w:r>
          </w:p>
        </w:tc>
        <w:tc>
          <w:tcPr>
            <w:tcW w:w="2064" w:type="dxa"/>
            <w:tcBorders>
              <w:top w:val="single" w:color="000000" w:sz="4" w:space="0"/>
              <w:left w:val="single" w:color="000000" w:sz="4" w:space="0"/>
              <w:bottom w:val="single" w:color="000000" w:sz="8" w:space="0"/>
              <w:right w:val="single" w:color="000000" w:sz="4" w:space="0"/>
            </w:tcBorders>
            <w:vAlign w:val="center"/>
          </w:tcPr>
          <w:p w14:paraId="5B4F1060">
            <w:pPr>
              <w:pStyle w:val="1535"/>
            </w:pPr>
            <w:r>
              <w:t>E1</w:t>
            </w:r>
          </w:p>
        </w:tc>
        <w:tc>
          <w:tcPr>
            <w:tcW w:w="2268" w:type="dxa"/>
            <w:tcBorders>
              <w:top w:val="single" w:color="000000" w:sz="4" w:space="0"/>
              <w:left w:val="single" w:color="000000" w:sz="4" w:space="0"/>
              <w:bottom w:val="single" w:color="000000" w:sz="8" w:space="0"/>
              <w:right w:val="single" w:color="000000" w:sz="4" w:space="0"/>
            </w:tcBorders>
            <w:vAlign w:val="center"/>
          </w:tcPr>
          <w:p w14:paraId="03341D34">
            <w:pPr>
              <w:pStyle w:val="1535"/>
            </w:pPr>
            <w:r>
              <w:t>E2</w:t>
            </w:r>
          </w:p>
        </w:tc>
        <w:tc>
          <w:tcPr>
            <w:tcW w:w="2126" w:type="dxa"/>
            <w:tcBorders>
              <w:top w:val="single" w:color="000000" w:sz="4" w:space="0"/>
              <w:left w:val="single" w:color="000000" w:sz="4" w:space="0"/>
              <w:bottom w:val="single" w:color="000000" w:sz="8" w:space="0"/>
              <w:right w:val="single" w:color="000000" w:sz="8" w:space="0"/>
            </w:tcBorders>
            <w:vAlign w:val="center"/>
          </w:tcPr>
          <w:p w14:paraId="0150FDB4">
            <w:pPr>
              <w:pStyle w:val="1535"/>
            </w:pPr>
            <w:r>
              <w:t>E3</w:t>
            </w:r>
          </w:p>
        </w:tc>
      </w:tr>
    </w:tbl>
    <w:p w14:paraId="748A76C7">
      <w:pPr>
        <w:ind w:firstLine="520"/>
        <w:rPr>
          <w:color w:val="000000" w:themeColor="text1"/>
          <w14:textFill>
            <w14:solidFill>
              <w14:schemeClr w14:val="tx1"/>
            </w14:solidFill>
          </w14:textFill>
        </w:rPr>
      </w:pPr>
      <w:r>
        <w:rPr>
          <w:color w:val="000000" w:themeColor="text1"/>
          <w14:textFill>
            <w14:solidFill>
              <w14:schemeClr w14:val="tx1"/>
            </w14:solidFill>
          </w14:textFill>
        </w:rPr>
        <w:t>分析可知，扩建项目废水不直接排放，进入污水处理厂进一步处理后排放，事故情况下不会泄漏到附近的地表水体。因此扩建项目地表水环境敏感程度为E3环境低度敏感区。</w:t>
      </w:r>
    </w:p>
    <w:p w14:paraId="7EFBA511">
      <w:pPr>
        <w:ind w:firstLine="520"/>
        <w:rPr>
          <w:color w:val="000000" w:themeColor="text1"/>
          <w14:textFill>
            <w14:solidFill>
              <w14:schemeClr w14:val="tx1"/>
            </w14:solidFill>
          </w14:textFill>
        </w:rPr>
      </w:pPr>
      <w:r>
        <w:rPr>
          <w:color w:val="000000" w:themeColor="text1"/>
          <w14:textFill>
            <w14:solidFill>
              <w14:schemeClr w14:val="tx1"/>
            </w14:solidFill>
          </w14:textFill>
        </w:rPr>
        <w:t>（3）地下水环境</w:t>
      </w:r>
    </w:p>
    <w:p w14:paraId="16F86DA5">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所在地地下水功能敏感性与包气带防污性能，共分为三种类型，E1为环境高度敏感区，E2为环境中度敏感区，E3为环境低度敏感区，分级原则、地下水功能敏感性分区和包气带防污性能分级分别见下表。</w:t>
      </w:r>
    </w:p>
    <w:p w14:paraId="53931F25">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8</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地下水功能敏感性分区</w:t>
      </w:r>
    </w:p>
    <w:tbl>
      <w:tblPr>
        <w:tblStyle w:val="88"/>
        <w:tblW w:w="0" w:type="auto"/>
        <w:jc w:val="center"/>
        <w:tblLayout w:type="fixed"/>
        <w:tblCellMar>
          <w:top w:w="0" w:type="dxa"/>
          <w:left w:w="0" w:type="dxa"/>
          <w:bottom w:w="0" w:type="dxa"/>
          <w:right w:w="0" w:type="dxa"/>
        </w:tblCellMar>
      </w:tblPr>
      <w:tblGrid>
        <w:gridCol w:w="1018"/>
        <w:gridCol w:w="8158"/>
      </w:tblGrid>
      <w:tr w14:paraId="63A0569A">
        <w:tblPrEx>
          <w:tblCellMar>
            <w:top w:w="0" w:type="dxa"/>
            <w:left w:w="0" w:type="dxa"/>
            <w:bottom w:w="0" w:type="dxa"/>
            <w:right w:w="0" w:type="dxa"/>
          </w:tblCellMar>
        </w:tblPrEx>
        <w:trPr>
          <w:trHeight w:val="23" w:hRule="atLeast"/>
          <w:jc w:val="center"/>
        </w:trPr>
        <w:tc>
          <w:tcPr>
            <w:tcW w:w="1018" w:type="dxa"/>
            <w:tcBorders>
              <w:top w:val="single" w:color="000000" w:sz="8" w:space="0"/>
              <w:left w:val="single" w:color="000000" w:sz="8" w:space="0"/>
              <w:bottom w:val="single" w:color="000000" w:sz="4" w:space="0"/>
              <w:right w:val="single" w:color="000000" w:sz="4" w:space="0"/>
            </w:tcBorders>
            <w:vAlign w:val="center"/>
          </w:tcPr>
          <w:p w14:paraId="4E1E9DDD">
            <w:pPr>
              <w:pStyle w:val="1535"/>
            </w:pPr>
            <w:r>
              <w:t>敏感性</w:t>
            </w:r>
          </w:p>
        </w:tc>
        <w:tc>
          <w:tcPr>
            <w:tcW w:w="8158" w:type="dxa"/>
            <w:tcBorders>
              <w:top w:val="single" w:color="000000" w:sz="8" w:space="0"/>
              <w:left w:val="single" w:color="000000" w:sz="4" w:space="0"/>
              <w:bottom w:val="single" w:color="000000" w:sz="4" w:space="0"/>
              <w:right w:val="single" w:color="000000" w:sz="8" w:space="0"/>
            </w:tcBorders>
            <w:vAlign w:val="center"/>
          </w:tcPr>
          <w:p w14:paraId="079B15CF">
            <w:pPr>
              <w:pStyle w:val="1535"/>
            </w:pPr>
            <w:r>
              <w:t>地下水环境敏感特征</w:t>
            </w:r>
          </w:p>
        </w:tc>
      </w:tr>
      <w:tr w14:paraId="0CBC4BAB">
        <w:tblPrEx>
          <w:tblCellMar>
            <w:top w:w="0" w:type="dxa"/>
            <w:left w:w="0" w:type="dxa"/>
            <w:bottom w:w="0" w:type="dxa"/>
            <w:right w:w="0" w:type="dxa"/>
          </w:tblCellMar>
        </w:tblPrEx>
        <w:trPr>
          <w:trHeight w:val="23" w:hRule="atLeast"/>
          <w:jc w:val="center"/>
        </w:trPr>
        <w:tc>
          <w:tcPr>
            <w:tcW w:w="1018" w:type="dxa"/>
            <w:tcBorders>
              <w:top w:val="single" w:color="000000" w:sz="4" w:space="0"/>
              <w:left w:val="single" w:color="000000" w:sz="8" w:space="0"/>
              <w:bottom w:val="single" w:color="000000" w:sz="4" w:space="0"/>
              <w:right w:val="single" w:color="000000" w:sz="4" w:space="0"/>
            </w:tcBorders>
            <w:vAlign w:val="center"/>
          </w:tcPr>
          <w:p w14:paraId="192738D3">
            <w:pPr>
              <w:pStyle w:val="1535"/>
            </w:pPr>
            <w:r>
              <w:t>敏感G1</w:t>
            </w:r>
          </w:p>
        </w:tc>
        <w:tc>
          <w:tcPr>
            <w:tcW w:w="8158" w:type="dxa"/>
            <w:tcBorders>
              <w:top w:val="single" w:color="000000" w:sz="4" w:space="0"/>
              <w:left w:val="single" w:color="000000" w:sz="4" w:space="0"/>
              <w:bottom w:val="single" w:color="000000" w:sz="4" w:space="0"/>
              <w:right w:val="single" w:color="000000" w:sz="8" w:space="0"/>
            </w:tcBorders>
            <w:vAlign w:val="center"/>
          </w:tcPr>
          <w:p w14:paraId="10BBB931">
            <w:pPr>
              <w:pStyle w:val="1535"/>
            </w:pPr>
            <w: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6BE693CE">
        <w:tblPrEx>
          <w:tblCellMar>
            <w:top w:w="0" w:type="dxa"/>
            <w:left w:w="0" w:type="dxa"/>
            <w:bottom w:w="0" w:type="dxa"/>
            <w:right w:w="0" w:type="dxa"/>
          </w:tblCellMar>
        </w:tblPrEx>
        <w:trPr>
          <w:trHeight w:val="23" w:hRule="atLeast"/>
          <w:jc w:val="center"/>
        </w:trPr>
        <w:tc>
          <w:tcPr>
            <w:tcW w:w="1018" w:type="dxa"/>
            <w:tcBorders>
              <w:top w:val="single" w:color="000000" w:sz="4" w:space="0"/>
              <w:left w:val="single" w:color="000000" w:sz="8" w:space="0"/>
              <w:bottom w:val="single" w:color="000000" w:sz="4" w:space="0"/>
              <w:right w:val="single" w:color="000000" w:sz="4" w:space="0"/>
            </w:tcBorders>
            <w:vAlign w:val="center"/>
          </w:tcPr>
          <w:p w14:paraId="2EAFA1CF">
            <w:pPr>
              <w:pStyle w:val="1535"/>
            </w:pPr>
            <w:r>
              <w:t>较敏感G2</w:t>
            </w:r>
          </w:p>
        </w:tc>
        <w:tc>
          <w:tcPr>
            <w:tcW w:w="8158" w:type="dxa"/>
            <w:tcBorders>
              <w:top w:val="single" w:color="000000" w:sz="4" w:space="0"/>
              <w:left w:val="single" w:color="000000" w:sz="4" w:space="0"/>
              <w:bottom w:val="single" w:color="000000" w:sz="4" w:space="0"/>
              <w:right w:val="single" w:color="000000" w:sz="8" w:space="0"/>
            </w:tcBorders>
            <w:vAlign w:val="center"/>
          </w:tcPr>
          <w:p w14:paraId="22DF4F01">
            <w:pPr>
              <w:pStyle w:val="1535"/>
            </w:pPr>
            <w: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r>
      <w:tr w14:paraId="6BA6F686">
        <w:tblPrEx>
          <w:tblCellMar>
            <w:top w:w="0" w:type="dxa"/>
            <w:left w:w="0" w:type="dxa"/>
            <w:bottom w:w="0" w:type="dxa"/>
            <w:right w:w="0" w:type="dxa"/>
          </w:tblCellMar>
        </w:tblPrEx>
        <w:trPr>
          <w:trHeight w:val="23" w:hRule="atLeast"/>
          <w:jc w:val="center"/>
        </w:trPr>
        <w:tc>
          <w:tcPr>
            <w:tcW w:w="1018" w:type="dxa"/>
            <w:tcBorders>
              <w:top w:val="single" w:color="000000" w:sz="4" w:space="0"/>
              <w:left w:val="single" w:color="000000" w:sz="8" w:space="0"/>
              <w:bottom w:val="single" w:color="000000" w:sz="4" w:space="0"/>
              <w:right w:val="single" w:color="000000" w:sz="4" w:space="0"/>
            </w:tcBorders>
            <w:vAlign w:val="center"/>
          </w:tcPr>
          <w:p w14:paraId="07C139C1">
            <w:pPr>
              <w:pStyle w:val="1535"/>
            </w:pPr>
            <w:r>
              <w:t>不敏感G3</w:t>
            </w:r>
          </w:p>
        </w:tc>
        <w:tc>
          <w:tcPr>
            <w:tcW w:w="8158" w:type="dxa"/>
            <w:tcBorders>
              <w:top w:val="single" w:color="000000" w:sz="4" w:space="0"/>
              <w:left w:val="single" w:color="000000" w:sz="4" w:space="0"/>
              <w:bottom w:val="single" w:color="000000" w:sz="4" w:space="0"/>
              <w:right w:val="single" w:color="000000" w:sz="8" w:space="0"/>
            </w:tcBorders>
            <w:vAlign w:val="center"/>
          </w:tcPr>
          <w:p w14:paraId="1AD15497">
            <w:pPr>
              <w:pStyle w:val="1535"/>
            </w:pPr>
            <w:r>
              <w:t>上述地区之外的其他地区</w:t>
            </w:r>
          </w:p>
        </w:tc>
      </w:tr>
      <w:tr w14:paraId="32CEDAA0">
        <w:tblPrEx>
          <w:tblCellMar>
            <w:top w:w="0" w:type="dxa"/>
            <w:left w:w="0" w:type="dxa"/>
            <w:bottom w:w="0" w:type="dxa"/>
            <w:right w:w="0" w:type="dxa"/>
          </w:tblCellMar>
        </w:tblPrEx>
        <w:trPr>
          <w:trHeight w:val="23" w:hRule="atLeast"/>
          <w:jc w:val="center"/>
        </w:trPr>
        <w:tc>
          <w:tcPr>
            <w:tcW w:w="9176" w:type="dxa"/>
            <w:gridSpan w:val="2"/>
            <w:tcBorders>
              <w:top w:val="single" w:color="000000" w:sz="4" w:space="0"/>
              <w:left w:val="single" w:color="000000" w:sz="8" w:space="0"/>
              <w:bottom w:val="single" w:color="000000" w:sz="8" w:space="0"/>
              <w:right w:val="single" w:color="000000" w:sz="8" w:space="0"/>
            </w:tcBorders>
            <w:vAlign w:val="center"/>
          </w:tcPr>
          <w:p w14:paraId="7F4C726E">
            <w:pPr>
              <w:pStyle w:val="1535"/>
            </w:pPr>
            <w:r>
              <w:t>a“环境敏感区”是指《建设项目环境影响评价分类管理名录》中所界定的涉及地下水的环境敏感区</w:t>
            </w:r>
          </w:p>
        </w:tc>
      </w:tr>
    </w:tbl>
    <w:p w14:paraId="44A5FEEC">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9</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包气带防污性能分级</w:t>
      </w:r>
    </w:p>
    <w:tbl>
      <w:tblPr>
        <w:tblStyle w:val="88"/>
        <w:tblW w:w="0" w:type="auto"/>
        <w:jc w:val="center"/>
        <w:tblLayout w:type="fixed"/>
        <w:tblCellMar>
          <w:top w:w="0" w:type="dxa"/>
          <w:left w:w="0" w:type="dxa"/>
          <w:bottom w:w="0" w:type="dxa"/>
          <w:right w:w="0" w:type="dxa"/>
        </w:tblCellMar>
      </w:tblPr>
      <w:tblGrid>
        <w:gridCol w:w="1186"/>
        <w:gridCol w:w="7990"/>
      </w:tblGrid>
      <w:tr w14:paraId="2AA3DE5E">
        <w:tblPrEx>
          <w:tblCellMar>
            <w:top w:w="0" w:type="dxa"/>
            <w:left w:w="0" w:type="dxa"/>
            <w:bottom w:w="0" w:type="dxa"/>
            <w:right w:w="0" w:type="dxa"/>
          </w:tblCellMar>
        </w:tblPrEx>
        <w:trPr>
          <w:trHeight w:val="23" w:hRule="atLeast"/>
          <w:jc w:val="center"/>
        </w:trPr>
        <w:tc>
          <w:tcPr>
            <w:tcW w:w="1186" w:type="dxa"/>
            <w:tcBorders>
              <w:top w:val="single" w:color="000000" w:sz="8" w:space="0"/>
              <w:left w:val="single" w:color="000000" w:sz="8" w:space="0"/>
              <w:bottom w:val="single" w:color="000000" w:sz="4" w:space="0"/>
              <w:right w:val="single" w:color="000000" w:sz="4" w:space="0"/>
            </w:tcBorders>
            <w:vAlign w:val="center"/>
          </w:tcPr>
          <w:p w14:paraId="2F31728F">
            <w:pPr>
              <w:pStyle w:val="1535"/>
            </w:pPr>
            <w:r>
              <w:t>分级</w:t>
            </w:r>
          </w:p>
        </w:tc>
        <w:tc>
          <w:tcPr>
            <w:tcW w:w="7990" w:type="dxa"/>
            <w:tcBorders>
              <w:top w:val="single" w:color="000000" w:sz="8" w:space="0"/>
              <w:left w:val="single" w:color="000000" w:sz="4" w:space="0"/>
              <w:bottom w:val="single" w:color="000000" w:sz="4" w:space="0"/>
              <w:right w:val="single" w:color="000000" w:sz="8" w:space="0"/>
            </w:tcBorders>
            <w:vAlign w:val="center"/>
          </w:tcPr>
          <w:p w14:paraId="1704B517">
            <w:pPr>
              <w:pStyle w:val="1535"/>
            </w:pPr>
            <w:r>
              <w:t>包气带岩土的渗透性能</w:t>
            </w:r>
          </w:p>
        </w:tc>
      </w:tr>
      <w:tr w14:paraId="0096BEDA">
        <w:tblPrEx>
          <w:tblCellMar>
            <w:top w:w="0" w:type="dxa"/>
            <w:left w:w="0" w:type="dxa"/>
            <w:bottom w:w="0" w:type="dxa"/>
            <w:right w:w="0" w:type="dxa"/>
          </w:tblCellMar>
        </w:tblPrEx>
        <w:trPr>
          <w:trHeight w:val="23" w:hRule="atLeast"/>
          <w:jc w:val="center"/>
        </w:trPr>
        <w:tc>
          <w:tcPr>
            <w:tcW w:w="1186" w:type="dxa"/>
            <w:tcBorders>
              <w:top w:val="single" w:color="000000" w:sz="4" w:space="0"/>
              <w:left w:val="single" w:color="000000" w:sz="8" w:space="0"/>
              <w:bottom w:val="single" w:color="000000" w:sz="4" w:space="0"/>
              <w:right w:val="single" w:color="000000" w:sz="4" w:space="0"/>
            </w:tcBorders>
            <w:vAlign w:val="center"/>
          </w:tcPr>
          <w:p w14:paraId="6B9679AA">
            <w:pPr>
              <w:pStyle w:val="1535"/>
            </w:pPr>
            <w:r>
              <w:t>D3</w:t>
            </w:r>
          </w:p>
        </w:tc>
        <w:tc>
          <w:tcPr>
            <w:tcW w:w="7990" w:type="dxa"/>
            <w:tcBorders>
              <w:top w:val="single" w:color="000000" w:sz="4" w:space="0"/>
              <w:left w:val="single" w:color="000000" w:sz="4" w:space="0"/>
              <w:bottom w:val="single" w:color="000000" w:sz="4" w:space="0"/>
              <w:right w:val="single" w:color="000000" w:sz="8" w:space="0"/>
            </w:tcBorders>
            <w:vAlign w:val="center"/>
          </w:tcPr>
          <w:p w14:paraId="06C64D79">
            <w:pPr>
              <w:pStyle w:val="1535"/>
            </w:pPr>
            <w:r>
              <w:t>Mb≥1.0m，K≤1.0×10-6cm/s，且分布连续、稳定</w:t>
            </w:r>
          </w:p>
        </w:tc>
      </w:tr>
      <w:tr w14:paraId="54EBBFAE">
        <w:tblPrEx>
          <w:tblCellMar>
            <w:top w:w="0" w:type="dxa"/>
            <w:left w:w="0" w:type="dxa"/>
            <w:bottom w:w="0" w:type="dxa"/>
            <w:right w:w="0" w:type="dxa"/>
          </w:tblCellMar>
        </w:tblPrEx>
        <w:trPr>
          <w:trHeight w:val="23" w:hRule="atLeast"/>
          <w:jc w:val="center"/>
        </w:trPr>
        <w:tc>
          <w:tcPr>
            <w:tcW w:w="1186" w:type="dxa"/>
            <w:tcBorders>
              <w:top w:val="single" w:color="000000" w:sz="4" w:space="0"/>
              <w:left w:val="single" w:color="000000" w:sz="8" w:space="0"/>
              <w:bottom w:val="single" w:color="000000" w:sz="4" w:space="0"/>
              <w:right w:val="single" w:color="000000" w:sz="4" w:space="0"/>
            </w:tcBorders>
            <w:vAlign w:val="center"/>
          </w:tcPr>
          <w:p w14:paraId="322464E6">
            <w:pPr>
              <w:pStyle w:val="1535"/>
            </w:pPr>
            <w:r>
              <w:t>D2</w:t>
            </w:r>
          </w:p>
        </w:tc>
        <w:tc>
          <w:tcPr>
            <w:tcW w:w="7990" w:type="dxa"/>
            <w:tcBorders>
              <w:top w:val="single" w:color="000000" w:sz="4" w:space="0"/>
              <w:left w:val="single" w:color="000000" w:sz="4" w:space="0"/>
              <w:bottom w:val="single" w:color="000000" w:sz="4" w:space="0"/>
              <w:right w:val="single" w:color="000000" w:sz="8" w:space="0"/>
            </w:tcBorders>
            <w:vAlign w:val="center"/>
          </w:tcPr>
          <w:p w14:paraId="393F8BC5">
            <w:pPr>
              <w:pStyle w:val="1535"/>
            </w:pPr>
            <w:r>
              <w:t>0.5m≤Mb&lt;1.0m，K≤1.0×10-6cm/s，且分布连续、稳定</w:t>
            </w:r>
          </w:p>
          <w:p w14:paraId="55E1DD18">
            <w:pPr>
              <w:pStyle w:val="1535"/>
            </w:pPr>
            <w:r>
              <w:t>Mb≥1.0m，1.0×10-6cm/s＜K≤1.0×10-4cm/s，且分布连续、稳定</w:t>
            </w:r>
          </w:p>
        </w:tc>
      </w:tr>
      <w:tr w14:paraId="2991D88C">
        <w:tblPrEx>
          <w:tblCellMar>
            <w:top w:w="0" w:type="dxa"/>
            <w:left w:w="0" w:type="dxa"/>
            <w:bottom w:w="0" w:type="dxa"/>
            <w:right w:w="0" w:type="dxa"/>
          </w:tblCellMar>
        </w:tblPrEx>
        <w:trPr>
          <w:trHeight w:val="23" w:hRule="atLeast"/>
          <w:jc w:val="center"/>
        </w:trPr>
        <w:tc>
          <w:tcPr>
            <w:tcW w:w="1186" w:type="dxa"/>
            <w:tcBorders>
              <w:top w:val="single" w:color="000000" w:sz="4" w:space="0"/>
              <w:left w:val="single" w:color="000000" w:sz="8" w:space="0"/>
              <w:bottom w:val="single" w:color="000000" w:sz="4" w:space="0"/>
              <w:right w:val="single" w:color="000000" w:sz="4" w:space="0"/>
            </w:tcBorders>
            <w:vAlign w:val="center"/>
          </w:tcPr>
          <w:p w14:paraId="73254781">
            <w:pPr>
              <w:pStyle w:val="1535"/>
            </w:pPr>
            <w:r>
              <w:t>D1</w:t>
            </w:r>
          </w:p>
        </w:tc>
        <w:tc>
          <w:tcPr>
            <w:tcW w:w="7990" w:type="dxa"/>
            <w:tcBorders>
              <w:top w:val="single" w:color="000000" w:sz="4" w:space="0"/>
              <w:left w:val="single" w:color="000000" w:sz="4" w:space="0"/>
              <w:bottom w:val="single" w:color="000000" w:sz="4" w:space="0"/>
              <w:right w:val="single" w:color="000000" w:sz="8" w:space="0"/>
            </w:tcBorders>
            <w:vAlign w:val="center"/>
          </w:tcPr>
          <w:p w14:paraId="78352322">
            <w:pPr>
              <w:pStyle w:val="1535"/>
            </w:pPr>
            <w:r>
              <w:t>岩（土）层不满足上述“D2”和“D3”条件</w:t>
            </w:r>
          </w:p>
        </w:tc>
      </w:tr>
      <w:tr w14:paraId="44433B99">
        <w:tblPrEx>
          <w:tblCellMar>
            <w:top w:w="0" w:type="dxa"/>
            <w:left w:w="0" w:type="dxa"/>
            <w:bottom w:w="0" w:type="dxa"/>
            <w:right w:w="0" w:type="dxa"/>
          </w:tblCellMar>
        </w:tblPrEx>
        <w:trPr>
          <w:trHeight w:val="23" w:hRule="atLeast"/>
          <w:jc w:val="center"/>
        </w:trPr>
        <w:tc>
          <w:tcPr>
            <w:tcW w:w="9176" w:type="dxa"/>
            <w:gridSpan w:val="2"/>
            <w:tcBorders>
              <w:top w:val="single" w:color="000000" w:sz="4" w:space="0"/>
              <w:left w:val="single" w:color="000000" w:sz="8" w:space="0"/>
              <w:bottom w:val="single" w:color="000000" w:sz="8" w:space="0"/>
              <w:right w:val="single" w:color="000000" w:sz="8" w:space="0"/>
            </w:tcBorders>
            <w:vAlign w:val="center"/>
          </w:tcPr>
          <w:p w14:paraId="5B2D3CD0">
            <w:pPr>
              <w:pStyle w:val="1535"/>
            </w:pPr>
            <w:r>
              <w:t>Mb：岩土层单层厚度。</w:t>
            </w:r>
          </w:p>
          <w:p w14:paraId="7182DC1D">
            <w:pPr>
              <w:pStyle w:val="1535"/>
            </w:pPr>
            <w:r>
              <w:t>K：渗透系数。</w:t>
            </w:r>
          </w:p>
        </w:tc>
      </w:tr>
    </w:tbl>
    <w:p w14:paraId="6252282F">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10</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地下水环境敏感程度分级</w:t>
      </w:r>
    </w:p>
    <w:tbl>
      <w:tblPr>
        <w:tblStyle w:val="88"/>
        <w:tblW w:w="0" w:type="auto"/>
        <w:jc w:val="center"/>
        <w:tblLayout w:type="fixed"/>
        <w:tblCellMar>
          <w:top w:w="0" w:type="dxa"/>
          <w:left w:w="0" w:type="dxa"/>
          <w:bottom w:w="0" w:type="dxa"/>
          <w:right w:w="0" w:type="dxa"/>
        </w:tblCellMar>
      </w:tblPr>
      <w:tblGrid>
        <w:gridCol w:w="2944"/>
        <w:gridCol w:w="1644"/>
        <w:gridCol w:w="2293"/>
        <w:gridCol w:w="2295"/>
      </w:tblGrid>
      <w:tr w14:paraId="74AD252E">
        <w:tblPrEx>
          <w:tblCellMar>
            <w:top w:w="0" w:type="dxa"/>
            <w:left w:w="0" w:type="dxa"/>
            <w:bottom w:w="0" w:type="dxa"/>
            <w:right w:w="0" w:type="dxa"/>
          </w:tblCellMar>
        </w:tblPrEx>
        <w:trPr>
          <w:trHeight w:val="23" w:hRule="atLeast"/>
          <w:jc w:val="center"/>
        </w:trPr>
        <w:tc>
          <w:tcPr>
            <w:tcW w:w="2944" w:type="dxa"/>
            <w:vMerge w:val="restart"/>
            <w:tcBorders>
              <w:top w:val="single" w:color="000000" w:sz="8" w:space="0"/>
              <w:left w:val="single" w:color="000000" w:sz="8" w:space="0"/>
              <w:right w:val="single" w:color="000000" w:sz="4" w:space="0"/>
            </w:tcBorders>
            <w:vAlign w:val="center"/>
          </w:tcPr>
          <w:p w14:paraId="04DC777B">
            <w:pPr>
              <w:pStyle w:val="1535"/>
            </w:pPr>
            <w:r>
              <w:t>包气带防污性能</w:t>
            </w:r>
          </w:p>
        </w:tc>
        <w:tc>
          <w:tcPr>
            <w:tcW w:w="6232" w:type="dxa"/>
            <w:gridSpan w:val="3"/>
            <w:tcBorders>
              <w:top w:val="single" w:color="000000" w:sz="8" w:space="0"/>
              <w:left w:val="single" w:color="000000" w:sz="4" w:space="0"/>
              <w:bottom w:val="single" w:color="000000" w:sz="4" w:space="0"/>
              <w:right w:val="single" w:color="000000" w:sz="8" w:space="0"/>
            </w:tcBorders>
            <w:vAlign w:val="center"/>
          </w:tcPr>
          <w:p w14:paraId="18E06C73">
            <w:pPr>
              <w:pStyle w:val="1535"/>
            </w:pPr>
            <w:r>
              <w:t>地下水功能敏感性</w:t>
            </w:r>
          </w:p>
        </w:tc>
      </w:tr>
      <w:tr w14:paraId="0F8FE0F7">
        <w:tblPrEx>
          <w:tblCellMar>
            <w:top w:w="0" w:type="dxa"/>
            <w:left w:w="0" w:type="dxa"/>
            <w:bottom w:w="0" w:type="dxa"/>
            <w:right w:w="0" w:type="dxa"/>
          </w:tblCellMar>
        </w:tblPrEx>
        <w:trPr>
          <w:trHeight w:val="23" w:hRule="atLeast"/>
          <w:jc w:val="center"/>
        </w:trPr>
        <w:tc>
          <w:tcPr>
            <w:tcW w:w="2944" w:type="dxa"/>
            <w:vMerge w:val="continue"/>
            <w:tcBorders>
              <w:left w:val="single" w:color="000000" w:sz="8" w:space="0"/>
              <w:bottom w:val="single" w:color="000000" w:sz="4" w:space="0"/>
              <w:right w:val="single" w:color="000000" w:sz="4" w:space="0"/>
            </w:tcBorders>
            <w:vAlign w:val="center"/>
          </w:tcPr>
          <w:p w14:paraId="317858C3">
            <w:pPr>
              <w:pStyle w:val="1535"/>
            </w:pPr>
          </w:p>
        </w:tc>
        <w:tc>
          <w:tcPr>
            <w:tcW w:w="1644" w:type="dxa"/>
            <w:tcBorders>
              <w:top w:val="single" w:color="000000" w:sz="4" w:space="0"/>
              <w:left w:val="single" w:color="000000" w:sz="4" w:space="0"/>
              <w:bottom w:val="single" w:color="000000" w:sz="4" w:space="0"/>
              <w:right w:val="single" w:color="000000" w:sz="4" w:space="0"/>
            </w:tcBorders>
            <w:vAlign w:val="center"/>
          </w:tcPr>
          <w:p w14:paraId="70F1FED6">
            <w:pPr>
              <w:pStyle w:val="1535"/>
            </w:pPr>
            <w:r>
              <w:t>G1</w:t>
            </w:r>
          </w:p>
        </w:tc>
        <w:tc>
          <w:tcPr>
            <w:tcW w:w="2293" w:type="dxa"/>
            <w:tcBorders>
              <w:top w:val="single" w:color="000000" w:sz="4" w:space="0"/>
              <w:left w:val="single" w:color="000000" w:sz="4" w:space="0"/>
              <w:bottom w:val="single" w:color="000000" w:sz="4" w:space="0"/>
              <w:right w:val="single" w:color="000000" w:sz="4" w:space="0"/>
            </w:tcBorders>
            <w:vAlign w:val="center"/>
          </w:tcPr>
          <w:p w14:paraId="0ECA5B52">
            <w:pPr>
              <w:pStyle w:val="1535"/>
            </w:pPr>
            <w:r>
              <w:t>G2</w:t>
            </w:r>
          </w:p>
        </w:tc>
        <w:tc>
          <w:tcPr>
            <w:tcW w:w="2295" w:type="dxa"/>
            <w:tcBorders>
              <w:top w:val="single" w:color="000000" w:sz="4" w:space="0"/>
              <w:left w:val="single" w:color="000000" w:sz="4" w:space="0"/>
              <w:bottom w:val="single" w:color="000000" w:sz="4" w:space="0"/>
              <w:right w:val="single" w:color="000000" w:sz="8" w:space="0"/>
            </w:tcBorders>
            <w:vAlign w:val="center"/>
          </w:tcPr>
          <w:p w14:paraId="041E0AC5">
            <w:pPr>
              <w:pStyle w:val="1535"/>
            </w:pPr>
            <w:r>
              <w:t>G3</w:t>
            </w:r>
          </w:p>
        </w:tc>
      </w:tr>
      <w:tr w14:paraId="6E7157AA">
        <w:tblPrEx>
          <w:tblCellMar>
            <w:top w:w="0" w:type="dxa"/>
            <w:left w:w="0" w:type="dxa"/>
            <w:bottom w:w="0" w:type="dxa"/>
            <w:right w:w="0" w:type="dxa"/>
          </w:tblCellMar>
        </w:tblPrEx>
        <w:trPr>
          <w:trHeight w:val="23" w:hRule="atLeast"/>
          <w:jc w:val="center"/>
        </w:trPr>
        <w:tc>
          <w:tcPr>
            <w:tcW w:w="2944" w:type="dxa"/>
            <w:tcBorders>
              <w:top w:val="single" w:color="000000" w:sz="4" w:space="0"/>
              <w:left w:val="single" w:color="000000" w:sz="8" w:space="0"/>
              <w:bottom w:val="single" w:color="000000" w:sz="4" w:space="0"/>
              <w:right w:val="single" w:color="000000" w:sz="4" w:space="0"/>
            </w:tcBorders>
            <w:vAlign w:val="center"/>
          </w:tcPr>
          <w:p w14:paraId="1DB61C74">
            <w:pPr>
              <w:pStyle w:val="1535"/>
            </w:pPr>
            <w:r>
              <w:t>D1</w:t>
            </w:r>
          </w:p>
        </w:tc>
        <w:tc>
          <w:tcPr>
            <w:tcW w:w="1644" w:type="dxa"/>
            <w:tcBorders>
              <w:top w:val="single" w:color="000000" w:sz="4" w:space="0"/>
              <w:left w:val="single" w:color="000000" w:sz="4" w:space="0"/>
              <w:bottom w:val="single" w:color="000000" w:sz="4" w:space="0"/>
              <w:right w:val="single" w:color="000000" w:sz="4" w:space="0"/>
            </w:tcBorders>
            <w:vAlign w:val="center"/>
          </w:tcPr>
          <w:p w14:paraId="6E6E54DF">
            <w:pPr>
              <w:pStyle w:val="1535"/>
            </w:pPr>
            <w:r>
              <w:t>E1</w:t>
            </w:r>
          </w:p>
        </w:tc>
        <w:tc>
          <w:tcPr>
            <w:tcW w:w="2293" w:type="dxa"/>
            <w:tcBorders>
              <w:top w:val="single" w:color="000000" w:sz="4" w:space="0"/>
              <w:left w:val="single" w:color="000000" w:sz="4" w:space="0"/>
              <w:bottom w:val="single" w:color="000000" w:sz="4" w:space="0"/>
              <w:right w:val="single" w:color="000000" w:sz="4" w:space="0"/>
            </w:tcBorders>
            <w:vAlign w:val="center"/>
          </w:tcPr>
          <w:p w14:paraId="19BADAD6">
            <w:pPr>
              <w:pStyle w:val="1535"/>
            </w:pPr>
            <w:r>
              <w:t>E1</w:t>
            </w:r>
          </w:p>
        </w:tc>
        <w:tc>
          <w:tcPr>
            <w:tcW w:w="2295" w:type="dxa"/>
            <w:tcBorders>
              <w:top w:val="single" w:color="000000" w:sz="4" w:space="0"/>
              <w:left w:val="single" w:color="000000" w:sz="4" w:space="0"/>
              <w:bottom w:val="single" w:color="000000" w:sz="4" w:space="0"/>
              <w:right w:val="single" w:color="000000" w:sz="8" w:space="0"/>
            </w:tcBorders>
            <w:vAlign w:val="center"/>
          </w:tcPr>
          <w:p w14:paraId="306A05E8">
            <w:pPr>
              <w:pStyle w:val="1535"/>
            </w:pPr>
            <w:r>
              <w:t>E2</w:t>
            </w:r>
          </w:p>
        </w:tc>
      </w:tr>
      <w:tr w14:paraId="4E511B31">
        <w:tblPrEx>
          <w:tblCellMar>
            <w:top w:w="0" w:type="dxa"/>
            <w:left w:w="0" w:type="dxa"/>
            <w:bottom w:w="0" w:type="dxa"/>
            <w:right w:w="0" w:type="dxa"/>
          </w:tblCellMar>
        </w:tblPrEx>
        <w:trPr>
          <w:trHeight w:val="23" w:hRule="atLeast"/>
          <w:jc w:val="center"/>
        </w:trPr>
        <w:tc>
          <w:tcPr>
            <w:tcW w:w="2944" w:type="dxa"/>
            <w:tcBorders>
              <w:top w:val="single" w:color="000000" w:sz="4" w:space="0"/>
              <w:left w:val="single" w:color="000000" w:sz="8" w:space="0"/>
              <w:bottom w:val="single" w:color="000000" w:sz="4" w:space="0"/>
              <w:right w:val="single" w:color="000000" w:sz="4" w:space="0"/>
            </w:tcBorders>
            <w:vAlign w:val="center"/>
          </w:tcPr>
          <w:p w14:paraId="0D3D126A">
            <w:pPr>
              <w:pStyle w:val="1535"/>
            </w:pPr>
            <w:r>
              <w:t>D2</w:t>
            </w:r>
          </w:p>
        </w:tc>
        <w:tc>
          <w:tcPr>
            <w:tcW w:w="1644" w:type="dxa"/>
            <w:tcBorders>
              <w:top w:val="single" w:color="000000" w:sz="4" w:space="0"/>
              <w:left w:val="single" w:color="000000" w:sz="4" w:space="0"/>
              <w:bottom w:val="single" w:color="000000" w:sz="4" w:space="0"/>
              <w:right w:val="single" w:color="000000" w:sz="4" w:space="0"/>
            </w:tcBorders>
            <w:vAlign w:val="center"/>
          </w:tcPr>
          <w:p w14:paraId="7AF83782">
            <w:pPr>
              <w:pStyle w:val="1535"/>
            </w:pPr>
            <w:r>
              <w:t>E1</w:t>
            </w:r>
          </w:p>
        </w:tc>
        <w:tc>
          <w:tcPr>
            <w:tcW w:w="2293" w:type="dxa"/>
            <w:tcBorders>
              <w:top w:val="single" w:color="000000" w:sz="4" w:space="0"/>
              <w:left w:val="single" w:color="000000" w:sz="4" w:space="0"/>
              <w:bottom w:val="single" w:color="000000" w:sz="4" w:space="0"/>
              <w:right w:val="single" w:color="000000" w:sz="4" w:space="0"/>
            </w:tcBorders>
            <w:vAlign w:val="center"/>
          </w:tcPr>
          <w:p w14:paraId="1F766F9D">
            <w:pPr>
              <w:pStyle w:val="1535"/>
            </w:pPr>
            <w:r>
              <w:t>E2</w:t>
            </w:r>
          </w:p>
        </w:tc>
        <w:tc>
          <w:tcPr>
            <w:tcW w:w="2295" w:type="dxa"/>
            <w:tcBorders>
              <w:top w:val="single" w:color="000000" w:sz="4" w:space="0"/>
              <w:left w:val="single" w:color="000000" w:sz="4" w:space="0"/>
              <w:bottom w:val="single" w:color="000000" w:sz="4" w:space="0"/>
              <w:right w:val="single" w:color="000000" w:sz="8" w:space="0"/>
            </w:tcBorders>
            <w:vAlign w:val="center"/>
          </w:tcPr>
          <w:p w14:paraId="1DA49767">
            <w:pPr>
              <w:pStyle w:val="1535"/>
            </w:pPr>
            <w:r>
              <w:t>E3</w:t>
            </w:r>
          </w:p>
        </w:tc>
      </w:tr>
      <w:tr w14:paraId="23A43E4D">
        <w:tblPrEx>
          <w:tblCellMar>
            <w:top w:w="0" w:type="dxa"/>
            <w:left w:w="0" w:type="dxa"/>
            <w:bottom w:w="0" w:type="dxa"/>
            <w:right w:w="0" w:type="dxa"/>
          </w:tblCellMar>
        </w:tblPrEx>
        <w:trPr>
          <w:trHeight w:val="23" w:hRule="atLeast"/>
          <w:jc w:val="center"/>
        </w:trPr>
        <w:tc>
          <w:tcPr>
            <w:tcW w:w="2944" w:type="dxa"/>
            <w:tcBorders>
              <w:top w:val="single" w:color="000000" w:sz="4" w:space="0"/>
              <w:left w:val="single" w:color="000000" w:sz="8" w:space="0"/>
              <w:bottom w:val="single" w:color="000000" w:sz="8" w:space="0"/>
              <w:right w:val="single" w:color="000000" w:sz="4" w:space="0"/>
            </w:tcBorders>
            <w:vAlign w:val="center"/>
          </w:tcPr>
          <w:p w14:paraId="188CF94D">
            <w:pPr>
              <w:pStyle w:val="1535"/>
            </w:pPr>
            <w:r>
              <w:t>D3</w:t>
            </w:r>
          </w:p>
        </w:tc>
        <w:tc>
          <w:tcPr>
            <w:tcW w:w="1644" w:type="dxa"/>
            <w:tcBorders>
              <w:top w:val="single" w:color="000000" w:sz="4" w:space="0"/>
              <w:left w:val="single" w:color="000000" w:sz="4" w:space="0"/>
              <w:bottom w:val="single" w:color="000000" w:sz="8" w:space="0"/>
              <w:right w:val="single" w:color="000000" w:sz="4" w:space="0"/>
            </w:tcBorders>
            <w:vAlign w:val="center"/>
          </w:tcPr>
          <w:p w14:paraId="7344B1EC">
            <w:pPr>
              <w:pStyle w:val="1535"/>
            </w:pPr>
            <w:r>
              <w:t>E2</w:t>
            </w:r>
          </w:p>
        </w:tc>
        <w:tc>
          <w:tcPr>
            <w:tcW w:w="2293" w:type="dxa"/>
            <w:tcBorders>
              <w:top w:val="single" w:color="000000" w:sz="4" w:space="0"/>
              <w:left w:val="single" w:color="000000" w:sz="4" w:space="0"/>
              <w:bottom w:val="single" w:color="000000" w:sz="8" w:space="0"/>
              <w:right w:val="single" w:color="000000" w:sz="4" w:space="0"/>
            </w:tcBorders>
            <w:vAlign w:val="center"/>
          </w:tcPr>
          <w:p w14:paraId="2D6A985B">
            <w:pPr>
              <w:pStyle w:val="1535"/>
            </w:pPr>
            <w:r>
              <w:t>E3</w:t>
            </w:r>
          </w:p>
        </w:tc>
        <w:tc>
          <w:tcPr>
            <w:tcW w:w="2295" w:type="dxa"/>
            <w:tcBorders>
              <w:top w:val="single" w:color="000000" w:sz="4" w:space="0"/>
              <w:left w:val="single" w:color="000000" w:sz="4" w:space="0"/>
              <w:bottom w:val="single" w:color="000000" w:sz="8" w:space="0"/>
              <w:right w:val="single" w:color="000000" w:sz="8" w:space="0"/>
            </w:tcBorders>
            <w:vAlign w:val="center"/>
          </w:tcPr>
          <w:p w14:paraId="6D63AB01">
            <w:pPr>
              <w:pStyle w:val="1535"/>
            </w:pPr>
            <w:r>
              <w:t>E3</w:t>
            </w:r>
          </w:p>
        </w:tc>
      </w:tr>
    </w:tbl>
    <w:p w14:paraId="6EF6CA0A">
      <w:pPr>
        <w:ind w:firstLine="520"/>
        <w:rPr>
          <w:color w:val="000000" w:themeColor="text1"/>
          <w14:textFill>
            <w14:solidFill>
              <w14:schemeClr w14:val="tx1"/>
            </w14:solidFill>
          </w14:textFill>
        </w:rPr>
      </w:pPr>
      <w:r>
        <w:rPr>
          <w:color w:val="000000" w:themeColor="text1"/>
          <w14:textFill>
            <w14:solidFill>
              <w14:schemeClr w14:val="tx1"/>
            </w14:solidFill>
          </w14:textFill>
        </w:rPr>
        <w:t>经现状调查，项目场区内无地下水出露，建设场地包气带防污性能中等D2。综上所述，项目地下水环境敏感程度为环境低度敏感区E3。</w:t>
      </w:r>
    </w:p>
    <w:p w14:paraId="0CB1D912">
      <w:pPr>
        <w:pStyle w:val="5"/>
        <w:rPr>
          <w:color w:val="000000" w:themeColor="text1"/>
          <w14:textFill>
            <w14:solidFill>
              <w14:schemeClr w14:val="tx1"/>
            </w14:solidFill>
          </w14:textFill>
        </w:rPr>
      </w:pPr>
      <w:r>
        <w:rPr>
          <w:color w:val="000000" w:themeColor="text1"/>
          <w14:textFill>
            <w14:solidFill>
              <w14:schemeClr w14:val="tx1"/>
            </w14:solidFill>
          </w14:textFill>
        </w:rPr>
        <w:t>风险评价等级划分</w:t>
      </w:r>
    </w:p>
    <w:p w14:paraId="1DE14FB3">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根据《建设项目环境风评价技术导则》（HJ169-2018），根据建设项目涉及的物质和工艺系统的危险性以及所在地的环境敏感程度，结合事故下的环境影响途径，按照</w:t>
      </w:r>
      <w:r>
        <w:rPr>
          <w:color w:val="000000" w:themeColor="text1"/>
          <w:lang w:val="zh-CN"/>
          <w14:textFill>
            <w14:solidFill>
              <w14:schemeClr w14:val="tx1"/>
            </w14:solidFill>
          </w14:textFill>
        </w:rPr>
        <w:fldChar w:fldCharType="begin"/>
      </w:r>
      <w:r>
        <w:rPr>
          <w:color w:val="000000" w:themeColor="text1"/>
          <w:lang w:val="zh-CN"/>
          <w14:textFill>
            <w14:solidFill>
              <w14:schemeClr w14:val="tx1"/>
            </w14:solidFill>
          </w14:textFill>
        </w:rPr>
        <w:instrText xml:space="preserve"> REF _Ref160556735 \h </w:instrText>
      </w:r>
      <w:r>
        <w:rPr>
          <w:color w:val="000000" w:themeColor="text1"/>
          <w:lang w:val="zh-CN"/>
          <w14:textFill>
            <w14:solidFill>
              <w14:schemeClr w14:val="tx1"/>
            </w14:solidFill>
          </w14:textFill>
        </w:rPr>
        <w:fldChar w:fldCharType="separate"/>
      </w:r>
      <w:r>
        <w:rPr>
          <w:color w:val="000000" w:themeColor="text1"/>
          <w:szCs w:val="26"/>
          <w14:textFill>
            <w14:solidFill>
              <w14:schemeClr w14:val="tx1"/>
            </w14:solidFill>
          </w14:textFill>
        </w:rPr>
        <w:t>表7.3</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11</w:t>
      </w:r>
      <w:r>
        <w:rPr>
          <w:color w:val="000000" w:themeColor="text1"/>
          <w:lang w:val="zh-CN"/>
          <w14:textFill>
            <w14:solidFill>
              <w14:schemeClr w14:val="tx1"/>
            </w14:solidFill>
          </w14:textFill>
        </w:rPr>
        <w:fldChar w:fldCharType="end"/>
      </w:r>
      <w:r>
        <w:rPr>
          <w:color w:val="000000" w:themeColor="text1"/>
          <w:lang w:val="zh-CN"/>
          <w14:textFill>
            <w14:solidFill>
              <w14:schemeClr w14:val="tx1"/>
            </w14:solidFill>
          </w14:textFill>
        </w:rPr>
        <w:t>确定环境风险潜势。</w:t>
      </w:r>
    </w:p>
    <w:p w14:paraId="67BB366E">
      <w:pPr>
        <w:ind w:firstLine="0" w:firstLineChars="0"/>
        <w:jc w:val="center"/>
        <w:rPr>
          <w:color w:val="000000" w:themeColor="text1"/>
          <w14:textFill>
            <w14:solidFill>
              <w14:schemeClr w14:val="tx1"/>
            </w14:solidFill>
          </w14:textFill>
        </w:rPr>
      </w:pPr>
      <w:bookmarkStart w:id="331" w:name="_Ref160556735"/>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11</w:t>
      </w:r>
      <w:r>
        <w:rPr>
          <w:color w:val="000000" w:themeColor="text1"/>
          <w:szCs w:val="26"/>
          <w14:textFill>
            <w14:solidFill>
              <w14:schemeClr w14:val="tx1"/>
            </w14:solidFill>
          </w14:textFill>
        </w:rPr>
        <w:fldChar w:fldCharType="end"/>
      </w:r>
      <w:bookmarkEnd w:id="331"/>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建设项目环境风险潜势划分</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1799"/>
        <w:gridCol w:w="1784"/>
        <w:gridCol w:w="1668"/>
        <w:gridCol w:w="1888"/>
      </w:tblGrid>
      <w:tr w14:paraId="0BDC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6" w:type="pct"/>
            <w:vMerge w:val="restart"/>
            <w:vAlign w:val="center"/>
          </w:tcPr>
          <w:p w14:paraId="142400D7">
            <w:pPr>
              <w:pStyle w:val="1535"/>
            </w:pPr>
            <w:r>
              <w:t>环境敏感程度(E)</w:t>
            </w:r>
          </w:p>
        </w:tc>
        <w:tc>
          <w:tcPr>
            <w:tcW w:w="3774" w:type="pct"/>
            <w:gridSpan w:val="4"/>
            <w:vAlign w:val="center"/>
          </w:tcPr>
          <w:p w14:paraId="4440FAA4">
            <w:pPr>
              <w:pStyle w:val="1535"/>
            </w:pPr>
            <w:r>
              <w:t>危险物质及工艺系统危险性(P)</w:t>
            </w:r>
          </w:p>
        </w:tc>
      </w:tr>
      <w:tr w14:paraId="12C5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Merge w:val="continue"/>
            <w:vAlign w:val="center"/>
          </w:tcPr>
          <w:p w14:paraId="1D2EA9E3">
            <w:pPr>
              <w:pStyle w:val="1535"/>
            </w:pPr>
          </w:p>
        </w:tc>
        <w:tc>
          <w:tcPr>
            <w:tcW w:w="951" w:type="pct"/>
            <w:vAlign w:val="center"/>
          </w:tcPr>
          <w:p w14:paraId="22383645">
            <w:pPr>
              <w:pStyle w:val="1535"/>
            </w:pPr>
            <w:r>
              <w:t>极高危害(P1)</w:t>
            </w:r>
          </w:p>
        </w:tc>
        <w:tc>
          <w:tcPr>
            <w:tcW w:w="943" w:type="pct"/>
            <w:vAlign w:val="center"/>
          </w:tcPr>
          <w:p w14:paraId="6186AF82">
            <w:pPr>
              <w:pStyle w:val="1535"/>
            </w:pPr>
            <w:r>
              <w:t>高度危害(P2)</w:t>
            </w:r>
          </w:p>
        </w:tc>
        <w:tc>
          <w:tcPr>
            <w:tcW w:w="882" w:type="pct"/>
            <w:vAlign w:val="center"/>
          </w:tcPr>
          <w:p w14:paraId="07080225">
            <w:pPr>
              <w:pStyle w:val="1535"/>
            </w:pPr>
            <w:r>
              <w:t>中度危害(P3)</w:t>
            </w:r>
          </w:p>
        </w:tc>
        <w:tc>
          <w:tcPr>
            <w:tcW w:w="999" w:type="pct"/>
            <w:vAlign w:val="center"/>
          </w:tcPr>
          <w:p w14:paraId="5946F8D7">
            <w:pPr>
              <w:pStyle w:val="1535"/>
            </w:pPr>
            <w:r>
              <w:t>轻度危害(P4)</w:t>
            </w:r>
          </w:p>
        </w:tc>
      </w:tr>
      <w:tr w14:paraId="6103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14:paraId="3462127F">
            <w:pPr>
              <w:pStyle w:val="1535"/>
            </w:pPr>
            <w:r>
              <w:t>环境高度敏感(E1)</w:t>
            </w:r>
          </w:p>
        </w:tc>
        <w:tc>
          <w:tcPr>
            <w:tcW w:w="951" w:type="pct"/>
            <w:vAlign w:val="center"/>
          </w:tcPr>
          <w:p w14:paraId="316C5FFD">
            <w:pPr>
              <w:pStyle w:val="1535"/>
            </w:pPr>
            <w:r>
              <w:t>IV+</w:t>
            </w:r>
          </w:p>
        </w:tc>
        <w:tc>
          <w:tcPr>
            <w:tcW w:w="943" w:type="pct"/>
            <w:vAlign w:val="center"/>
          </w:tcPr>
          <w:p w14:paraId="25AB3C30">
            <w:pPr>
              <w:pStyle w:val="1535"/>
            </w:pPr>
            <w:r>
              <w:t>IV</w:t>
            </w:r>
          </w:p>
        </w:tc>
        <w:tc>
          <w:tcPr>
            <w:tcW w:w="882" w:type="pct"/>
            <w:vAlign w:val="center"/>
          </w:tcPr>
          <w:p w14:paraId="3530B7A8">
            <w:pPr>
              <w:pStyle w:val="1535"/>
            </w:pPr>
            <w:r>
              <w:t>III</w:t>
            </w:r>
          </w:p>
        </w:tc>
        <w:tc>
          <w:tcPr>
            <w:tcW w:w="999" w:type="pct"/>
            <w:vAlign w:val="center"/>
          </w:tcPr>
          <w:p w14:paraId="2902870B">
            <w:pPr>
              <w:pStyle w:val="1535"/>
            </w:pPr>
            <w:r>
              <w:t>III</w:t>
            </w:r>
          </w:p>
        </w:tc>
      </w:tr>
      <w:tr w14:paraId="5EF5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14:paraId="5C09B26B">
            <w:pPr>
              <w:pStyle w:val="1535"/>
            </w:pPr>
            <w:r>
              <w:t>环境中度敏感(E2)</w:t>
            </w:r>
          </w:p>
        </w:tc>
        <w:tc>
          <w:tcPr>
            <w:tcW w:w="951" w:type="pct"/>
            <w:vAlign w:val="center"/>
          </w:tcPr>
          <w:p w14:paraId="7B0E9AF1">
            <w:pPr>
              <w:pStyle w:val="1535"/>
            </w:pPr>
            <w:r>
              <w:t>IV</w:t>
            </w:r>
          </w:p>
        </w:tc>
        <w:tc>
          <w:tcPr>
            <w:tcW w:w="943" w:type="pct"/>
            <w:vAlign w:val="center"/>
          </w:tcPr>
          <w:p w14:paraId="7A5B1B37">
            <w:pPr>
              <w:pStyle w:val="1535"/>
            </w:pPr>
            <w:r>
              <w:t>III</w:t>
            </w:r>
          </w:p>
        </w:tc>
        <w:tc>
          <w:tcPr>
            <w:tcW w:w="882" w:type="pct"/>
            <w:vAlign w:val="center"/>
          </w:tcPr>
          <w:p w14:paraId="142FFD00">
            <w:pPr>
              <w:pStyle w:val="1535"/>
            </w:pPr>
            <w:r>
              <w:t>III</w:t>
            </w:r>
          </w:p>
        </w:tc>
        <w:tc>
          <w:tcPr>
            <w:tcW w:w="999" w:type="pct"/>
            <w:vAlign w:val="center"/>
          </w:tcPr>
          <w:p w14:paraId="1009B1C2">
            <w:pPr>
              <w:pStyle w:val="1535"/>
            </w:pPr>
            <w:r>
              <w:t>II</w:t>
            </w:r>
          </w:p>
        </w:tc>
      </w:tr>
      <w:tr w14:paraId="31D9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14:paraId="7D09F39C">
            <w:pPr>
              <w:pStyle w:val="1535"/>
            </w:pPr>
            <w:r>
              <w:t>环境低度敏感(E3)</w:t>
            </w:r>
          </w:p>
        </w:tc>
        <w:tc>
          <w:tcPr>
            <w:tcW w:w="951" w:type="pct"/>
            <w:vAlign w:val="center"/>
          </w:tcPr>
          <w:p w14:paraId="01D39393">
            <w:pPr>
              <w:pStyle w:val="1535"/>
            </w:pPr>
            <w:r>
              <w:t>III</w:t>
            </w:r>
          </w:p>
        </w:tc>
        <w:tc>
          <w:tcPr>
            <w:tcW w:w="943" w:type="pct"/>
            <w:vAlign w:val="center"/>
          </w:tcPr>
          <w:p w14:paraId="2CD11118">
            <w:pPr>
              <w:pStyle w:val="1535"/>
            </w:pPr>
            <w:r>
              <w:t>III</w:t>
            </w:r>
          </w:p>
        </w:tc>
        <w:tc>
          <w:tcPr>
            <w:tcW w:w="882" w:type="pct"/>
            <w:vAlign w:val="center"/>
          </w:tcPr>
          <w:p w14:paraId="6B89A361">
            <w:pPr>
              <w:pStyle w:val="1535"/>
            </w:pPr>
            <w:r>
              <w:t>II</w:t>
            </w:r>
          </w:p>
        </w:tc>
        <w:tc>
          <w:tcPr>
            <w:tcW w:w="999" w:type="pct"/>
            <w:vAlign w:val="center"/>
          </w:tcPr>
          <w:p w14:paraId="1A4DB308">
            <w:pPr>
              <w:pStyle w:val="1535"/>
            </w:pPr>
            <w:r>
              <w:t>I</w:t>
            </w:r>
          </w:p>
        </w:tc>
      </w:tr>
      <w:tr w14:paraId="32D1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1207082C">
            <w:pPr>
              <w:pStyle w:val="1535"/>
            </w:pPr>
            <w:r>
              <w:t>注：IV+为极高环境风险</w:t>
            </w:r>
          </w:p>
        </w:tc>
      </w:tr>
    </w:tbl>
    <w:p w14:paraId="1E654AE7">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根据《建设项目环境风险评价技术导则》（HJ169-2018），按照</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_Ref160556949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表7.3</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t>确定评价工作等级。风险潜势为Ⅳ及以上，进行一级评价；风险潜势为Ⅲ，进行二级评价；风险潜势为Ⅱ，进行三级评价；风险潜势为Ⅰ，可开展简单分析。</w:t>
      </w:r>
    </w:p>
    <w:p w14:paraId="2EF7515E">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根据分析，</w:t>
      </w:r>
      <w:bookmarkStart w:id="332" w:name="_Hlk79681332"/>
      <w:r>
        <w:rPr>
          <w:color w:val="000000" w:themeColor="text1"/>
          <w:lang w:val="zh-CN"/>
          <w14:textFill>
            <w14:solidFill>
              <w14:schemeClr w14:val="tx1"/>
            </w14:solidFill>
          </w14:textFill>
        </w:rPr>
        <w:t>扩建项目大气环境敏感程度为E2，风险潜势为II；地表水环境敏感程度为E</w:t>
      </w:r>
      <w:r>
        <w:rPr>
          <w:color w:val="000000" w:themeColor="text1"/>
          <w14:textFill>
            <w14:solidFill>
              <w14:schemeClr w14:val="tx1"/>
            </w14:solidFill>
          </w14:textFill>
        </w:rPr>
        <w:t>3</w:t>
      </w:r>
      <w:r>
        <w:rPr>
          <w:color w:val="000000" w:themeColor="text1"/>
          <w:lang w:val="zh-CN"/>
          <w14:textFill>
            <w14:solidFill>
              <w14:schemeClr w14:val="tx1"/>
            </w14:solidFill>
          </w14:textFill>
        </w:rPr>
        <w:t>，风险潜势为I；地下水环境敏感程度为E3，风险潜势为I。</w:t>
      </w:r>
      <w:bookmarkEnd w:id="332"/>
    </w:p>
    <w:p w14:paraId="60F947A2">
      <w:pPr>
        <w:spacing w:before="32"/>
        <w:ind w:firstLine="0" w:firstLineChars="0"/>
        <w:jc w:val="center"/>
        <w:rPr>
          <w:color w:val="000000" w:themeColor="text1"/>
          <w14:textFill>
            <w14:solidFill>
              <w14:schemeClr w14:val="tx1"/>
            </w14:solidFill>
          </w14:textFill>
        </w:rPr>
      </w:pPr>
      <w:bookmarkStart w:id="333" w:name="_Ref160556949"/>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12</w:t>
      </w:r>
      <w:r>
        <w:rPr>
          <w:color w:val="000000" w:themeColor="text1"/>
          <w:szCs w:val="26"/>
          <w14:textFill>
            <w14:solidFill>
              <w14:schemeClr w14:val="tx1"/>
            </w14:solidFill>
          </w14:textFill>
        </w:rPr>
        <w:fldChar w:fldCharType="end"/>
      </w:r>
      <w:bookmarkEnd w:id="333"/>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评价工作等级划分表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1891"/>
        <w:gridCol w:w="1892"/>
        <w:gridCol w:w="1892"/>
        <w:gridCol w:w="1892"/>
      </w:tblGrid>
      <w:tr w14:paraId="2511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0" w:type="pct"/>
            <w:vAlign w:val="center"/>
          </w:tcPr>
          <w:p w14:paraId="563DEC70">
            <w:pPr>
              <w:pStyle w:val="1535"/>
            </w:pPr>
            <w:r>
              <w:t>环境风险潜势</w:t>
            </w:r>
          </w:p>
        </w:tc>
        <w:tc>
          <w:tcPr>
            <w:tcW w:w="1000" w:type="pct"/>
            <w:vAlign w:val="center"/>
          </w:tcPr>
          <w:p w14:paraId="20A475AE">
            <w:pPr>
              <w:pStyle w:val="1535"/>
            </w:pPr>
            <w:r>
              <w:t>Ⅳ、Ⅳ+</w:t>
            </w:r>
          </w:p>
        </w:tc>
        <w:tc>
          <w:tcPr>
            <w:tcW w:w="1000" w:type="pct"/>
            <w:vAlign w:val="center"/>
          </w:tcPr>
          <w:p w14:paraId="60436AC0">
            <w:pPr>
              <w:pStyle w:val="1535"/>
            </w:pPr>
            <w:r>
              <w:t>Ⅲ</w:t>
            </w:r>
          </w:p>
        </w:tc>
        <w:tc>
          <w:tcPr>
            <w:tcW w:w="1000" w:type="pct"/>
            <w:vAlign w:val="center"/>
          </w:tcPr>
          <w:p w14:paraId="15634016">
            <w:pPr>
              <w:pStyle w:val="1535"/>
            </w:pPr>
            <w:r>
              <w:t>Ⅱ</w:t>
            </w:r>
          </w:p>
        </w:tc>
        <w:tc>
          <w:tcPr>
            <w:tcW w:w="1000" w:type="pct"/>
            <w:vAlign w:val="center"/>
          </w:tcPr>
          <w:p w14:paraId="1B9E5AE5">
            <w:pPr>
              <w:pStyle w:val="1535"/>
            </w:pPr>
            <w:r>
              <w:t>Ⅰ</w:t>
            </w:r>
          </w:p>
        </w:tc>
      </w:tr>
      <w:tr w14:paraId="37EA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0" w:type="pct"/>
            <w:vAlign w:val="center"/>
          </w:tcPr>
          <w:p w14:paraId="35235E14">
            <w:pPr>
              <w:pStyle w:val="1535"/>
            </w:pPr>
            <w:r>
              <w:t>评价工作等级</w:t>
            </w:r>
          </w:p>
        </w:tc>
        <w:tc>
          <w:tcPr>
            <w:tcW w:w="1000" w:type="pct"/>
            <w:vAlign w:val="center"/>
          </w:tcPr>
          <w:p w14:paraId="28DCE328">
            <w:pPr>
              <w:pStyle w:val="1535"/>
            </w:pPr>
            <w:r>
              <w:t>一</w:t>
            </w:r>
          </w:p>
        </w:tc>
        <w:tc>
          <w:tcPr>
            <w:tcW w:w="1000" w:type="pct"/>
            <w:vAlign w:val="center"/>
          </w:tcPr>
          <w:p w14:paraId="3D0350B8">
            <w:pPr>
              <w:pStyle w:val="1535"/>
            </w:pPr>
            <w:r>
              <w:t>二</w:t>
            </w:r>
          </w:p>
        </w:tc>
        <w:tc>
          <w:tcPr>
            <w:tcW w:w="1000" w:type="pct"/>
            <w:vAlign w:val="center"/>
          </w:tcPr>
          <w:p w14:paraId="433C7EDB">
            <w:pPr>
              <w:pStyle w:val="1535"/>
            </w:pPr>
            <w:r>
              <w:t>三</w:t>
            </w:r>
          </w:p>
        </w:tc>
        <w:tc>
          <w:tcPr>
            <w:tcW w:w="1000" w:type="pct"/>
            <w:vAlign w:val="center"/>
          </w:tcPr>
          <w:p w14:paraId="02DB7380">
            <w:pPr>
              <w:pStyle w:val="1535"/>
            </w:pPr>
            <w:r>
              <w:t>简单分析*</w:t>
            </w:r>
          </w:p>
        </w:tc>
      </w:tr>
      <w:tr w14:paraId="7078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14:paraId="3FA678E7">
            <w:pPr>
              <w:pStyle w:val="1535"/>
            </w:pPr>
            <w:r>
              <w:t>*是相对于详细评价工作内容而言，在描述危险物质、环境影响途径、环境危害后果、风险防范措施等方面给出定性的说明。</w:t>
            </w:r>
          </w:p>
        </w:tc>
      </w:tr>
    </w:tbl>
    <w:p w14:paraId="6CE5F399">
      <w:pPr>
        <w:ind w:firstLine="520"/>
        <w:rPr>
          <w:color w:val="000000" w:themeColor="text1"/>
          <w:lang w:val="zh-CN"/>
          <w14:textFill>
            <w14:solidFill>
              <w14:schemeClr w14:val="tx1"/>
            </w14:solidFill>
          </w14:textFill>
        </w:rPr>
      </w:pPr>
      <w:r>
        <w:rPr>
          <w:color w:val="000000" w:themeColor="text1"/>
          <w14:textFill>
            <w14:solidFill>
              <w14:schemeClr w14:val="tx1"/>
            </w14:solidFill>
          </w14:textFill>
        </w:rPr>
        <w:t>扩建项目</w:t>
      </w:r>
      <w:r>
        <w:rPr>
          <w:color w:val="000000" w:themeColor="text1"/>
          <w:lang w:val="zh-CN"/>
          <w14:textFill>
            <w14:solidFill>
              <w14:schemeClr w14:val="tx1"/>
            </w14:solidFill>
          </w14:textFill>
        </w:rPr>
        <w:t>地下水环境风险潜势判定为I，开展简单分析；地表水环境风险潜势判定为I，开展简单分析；大气环境风险潜势判定为</w:t>
      </w:r>
      <w:r>
        <w:rPr>
          <w:color w:val="000000" w:themeColor="text1"/>
          <w14:textFill>
            <w14:solidFill>
              <w14:schemeClr w14:val="tx1"/>
            </w14:solidFill>
          </w14:textFill>
        </w:rPr>
        <w:t>Ⅱ</w:t>
      </w:r>
      <w:r>
        <w:rPr>
          <w:color w:val="000000" w:themeColor="text1"/>
          <w:lang w:val="zh-CN"/>
          <w14:textFill>
            <w14:solidFill>
              <w14:schemeClr w14:val="tx1"/>
            </w14:solidFill>
          </w14:textFill>
        </w:rPr>
        <w:t>，进行三级评价，</w:t>
      </w:r>
      <w:r>
        <w:rPr>
          <w:color w:val="000000" w:themeColor="text1"/>
          <w14:textFill>
            <w14:solidFill>
              <w14:schemeClr w14:val="tx1"/>
            </w14:solidFill>
          </w14:textFill>
        </w:rPr>
        <w:t>定性分析影响后果</w:t>
      </w:r>
      <w:r>
        <w:rPr>
          <w:color w:val="000000" w:themeColor="text1"/>
          <w:lang w:val="zh-CN"/>
          <w14:textFill>
            <w14:solidFill>
              <w14:schemeClr w14:val="tx1"/>
            </w14:solidFill>
          </w14:textFill>
        </w:rPr>
        <w:t>。</w:t>
      </w:r>
    </w:p>
    <w:p w14:paraId="4CBF2666">
      <w:pPr>
        <w:ind w:firstLine="520"/>
        <w:rPr>
          <w:color w:val="000000" w:themeColor="text1"/>
          <w14:textFill>
            <w14:solidFill>
              <w14:schemeClr w14:val="tx1"/>
            </w14:solidFill>
          </w14:textFill>
        </w:rPr>
      </w:pPr>
      <w:r>
        <w:rPr>
          <w:color w:val="000000" w:themeColor="text1"/>
          <w:lang w:val="zh-CN"/>
          <w14:textFill>
            <w14:solidFill>
              <w14:schemeClr w14:val="tx1"/>
            </w14:solidFill>
          </w14:textFill>
        </w:rPr>
        <w:t>评价时段：营运期。</w:t>
      </w:r>
    </w:p>
    <w:p w14:paraId="5C30ED98">
      <w:pPr>
        <w:pStyle w:val="4"/>
        <w:rPr>
          <w:color w:val="000000" w:themeColor="text1"/>
          <w14:textFill>
            <w14:solidFill>
              <w14:schemeClr w14:val="tx1"/>
            </w14:solidFill>
          </w14:textFill>
        </w:rPr>
      </w:pPr>
      <w:bookmarkStart w:id="334" w:name="_Toc27641"/>
      <w:r>
        <w:rPr>
          <w:color w:val="000000" w:themeColor="text1"/>
          <w14:textFill>
            <w14:solidFill>
              <w14:schemeClr w14:val="tx1"/>
            </w14:solidFill>
          </w14:textFill>
        </w:rPr>
        <w:t>风险识别</w:t>
      </w:r>
      <w:bookmarkEnd w:id="334"/>
    </w:p>
    <w:p w14:paraId="5C17D88D">
      <w:pPr>
        <w:pStyle w:val="5"/>
        <w:rPr>
          <w:color w:val="000000" w:themeColor="text1"/>
          <w14:textFill>
            <w14:solidFill>
              <w14:schemeClr w14:val="tx1"/>
            </w14:solidFill>
          </w14:textFill>
        </w:rPr>
      </w:pPr>
      <w:r>
        <w:rPr>
          <w:color w:val="000000" w:themeColor="text1"/>
          <w14:textFill>
            <w14:solidFill>
              <w14:schemeClr w14:val="tx1"/>
            </w14:solidFill>
          </w14:textFill>
        </w:rPr>
        <w:t>物质危险性识别</w:t>
      </w:r>
    </w:p>
    <w:p w14:paraId="19DB8E7D">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扩建项目涉及危险物质的理化性质、危险特性详见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_Ref160556997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表7.4</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16F60F27">
      <w:pPr>
        <w:ind w:firstLine="0" w:firstLineChars="0"/>
        <w:jc w:val="center"/>
        <w:rPr>
          <w:color w:val="000000" w:themeColor="text1"/>
          <w14:textFill>
            <w14:solidFill>
              <w14:schemeClr w14:val="tx1"/>
            </w14:solidFill>
          </w14:textFill>
        </w:rPr>
      </w:pPr>
      <w:bookmarkStart w:id="335" w:name="_Ref160556997"/>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335"/>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主要风险物质理化性质及毒性特性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887"/>
        <w:gridCol w:w="2187"/>
        <w:gridCol w:w="1543"/>
        <w:gridCol w:w="1099"/>
        <w:gridCol w:w="1655"/>
        <w:gridCol w:w="1861"/>
      </w:tblGrid>
      <w:tr w14:paraId="0952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78B0186A">
            <w:pPr>
              <w:pStyle w:val="1535"/>
            </w:pPr>
            <w:r>
              <w:t>序号</w:t>
            </w:r>
          </w:p>
        </w:tc>
        <w:tc>
          <w:tcPr>
            <w:tcW w:w="2187" w:type="dxa"/>
            <w:vAlign w:val="center"/>
          </w:tcPr>
          <w:p w14:paraId="16A5A521">
            <w:pPr>
              <w:pStyle w:val="1535"/>
            </w:pPr>
            <w:r>
              <w:t>潜在物质名称</w:t>
            </w:r>
          </w:p>
        </w:tc>
        <w:tc>
          <w:tcPr>
            <w:tcW w:w="1543" w:type="dxa"/>
            <w:vAlign w:val="center"/>
          </w:tcPr>
          <w:p w14:paraId="6BBC97F6">
            <w:pPr>
              <w:pStyle w:val="1535"/>
            </w:pPr>
            <w:r>
              <w:t>CAS号</w:t>
            </w:r>
          </w:p>
        </w:tc>
        <w:tc>
          <w:tcPr>
            <w:tcW w:w="1099" w:type="dxa"/>
            <w:vAlign w:val="center"/>
          </w:tcPr>
          <w:p w14:paraId="3D1EA251">
            <w:pPr>
              <w:pStyle w:val="1535"/>
            </w:pPr>
            <w:r>
              <w:t>相态</w:t>
            </w:r>
          </w:p>
        </w:tc>
        <w:tc>
          <w:tcPr>
            <w:tcW w:w="1655" w:type="dxa"/>
            <w:vAlign w:val="center"/>
          </w:tcPr>
          <w:p w14:paraId="5B45D145">
            <w:pPr>
              <w:pStyle w:val="1535"/>
            </w:pPr>
            <w:r>
              <w:t>储存位置</w:t>
            </w:r>
          </w:p>
        </w:tc>
        <w:tc>
          <w:tcPr>
            <w:tcW w:w="1861" w:type="dxa"/>
            <w:vAlign w:val="center"/>
          </w:tcPr>
          <w:p w14:paraId="207A27B9">
            <w:pPr>
              <w:pStyle w:val="1535"/>
            </w:pPr>
            <w:r>
              <w:t>主要危险特性</w:t>
            </w:r>
          </w:p>
        </w:tc>
      </w:tr>
      <w:tr w14:paraId="5944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43EA7FB5">
            <w:pPr>
              <w:pStyle w:val="1535"/>
            </w:pPr>
            <w:r>
              <w:t>1</w:t>
            </w:r>
          </w:p>
        </w:tc>
        <w:tc>
          <w:tcPr>
            <w:tcW w:w="2187" w:type="dxa"/>
            <w:vAlign w:val="center"/>
          </w:tcPr>
          <w:p w14:paraId="16321BB2">
            <w:pPr>
              <w:pStyle w:val="1535"/>
            </w:pPr>
            <w:r>
              <w:t>氢氟酸</w:t>
            </w:r>
          </w:p>
        </w:tc>
        <w:tc>
          <w:tcPr>
            <w:tcW w:w="1543" w:type="dxa"/>
            <w:vAlign w:val="center"/>
          </w:tcPr>
          <w:p w14:paraId="1B5D4672">
            <w:pPr>
              <w:pStyle w:val="1535"/>
            </w:pPr>
            <w:r>
              <w:t>7664-39-3</w:t>
            </w:r>
          </w:p>
        </w:tc>
        <w:tc>
          <w:tcPr>
            <w:tcW w:w="1099" w:type="dxa"/>
            <w:vAlign w:val="center"/>
          </w:tcPr>
          <w:p w14:paraId="64644187">
            <w:pPr>
              <w:pStyle w:val="1535"/>
            </w:pPr>
            <w:r>
              <w:t>液态</w:t>
            </w:r>
          </w:p>
        </w:tc>
        <w:tc>
          <w:tcPr>
            <w:tcW w:w="1655" w:type="dxa"/>
            <w:vMerge w:val="restart"/>
            <w:vAlign w:val="center"/>
          </w:tcPr>
          <w:p w14:paraId="7532C822">
            <w:pPr>
              <w:pStyle w:val="1535"/>
            </w:pPr>
            <w:r>
              <w:t>1#厂房化学品库、浸洗槽、蚀刻槽</w:t>
            </w:r>
          </w:p>
        </w:tc>
        <w:tc>
          <w:tcPr>
            <w:tcW w:w="1861" w:type="dxa"/>
            <w:vAlign w:val="center"/>
          </w:tcPr>
          <w:p w14:paraId="3834B65D">
            <w:pPr>
              <w:pStyle w:val="1535"/>
            </w:pPr>
            <w:r>
              <w:t>腐蚀、有毒</w:t>
            </w:r>
          </w:p>
        </w:tc>
      </w:tr>
      <w:tr w14:paraId="46C3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43F5311B">
            <w:pPr>
              <w:pStyle w:val="1535"/>
            </w:pPr>
            <w:r>
              <w:t>2</w:t>
            </w:r>
          </w:p>
        </w:tc>
        <w:tc>
          <w:tcPr>
            <w:tcW w:w="2187" w:type="dxa"/>
            <w:vAlign w:val="center"/>
          </w:tcPr>
          <w:p w14:paraId="3069BCB0">
            <w:pPr>
              <w:pStyle w:val="1535"/>
            </w:pPr>
            <w:r>
              <w:t>硝酸</w:t>
            </w:r>
          </w:p>
        </w:tc>
        <w:tc>
          <w:tcPr>
            <w:tcW w:w="1543" w:type="dxa"/>
            <w:vAlign w:val="center"/>
          </w:tcPr>
          <w:p w14:paraId="63788AA5">
            <w:pPr>
              <w:pStyle w:val="1535"/>
            </w:pPr>
            <w:r>
              <w:t>7697-37-2</w:t>
            </w:r>
          </w:p>
        </w:tc>
        <w:tc>
          <w:tcPr>
            <w:tcW w:w="1099" w:type="dxa"/>
            <w:vAlign w:val="center"/>
          </w:tcPr>
          <w:p w14:paraId="226BCC90">
            <w:pPr>
              <w:pStyle w:val="1535"/>
            </w:pPr>
            <w:r>
              <w:t>液态</w:t>
            </w:r>
          </w:p>
        </w:tc>
        <w:tc>
          <w:tcPr>
            <w:tcW w:w="1655" w:type="dxa"/>
            <w:vMerge w:val="continue"/>
            <w:vAlign w:val="center"/>
          </w:tcPr>
          <w:p w14:paraId="1C936404">
            <w:pPr>
              <w:pStyle w:val="1535"/>
            </w:pPr>
          </w:p>
        </w:tc>
        <w:tc>
          <w:tcPr>
            <w:tcW w:w="1861" w:type="dxa"/>
            <w:vAlign w:val="center"/>
          </w:tcPr>
          <w:p w14:paraId="5D70ADAA">
            <w:pPr>
              <w:pStyle w:val="1535"/>
            </w:pPr>
            <w:r>
              <w:t>腐蚀、有毒</w:t>
            </w:r>
          </w:p>
        </w:tc>
      </w:tr>
      <w:tr w14:paraId="2C1A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4C66EF27">
            <w:pPr>
              <w:pStyle w:val="1535"/>
            </w:pPr>
            <w:r>
              <w:t>3</w:t>
            </w:r>
          </w:p>
        </w:tc>
        <w:tc>
          <w:tcPr>
            <w:tcW w:w="2187" w:type="dxa"/>
            <w:vAlign w:val="center"/>
          </w:tcPr>
          <w:p w14:paraId="23F192B9">
            <w:pPr>
              <w:pStyle w:val="1535"/>
            </w:pPr>
            <w:r>
              <w:t>盐酸</w:t>
            </w:r>
          </w:p>
        </w:tc>
        <w:tc>
          <w:tcPr>
            <w:tcW w:w="1543" w:type="dxa"/>
            <w:vAlign w:val="center"/>
          </w:tcPr>
          <w:p w14:paraId="059677BC">
            <w:pPr>
              <w:pStyle w:val="1535"/>
            </w:pPr>
            <w:r>
              <w:t>7647-01-0</w:t>
            </w:r>
          </w:p>
        </w:tc>
        <w:tc>
          <w:tcPr>
            <w:tcW w:w="1099" w:type="dxa"/>
            <w:vAlign w:val="center"/>
          </w:tcPr>
          <w:p w14:paraId="787C276F">
            <w:pPr>
              <w:pStyle w:val="1535"/>
            </w:pPr>
            <w:r>
              <w:t>液态</w:t>
            </w:r>
          </w:p>
        </w:tc>
        <w:tc>
          <w:tcPr>
            <w:tcW w:w="1655" w:type="dxa"/>
            <w:vMerge w:val="continue"/>
            <w:vAlign w:val="center"/>
          </w:tcPr>
          <w:p w14:paraId="4E01B9BF">
            <w:pPr>
              <w:pStyle w:val="1535"/>
            </w:pPr>
          </w:p>
        </w:tc>
        <w:tc>
          <w:tcPr>
            <w:tcW w:w="1861" w:type="dxa"/>
            <w:vAlign w:val="center"/>
          </w:tcPr>
          <w:p w14:paraId="333FA7EF">
            <w:pPr>
              <w:pStyle w:val="1535"/>
            </w:pPr>
            <w:r>
              <w:t>腐蚀、有毒</w:t>
            </w:r>
          </w:p>
        </w:tc>
      </w:tr>
      <w:tr w14:paraId="7DC9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06A06B9A">
            <w:pPr>
              <w:pStyle w:val="1535"/>
            </w:pPr>
            <w:r>
              <w:t>4</w:t>
            </w:r>
          </w:p>
        </w:tc>
        <w:tc>
          <w:tcPr>
            <w:tcW w:w="2187" w:type="dxa"/>
            <w:vAlign w:val="center"/>
          </w:tcPr>
          <w:p w14:paraId="534CA1B3">
            <w:pPr>
              <w:pStyle w:val="1535"/>
            </w:pPr>
            <w:r>
              <w:t>清洗液（氯化氢）</w:t>
            </w:r>
          </w:p>
        </w:tc>
        <w:tc>
          <w:tcPr>
            <w:tcW w:w="1543" w:type="dxa"/>
            <w:vAlign w:val="center"/>
          </w:tcPr>
          <w:p w14:paraId="3DE4370E">
            <w:pPr>
              <w:pStyle w:val="1535"/>
            </w:pPr>
            <w:r>
              <w:t>7647-01-0</w:t>
            </w:r>
          </w:p>
        </w:tc>
        <w:tc>
          <w:tcPr>
            <w:tcW w:w="1099" w:type="dxa"/>
            <w:vAlign w:val="center"/>
          </w:tcPr>
          <w:p w14:paraId="7720E48E">
            <w:pPr>
              <w:pStyle w:val="1535"/>
            </w:pPr>
            <w:r>
              <w:t>液态</w:t>
            </w:r>
          </w:p>
        </w:tc>
        <w:tc>
          <w:tcPr>
            <w:tcW w:w="1655" w:type="dxa"/>
            <w:vMerge w:val="continue"/>
            <w:vAlign w:val="center"/>
          </w:tcPr>
          <w:p w14:paraId="43ED1EEF">
            <w:pPr>
              <w:pStyle w:val="1535"/>
            </w:pPr>
          </w:p>
        </w:tc>
        <w:tc>
          <w:tcPr>
            <w:tcW w:w="1861" w:type="dxa"/>
            <w:vAlign w:val="center"/>
          </w:tcPr>
          <w:p w14:paraId="7AC8A0B2">
            <w:pPr>
              <w:pStyle w:val="1535"/>
            </w:pPr>
            <w:r>
              <w:t>腐蚀、有毒</w:t>
            </w:r>
          </w:p>
        </w:tc>
      </w:tr>
      <w:tr w14:paraId="55AB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3FCE28F4">
            <w:pPr>
              <w:pStyle w:val="1535"/>
            </w:pPr>
            <w:r>
              <w:t>5</w:t>
            </w:r>
          </w:p>
        </w:tc>
        <w:tc>
          <w:tcPr>
            <w:tcW w:w="2187" w:type="dxa"/>
            <w:vAlign w:val="center"/>
          </w:tcPr>
          <w:p w14:paraId="6305EA63">
            <w:pPr>
              <w:pStyle w:val="1535"/>
            </w:pPr>
            <w:r>
              <w:t>醋酸</w:t>
            </w:r>
          </w:p>
        </w:tc>
        <w:tc>
          <w:tcPr>
            <w:tcW w:w="1543" w:type="dxa"/>
            <w:vAlign w:val="center"/>
          </w:tcPr>
          <w:p w14:paraId="74FDB852">
            <w:pPr>
              <w:pStyle w:val="1535"/>
            </w:pPr>
            <w:r>
              <w:t>64-19-7</w:t>
            </w:r>
          </w:p>
        </w:tc>
        <w:tc>
          <w:tcPr>
            <w:tcW w:w="1099" w:type="dxa"/>
            <w:vAlign w:val="center"/>
          </w:tcPr>
          <w:p w14:paraId="44951242">
            <w:pPr>
              <w:pStyle w:val="1535"/>
            </w:pPr>
            <w:r>
              <w:t>液态</w:t>
            </w:r>
          </w:p>
        </w:tc>
        <w:tc>
          <w:tcPr>
            <w:tcW w:w="1655" w:type="dxa"/>
            <w:vMerge w:val="continue"/>
            <w:vAlign w:val="center"/>
          </w:tcPr>
          <w:p w14:paraId="25EA3A2E">
            <w:pPr>
              <w:pStyle w:val="1535"/>
            </w:pPr>
          </w:p>
        </w:tc>
        <w:tc>
          <w:tcPr>
            <w:tcW w:w="1861" w:type="dxa"/>
            <w:vAlign w:val="center"/>
          </w:tcPr>
          <w:p w14:paraId="25C6C623">
            <w:pPr>
              <w:pStyle w:val="1535"/>
            </w:pPr>
            <w:r>
              <w:t>腐蚀、有毒</w:t>
            </w:r>
          </w:p>
        </w:tc>
      </w:tr>
      <w:tr w14:paraId="37E5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40DDE5C7">
            <w:pPr>
              <w:pStyle w:val="1535"/>
            </w:pPr>
            <w:r>
              <w:t>6</w:t>
            </w:r>
          </w:p>
        </w:tc>
        <w:tc>
          <w:tcPr>
            <w:tcW w:w="2187" w:type="dxa"/>
            <w:vAlign w:val="center"/>
          </w:tcPr>
          <w:p w14:paraId="1BC4EA2C">
            <w:pPr>
              <w:pStyle w:val="1535"/>
            </w:pPr>
            <w:r>
              <w:t>蚀刻液（硫酸）</w:t>
            </w:r>
          </w:p>
        </w:tc>
        <w:tc>
          <w:tcPr>
            <w:tcW w:w="1543" w:type="dxa"/>
            <w:vAlign w:val="center"/>
          </w:tcPr>
          <w:p w14:paraId="6C585C85">
            <w:pPr>
              <w:pStyle w:val="1535"/>
            </w:pPr>
            <w:r>
              <w:t>7664-93-9</w:t>
            </w:r>
          </w:p>
        </w:tc>
        <w:tc>
          <w:tcPr>
            <w:tcW w:w="1099" w:type="dxa"/>
            <w:vAlign w:val="center"/>
          </w:tcPr>
          <w:p w14:paraId="14E23F8C">
            <w:pPr>
              <w:pStyle w:val="1535"/>
            </w:pPr>
            <w:r>
              <w:t>液态</w:t>
            </w:r>
          </w:p>
        </w:tc>
        <w:tc>
          <w:tcPr>
            <w:tcW w:w="1655" w:type="dxa"/>
            <w:vMerge w:val="continue"/>
            <w:vAlign w:val="center"/>
          </w:tcPr>
          <w:p w14:paraId="46ACA09F">
            <w:pPr>
              <w:pStyle w:val="1535"/>
            </w:pPr>
          </w:p>
        </w:tc>
        <w:tc>
          <w:tcPr>
            <w:tcW w:w="1861" w:type="dxa"/>
            <w:vAlign w:val="center"/>
          </w:tcPr>
          <w:p w14:paraId="679AC788">
            <w:pPr>
              <w:pStyle w:val="1535"/>
            </w:pPr>
            <w:r>
              <w:t>腐蚀、有毒</w:t>
            </w:r>
          </w:p>
        </w:tc>
      </w:tr>
      <w:tr w14:paraId="28F2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7BC92BA4">
            <w:pPr>
              <w:pStyle w:val="1535"/>
            </w:pPr>
            <w:r>
              <w:t>7</w:t>
            </w:r>
          </w:p>
        </w:tc>
        <w:tc>
          <w:tcPr>
            <w:tcW w:w="2187" w:type="dxa"/>
            <w:vAlign w:val="center"/>
          </w:tcPr>
          <w:p w14:paraId="6F9C2F2E">
            <w:pPr>
              <w:pStyle w:val="1535"/>
            </w:pPr>
            <w:r>
              <w:t>MTS（甲基三氯硅烷）</w:t>
            </w:r>
          </w:p>
        </w:tc>
        <w:tc>
          <w:tcPr>
            <w:tcW w:w="1543" w:type="dxa"/>
            <w:vAlign w:val="center"/>
          </w:tcPr>
          <w:p w14:paraId="55CAFA9C">
            <w:pPr>
              <w:pStyle w:val="1535"/>
            </w:pPr>
            <w:r>
              <w:t>75-79-6</w:t>
            </w:r>
          </w:p>
        </w:tc>
        <w:tc>
          <w:tcPr>
            <w:tcW w:w="1099" w:type="dxa"/>
            <w:vAlign w:val="center"/>
          </w:tcPr>
          <w:p w14:paraId="66FD1919">
            <w:pPr>
              <w:pStyle w:val="1535"/>
            </w:pPr>
            <w:r>
              <w:t>液态</w:t>
            </w:r>
          </w:p>
        </w:tc>
        <w:tc>
          <w:tcPr>
            <w:tcW w:w="1655" w:type="dxa"/>
            <w:vAlign w:val="center"/>
          </w:tcPr>
          <w:p w14:paraId="16B8B98A">
            <w:pPr>
              <w:pStyle w:val="1535"/>
            </w:pPr>
            <w:r>
              <w:t>MTS贮存间</w:t>
            </w:r>
          </w:p>
        </w:tc>
        <w:tc>
          <w:tcPr>
            <w:tcW w:w="1861" w:type="dxa"/>
            <w:vAlign w:val="center"/>
          </w:tcPr>
          <w:p w14:paraId="47B2945C">
            <w:pPr>
              <w:pStyle w:val="1535"/>
            </w:pPr>
            <w:r>
              <w:t>易燃、易爆、有毒</w:t>
            </w:r>
          </w:p>
        </w:tc>
      </w:tr>
      <w:tr w14:paraId="0396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786190A3">
            <w:pPr>
              <w:pStyle w:val="1535"/>
            </w:pPr>
            <w:r>
              <w:t>8</w:t>
            </w:r>
          </w:p>
        </w:tc>
        <w:tc>
          <w:tcPr>
            <w:tcW w:w="2187" w:type="dxa"/>
            <w:vAlign w:val="center"/>
          </w:tcPr>
          <w:p w14:paraId="51F6A690">
            <w:pPr>
              <w:pStyle w:val="1535"/>
            </w:pPr>
            <w:r>
              <w:t>氢气</w:t>
            </w:r>
          </w:p>
        </w:tc>
        <w:tc>
          <w:tcPr>
            <w:tcW w:w="1543" w:type="dxa"/>
            <w:vAlign w:val="center"/>
          </w:tcPr>
          <w:p w14:paraId="7E60CB22">
            <w:pPr>
              <w:pStyle w:val="1535"/>
            </w:pPr>
            <w:r>
              <w:t>1333-74-0</w:t>
            </w:r>
          </w:p>
        </w:tc>
        <w:tc>
          <w:tcPr>
            <w:tcW w:w="1099" w:type="dxa"/>
            <w:vAlign w:val="center"/>
          </w:tcPr>
          <w:p w14:paraId="625DDBF9">
            <w:pPr>
              <w:pStyle w:val="1535"/>
            </w:pPr>
            <w:r>
              <w:t>气态</w:t>
            </w:r>
          </w:p>
        </w:tc>
        <w:tc>
          <w:tcPr>
            <w:tcW w:w="1655" w:type="dxa"/>
            <w:vAlign w:val="center"/>
          </w:tcPr>
          <w:p w14:paraId="45CCCCC7">
            <w:pPr>
              <w:pStyle w:val="1535"/>
            </w:pPr>
            <w:r>
              <w:t>气站</w:t>
            </w:r>
          </w:p>
        </w:tc>
        <w:tc>
          <w:tcPr>
            <w:tcW w:w="1861" w:type="dxa"/>
            <w:vAlign w:val="center"/>
          </w:tcPr>
          <w:p w14:paraId="5CD8C8A8">
            <w:pPr>
              <w:pStyle w:val="1535"/>
            </w:pPr>
            <w:r>
              <w:t>易燃、易爆</w:t>
            </w:r>
          </w:p>
        </w:tc>
      </w:tr>
      <w:tr w14:paraId="1799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4715AECE">
            <w:pPr>
              <w:pStyle w:val="1535"/>
            </w:pPr>
            <w:r>
              <w:t>9</w:t>
            </w:r>
          </w:p>
        </w:tc>
        <w:tc>
          <w:tcPr>
            <w:tcW w:w="2187" w:type="dxa"/>
            <w:vAlign w:val="center"/>
          </w:tcPr>
          <w:p w14:paraId="25DFE5AF">
            <w:pPr>
              <w:pStyle w:val="1535"/>
            </w:pPr>
            <w:r>
              <w:t>切削液</w:t>
            </w:r>
          </w:p>
        </w:tc>
        <w:tc>
          <w:tcPr>
            <w:tcW w:w="1543" w:type="dxa"/>
            <w:vAlign w:val="center"/>
          </w:tcPr>
          <w:p w14:paraId="197B440B">
            <w:pPr>
              <w:pStyle w:val="1535"/>
            </w:pPr>
            <w:r>
              <w:t>/</w:t>
            </w:r>
          </w:p>
        </w:tc>
        <w:tc>
          <w:tcPr>
            <w:tcW w:w="1099" w:type="dxa"/>
            <w:vAlign w:val="center"/>
          </w:tcPr>
          <w:p w14:paraId="28EE08D4">
            <w:pPr>
              <w:pStyle w:val="1535"/>
            </w:pPr>
            <w:r>
              <w:t>液态</w:t>
            </w:r>
          </w:p>
        </w:tc>
        <w:tc>
          <w:tcPr>
            <w:tcW w:w="1655" w:type="dxa"/>
            <w:vAlign w:val="center"/>
          </w:tcPr>
          <w:p w14:paraId="4ED574A6">
            <w:pPr>
              <w:pStyle w:val="1535"/>
            </w:pPr>
            <w:r>
              <w:t>切削液回收车间</w:t>
            </w:r>
          </w:p>
        </w:tc>
        <w:tc>
          <w:tcPr>
            <w:tcW w:w="1861" w:type="dxa"/>
            <w:vAlign w:val="center"/>
          </w:tcPr>
          <w:p w14:paraId="6DE8D0A7">
            <w:pPr>
              <w:pStyle w:val="1535"/>
            </w:pPr>
            <w:r>
              <w:t>有毒</w:t>
            </w:r>
          </w:p>
        </w:tc>
      </w:tr>
      <w:tr w14:paraId="2430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7AC4D4C0">
            <w:pPr>
              <w:pStyle w:val="1535"/>
            </w:pPr>
            <w:r>
              <w:rPr>
                <w:rFonts w:hint="eastAsia"/>
              </w:rPr>
              <w:t>10</w:t>
            </w:r>
          </w:p>
        </w:tc>
        <w:tc>
          <w:tcPr>
            <w:tcW w:w="2187" w:type="dxa"/>
            <w:vAlign w:val="center"/>
          </w:tcPr>
          <w:p w14:paraId="6C22D590">
            <w:pPr>
              <w:pStyle w:val="1535"/>
            </w:pPr>
            <w:r>
              <w:rPr>
                <w:rFonts w:hint="eastAsia"/>
              </w:rPr>
              <w:t>氯化氢</w:t>
            </w:r>
          </w:p>
        </w:tc>
        <w:tc>
          <w:tcPr>
            <w:tcW w:w="1543" w:type="dxa"/>
            <w:vAlign w:val="center"/>
          </w:tcPr>
          <w:p w14:paraId="0F67F36C">
            <w:pPr>
              <w:pStyle w:val="1535"/>
            </w:pPr>
            <w:r>
              <w:t>7647-01-0</w:t>
            </w:r>
          </w:p>
        </w:tc>
        <w:tc>
          <w:tcPr>
            <w:tcW w:w="1099" w:type="dxa"/>
            <w:vAlign w:val="center"/>
          </w:tcPr>
          <w:p w14:paraId="21F21E53">
            <w:pPr>
              <w:pStyle w:val="1535"/>
            </w:pPr>
            <w:r>
              <w:t>气态</w:t>
            </w:r>
          </w:p>
        </w:tc>
        <w:tc>
          <w:tcPr>
            <w:tcW w:w="1655" w:type="dxa"/>
            <w:vAlign w:val="center"/>
          </w:tcPr>
          <w:p w14:paraId="60821072">
            <w:pPr>
              <w:pStyle w:val="1535"/>
            </w:pPr>
            <w:r>
              <w:rPr>
                <w:rFonts w:hint="eastAsia"/>
              </w:rPr>
              <w:t>气站</w:t>
            </w:r>
          </w:p>
        </w:tc>
        <w:tc>
          <w:tcPr>
            <w:tcW w:w="1861" w:type="dxa"/>
            <w:vAlign w:val="center"/>
          </w:tcPr>
          <w:p w14:paraId="78BDCB63">
            <w:pPr>
              <w:pStyle w:val="1535"/>
            </w:pPr>
            <w:r>
              <w:t>有毒</w:t>
            </w:r>
          </w:p>
        </w:tc>
      </w:tr>
      <w:tr w14:paraId="4B62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7810B631">
            <w:pPr>
              <w:pStyle w:val="1535"/>
            </w:pPr>
            <w:r>
              <w:rPr>
                <w:rFonts w:hint="eastAsia"/>
              </w:rPr>
              <w:t>11</w:t>
            </w:r>
          </w:p>
        </w:tc>
        <w:tc>
          <w:tcPr>
            <w:tcW w:w="2187" w:type="dxa"/>
            <w:vAlign w:val="center"/>
          </w:tcPr>
          <w:p w14:paraId="342A80B8">
            <w:pPr>
              <w:pStyle w:val="1535"/>
            </w:pPr>
            <w:r>
              <w:rPr>
                <w:rFonts w:hint="eastAsia"/>
              </w:rPr>
              <w:t>导轨油</w:t>
            </w:r>
          </w:p>
        </w:tc>
        <w:tc>
          <w:tcPr>
            <w:tcW w:w="1543" w:type="dxa"/>
            <w:vAlign w:val="center"/>
          </w:tcPr>
          <w:p w14:paraId="5D98E3B1">
            <w:pPr>
              <w:pStyle w:val="1535"/>
            </w:pPr>
            <w:r>
              <w:rPr>
                <w:rFonts w:hint="eastAsia"/>
              </w:rPr>
              <w:t>/</w:t>
            </w:r>
          </w:p>
        </w:tc>
        <w:tc>
          <w:tcPr>
            <w:tcW w:w="1099" w:type="dxa"/>
            <w:vAlign w:val="center"/>
          </w:tcPr>
          <w:p w14:paraId="4D63D6C4">
            <w:pPr>
              <w:pStyle w:val="1535"/>
            </w:pPr>
            <w:r>
              <w:t>液态</w:t>
            </w:r>
          </w:p>
        </w:tc>
        <w:tc>
          <w:tcPr>
            <w:tcW w:w="1655" w:type="dxa"/>
            <w:vAlign w:val="center"/>
          </w:tcPr>
          <w:p w14:paraId="0A32F266">
            <w:pPr>
              <w:pStyle w:val="1535"/>
            </w:pPr>
            <w:r>
              <w:rPr>
                <w:rFonts w:hint="eastAsia"/>
              </w:rPr>
              <w:t>化学品库</w:t>
            </w:r>
          </w:p>
        </w:tc>
        <w:tc>
          <w:tcPr>
            <w:tcW w:w="1861" w:type="dxa"/>
            <w:vAlign w:val="center"/>
          </w:tcPr>
          <w:p w14:paraId="5F89FAAF">
            <w:pPr>
              <w:pStyle w:val="1535"/>
            </w:pPr>
            <w:r>
              <w:t>易燃</w:t>
            </w:r>
          </w:p>
        </w:tc>
      </w:tr>
      <w:tr w14:paraId="152C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2FC23A3F">
            <w:pPr>
              <w:pStyle w:val="1535"/>
            </w:pPr>
            <w:r>
              <w:rPr>
                <w:rFonts w:hint="eastAsia"/>
              </w:rPr>
              <w:t>12</w:t>
            </w:r>
          </w:p>
        </w:tc>
        <w:tc>
          <w:tcPr>
            <w:tcW w:w="2187" w:type="dxa"/>
            <w:vAlign w:val="center"/>
          </w:tcPr>
          <w:p w14:paraId="494142CD">
            <w:pPr>
              <w:pStyle w:val="1535"/>
            </w:pPr>
            <w:r>
              <w:rPr>
                <w:rFonts w:hint="eastAsia"/>
              </w:rPr>
              <w:t>异丙醇</w:t>
            </w:r>
          </w:p>
        </w:tc>
        <w:tc>
          <w:tcPr>
            <w:tcW w:w="1543" w:type="dxa"/>
            <w:vAlign w:val="center"/>
          </w:tcPr>
          <w:p w14:paraId="67AC89FD">
            <w:pPr>
              <w:pStyle w:val="1535"/>
            </w:pPr>
            <w:r>
              <w:t>67-63-0</w:t>
            </w:r>
          </w:p>
        </w:tc>
        <w:tc>
          <w:tcPr>
            <w:tcW w:w="1099" w:type="dxa"/>
            <w:vAlign w:val="center"/>
          </w:tcPr>
          <w:p w14:paraId="61368EBE">
            <w:pPr>
              <w:pStyle w:val="1535"/>
            </w:pPr>
            <w:r>
              <w:t>液态</w:t>
            </w:r>
          </w:p>
        </w:tc>
        <w:tc>
          <w:tcPr>
            <w:tcW w:w="1655" w:type="dxa"/>
            <w:vMerge w:val="restart"/>
            <w:vAlign w:val="center"/>
          </w:tcPr>
          <w:p w14:paraId="050EF514">
            <w:pPr>
              <w:pStyle w:val="1535"/>
            </w:pPr>
            <w:r>
              <w:rPr>
                <w:rFonts w:hint="eastAsia"/>
              </w:rPr>
              <w:t>化学品柜</w:t>
            </w:r>
          </w:p>
        </w:tc>
        <w:tc>
          <w:tcPr>
            <w:tcW w:w="1861" w:type="dxa"/>
            <w:vAlign w:val="center"/>
          </w:tcPr>
          <w:p w14:paraId="29DCC2E1">
            <w:pPr>
              <w:pStyle w:val="1535"/>
            </w:pPr>
            <w:r>
              <w:t>有毒</w:t>
            </w:r>
          </w:p>
        </w:tc>
      </w:tr>
      <w:tr w14:paraId="1BA9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792280F7">
            <w:pPr>
              <w:pStyle w:val="1535"/>
            </w:pPr>
            <w:r>
              <w:rPr>
                <w:rFonts w:hint="eastAsia"/>
              </w:rPr>
              <w:t>13</w:t>
            </w:r>
          </w:p>
        </w:tc>
        <w:tc>
          <w:tcPr>
            <w:tcW w:w="2187" w:type="dxa"/>
            <w:vAlign w:val="center"/>
          </w:tcPr>
          <w:p w14:paraId="3BBA7745">
            <w:pPr>
              <w:pStyle w:val="1535"/>
            </w:pPr>
            <w:r>
              <w:rPr>
                <w:rFonts w:hint="eastAsia"/>
              </w:rPr>
              <w:t>甲苯</w:t>
            </w:r>
          </w:p>
        </w:tc>
        <w:tc>
          <w:tcPr>
            <w:tcW w:w="1543" w:type="dxa"/>
            <w:vAlign w:val="center"/>
          </w:tcPr>
          <w:p w14:paraId="7B7E6F80">
            <w:pPr>
              <w:pStyle w:val="1535"/>
            </w:pPr>
            <w:r>
              <w:t>108-88-3</w:t>
            </w:r>
          </w:p>
        </w:tc>
        <w:tc>
          <w:tcPr>
            <w:tcW w:w="1099" w:type="dxa"/>
            <w:vAlign w:val="center"/>
          </w:tcPr>
          <w:p w14:paraId="3C886EBF">
            <w:pPr>
              <w:pStyle w:val="1535"/>
            </w:pPr>
            <w:r>
              <w:rPr>
                <w:rFonts w:hint="eastAsia"/>
              </w:rPr>
              <w:t>气态</w:t>
            </w:r>
          </w:p>
        </w:tc>
        <w:tc>
          <w:tcPr>
            <w:tcW w:w="1655" w:type="dxa"/>
            <w:vMerge w:val="continue"/>
            <w:vAlign w:val="center"/>
          </w:tcPr>
          <w:p w14:paraId="590D68EE">
            <w:pPr>
              <w:pStyle w:val="1535"/>
            </w:pPr>
          </w:p>
        </w:tc>
        <w:tc>
          <w:tcPr>
            <w:tcW w:w="1861" w:type="dxa"/>
            <w:vAlign w:val="center"/>
          </w:tcPr>
          <w:p w14:paraId="727F609A">
            <w:pPr>
              <w:pStyle w:val="1535"/>
            </w:pPr>
            <w:r>
              <w:t>有毒</w:t>
            </w:r>
          </w:p>
        </w:tc>
      </w:tr>
      <w:tr w14:paraId="77AB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621966C6">
            <w:pPr>
              <w:pStyle w:val="1535"/>
            </w:pPr>
            <w:r>
              <w:rPr>
                <w:rFonts w:hint="eastAsia"/>
              </w:rPr>
              <w:t>14</w:t>
            </w:r>
          </w:p>
        </w:tc>
        <w:tc>
          <w:tcPr>
            <w:tcW w:w="2187" w:type="dxa"/>
            <w:vAlign w:val="center"/>
          </w:tcPr>
          <w:p w14:paraId="0388A7EE">
            <w:pPr>
              <w:pStyle w:val="1535"/>
            </w:pPr>
            <w:r>
              <w:rPr>
                <w:rFonts w:hint="eastAsia"/>
              </w:rPr>
              <w:t>二氯甲烷</w:t>
            </w:r>
          </w:p>
        </w:tc>
        <w:tc>
          <w:tcPr>
            <w:tcW w:w="1543" w:type="dxa"/>
            <w:vAlign w:val="center"/>
          </w:tcPr>
          <w:p w14:paraId="2C9EFB73">
            <w:pPr>
              <w:pStyle w:val="1535"/>
            </w:pPr>
            <w:r>
              <w:t>75-09-2</w:t>
            </w:r>
          </w:p>
        </w:tc>
        <w:tc>
          <w:tcPr>
            <w:tcW w:w="1099" w:type="dxa"/>
            <w:vAlign w:val="center"/>
          </w:tcPr>
          <w:p w14:paraId="6A214823">
            <w:pPr>
              <w:pStyle w:val="1535"/>
            </w:pPr>
            <w:r>
              <w:t>液态</w:t>
            </w:r>
          </w:p>
        </w:tc>
        <w:tc>
          <w:tcPr>
            <w:tcW w:w="1655" w:type="dxa"/>
            <w:vMerge w:val="continue"/>
            <w:vAlign w:val="center"/>
          </w:tcPr>
          <w:p w14:paraId="19D94CFF">
            <w:pPr>
              <w:pStyle w:val="1535"/>
            </w:pPr>
          </w:p>
        </w:tc>
        <w:tc>
          <w:tcPr>
            <w:tcW w:w="1861" w:type="dxa"/>
            <w:vAlign w:val="center"/>
          </w:tcPr>
          <w:p w14:paraId="406B83CA">
            <w:pPr>
              <w:pStyle w:val="1535"/>
            </w:pPr>
            <w:r>
              <w:t>有毒</w:t>
            </w:r>
          </w:p>
        </w:tc>
      </w:tr>
      <w:tr w14:paraId="6B74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12607009">
            <w:pPr>
              <w:pStyle w:val="1535"/>
            </w:pPr>
            <w:r>
              <w:rPr>
                <w:rFonts w:hint="eastAsia"/>
              </w:rPr>
              <w:t>15</w:t>
            </w:r>
          </w:p>
        </w:tc>
        <w:tc>
          <w:tcPr>
            <w:tcW w:w="2187" w:type="dxa"/>
            <w:vAlign w:val="center"/>
          </w:tcPr>
          <w:p w14:paraId="18B6CC09">
            <w:pPr>
              <w:pStyle w:val="1535"/>
            </w:pPr>
            <w:r>
              <w:rPr>
                <w:rFonts w:hint="eastAsia"/>
              </w:rPr>
              <w:t>废切削液</w:t>
            </w:r>
          </w:p>
        </w:tc>
        <w:tc>
          <w:tcPr>
            <w:tcW w:w="1543" w:type="dxa"/>
            <w:vAlign w:val="center"/>
          </w:tcPr>
          <w:p w14:paraId="37BE22AD">
            <w:pPr>
              <w:pStyle w:val="1535"/>
            </w:pPr>
            <w:r>
              <w:rPr>
                <w:rFonts w:hint="eastAsia"/>
              </w:rPr>
              <w:t>/</w:t>
            </w:r>
          </w:p>
        </w:tc>
        <w:tc>
          <w:tcPr>
            <w:tcW w:w="1099" w:type="dxa"/>
            <w:vAlign w:val="center"/>
          </w:tcPr>
          <w:p w14:paraId="14452389">
            <w:pPr>
              <w:pStyle w:val="1535"/>
            </w:pPr>
            <w:r>
              <w:t>液态</w:t>
            </w:r>
          </w:p>
        </w:tc>
        <w:tc>
          <w:tcPr>
            <w:tcW w:w="1655" w:type="dxa"/>
            <w:vMerge w:val="restart"/>
            <w:vAlign w:val="center"/>
          </w:tcPr>
          <w:p w14:paraId="3B710CB2">
            <w:pPr>
              <w:pStyle w:val="1535"/>
            </w:pPr>
            <w:r>
              <w:rPr>
                <w:rFonts w:hint="eastAsia"/>
              </w:rPr>
              <w:t>危废贮存间</w:t>
            </w:r>
          </w:p>
        </w:tc>
        <w:tc>
          <w:tcPr>
            <w:tcW w:w="1861" w:type="dxa"/>
            <w:vAlign w:val="center"/>
          </w:tcPr>
          <w:p w14:paraId="7B00DEE7">
            <w:pPr>
              <w:pStyle w:val="1535"/>
            </w:pPr>
            <w:r>
              <w:t>易燃</w:t>
            </w:r>
          </w:p>
        </w:tc>
      </w:tr>
      <w:tr w14:paraId="13B3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887" w:type="dxa"/>
            <w:vAlign w:val="center"/>
          </w:tcPr>
          <w:p w14:paraId="66CAC68E">
            <w:pPr>
              <w:pStyle w:val="1535"/>
            </w:pPr>
            <w:r>
              <w:rPr>
                <w:rFonts w:hint="eastAsia"/>
              </w:rPr>
              <w:t>16</w:t>
            </w:r>
          </w:p>
        </w:tc>
        <w:tc>
          <w:tcPr>
            <w:tcW w:w="2187" w:type="dxa"/>
            <w:vAlign w:val="center"/>
          </w:tcPr>
          <w:p w14:paraId="0C302635">
            <w:pPr>
              <w:pStyle w:val="1535"/>
            </w:pPr>
            <w:r>
              <w:rPr>
                <w:rFonts w:hint="eastAsia"/>
              </w:rPr>
              <w:t>废机油</w:t>
            </w:r>
          </w:p>
        </w:tc>
        <w:tc>
          <w:tcPr>
            <w:tcW w:w="1543" w:type="dxa"/>
            <w:vAlign w:val="center"/>
          </w:tcPr>
          <w:p w14:paraId="2E3672F5">
            <w:pPr>
              <w:pStyle w:val="1535"/>
            </w:pPr>
            <w:r>
              <w:rPr>
                <w:rFonts w:hint="eastAsia"/>
              </w:rPr>
              <w:t>/</w:t>
            </w:r>
          </w:p>
        </w:tc>
        <w:tc>
          <w:tcPr>
            <w:tcW w:w="1099" w:type="dxa"/>
            <w:vAlign w:val="center"/>
          </w:tcPr>
          <w:p w14:paraId="79E4E137">
            <w:pPr>
              <w:pStyle w:val="1535"/>
            </w:pPr>
            <w:r>
              <w:t>液态</w:t>
            </w:r>
          </w:p>
        </w:tc>
        <w:tc>
          <w:tcPr>
            <w:tcW w:w="1655" w:type="dxa"/>
            <w:vMerge w:val="continue"/>
            <w:vAlign w:val="center"/>
          </w:tcPr>
          <w:p w14:paraId="5CA0EE5E">
            <w:pPr>
              <w:pStyle w:val="1535"/>
            </w:pPr>
          </w:p>
        </w:tc>
        <w:tc>
          <w:tcPr>
            <w:tcW w:w="1861" w:type="dxa"/>
            <w:vAlign w:val="center"/>
          </w:tcPr>
          <w:p w14:paraId="24E581DD">
            <w:pPr>
              <w:pStyle w:val="1535"/>
            </w:pPr>
            <w:r>
              <w:t>易燃</w:t>
            </w:r>
          </w:p>
        </w:tc>
      </w:tr>
    </w:tbl>
    <w:p w14:paraId="715248D8">
      <w:pPr>
        <w:pStyle w:val="5"/>
        <w:rPr>
          <w:color w:val="000000" w:themeColor="text1"/>
          <w14:textFill>
            <w14:solidFill>
              <w14:schemeClr w14:val="tx1"/>
            </w14:solidFill>
          </w14:textFill>
        </w:rPr>
      </w:pPr>
      <w:r>
        <w:rPr>
          <w:color w:val="000000" w:themeColor="text1"/>
          <w14:textFill>
            <w14:solidFill>
              <w14:schemeClr w14:val="tx1"/>
            </w14:solidFill>
          </w14:textFill>
        </w:rPr>
        <w:t>生产系统危险性识别</w:t>
      </w:r>
    </w:p>
    <w:p w14:paraId="7CC16CF8">
      <w:pPr>
        <w:ind w:firstLine="520"/>
        <w:rPr>
          <w:color w:val="000000" w:themeColor="text1"/>
          <w:spacing w:val="-5"/>
          <w14:textFill>
            <w14:solidFill>
              <w14:schemeClr w14:val="tx1"/>
            </w14:solidFill>
          </w14:textFill>
        </w:rPr>
      </w:pPr>
      <w:r>
        <w:rPr>
          <w:color w:val="000000" w:themeColor="text1"/>
          <w14:textFill>
            <w14:solidFill>
              <w14:schemeClr w14:val="tx1"/>
            </w14:solidFill>
          </w14:textFill>
        </w:rPr>
        <w:t>扩建项目风险类型主要为仓储、生产过程中出现的物料泄漏及因此而造成的环境风险，</w:t>
      </w:r>
      <w:r>
        <w:rPr>
          <w:color w:val="000000" w:themeColor="text1"/>
          <w:spacing w:val="-5"/>
          <w14:textFill>
            <w14:solidFill>
              <w14:schemeClr w14:val="tx1"/>
            </w14:solidFill>
          </w14:textFill>
        </w:rPr>
        <w:t>不考虑自然灾害如地震、洪水、台风等引起的事故风险。</w:t>
      </w:r>
    </w:p>
    <w:p w14:paraId="237E5284">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生产过程危险性识别</w:t>
      </w:r>
    </w:p>
    <w:p w14:paraId="40306580">
      <w:pPr>
        <w:ind w:firstLine="520"/>
        <w:rPr>
          <w:color w:val="000000" w:themeColor="text1"/>
          <w14:textFill>
            <w14:solidFill>
              <w14:schemeClr w14:val="tx1"/>
            </w14:solidFill>
          </w14:textFill>
        </w:rPr>
      </w:pPr>
      <w:r>
        <w:rPr>
          <w:color w:val="000000" w:themeColor="text1"/>
          <w14:textFill>
            <w14:solidFill>
              <w14:schemeClr w14:val="tx1"/>
            </w14:solidFill>
          </w14:textFill>
        </w:rPr>
        <w:t>生产设施风险识别范围主要包括生产装置、贮运系统、公用工程系统、辅助生产设施及环保工程。扩建项目在碳化硅气相沉积工艺</w:t>
      </w:r>
      <w:r>
        <w:rPr>
          <w:rFonts w:hint="eastAsia"/>
          <w:color w:val="000000" w:themeColor="text1"/>
          <w:lang w:eastAsia="zh-CN"/>
          <w14:textFill>
            <w14:solidFill>
              <w14:schemeClr w14:val="tx1"/>
            </w14:solidFill>
          </w14:textFill>
        </w:rPr>
        <w:t>涉及</w:t>
      </w:r>
      <w:r>
        <w:rPr>
          <w:color w:val="000000" w:themeColor="text1"/>
          <w14:textFill>
            <w14:solidFill>
              <w14:schemeClr w14:val="tx1"/>
            </w14:solidFill>
          </w14:textFill>
        </w:rPr>
        <w:t>危险化学品的使用。在生产中过程中CVD炉等生产设备出现破损、或物料转移的过程出现泄漏，进而污染环境空气，或危害人体健康，造成损失。</w:t>
      </w:r>
    </w:p>
    <w:p w14:paraId="1BB2A749">
      <w:pPr>
        <w:ind w:firstLine="520"/>
        <w:rPr>
          <w:color w:val="000000" w:themeColor="text1"/>
          <w14:textFill>
            <w14:solidFill>
              <w14:schemeClr w14:val="tx1"/>
            </w14:solidFill>
          </w14:textFill>
        </w:rPr>
      </w:pPr>
      <w:r>
        <w:rPr>
          <w:color w:val="000000" w:themeColor="text1"/>
          <w14:textFill>
            <w14:solidFill>
              <w14:schemeClr w14:val="tx1"/>
            </w14:solidFill>
          </w14:textFill>
        </w:rPr>
        <w:t>火灾、爆炸和MTS泄漏是扩建项目生产过程中的主要风险事故，生产过程中风险事故的发生主要包括两方面的情形，一是外界因素的影响，二是生产工艺过程异常。</w:t>
      </w:r>
    </w:p>
    <w:p w14:paraId="2FC84F7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外界因素影响引起的潜在风险事故</w:t>
      </w:r>
    </w:p>
    <w:p w14:paraId="329C9D89">
      <w:pPr>
        <w:ind w:firstLine="520"/>
        <w:rPr>
          <w:color w:val="000000" w:themeColor="text1"/>
          <w14:textFill>
            <w14:solidFill>
              <w14:schemeClr w14:val="tx1"/>
            </w14:solidFill>
          </w14:textFill>
        </w:rPr>
      </w:pPr>
      <w:r>
        <w:rPr>
          <w:color w:val="000000" w:themeColor="text1"/>
          <w14:textFill>
            <w14:solidFill>
              <w14:schemeClr w14:val="tx1"/>
            </w14:solidFill>
          </w14:textFill>
        </w:rPr>
        <w:t>当发生停水、停电等紧急故障或各种不可抵抗的自然灾害时可能会使易燃或有毒气体输送管弯裂，导致气体外泄而引发各种风险事故；当</w:t>
      </w:r>
      <w:r>
        <w:rPr>
          <w:rFonts w:hint="eastAsia"/>
          <w:color w:val="000000" w:themeColor="text1"/>
          <w:lang w:eastAsia="zh-CN"/>
          <w14:textFill>
            <w14:solidFill>
              <w14:schemeClr w14:val="tx1"/>
            </w14:solidFill>
          </w14:textFill>
        </w:rPr>
        <w:t>气候变化</w:t>
      </w:r>
      <w:r>
        <w:rPr>
          <w:color w:val="000000" w:themeColor="text1"/>
          <w14:textFill>
            <w14:solidFill>
              <w14:schemeClr w14:val="tx1"/>
            </w14:solidFill>
          </w14:textFill>
        </w:rPr>
        <w:t>，尤其是气温突然升高，致使储藏气体钢瓶室内温度超过要求的储藏温度，钢瓶内气体膨胀，导致外泄或爆炸。</w:t>
      </w:r>
    </w:p>
    <w:p w14:paraId="3D54516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生产过程异常导致的潜在风险事故</w:t>
      </w:r>
    </w:p>
    <w:p w14:paraId="66C4DFCC">
      <w:pPr>
        <w:ind w:firstLine="520"/>
        <w:rPr>
          <w:color w:val="000000" w:themeColor="text1"/>
          <w14:textFill>
            <w14:solidFill>
              <w14:schemeClr w14:val="tx1"/>
            </w14:solidFill>
          </w14:textFill>
        </w:rPr>
      </w:pPr>
      <w:r>
        <w:rPr>
          <w:color w:val="000000" w:themeColor="text1"/>
          <w14:textFill>
            <w14:solidFill>
              <w14:schemeClr w14:val="tx1"/>
            </w14:solidFill>
          </w14:textFill>
        </w:rPr>
        <w:t>根据项目各个装置的工艺流程，识别出生产过程异常导致的潜在风险事故有：生产中使用的易燃易爆气体，如MTS、H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等，一旦在生产过程中发生泄漏，很容易与空气形成爆炸性混合物，遇火源会发生燃烧、爆炸和中毒事故。</w:t>
      </w:r>
    </w:p>
    <w:p w14:paraId="29CA7219">
      <w:pPr>
        <w:ind w:firstLine="520"/>
        <w:rPr>
          <w:color w:val="000000" w:themeColor="text1"/>
          <w14:textFill>
            <w14:solidFill>
              <w14:schemeClr w14:val="tx1"/>
            </w14:solidFill>
          </w14:textFill>
        </w:rPr>
      </w:pPr>
      <w:r>
        <w:rPr>
          <w:color w:val="000000" w:themeColor="text1"/>
          <w14:textFill>
            <w14:solidFill>
              <w14:schemeClr w14:val="tx1"/>
            </w14:solidFill>
          </w14:textFill>
        </w:rPr>
        <w:t>2、贮运过程中的潜在的风险识别</w:t>
      </w:r>
    </w:p>
    <w:p w14:paraId="5687EC84">
      <w:pPr>
        <w:ind w:firstLine="520"/>
        <w:rPr>
          <w:color w:val="000000" w:themeColor="text1"/>
          <w14:textFill>
            <w14:solidFill>
              <w14:schemeClr w14:val="tx1"/>
            </w14:solidFill>
          </w14:textFill>
        </w:rPr>
      </w:pPr>
      <w:r>
        <w:rPr>
          <w:color w:val="000000" w:themeColor="text1"/>
          <w14:textFill>
            <w14:solidFill>
              <w14:schemeClr w14:val="tx1"/>
            </w14:solidFill>
          </w14:textFill>
        </w:rPr>
        <w:t>（1）贮存过程中潜在的风险识别</w:t>
      </w:r>
    </w:p>
    <w:p w14:paraId="37897013">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扩建项目风险物质H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储存于气站中，甲基三氯硅烷存放在MTS贮存间；各类酸碱分类存放于化学品库。危险废物运输过程中的主要风险因素为人为违规操作、运输车辆状况不良、遇到极端天气、装运时非正确包装等。使用的危险化学品如贮存不当，极易发生风险事故。主要为：</w:t>
      </w:r>
    </w:p>
    <w:p w14:paraId="2E9D66DD">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易燃液体在贮存过程中，由于储罐泄漏或管道破损发生泄漏，在遇到明火或高热的情况下，会引起燃烧爆炸，其次是泄漏源切断不及时，进入下水道，甚至进入水体污染水质；</w:t>
      </w:r>
    </w:p>
    <w:p w14:paraId="677FFD95">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易燃易爆气体如在储存过程中管理不当或储存方式不符合规定要求，会引起火灾、爆炸事故；易燃易爆气体在储存过程中若发生泄漏，达到一定的爆炸限值或遇高温、明火等将发生火灾或爆炸事故；</w:t>
      </w:r>
    </w:p>
    <w:p w14:paraId="34301A0B">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有毒气体在储存过程中若发生泄漏，一方面其有毒气体将污染环境空气质量，同时殃及人体健康，造成人员的伤亡；另一方面一部分有毒气体泄漏与空气混合至一定极限或遇明火后将会引起火灾和爆炸事故；</w:t>
      </w:r>
    </w:p>
    <w:p w14:paraId="3463D477">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易燃和有毒气体运输过程中若不按照规定要求运输，发生泄漏、倾倒等事故将会发生火灾、爆炸和污染事故。</w:t>
      </w:r>
    </w:p>
    <w:p w14:paraId="74DAA31B">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物料存放时因露天暴晒、地面积水、通风不良等情况，未能满足一定的温度、压力等必要储存条件时，可能发生各种不同的事故；桶装容器破坏、包装不符合要求时，物料产生泄漏事故；储存场所装卸、搬运过程中，违规使用金属工具、开启密封容器时撞击摩擦、违规堆垛、野蛮装卸等，都可能引发泄漏事故。</w:t>
      </w:r>
    </w:p>
    <w:p w14:paraId="02B046C3">
      <w:pPr>
        <w:ind w:firstLine="520"/>
        <w:rPr>
          <w:color w:val="000000" w:themeColor="text1"/>
          <w14:textFill>
            <w14:solidFill>
              <w14:schemeClr w14:val="tx1"/>
            </w14:solidFill>
          </w14:textFill>
        </w:rPr>
      </w:pPr>
      <w:r>
        <w:rPr>
          <w:color w:val="000000" w:themeColor="text1"/>
          <w14:textFill>
            <w14:solidFill>
              <w14:schemeClr w14:val="tx1"/>
            </w14:solidFill>
          </w14:textFill>
        </w:rPr>
        <w:t>（2）运输过程中潜在的风险识别</w:t>
      </w:r>
    </w:p>
    <w:p w14:paraId="3F97555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MTS、氢气、氯化氢、氢氟酸、硝酸、硫酸、乙酸等易燃易爆、强氧化性、毒性的危险化学品运输时运输车辆应配备相应品种和数量的消防器材。</w:t>
      </w:r>
    </w:p>
    <w:p w14:paraId="2BB2EFA3">
      <w:pPr>
        <w:ind w:firstLine="520"/>
        <w:rPr>
          <w:color w:val="000000" w:themeColor="text1"/>
          <w14:textFill>
            <w14:solidFill>
              <w14:schemeClr w14:val="tx1"/>
            </w14:solidFill>
          </w14:textFill>
        </w:rPr>
      </w:pPr>
      <w:r>
        <w:rPr>
          <w:color w:val="000000" w:themeColor="text1"/>
          <w14:textFill>
            <w14:solidFill>
              <w14:schemeClr w14:val="tx1"/>
            </w14:solidFill>
          </w14:textFill>
        </w:rPr>
        <w:t>装运该物品的车辆排气管必须配备阻火装置，禁止使用易产生火花的机械设备和工具装卸。夏季应早晚运输，防止日光曝晒。中途停留时应远离火种、热源。公路运输时要按规定路线行驶，勿在居民区和人口稠密区停留。</w:t>
      </w:r>
    </w:p>
    <w:p w14:paraId="0AA00DB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运输人员玩忽职守，未严格遵守</w:t>
      </w:r>
      <w:r>
        <w:rPr>
          <w:rFonts w:hint="eastAsia"/>
          <w:color w:val="000000" w:themeColor="text1"/>
          <w:lang w:eastAsia="zh-CN"/>
          <w14:textFill>
            <w14:solidFill>
              <w14:schemeClr w14:val="tx1"/>
            </w14:solidFill>
          </w14:textFill>
        </w:rPr>
        <w:t>《危险化学品安全管理条例》</w:t>
      </w:r>
      <w:r>
        <w:rPr>
          <w:color w:val="000000" w:themeColor="text1"/>
          <w14:textFill>
            <w14:solidFill>
              <w14:schemeClr w14:val="tx1"/>
            </w14:solidFill>
          </w14:textFill>
        </w:rPr>
        <w:t>中有关危险化学品运输管理规定，如无证上岗、不熟悉物料特性、未对罐体采取有效防护措施（防晒、防火、粘贴危险标志等），使罐体内物料泄漏发生危险事故。</w:t>
      </w:r>
    </w:p>
    <w:p w14:paraId="393A1219">
      <w:pPr>
        <w:ind w:firstLine="520"/>
        <w:rPr>
          <w:color w:val="000000" w:themeColor="text1"/>
          <w14:textFill>
            <w14:solidFill>
              <w14:schemeClr w14:val="tx1"/>
            </w14:solidFill>
          </w14:textFill>
        </w:rPr>
      </w:pPr>
      <w:r>
        <w:rPr>
          <w:color w:val="000000" w:themeColor="text1"/>
          <w14:textFill>
            <w14:solidFill>
              <w14:schemeClr w14:val="tx1"/>
            </w14:solidFill>
          </w14:textFill>
        </w:rPr>
        <w:t>（3）事故引发的伴生/次生风险识别</w:t>
      </w:r>
    </w:p>
    <w:p w14:paraId="03D517E9">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消防废水</w:t>
      </w:r>
    </w:p>
    <w:p w14:paraId="2102FC6B">
      <w:pPr>
        <w:ind w:firstLine="520"/>
        <w:rPr>
          <w:color w:val="000000" w:themeColor="text1"/>
          <w14:textFill>
            <w14:solidFill>
              <w14:schemeClr w14:val="tx1"/>
            </w14:solidFill>
          </w14:textFill>
        </w:rPr>
      </w:pPr>
      <w:r>
        <w:rPr>
          <w:color w:val="000000" w:themeColor="text1"/>
          <w14:textFill>
            <w14:solidFill>
              <w14:schemeClr w14:val="tx1"/>
            </w14:solidFill>
          </w14:textFill>
        </w:rPr>
        <w:t>生产装置、化学品库区、危废贮存设施一旦泄漏导致出现火情，储罐、中间槽和化学品包装桶产生的消防废水会携带部分危险化学品，若不能及时得到有效收集和处置，将会对周围环境造成不同程度的影响。</w:t>
      </w:r>
    </w:p>
    <w:p w14:paraId="0A9A663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火灾事故发生后产生的烟气</w:t>
      </w:r>
    </w:p>
    <w:p w14:paraId="60513C67">
      <w:pPr>
        <w:ind w:firstLine="520"/>
        <w:rPr>
          <w:color w:val="000000" w:themeColor="text1"/>
          <w14:textFill>
            <w14:solidFill>
              <w14:schemeClr w14:val="tx1"/>
            </w14:solidFill>
          </w14:textFill>
        </w:rPr>
      </w:pPr>
      <w:r>
        <w:rPr>
          <w:color w:val="000000" w:themeColor="text1"/>
          <w14:textFill>
            <w14:solidFill>
              <w14:schemeClr w14:val="tx1"/>
            </w14:solidFill>
          </w14:textFill>
        </w:rPr>
        <w:t>火灾事故发生时可能出现不完全燃烧产生CO等有毒有害的燃烧烟气，对周围环境造成污染。</w:t>
      </w:r>
    </w:p>
    <w:p w14:paraId="27871A21">
      <w:pPr>
        <w:pStyle w:val="5"/>
        <w:rPr>
          <w:color w:val="000000" w:themeColor="text1"/>
          <w14:textFill>
            <w14:solidFill>
              <w14:schemeClr w14:val="tx1"/>
            </w14:solidFill>
          </w14:textFill>
        </w:rPr>
      </w:pPr>
      <w:r>
        <w:rPr>
          <w:color w:val="000000" w:themeColor="text1"/>
          <w14:textFill>
            <w14:solidFill>
              <w14:schemeClr w14:val="tx1"/>
            </w14:solidFill>
          </w14:textFill>
        </w:rPr>
        <w:t>危险物质向环境转移的途径识别</w:t>
      </w:r>
    </w:p>
    <w:p w14:paraId="05022E3F">
      <w:pPr>
        <w:ind w:firstLine="520"/>
        <w:rPr>
          <w:color w:val="000000" w:themeColor="text1"/>
          <w14:textFill>
            <w14:solidFill>
              <w14:schemeClr w14:val="tx1"/>
            </w14:solidFill>
          </w14:textFill>
        </w:rPr>
      </w:pPr>
      <w:r>
        <w:rPr>
          <w:color w:val="000000" w:themeColor="text1"/>
          <w14:textFill>
            <w14:solidFill>
              <w14:schemeClr w14:val="tx1"/>
            </w14:solidFill>
          </w14:textFill>
        </w:rPr>
        <w:t>发生易燃气体泄漏后，挥发进入大气可能造成环境污染；易燃气体泄漏后遇明火、高热等会引起燃烧，不完全燃烧可能产生有毒气体CO、光气和HCl等，进入大气环境造成污染。</w:t>
      </w:r>
    </w:p>
    <w:p w14:paraId="3FB4DA96">
      <w:pPr>
        <w:ind w:firstLine="520"/>
        <w:rPr>
          <w:color w:val="000000" w:themeColor="text1"/>
          <w14:textFill>
            <w14:solidFill>
              <w14:schemeClr w14:val="tx1"/>
            </w14:solidFill>
          </w14:textFill>
        </w:rPr>
      </w:pPr>
      <w:r>
        <w:rPr>
          <w:color w:val="000000" w:themeColor="text1"/>
          <w14:textFill>
            <w14:solidFill>
              <w14:schemeClr w14:val="tx1"/>
            </w14:solidFill>
          </w14:textFill>
        </w:rPr>
        <w:t>硝酸、盐酸、氢氟酸、氢氧化钾溶液、氨水、硫酸等液体发生泄漏后，若不及时采取措施，液体有可能通过地表径流、渗漏或雨水管等进入土壤、地下水及地表水，造成水体污染。</w:t>
      </w:r>
    </w:p>
    <w:p w14:paraId="18329312">
      <w:pPr>
        <w:pStyle w:val="5"/>
        <w:rPr>
          <w:color w:val="000000" w:themeColor="text1"/>
          <w14:textFill>
            <w14:solidFill>
              <w14:schemeClr w14:val="tx1"/>
            </w14:solidFill>
          </w14:textFill>
        </w:rPr>
      </w:pPr>
      <w:r>
        <w:rPr>
          <w:color w:val="000000" w:themeColor="text1"/>
          <w14:textFill>
            <w14:solidFill>
              <w14:schemeClr w14:val="tx1"/>
            </w14:solidFill>
          </w14:textFill>
        </w:rPr>
        <w:t>风险识别结果</w:t>
      </w:r>
    </w:p>
    <w:p w14:paraId="6740E690">
      <w:pPr>
        <w:ind w:firstLine="520"/>
        <w:rPr>
          <w:color w:val="000000" w:themeColor="text1"/>
          <w14:textFill>
            <w14:solidFill>
              <w14:schemeClr w14:val="tx1"/>
            </w14:solidFill>
          </w14:textFill>
        </w:rPr>
      </w:pPr>
      <w:r>
        <w:rPr>
          <w:color w:val="000000" w:themeColor="text1"/>
          <w14:textFill>
            <w14:solidFill>
              <w14:schemeClr w14:val="tx1"/>
            </w14:solidFill>
          </w14:textFill>
        </w:rPr>
        <w:t>结合危险物质识别及生产系统危险性识别，根据平面布置功能区划，评估确定企业共有9个环境风险单元，依据命名规则ER-（EnvironmentalRisk）-1（风险源编号）（风险源名称），企业涉及的环境风险源编号及名称分别为：ER-1危化品库、ER-2MTS贮存间、ER-3氢气站、ER-4危废贮存设施、ER-5切削液回收车间、ER-6单晶硅测试间。企业涉及的主要危险单元及其危险性分析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_Ref160557135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表7.4</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FDA1806">
      <w:pPr>
        <w:spacing w:before="32"/>
        <w:ind w:firstLine="0" w:firstLineChars="0"/>
        <w:jc w:val="center"/>
        <w:rPr>
          <w:color w:val="000000" w:themeColor="text1"/>
          <w14:textFill>
            <w14:solidFill>
              <w14:schemeClr w14:val="tx1"/>
            </w14:solidFill>
          </w14:textFill>
        </w:rPr>
      </w:pPr>
      <w:bookmarkStart w:id="336" w:name="_Ref160557135"/>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2</w:t>
      </w:r>
      <w:r>
        <w:rPr>
          <w:color w:val="000000" w:themeColor="text1"/>
          <w:szCs w:val="26"/>
          <w14:textFill>
            <w14:solidFill>
              <w14:schemeClr w14:val="tx1"/>
            </w14:solidFill>
          </w14:textFill>
        </w:rPr>
        <w:fldChar w:fldCharType="end"/>
      </w:r>
      <w:bookmarkEnd w:id="336"/>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环境风险识别结果</w:t>
      </w:r>
    </w:p>
    <w:tbl>
      <w:tblPr>
        <w:tblStyle w:val="88"/>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129"/>
        <w:gridCol w:w="993"/>
        <w:gridCol w:w="1275"/>
        <w:gridCol w:w="993"/>
        <w:gridCol w:w="3685"/>
        <w:gridCol w:w="1383"/>
      </w:tblGrid>
      <w:tr w14:paraId="40E9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129" w:type="dxa"/>
            <w:vAlign w:val="center"/>
          </w:tcPr>
          <w:p w14:paraId="2CD885BB">
            <w:pPr>
              <w:pStyle w:val="1535"/>
            </w:pPr>
            <w:r>
              <w:t>危险单元</w:t>
            </w:r>
          </w:p>
        </w:tc>
        <w:tc>
          <w:tcPr>
            <w:tcW w:w="993" w:type="dxa"/>
            <w:vAlign w:val="center"/>
          </w:tcPr>
          <w:p w14:paraId="098F31D3">
            <w:pPr>
              <w:pStyle w:val="1535"/>
            </w:pPr>
            <w:r>
              <w:t>风险源</w:t>
            </w:r>
          </w:p>
        </w:tc>
        <w:tc>
          <w:tcPr>
            <w:tcW w:w="1275" w:type="dxa"/>
            <w:vAlign w:val="center"/>
          </w:tcPr>
          <w:p w14:paraId="55772BCA">
            <w:pPr>
              <w:pStyle w:val="1535"/>
            </w:pPr>
            <w:r>
              <w:t>风险物质</w:t>
            </w:r>
          </w:p>
        </w:tc>
        <w:tc>
          <w:tcPr>
            <w:tcW w:w="993" w:type="dxa"/>
            <w:vAlign w:val="center"/>
          </w:tcPr>
          <w:p w14:paraId="57D7D0CE">
            <w:pPr>
              <w:pStyle w:val="1535"/>
            </w:pPr>
            <w:r>
              <w:t>环境风险类型</w:t>
            </w:r>
          </w:p>
        </w:tc>
        <w:tc>
          <w:tcPr>
            <w:tcW w:w="3685" w:type="dxa"/>
            <w:vAlign w:val="center"/>
          </w:tcPr>
          <w:p w14:paraId="0D72424F">
            <w:pPr>
              <w:pStyle w:val="1535"/>
            </w:pPr>
            <w:r>
              <w:t>环境影响途径</w:t>
            </w:r>
          </w:p>
        </w:tc>
        <w:tc>
          <w:tcPr>
            <w:tcW w:w="1383" w:type="dxa"/>
            <w:vAlign w:val="center"/>
          </w:tcPr>
          <w:p w14:paraId="73669182">
            <w:pPr>
              <w:pStyle w:val="1535"/>
            </w:pPr>
            <w:r>
              <w:t>可能受影响的环境敏感目标</w:t>
            </w:r>
          </w:p>
        </w:tc>
      </w:tr>
      <w:tr w14:paraId="5846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129" w:type="dxa"/>
            <w:vAlign w:val="center"/>
          </w:tcPr>
          <w:p w14:paraId="4C702DBE">
            <w:pPr>
              <w:pStyle w:val="1535"/>
            </w:pPr>
            <w:r>
              <w:t>ER-1、蚀刻槽、清洗槽</w:t>
            </w:r>
          </w:p>
        </w:tc>
        <w:tc>
          <w:tcPr>
            <w:tcW w:w="993" w:type="dxa"/>
            <w:vAlign w:val="center"/>
          </w:tcPr>
          <w:p w14:paraId="0697BC93">
            <w:pPr>
              <w:pStyle w:val="1535"/>
            </w:pPr>
            <w:r>
              <w:t>化学品库</w:t>
            </w:r>
          </w:p>
        </w:tc>
        <w:tc>
          <w:tcPr>
            <w:tcW w:w="1275" w:type="dxa"/>
            <w:vAlign w:val="center"/>
          </w:tcPr>
          <w:p w14:paraId="062A121F">
            <w:pPr>
              <w:pStyle w:val="1535"/>
            </w:pPr>
            <w:r>
              <w:t>氢氟酸</w:t>
            </w:r>
            <w:r>
              <w:rPr>
                <w:rFonts w:hint="eastAsia"/>
              </w:rPr>
              <w:t>、</w:t>
            </w:r>
            <w:r>
              <w:t>硝酸</w:t>
            </w:r>
            <w:r>
              <w:rPr>
                <w:rFonts w:hint="eastAsia"/>
              </w:rPr>
              <w:t>、</w:t>
            </w:r>
            <w:r>
              <w:t>盐酸</w:t>
            </w:r>
            <w:r>
              <w:rPr>
                <w:rFonts w:hint="eastAsia"/>
              </w:rPr>
              <w:t>、</w:t>
            </w:r>
            <w:r>
              <w:t>氯化氢</w:t>
            </w:r>
            <w:r>
              <w:rPr>
                <w:rFonts w:hint="eastAsia"/>
              </w:rPr>
              <w:t>、</w:t>
            </w:r>
            <w:r>
              <w:t>乙酸</w:t>
            </w:r>
            <w:r>
              <w:rPr>
                <w:rFonts w:hint="eastAsia"/>
              </w:rPr>
              <w:t>、</w:t>
            </w:r>
            <w:r>
              <w:t>硫酸</w:t>
            </w:r>
          </w:p>
        </w:tc>
        <w:tc>
          <w:tcPr>
            <w:tcW w:w="993" w:type="dxa"/>
            <w:vAlign w:val="center"/>
          </w:tcPr>
          <w:p w14:paraId="1705E404">
            <w:pPr>
              <w:pStyle w:val="1535"/>
            </w:pPr>
            <w:r>
              <w:t>泄漏</w:t>
            </w:r>
          </w:p>
        </w:tc>
        <w:tc>
          <w:tcPr>
            <w:tcW w:w="3685" w:type="dxa"/>
            <w:vAlign w:val="center"/>
          </w:tcPr>
          <w:p w14:paraId="58091C22">
            <w:pPr>
              <w:pStyle w:val="1535"/>
            </w:pPr>
            <w:r>
              <w:t>泄漏后挥发扩散影响环境空气及人体健康；溢流进入雨水管网从而影响地表水；泄漏物质通过地面下渗影响地下水、土壤。</w:t>
            </w:r>
          </w:p>
        </w:tc>
        <w:tc>
          <w:tcPr>
            <w:tcW w:w="1383" w:type="dxa"/>
            <w:vAlign w:val="center"/>
          </w:tcPr>
          <w:p w14:paraId="70892468">
            <w:pPr>
              <w:pStyle w:val="1535"/>
            </w:pPr>
            <w:r>
              <w:t>大气、地表水、地下水、土壤</w:t>
            </w:r>
          </w:p>
        </w:tc>
      </w:tr>
      <w:tr w14:paraId="34FC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129" w:type="dxa"/>
            <w:vAlign w:val="center"/>
          </w:tcPr>
          <w:p w14:paraId="292AC359">
            <w:pPr>
              <w:pStyle w:val="1535"/>
            </w:pPr>
            <w:r>
              <w:t>ER-2</w:t>
            </w:r>
          </w:p>
        </w:tc>
        <w:tc>
          <w:tcPr>
            <w:tcW w:w="993" w:type="dxa"/>
            <w:vAlign w:val="center"/>
          </w:tcPr>
          <w:p w14:paraId="6894FB41">
            <w:pPr>
              <w:pStyle w:val="1535"/>
            </w:pPr>
            <w:r>
              <w:t>MTS贮存间</w:t>
            </w:r>
          </w:p>
        </w:tc>
        <w:tc>
          <w:tcPr>
            <w:tcW w:w="1275" w:type="dxa"/>
            <w:vAlign w:val="center"/>
          </w:tcPr>
          <w:p w14:paraId="3677E938">
            <w:pPr>
              <w:pStyle w:val="1535"/>
            </w:pPr>
            <w:r>
              <w:t>甲基三氯硅烷（MTS）</w:t>
            </w:r>
          </w:p>
        </w:tc>
        <w:tc>
          <w:tcPr>
            <w:tcW w:w="993" w:type="dxa"/>
            <w:vAlign w:val="center"/>
          </w:tcPr>
          <w:p w14:paraId="313AE5CE">
            <w:pPr>
              <w:pStyle w:val="1535"/>
            </w:pPr>
            <w:r>
              <w:t>泄漏、爆炸</w:t>
            </w:r>
          </w:p>
        </w:tc>
        <w:tc>
          <w:tcPr>
            <w:tcW w:w="3685" w:type="dxa"/>
            <w:vAlign w:val="center"/>
          </w:tcPr>
          <w:p w14:paraId="3B8EEF38">
            <w:pPr>
              <w:pStyle w:val="1535"/>
            </w:pPr>
            <w:r>
              <w:t>泄漏物不及时收集可能流入水体污染水环境；泄漏气体及爆炸的伴生/次生污染物扩散影响环境空气及人体健康；溢流进入雨水管网从而影响地表水；泄漏物质通过地面下渗影响地下水、土壤。</w:t>
            </w:r>
          </w:p>
        </w:tc>
        <w:tc>
          <w:tcPr>
            <w:tcW w:w="1383" w:type="dxa"/>
            <w:vAlign w:val="center"/>
          </w:tcPr>
          <w:p w14:paraId="757C19F2">
            <w:pPr>
              <w:pStyle w:val="1535"/>
            </w:pPr>
            <w:r>
              <w:t>大气、地表水、地下水、土壤</w:t>
            </w:r>
          </w:p>
        </w:tc>
      </w:tr>
      <w:tr w14:paraId="4ABE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129" w:type="dxa"/>
            <w:vAlign w:val="center"/>
          </w:tcPr>
          <w:p w14:paraId="502D230F">
            <w:pPr>
              <w:pStyle w:val="1535"/>
            </w:pPr>
            <w:r>
              <w:t>ER-3</w:t>
            </w:r>
          </w:p>
        </w:tc>
        <w:tc>
          <w:tcPr>
            <w:tcW w:w="993" w:type="dxa"/>
            <w:vAlign w:val="center"/>
          </w:tcPr>
          <w:p w14:paraId="6EA6D11C">
            <w:pPr>
              <w:pStyle w:val="1535"/>
            </w:pPr>
            <w:r>
              <w:t>气站</w:t>
            </w:r>
          </w:p>
        </w:tc>
        <w:tc>
          <w:tcPr>
            <w:tcW w:w="1275" w:type="dxa"/>
            <w:vAlign w:val="center"/>
          </w:tcPr>
          <w:p w14:paraId="10B11723">
            <w:pPr>
              <w:pStyle w:val="1535"/>
            </w:pPr>
            <w:r>
              <w:t>氢气</w:t>
            </w:r>
          </w:p>
        </w:tc>
        <w:tc>
          <w:tcPr>
            <w:tcW w:w="993" w:type="dxa"/>
            <w:vAlign w:val="center"/>
          </w:tcPr>
          <w:p w14:paraId="74D145D8">
            <w:pPr>
              <w:pStyle w:val="1535"/>
            </w:pPr>
            <w:r>
              <w:t>泄漏、爆炸</w:t>
            </w:r>
          </w:p>
        </w:tc>
        <w:tc>
          <w:tcPr>
            <w:tcW w:w="3685" w:type="dxa"/>
            <w:vAlign w:val="center"/>
          </w:tcPr>
          <w:p w14:paraId="1B716F26">
            <w:pPr>
              <w:pStyle w:val="1535"/>
            </w:pPr>
            <w:r>
              <w:t>泄漏物料进入大气，污染大气环境；遇火源发生燃烧爆炸，燃烧废气影响大气环境，事故废水进入水体，污染水环境</w:t>
            </w:r>
          </w:p>
        </w:tc>
        <w:tc>
          <w:tcPr>
            <w:tcW w:w="1383" w:type="dxa"/>
            <w:vAlign w:val="center"/>
          </w:tcPr>
          <w:p w14:paraId="69C1CC0F">
            <w:pPr>
              <w:pStyle w:val="1535"/>
            </w:pPr>
            <w:r>
              <w:t>大气、地表水</w:t>
            </w:r>
          </w:p>
        </w:tc>
      </w:tr>
      <w:tr w14:paraId="41B5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129" w:type="dxa"/>
            <w:vAlign w:val="center"/>
          </w:tcPr>
          <w:p w14:paraId="0250988B">
            <w:pPr>
              <w:pStyle w:val="1535"/>
            </w:pPr>
            <w:r>
              <w:t>ER-4</w:t>
            </w:r>
          </w:p>
        </w:tc>
        <w:tc>
          <w:tcPr>
            <w:tcW w:w="993" w:type="dxa"/>
            <w:vAlign w:val="center"/>
          </w:tcPr>
          <w:p w14:paraId="68F8CA89">
            <w:pPr>
              <w:pStyle w:val="1535"/>
            </w:pPr>
            <w:r>
              <w:t>切削液回收车间</w:t>
            </w:r>
          </w:p>
        </w:tc>
        <w:tc>
          <w:tcPr>
            <w:tcW w:w="1275" w:type="dxa"/>
            <w:vAlign w:val="center"/>
          </w:tcPr>
          <w:p w14:paraId="2B7ED2E6">
            <w:pPr>
              <w:pStyle w:val="1535"/>
            </w:pPr>
            <w:r>
              <w:t>废切削液</w:t>
            </w:r>
          </w:p>
        </w:tc>
        <w:tc>
          <w:tcPr>
            <w:tcW w:w="993" w:type="dxa"/>
            <w:vAlign w:val="center"/>
          </w:tcPr>
          <w:p w14:paraId="3B6D85F7">
            <w:pPr>
              <w:pStyle w:val="1535"/>
            </w:pPr>
            <w:r>
              <w:t>泄漏</w:t>
            </w:r>
          </w:p>
        </w:tc>
        <w:tc>
          <w:tcPr>
            <w:tcW w:w="3685" w:type="dxa"/>
            <w:vAlign w:val="center"/>
          </w:tcPr>
          <w:p w14:paraId="73B92859">
            <w:pPr>
              <w:pStyle w:val="1535"/>
            </w:pPr>
            <w:r>
              <w:t>泄漏物质溢流进入雨水管网从而影响地表水；泄漏物质通过地面下渗影响地下水、土壤。</w:t>
            </w:r>
          </w:p>
        </w:tc>
        <w:tc>
          <w:tcPr>
            <w:tcW w:w="1383" w:type="dxa"/>
            <w:vAlign w:val="center"/>
          </w:tcPr>
          <w:p w14:paraId="214DD372">
            <w:pPr>
              <w:pStyle w:val="1535"/>
            </w:pPr>
            <w:r>
              <w:t>地表水、地下水、土壤</w:t>
            </w:r>
          </w:p>
        </w:tc>
      </w:tr>
      <w:tr w14:paraId="4463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129" w:type="dxa"/>
            <w:vAlign w:val="center"/>
          </w:tcPr>
          <w:p w14:paraId="6DC8137E">
            <w:pPr>
              <w:pStyle w:val="1535"/>
            </w:pPr>
            <w:r>
              <w:t>ER-5</w:t>
            </w:r>
          </w:p>
        </w:tc>
        <w:tc>
          <w:tcPr>
            <w:tcW w:w="993" w:type="dxa"/>
            <w:vAlign w:val="center"/>
          </w:tcPr>
          <w:p w14:paraId="2FA0A829">
            <w:pPr>
              <w:pStyle w:val="1535"/>
            </w:pPr>
            <w:r>
              <w:t>危废贮存设施</w:t>
            </w:r>
          </w:p>
        </w:tc>
        <w:tc>
          <w:tcPr>
            <w:tcW w:w="1275" w:type="dxa"/>
            <w:vAlign w:val="center"/>
          </w:tcPr>
          <w:p w14:paraId="415FE936">
            <w:pPr>
              <w:pStyle w:val="1535"/>
            </w:pPr>
            <w:r>
              <w:t>废润滑油、实验室检测废液</w:t>
            </w:r>
            <w:r>
              <w:rPr>
                <w:rFonts w:hint="eastAsia"/>
              </w:rPr>
              <w:t>、废切削液等</w:t>
            </w:r>
          </w:p>
        </w:tc>
        <w:tc>
          <w:tcPr>
            <w:tcW w:w="993" w:type="dxa"/>
            <w:vAlign w:val="center"/>
          </w:tcPr>
          <w:p w14:paraId="17829EED">
            <w:pPr>
              <w:pStyle w:val="1535"/>
            </w:pPr>
            <w:r>
              <w:t>泄漏</w:t>
            </w:r>
          </w:p>
        </w:tc>
        <w:tc>
          <w:tcPr>
            <w:tcW w:w="3685" w:type="dxa"/>
            <w:vAlign w:val="center"/>
          </w:tcPr>
          <w:p w14:paraId="0917A991">
            <w:pPr>
              <w:pStyle w:val="1535"/>
            </w:pPr>
            <w:r>
              <w:t>泄漏物质溢流进入雨水管网从而影响地表水；泄漏物质通过地面下渗影响地下水、土壤。</w:t>
            </w:r>
          </w:p>
        </w:tc>
        <w:tc>
          <w:tcPr>
            <w:tcW w:w="1383" w:type="dxa"/>
            <w:vAlign w:val="center"/>
          </w:tcPr>
          <w:p w14:paraId="6BD0CD61">
            <w:pPr>
              <w:pStyle w:val="1535"/>
            </w:pPr>
            <w:r>
              <w:t>地表水、地下水、土壤</w:t>
            </w:r>
          </w:p>
        </w:tc>
      </w:tr>
    </w:tbl>
    <w:p w14:paraId="4A9947FD">
      <w:pPr>
        <w:pStyle w:val="4"/>
        <w:rPr>
          <w:color w:val="000000" w:themeColor="text1"/>
          <w14:textFill>
            <w14:solidFill>
              <w14:schemeClr w14:val="tx1"/>
            </w14:solidFill>
          </w14:textFill>
        </w:rPr>
      </w:pPr>
      <w:bookmarkStart w:id="337" w:name="_Toc5978"/>
      <w:r>
        <w:rPr>
          <w:color w:val="000000" w:themeColor="text1"/>
          <w14:textFill>
            <w14:solidFill>
              <w14:schemeClr w14:val="tx1"/>
            </w14:solidFill>
          </w14:textFill>
        </w:rPr>
        <w:t>风险事故分析</w:t>
      </w:r>
      <w:bookmarkEnd w:id="337"/>
    </w:p>
    <w:p w14:paraId="756B939E">
      <w:pPr>
        <w:pStyle w:val="5"/>
        <w:rPr>
          <w:color w:val="000000" w:themeColor="text1"/>
          <w14:textFill>
            <w14:solidFill>
              <w14:schemeClr w14:val="tx1"/>
            </w14:solidFill>
          </w14:textFill>
        </w:rPr>
      </w:pPr>
      <w:r>
        <w:rPr>
          <w:color w:val="000000" w:themeColor="text1"/>
          <w14:textFill>
            <w14:solidFill>
              <w14:schemeClr w14:val="tx1"/>
            </w14:solidFill>
          </w14:textFill>
        </w:rPr>
        <w:t>风险事故情形设定</w:t>
      </w:r>
    </w:p>
    <w:p w14:paraId="3B0B0504">
      <w:pPr>
        <w:ind w:firstLine="520"/>
        <w:rPr>
          <w:color w:val="000000" w:themeColor="text1"/>
          <w14:textFill>
            <w14:solidFill>
              <w14:schemeClr w14:val="tx1"/>
            </w14:solidFill>
          </w14:textFill>
        </w:rPr>
      </w:pPr>
      <w:r>
        <w:rPr>
          <w:color w:val="000000" w:themeColor="text1"/>
          <w14:textFill>
            <w14:solidFill>
              <w14:schemeClr w14:val="tx1"/>
            </w14:solidFill>
          </w14:textFill>
        </w:rPr>
        <w:t>企业存放的危险化学品主要包括硫酸、盐酸、氢氟酸、硝酸、切削液、氢气（H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甲基三氯硅烷(MTS)、乙酸等。根据风险识别结果，企业虽具有多个事故风险源，但是从生产过程、物料、储运分析及物料毒性分析，环境风险事故主要为有毒有害物质的泄漏、燃爆次生污染，事故分析情况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_Ref160557212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表7.5</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0CC4498">
      <w:pPr>
        <w:spacing w:before="32"/>
        <w:ind w:firstLine="0" w:firstLineChars="0"/>
        <w:jc w:val="center"/>
        <w:rPr>
          <w:color w:val="000000" w:themeColor="text1"/>
          <w14:textFill>
            <w14:solidFill>
              <w14:schemeClr w14:val="tx1"/>
            </w14:solidFill>
          </w14:textFill>
        </w:rPr>
      </w:pPr>
      <w:bookmarkStart w:id="338" w:name="_Ref160557212"/>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7.5</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338"/>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风险事故分析情况</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540"/>
        <w:gridCol w:w="1762"/>
        <w:gridCol w:w="4157"/>
        <w:gridCol w:w="1773"/>
      </w:tblGrid>
      <w:tr w14:paraId="2431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540" w:type="dxa"/>
            <w:vAlign w:val="center"/>
          </w:tcPr>
          <w:p w14:paraId="27704267">
            <w:pPr>
              <w:pStyle w:val="1535"/>
            </w:pPr>
            <w:r>
              <w:t>危险源区域</w:t>
            </w:r>
          </w:p>
        </w:tc>
        <w:tc>
          <w:tcPr>
            <w:tcW w:w="1762" w:type="dxa"/>
            <w:vAlign w:val="center"/>
          </w:tcPr>
          <w:p w14:paraId="18B03253">
            <w:pPr>
              <w:pStyle w:val="1535"/>
            </w:pPr>
            <w:r>
              <w:t>危险源物质</w:t>
            </w:r>
          </w:p>
        </w:tc>
        <w:tc>
          <w:tcPr>
            <w:tcW w:w="4157" w:type="dxa"/>
            <w:vAlign w:val="center"/>
          </w:tcPr>
          <w:p w14:paraId="3A8769E0">
            <w:pPr>
              <w:pStyle w:val="1535"/>
            </w:pPr>
            <w:r>
              <w:t>事故类型</w:t>
            </w:r>
          </w:p>
        </w:tc>
        <w:tc>
          <w:tcPr>
            <w:tcW w:w="1773" w:type="dxa"/>
            <w:vAlign w:val="center"/>
          </w:tcPr>
          <w:p w14:paraId="77F59A67">
            <w:pPr>
              <w:pStyle w:val="1535"/>
            </w:pPr>
            <w:r>
              <w:t>事故类型</w:t>
            </w:r>
          </w:p>
        </w:tc>
      </w:tr>
      <w:tr w14:paraId="18D5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540" w:type="dxa"/>
            <w:vAlign w:val="center"/>
          </w:tcPr>
          <w:p w14:paraId="128CA457">
            <w:pPr>
              <w:pStyle w:val="1535"/>
            </w:pPr>
            <w:r>
              <w:t>化学品库</w:t>
            </w:r>
          </w:p>
        </w:tc>
        <w:tc>
          <w:tcPr>
            <w:tcW w:w="1762" w:type="dxa"/>
            <w:vAlign w:val="center"/>
          </w:tcPr>
          <w:p w14:paraId="38895FFE">
            <w:pPr>
              <w:pStyle w:val="1535"/>
            </w:pPr>
            <w:r>
              <w:t>硫酸、盐酸、氢氟酸、硝酸、乙酸等</w:t>
            </w:r>
          </w:p>
        </w:tc>
        <w:tc>
          <w:tcPr>
            <w:tcW w:w="4157" w:type="dxa"/>
            <w:vAlign w:val="center"/>
          </w:tcPr>
          <w:p w14:paraId="09346A92">
            <w:pPr>
              <w:pStyle w:val="1535"/>
            </w:pPr>
            <w:r>
              <w:t>物料罐、桶破裂、物料泄漏；泄漏引起的燃爆事故以及由此带来的次生灾害</w:t>
            </w:r>
          </w:p>
        </w:tc>
        <w:tc>
          <w:tcPr>
            <w:tcW w:w="1773" w:type="dxa"/>
            <w:vAlign w:val="center"/>
          </w:tcPr>
          <w:p w14:paraId="3AE9079B">
            <w:pPr>
              <w:pStyle w:val="1535"/>
            </w:pPr>
            <w:r>
              <w:t>物料罐、桶倾倒或破裂</w:t>
            </w:r>
          </w:p>
        </w:tc>
      </w:tr>
      <w:tr w14:paraId="0454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540" w:type="dxa"/>
            <w:vAlign w:val="center"/>
          </w:tcPr>
          <w:p w14:paraId="54365E46">
            <w:pPr>
              <w:pStyle w:val="1535"/>
            </w:pPr>
            <w:r>
              <w:t>MTS储罐区</w:t>
            </w:r>
          </w:p>
        </w:tc>
        <w:tc>
          <w:tcPr>
            <w:tcW w:w="1762" w:type="dxa"/>
            <w:vAlign w:val="center"/>
          </w:tcPr>
          <w:p w14:paraId="44CB73D4">
            <w:pPr>
              <w:pStyle w:val="1535"/>
            </w:pPr>
            <w:r>
              <w:t>MTS</w:t>
            </w:r>
          </w:p>
        </w:tc>
        <w:tc>
          <w:tcPr>
            <w:tcW w:w="4157" w:type="dxa"/>
            <w:vAlign w:val="center"/>
          </w:tcPr>
          <w:p w14:paraId="4C276208">
            <w:pPr>
              <w:pStyle w:val="1535"/>
            </w:pPr>
            <w:r>
              <w:t>管道破裂、物料泄漏；装置破裂、物料泄漏；泄漏引起的燃爆事故、中毒事故以及由此带来的次生灾害</w:t>
            </w:r>
          </w:p>
        </w:tc>
        <w:tc>
          <w:tcPr>
            <w:tcW w:w="1773" w:type="dxa"/>
            <w:vAlign w:val="center"/>
          </w:tcPr>
          <w:p w14:paraId="1DE8BAD4">
            <w:pPr>
              <w:pStyle w:val="1535"/>
            </w:pPr>
            <w:r>
              <w:t>管道连接口或阀门损坏</w:t>
            </w:r>
          </w:p>
        </w:tc>
      </w:tr>
      <w:tr w14:paraId="4DFA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540" w:type="dxa"/>
            <w:vAlign w:val="center"/>
          </w:tcPr>
          <w:p w14:paraId="29D2568A">
            <w:pPr>
              <w:pStyle w:val="1535"/>
            </w:pPr>
            <w:r>
              <w:t>H2气站</w:t>
            </w:r>
          </w:p>
        </w:tc>
        <w:tc>
          <w:tcPr>
            <w:tcW w:w="1762" w:type="dxa"/>
            <w:vAlign w:val="center"/>
          </w:tcPr>
          <w:p w14:paraId="054EABAD">
            <w:pPr>
              <w:pStyle w:val="1535"/>
            </w:pPr>
            <w:r>
              <w:t>氢气</w:t>
            </w:r>
          </w:p>
        </w:tc>
        <w:tc>
          <w:tcPr>
            <w:tcW w:w="4157" w:type="dxa"/>
            <w:vAlign w:val="center"/>
          </w:tcPr>
          <w:p w14:paraId="361CC086">
            <w:pPr>
              <w:pStyle w:val="1535"/>
            </w:pPr>
            <w:r>
              <w:t>气体泄漏</w:t>
            </w:r>
          </w:p>
        </w:tc>
        <w:tc>
          <w:tcPr>
            <w:tcW w:w="1773" w:type="dxa"/>
            <w:vAlign w:val="center"/>
          </w:tcPr>
          <w:p w14:paraId="0812A2C2">
            <w:pPr>
              <w:pStyle w:val="1535"/>
            </w:pPr>
            <w:r>
              <w:t>设备破裂或管道接口损坏</w:t>
            </w:r>
          </w:p>
        </w:tc>
      </w:tr>
      <w:tr w14:paraId="4ED1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540" w:type="dxa"/>
            <w:vAlign w:val="center"/>
          </w:tcPr>
          <w:p w14:paraId="2463D378">
            <w:pPr>
              <w:pStyle w:val="1535"/>
            </w:pPr>
            <w:r>
              <w:t>危废贮存设施</w:t>
            </w:r>
          </w:p>
        </w:tc>
        <w:tc>
          <w:tcPr>
            <w:tcW w:w="1762" w:type="dxa"/>
            <w:vAlign w:val="center"/>
          </w:tcPr>
          <w:p w14:paraId="24B45C5E">
            <w:pPr>
              <w:pStyle w:val="1535"/>
            </w:pPr>
            <w:r>
              <w:t>废机油、实验室检测废液</w:t>
            </w:r>
            <w:r>
              <w:rPr>
                <w:rFonts w:hint="eastAsia"/>
              </w:rPr>
              <w:t>、废切削液</w:t>
            </w:r>
            <w:r>
              <w:t>等</w:t>
            </w:r>
          </w:p>
        </w:tc>
        <w:tc>
          <w:tcPr>
            <w:tcW w:w="4157" w:type="dxa"/>
            <w:vAlign w:val="center"/>
          </w:tcPr>
          <w:p w14:paraId="36483759">
            <w:pPr>
              <w:pStyle w:val="1535"/>
            </w:pPr>
            <w:r>
              <w:t>液体泄漏</w:t>
            </w:r>
          </w:p>
        </w:tc>
        <w:tc>
          <w:tcPr>
            <w:tcW w:w="1773" w:type="dxa"/>
            <w:vAlign w:val="center"/>
          </w:tcPr>
          <w:p w14:paraId="0B8029D3">
            <w:pPr>
              <w:pStyle w:val="1535"/>
            </w:pPr>
            <w:r>
              <w:t>包装桶倾倒或破裂</w:t>
            </w:r>
          </w:p>
        </w:tc>
      </w:tr>
      <w:tr w14:paraId="44D1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540" w:type="dxa"/>
            <w:vAlign w:val="center"/>
          </w:tcPr>
          <w:p w14:paraId="4E367C63">
            <w:pPr>
              <w:pStyle w:val="1535"/>
            </w:pPr>
            <w:r>
              <w:t>切削液回收车间</w:t>
            </w:r>
          </w:p>
        </w:tc>
        <w:tc>
          <w:tcPr>
            <w:tcW w:w="1762" w:type="dxa"/>
            <w:vAlign w:val="center"/>
          </w:tcPr>
          <w:p w14:paraId="1B4ECFD0">
            <w:pPr>
              <w:pStyle w:val="1535"/>
            </w:pPr>
            <w:r>
              <w:t>废切削液等</w:t>
            </w:r>
          </w:p>
        </w:tc>
        <w:tc>
          <w:tcPr>
            <w:tcW w:w="4157" w:type="dxa"/>
            <w:vAlign w:val="center"/>
          </w:tcPr>
          <w:p w14:paraId="39871CFA">
            <w:pPr>
              <w:pStyle w:val="1535"/>
            </w:pPr>
            <w:r>
              <w:t>液体泄漏</w:t>
            </w:r>
          </w:p>
        </w:tc>
        <w:tc>
          <w:tcPr>
            <w:tcW w:w="1773" w:type="dxa"/>
            <w:vAlign w:val="center"/>
          </w:tcPr>
          <w:p w14:paraId="0F6F886D">
            <w:pPr>
              <w:pStyle w:val="1535"/>
            </w:pPr>
            <w:r>
              <w:t>包装桶倾倒或破裂</w:t>
            </w:r>
          </w:p>
        </w:tc>
      </w:tr>
      <w:tr w14:paraId="2E86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540" w:type="dxa"/>
            <w:vMerge w:val="restart"/>
            <w:vAlign w:val="center"/>
          </w:tcPr>
          <w:p w14:paraId="33AC2367">
            <w:pPr>
              <w:pStyle w:val="1535"/>
            </w:pPr>
            <w:r>
              <w:t>污染控制设施</w:t>
            </w:r>
          </w:p>
        </w:tc>
        <w:tc>
          <w:tcPr>
            <w:tcW w:w="1762" w:type="dxa"/>
            <w:vAlign w:val="center"/>
          </w:tcPr>
          <w:p w14:paraId="6DD6E2BC">
            <w:pPr>
              <w:pStyle w:val="1535"/>
            </w:pPr>
            <w:r>
              <w:t>废气处理系统</w:t>
            </w:r>
          </w:p>
        </w:tc>
        <w:tc>
          <w:tcPr>
            <w:tcW w:w="4157" w:type="dxa"/>
            <w:vAlign w:val="center"/>
          </w:tcPr>
          <w:p w14:paraId="67C5289A">
            <w:pPr>
              <w:pStyle w:val="1535"/>
            </w:pPr>
            <w:r>
              <w:t>HCl、非甲烷总烃、氟化物、颗粒物等管道、装置破损导致废气泄漏</w:t>
            </w:r>
          </w:p>
        </w:tc>
        <w:tc>
          <w:tcPr>
            <w:tcW w:w="1773" w:type="dxa"/>
            <w:vAlign w:val="center"/>
          </w:tcPr>
          <w:p w14:paraId="11B381C7">
            <w:pPr>
              <w:pStyle w:val="1535"/>
            </w:pPr>
            <w:r>
              <w:t>事故排放</w:t>
            </w:r>
          </w:p>
        </w:tc>
      </w:tr>
      <w:tr w14:paraId="0074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540" w:type="dxa"/>
            <w:vMerge w:val="continue"/>
            <w:vAlign w:val="center"/>
          </w:tcPr>
          <w:p w14:paraId="73AA9B32">
            <w:pPr>
              <w:pStyle w:val="1535"/>
            </w:pPr>
          </w:p>
        </w:tc>
        <w:tc>
          <w:tcPr>
            <w:tcW w:w="1762" w:type="dxa"/>
            <w:vAlign w:val="center"/>
          </w:tcPr>
          <w:p w14:paraId="7310B0F7">
            <w:pPr>
              <w:pStyle w:val="1535"/>
            </w:pPr>
            <w:r>
              <w:t>废水处理系统</w:t>
            </w:r>
          </w:p>
        </w:tc>
        <w:tc>
          <w:tcPr>
            <w:tcW w:w="4157" w:type="dxa"/>
            <w:vAlign w:val="center"/>
          </w:tcPr>
          <w:p w14:paraId="6261F1D5">
            <w:pPr>
              <w:pStyle w:val="1535"/>
            </w:pPr>
            <w:r>
              <w:t>管道、装置破损，废水泄漏</w:t>
            </w:r>
          </w:p>
        </w:tc>
        <w:tc>
          <w:tcPr>
            <w:tcW w:w="1773" w:type="dxa"/>
            <w:vAlign w:val="center"/>
          </w:tcPr>
          <w:p w14:paraId="62876D31">
            <w:pPr>
              <w:pStyle w:val="1535"/>
            </w:pPr>
            <w:r>
              <w:t>事故排放</w:t>
            </w:r>
          </w:p>
        </w:tc>
      </w:tr>
      <w:tr w14:paraId="4956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540" w:type="dxa"/>
            <w:vMerge w:val="continue"/>
            <w:vAlign w:val="center"/>
          </w:tcPr>
          <w:p w14:paraId="1C945B7C">
            <w:pPr>
              <w:pStyle w:val="1535"/>
            </w:pPr>
          </w:p>
        </w:tc>
        <w:tc>
          <w:tcPr>
            <w:tcW w:w="1762" w:type="dxa"/>
            <w:vAlign w:val="center"/>
          </w:tcPr>
          <w:p w14:paraId="02865FB2">
            <w:pPr>
              <w:pStyle w:val="1535"/>
            </w:pPr>
            <w:r>
              <w:t>危废贮存设施</w:t>
            </w:r>
          </w:p>
        </w:tc>
        <w:tc>
          <w:tcPr>
            <w:tcW w:w="4157" w:type="dxa"/>
            <w:vAlign w:val="center"/>
          </w:tcPr>
          <w:p w14:paraId="7811DEC1">
            <w:pPr>
              <w:pStyle w:val="1535"/>
            </w:pPr>
            <w:r>
              <w:t>防渗材料破损，废机油、实验室检测废液等泄漏</w:t>
            </w:r>
          </w:p>
        </w:tc>
        <w:tc>
          <w:tcPr>
            <w:tcW w:w="1773" w:type="dxa"/>
            <w:vAlign w:val="center"/>
          </w:tcPr>
          <w:p w14:paraId="609B8551">
            <w:pPr>
              <w:pStyle w:val="1535"/>
            </w:pPr>
            <w:r>
              <w:t>渗漏</w:t>
            </w:r>
          </w:p>
        </w:tc>
      </w:tr>
    </w:tbl>
    <w:p w14:paraId="112D3F8C">
      <w:pPr>
        <w:ind w:firstLine="520"/>
        <w:rPr>
          <w:color w:val="000000" w:themeColor="text1"/>
          <w14:textFill>
            <w14:solidFill>
              <w14:schemeClr w14:val="tx1"/>
            </w14:solidFill>
          </w14:textFill>
        </w:rPr>
      </w:pPr>
      <w:r>
        <w:rPr>
          <w:color w:val="000000" w:themeColor="text1"/>
          <w14:textFill>
            <w14:solidFill>
              <w14:schemeClr w14:val="tx1"/>
            </w14:solidFill>
          </w14:textFill>
        </w:rPr>
        <w:t>根据上述分析和对环境造成风险影响的历史事故类型，结合项目物料的毒理学性质、影响途径，泄漏事故的发生频率最高。</w:t>
      </w:r>
    </w:p>
    <w:p w14:paraId="0FEB9F46">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根据《建设项目环境风险评价技术导则》(HJ169-2018)，根据风险物质性质及储存量情况，重点考虑</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甲基三氯硅烷泄漏事故；</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甲基三氯硅烷发生火灾爆炸及次生事故，以上事故作为最大可信事故进行定量预测。</w:t>
      </w:r>
    </w:p>
    <w:p w14:paraId="5D4A09DC">
      <w:pPr>
        <w:pStyle w:val="5"/>
        <w:rPr>
          <w:color w:val="000000" w:themeColor="text1"/>
          <w14:textFill>
            <w14:solidFill>
              <w14:schemeClr w14:val="tx1"/>
            </w14:solidFill>
          </w14:textFill>
        </w:rPr>
      </w:pPr>
      <w:r>
        <w:rPr>
          <w:color w:val="000000" w:themeColor="text1"/>
          <w14:textFill>
            <w14:solidFill>
              <w14:schemeClr w14:val="tx1"/>
            </w14:solidFill>
          </w14:textFill>
        </w:rPr>
        <w:t>源项分析</w:t>
      </w:r>
    </w:p>
    <w:p w14:paraId="7C69170F">
      <w:pPr>
        <w:ind w:firstLine="520"/>
        <w:rPr>
          <w:color w:val="000000" w:themeColor="text1"/>
          <w14:textFill>
            <w14:solidFill>
              <w14:schemeClr w14:val="tx1"/>
            </w14:solidFill>
          </w14:textFill>
        </w:rPr>
      </w:pPr>
      <w:r>
        <w:rPr>
          <w:color w:val="000000" w:themeColor="text1"/>
          <w14:textFill>
            <w14:solidFill>
              <w14:schemeClr w14:val="tx1"/>
            </w14:solidFill>
          </w14:textFill>
        </w:rPr>
        <w:t>风险事故的特征及其对环境的影响包括火灾、爆炸、液(气)体化学品泄露等几个方面，根据对同类化工行业的调研、扩建项目生产过程分析，针对已识别出的危险因素和风险类型，确定最大可信事故及其概率。</w:t>
      </w:r>
    </w:p>
    <w:p w14:paraId="66A687FE">
      <w:pPr>
        <w:ind w:firstLine="520"/>
        <w:rPr>
          <w:color w:val="000000" w:themeColor="text1"/>
          <w14:textFill>
            <w14:solidFill>
              <w14:schemeClr w14:val="tx1"/>
            </w14:solidFill>
          </w14:textFill>
        </w:rPr>
      </w:pPr>
      <w:r>
        <w:rPr>
          <w:color w:val="000000" w:themeColor="text1"/>
          <w14:textFill>
            <w14:solidFill>
              <w14:schemeClr w14:val="tx1"/>
            </w14:solidFill>
          </w14:textFill>
        </w:rPr>
        <w:t>（1）最大可信事故</w:t>
      </w:r>
    </w:p>
    <w:p w14:paraId="1DBC0AB2">
      <w:pPr>
        <w:ind w:firstLine="520"/>
        <w:rPr>
          <w:color w:val="000000" w:themeColor="text1"/>
          <w14:textFill>
            <w14:solidFill>
              <w14:schemeClr w14:val="tx1"/>
            </w14:solidFill>
          </w14:textFill>
        </w:rPr>
      </w:pPr>
      <w:r>
        <w:rPr>
          <w:color w:val="000000" w:themeColor="text1"/>
          <w14:textFill>
            <w14:solidFill>
              <w14:schemeClr w14:val="tx1"/>
            </w14:solidFill>
          </w14:textFill>
        </w:rPr>
        <w:t>最大可信事故：在所有预测的概率不为零的事故中，对环境或健康危害最严重的事故。根据事故类型，主要分为火灾爆炸事故和毒物泄漏事故两类。</w:t>
      </w:r>
    </w:p>
    <w:p w14:paraId="51F305F6">
      <w:pPr>
        <w:ind w:firstLine="520"/>
        <w:rPr>
          <w:color w:val="000000" w:themeColor="text1"/>
          <w14:textFill>
            <w14:solidFill>
              <w14:schemeClr w14:val="tx1"/>
            </w14:solidFill>
          </w14:textFill>
        </w:rPr>
      </w:pPr>
      <w:r>
        <w:rPr>
          <w:color w:val="000000" w:themeColor="text1"/>
          <w14:textFill>
            <w14:solidFill>
              <w14:schemeClr w14:val="tx1"/>
            </w14:solidFill>
          </w14:textFill>
        </w:rPr>
        <w:t>1）火灾爆炸风险</w:t>
      </w:r>
    </w:p>
    <w:p w14:paraId="73388A27">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生产过程</w:t>
      </w:r>
    </w:p>
    <w:p w14:paraId="5B18E790">
      <w:pPr>
        <w:ind w:firstLine="520"/>
        <w:rPr>
          <w:color w:val="000000" w:themeColor="text1"/>
          <w14:textFill>
            <w14:solidFill>
              <w14:schemeClr w14:val="tx1"/>
            </w14:solidFill>
          </w14:textFill>
        </w:rPr>
      </w:pPr>
      <w:r>
        <w:rPr>
          <w:color w:val="000000" w:themeColor="text1"/>
          <w14:textFill>
            <w14:solidFill>
              <w14:schemeClr w14:val="tx1"/>
            </w14:solidFill>
          </w14:textFill>
        </w:rPr>
        <w:t>A.因设备开停频繁、温度升降骤变等原因，引起设备、管道及其连接点、阀门、法兰等部位泄漏，造成着火爆炸。</w:t>
      </w:r>
    </w:p>
    <w:p w14:paraId="657860A4">
      <w:pPr>
        <w:ind w:firstLine="520"/>
        <w:rPr>
          <w:color w:val="000000" w:themeColor="text1"/>
          <w14:textFill>
            <w14:solidFill>
              <w14:schemeClr w14:val="tx1"/>
            </w14:solidFill>
          </w14:textFill>
        </w:rPr>
      </w:pPr>
      <w:r>
        <w:rPr>
          <w:color w:val="000000" w:themeColor="text1"/>
          <w14:textFill>
            <w14:solidFill>
              <w14:schemeClr w14:val="tx1"/>
            </w14:solidFill>
          </w14:textFill>
        </w:rPr>
        <w:t>B.管道、设备内物料流速过快，未设导除静电装置或不合格，产生静电引起事故。</w:t>
      </w:r>
    </w:p>
    <w:p w14:paraId="562071E8">
      <w:pPr>
        <w:ind w:firstLine="520"/>
        <w:rPr>
          <w:color w:val="000000" w:themeColor="text1"/>
          <w14:textFill>
            <w14:solidFill>
              <w14:schemeClr w14:val="tx1"/>
            </w14:solidFill>
          </w14:textFill>
        </w:rPr>
      </w:pPr>
      <w:r>
        <w:rPr>
          <w:color w:val="000000" w:themeColor="text1"/>
          <w14:textFill>
            <w14:solidFill>
              <w14:schemeClr w14:val="tx1"/>
            </w14:solidFill>
          </w14:textFill>
        </w:rPr>
        <w:t>C.生产过程中发生停电，尤其是局部停电，反应不能及时中止，阀门不能正常动作，可能发生事故。</w:t>
      </w:r>
    </w:p>
    <w:p w14:paraId="35BEB490">
      <w:pPr>
        <w:ind w:firstLine="520"/>
        <w:rPr>
          <w:color w:val="000000" w:themeColor="text1"/>
          <w14:textFill>
            <w14:solidFill>
              <w14:schemeClr w14:val="tx1"/>
            </w14:solidFill>
          </w14:textFill>
        </w:rPr>
      </w:pPr>
      <w:r>
        <w:rPr>
          <w:color w:val="000000" w:themeColor="text1"/>
          <w14:textFill>
            <w14:solidFill>
              <w14:schemeClr w14:val="tx1"/>
            </w14:solidFill>
          </w14:textFill>
        </w:rPr>
        <w:t>D.设备检修时，由于设备、管道等生产系统没有进行清冼、置换或置换不合格，可能发生火灾、爆炸事故。</w:t>
      </w:r>
    </w:p>
    <w:p w14:paraId="7021C5A3">
      <w:pPr>
        <w:ind w:firstLine="520"/>
        <w:rPr>
          <w:color w:val="000000" w:themeColor="text1"/>
          <w14:textFill>
            <w14:solidFill>
              <w14:schemeClr w14:val="tx1"/>
            </w14:solidFill>
          </w14:textFill>
        </w:rPr>
      </w:pPr>
      <w:r>
        <w:rPr>
          <w:color w:val="000000" w:themeColor="text1"/>
          <w14:textFill>
            <w14:solidFill>
              <w14:schemeClr w14:val="tx1"/>
            </w14:solidFill>
          </w14:textFill>
        </w:rPr>
        <w:t>E.巡检人员或检修人员工具不按规定使用而造成高处落物损坏管道造成泄漏等；因管道标志不清检修时误拆管道；检修时吊车、叉车等起重作业不小心碰断管线。在生产过程中，罐、塔、槽、釜等因安全阀等安全附件失效，导致易燃易爆液体泄漏，遇明火、高热能等，可引起火灾、爆炸事故。</w:t>
      </w:r>
    </w:p>
    <w:p w14:paraId="5AA7E970">
      <w:pPr>
        <w:ind w:firstLine="520"/>
        <w:rPr>
          <w:color w:val="000000" w:themeColor="text1"/>
          <w14:textFill>
            <w14:solidFill>
              <w14:schemeClr w14:val="tx1"/>
            </w14:solidFill>
          </w14:textFill>
        </w:rPr>
      </w:pPr>
      <w:r>
        <w:rPr>
          <w:color w:val="000000" w:themeColor="text1"/>
          <w14:textFill>
            <w14:solidFill>
              <w14:schemeClr w14:val="tx1"/>
            </w14:solidFill>
          </w14:textFill>
        </w:rPr>
        <w:t>F.易燃易爆液体输送采用非防爆电机，或输送过程中流速过快，未采取静电接地设施，易发生火灾、爆炸事故。</w:t>
      </w:r>
    </w:p>
    <w:p w14:paraId="76B344D3">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储存过程</w:t>
      </w:r>
    </w:p>
    <w:p w14:paraId="56645C5F">
      <w:pPr>
        <w:ind w:firstLine="520"/>
        <w:rPr>
          <w:color w:val="000000" w:themeColor="text1"/>
          <w14:textFill>
            <w14:solidFill>
              <w14:schemeClr w14:val="tx1"/>
            </w14:solidFill>
          </w14:textFill>
        </w:rPr>
      </w:pPr>
      <w:r>
        <w:rPr>
          <w:color w:val="000000" w:themeColor="text1"/>
          <w14:textFill>
            <w14:solidFill>
              <w14:schemeClr w14:val="tx1"/>
            </w14:solidFill>
          </w14:textFill>
        </w:rPr>
        <w:t>A.物料在装卸、贮存过程中因碰撞等原因造成静电起火。</w:t>
      </w:r>
    </w:p>
    <w:p w14:paraId="63387CF4">
      <w:pPr>
        <w:ind w:firstLine="520"/>
        <w:rPr>
          <w:color w:val="000000" w:themeColor="text1"/>
          <w14:textFill>
            <w14:solidFill>
              <w14:schemeClr w14:val="tx1"/>
            </w14:solidFill>
          </w14:textFill>
        </w:rPr>
      </w:pPr>
      <w:r>
        <w:rPr>
          <w:color w:val="000000" w:themeColor="text1"/>
          <w14:textFill>
            <w14:solidFill>
              <w14:schemeClr w14:val="tx1"/>
            </w14:solidFill>
          </w14:textFill>
        </w:rPr>
        <w:t>B.仓库内温度过高，储罐中物料汽化或受热分解，造成内部压力高，引发爆炸。</w:t>
      </w:r>
    </w:p>
    <w:p w14:paraId="091E91AF">
      <w:pPr>
        <w:ind w:firstLine="520"/>
        <w:rPr>
          <w:color w:val="000000" w:themeColor="text1"/>
          <w14:textFill>
            <w14:solidFill>
              <w14:schemeClr w14:val="tx1"/>
            </w14:solidFill>
          </w14:textFill>
        </w:rPr>
      </w:pPr>
      <w:r>
        <w:rPr>
          <w:color w:val="000000" w:themeColor="text1"/>
          <w14:textFill>
            <w14:solidFill>
              <w14:schemeClr w14:val="tx1"/>
            </w14:solidFill>
          </w14:textFill>
        </w:rPr>
        <w:t>C.相互禁忌的物质未采取隔离措施，易发生火灾爆炸事故。</w:t>
      </w:r>
    </w:p>
    <w:p w14:paraId="74C78F68">
      <w:pPr>
        <w:ind w:firstLine="520"/>
        <w:rPr>
          <w:color w:val="000000" w:themeColor="text1"/>
          <w14:textFill>
            <w14:solidFill>
              <w14:schemeClr w14:val="tx1"/>
            </w14:solidFill>
          </w14:textFill>
        </w:rPr>
      </w:pPr>
      <w:r>
        <w:rPr>
          <w:color w:val="000000" w:themeColor="text1"/>
          <w14:textFill>
            <w14:solidFill>
              <w14:schemeClr w14:val="tx1"/>
            </w14:solidFill>
          </w14:textFill>
        </w:rPr>
        <w:t>D.受外部火灾影响或电气火灾、雷击影响，发生火灾、爆炸事故。</w:t>
      </w:r>
    </w:p>
    <w:p w14:paraId="26D588C3">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装卸、输送</w:t>
      </w:r>
    </w:p>
    <w:p w14:paraId="68EC5D9B">
      <w:pPr>
        <w:ind w:firstLine="520"/>
        <w:rPr>
          <w:color w:val="000000" w:themeColor="text1"/>
          <w14:textFill>
            <w14:solidFill>
              <w14:schemeClr w14:val="tx1"/>
            </w14:solidFill>
          </w14:textFill>
        </w:rPr>
      </w:pPr>
      <w:r>
        <w:rPr>
          <w:color w:val="000000" w:themeColor="text1"/>
          <w14:textFill>
            <w14:solidFill>
              <w14:schemeClr w14:val="tx1"/>
            </w14:solidFill>
          </w14:textFill>
        </w:rPr>
        <w:t>A.管道输送流速过快造成静电积聚引起火灾、爆炸事故；受外部热能影响管道内液体气化造成管道损坏引起燃烧、爆炸。</w:t>
      </w:r>
    </w:p>
    <w:p w14:paraId="4ECFE910">
      <w:pPr>
        <w:ind w:firstLine="520"/>
        <w:rPr>
          <w:color w:val="000000" w:themeColor="text1"/>
          <w14:textFill>
            <w14:solidFill>
              <w14:schemeClr w14:val="tx1"/>
            </w14:solidFill>
          </w14:textFill>
        </w:rPr>
      </w:pPr>
      <w:r>
        <w:rPr>
          <w:color w:val="000000" w:themeColor="text1"/>
          <w14:textFill>
            <w14:solidFill>
              <w14:schemeClr w14:val="tx1"/>
            </w14:solidFill>
          </w14:textFill>
        </w:rPr>
        <w:t>B.卸车时，排气管排出气体，遇火源或车辆启动时尾气管烟火发生爆燃事故。卸车、输送过程中速度过快，静电积聚引起火灾、爆炸事故。</w:t>
      </w:r>
    </w:p>
    <w:p w14:paraId="192CD7EB">
      <w:pPr>
        <w:ind w:firstLine="520"/>
        <w:rPr>
          <w:color w:val="000000" w:themeColor="text1"/>
          <w14:textFill>
            <w14:solidFill>
              <w14:schemeClr w14:val="tx1"/>
            </w14:solidFill>
          </w14:textFill>
        </w:rPr>
      </w:pPr>
      <w:r>
        <w:rPr>
          <w:color w:val="000000" w:themeColor="text1"/>
          <w14:textFill>
            <w14:solidFill>
              <w14:schemeClr w14:val="tx1"/>
            </w14:solidFill>
          </w14:textFill>
        </w:rPr>
        <w:t>C.装、卸车时与车辆的连接管线脱落、输送泵发生泄漏，遇火源会引起燃烧、爆炸。</w:t>
      </w:r>
    </w:p>
    <w:p w14:paraId="68640253">
      <w:pPr>
        <w:ind w:firstLine="520"/>
        <w:rPr>
          <w:color w:val="000000" w:themeColor="text1"/>
          <w14:textFill>
            <w14:solidFill>
              <w14:schemeClr w14:val="tx1"/>
            </w14:solidFill>
          </w14:textFill>
        </w:rPr>
      </w:pPr>
      <w:r>
        <w:rPr>
          <w:color w:val="000000" w:themeColor="text1"/>
          <w14:textFill>
            <w14:solidFill>
              <w14:schemeClr w14:val="tx1"/>
            </w14:solidFill>
          </w14:textFill>
        </w:rPr>
        <w:t>2）泄漏事故风险</w:t>
      </w:r>
    </w:p>
    <w:p w14:paraId="5FBA0D95">
      <w:pPr>
        <w:ind w:firstLine="520"/>
        <w:rPr>
          <w:color w:val="000000" w:themeColor="text1"/>
          <w14:textFill>
            <w14:solidFill>
              <w14:schemeClr w14:val="tx1"/>
            </w14:solidFill>
          </w14:textFill>
        </w:rPr>
      </w:pPr>
      <w:r>
        <w:rPr>
          <w:color w:val="000000" w:themeColor="text1"/>
          <w14:textFill>
            <w14:solidFill>
              <w14:schemeClr w14:val="tx1"/>
            </w14:solidFill>
          </w14:textFill>
        </w:rPr>
        <w:t>甲基三氯硅烷由于储罐破裂引起泄露，在物料输送过程中，由于管道、阀门因长期使用而腐蚀等原因导致甲基三氯硅烷泄漏，储罐导管接口、容器阀门等破损导致甲基三氯硅烷泄漏，泄露后有毒有害物质挥发对环境空气会造成一定影响，对周边作业人员可能造成急性和慢性中毒。</w:t>
      </w:r>
    </w:p>
    <w:p w14:paraId="7FA7E863">
      <w:pPr>
        <w:ind w:firstLine="520"/>
        <w:rPr>
          <w:color w:val="000000" w:themeColor="text1"/>
          <w14:textFill>
            <w14:solidFill>
              <w14:schemeClr w14:val="tx1"/>
            </w14:solidFill>
          </w14:textFill>
        </w:rPr>
      </w:pPr>
      <w:r>
        <w:rPr>
          <w:color w:val="000000" w:themeColor="text1"/>
          <w14:textFill>
            <w14:solidFill>
              <w14:schemeClr w14:val="tx1"/>
            </w14:solidFill>
          </w14:textFill>
        </w:rPr>
        <w:t>（2）确定最大可信事故</w:t>
      </w:r>
    </w:p>
    <w:p w14:paraId="678B274E">
      <w:pPr>
        <w:ind w:firstLine="520"/>
        <w:rPr>
          <w:color w:val="000000" w:themeColor="text1"/>
          <w14:textFill>
            <w14:solidFill>
              <w14:schemeClr w14:val="tx1"/>
            </w14:solidFill>
          </w14:textFill>
        </w:rPr>
      </w:pPr>
      <w:r>
        <w:rPr>
          <w:color w:val="000000" w:themeColor="text1"/>
          <w14:textFill>
            <w14:solidFill>
              <w14:schemeClr w14:val="tx1"/>
            </w14:solidFill>
          </w14:textFill>
        </w:rPr>
        <w:t>我国化工企业一般事故原因统计见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_Ref160557287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表7.5</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。在各类事故隐患中，以反应装置、管线及储罐泄漏为多，而造成泄漏原因多为管理不善、未能定时检修和操作失误造成。</w:t>
      </w:r>
    </w:p>
    <w:p w14:paraId="606FD997">
      <w:pPr>
        <w:spacing w:before="32"/>
        <w:ind w:firstLine="0" w:firstLineChars="0"/>
        <w:jc w:val="center"/>
        <w:rPr>
          <w:color w:val="000000" w:themeColor="text1"/>
          <w14:textFill>
            <w14:solidFill>
              <w14:schemeClr w14:val="tx1"/>
            </w14:solidFill>
          </w14:textFill>
        </w:rPr>
      </w:pPr>
      <w:bookmarkStart w:id="339" w:name="_Ref160557287"/>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7.5</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2</w:t>
      </w:r>
      <w:r>
        <w:rPr>
          <w:color w:val="000000" w:themeColor="text1"/>
          <w:szCs w:val="26"/>
          <w14:textFill>
            <w14:solidFill>
              <w14:schemeClr w14:val="tx1"/>
            </w14:solidFill>
          </w14:textFill>
        </w:rPr>
        <w:fldChar w:fldCharType="end"/>
      </w:r>
      <w:bookmarkEnd w:id="339"/>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我国化工企业一般事故原因统计</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856"/>
        <w:gridCol w:w="4860"/>
        <w:gridCol w:w="2742"/>
      </w:tblGrid>
      <w:tr w14:paraId="56E5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56" w:type="dxa"/>
          </w:tcPr>
          <w:p w14:paraId="3DFB522B">
            <w:pPr>
              <w:pStyle w:val="1535"/>
            </w:pPr>
            <w:r>
              <w:t>序号</w:t>
            </w:r>
          </w:p>
        </w:tc>
        <w:tc>
          <w:tcPr>
            <w:tcW w:w="4860" w:type="dxa"/>
          </w:tcPr>
          <w:p w14:paraId="6D8C0D11">
            <w:pPr>
              <w:pStyle w:val="1535"/>
            </w:pPr>
            <w:r>
              <w:t>事故原因</w:t>
            </w:r>
          </w:p>
        </w:tc>
        <w:tc>
          <w:tcPr>
            <w:tcW w:w="2742" w:type="dxa"/>
          </w:tcPr>
          <w:p w14:paraId="30DE3006">
            <w:pPr>
              <w:pStyle w:val="1535"/>
            </w:pPr>
            <w:r>
              <w:t>占比例(%)</w:t>
            </w:r>
          </w:p>
        </w:tc>
      </w:tr>
      <w:tr w14:paraId="126C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56" w:type="dxa"/>
          </w:tcPr>
          <w:p w14:paraId="31927FF0">
            <w:pPr>
              <w:pStyle w:val="1535"/>
            </w:pPr>
            <w:r>
              <w:t>1</w:t>
            </w:r>
          </w:p>
        </w:tc>
        <w:tc>
          <w:tcPr>
            <w:tcW w:w="4860" w:type="dxa"/>
          </w:tcPr>
          <w:p w14:paraId="5C42E87C">
            <w:pPr>
              <w:pStyle w:val="1535"/>
            </w:pPr>
            <w:r>
              <w:t>储罐、管道和设备破损</w:t>
            </w:r>
          </w:p>
        </w:tc>
        <w:tc>
          <w:tcPr>
            <w:tcW w:w="2742" w:type="dxa"/>
          </w:tcPr>
          <w:p w14:paraId="0DDDD622">
            <w:pPr>
              <w:pStyle w:val="1535"/>
            </w:pPr>
            <w:r>
              <w:t>52</w:t>
            </w:r>
          </w:p>
        </w:tc>
      </w:tr>
      <w:tr w14:paraId="65CC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56" w:type="dxa"/>
          </w:tcPr>
          <w:p w14:paraId="6BFE3882">
            <w:pPr>
              <w:pStyle w:val="1535"/>
            </w:pPr>
            <w:r>
              <w:t>2</w:t>
            </w:r>
          </w:p>
        </w:tc>
        <w:tc>
          <w:tcPr>
            <w:tcW w:w="4860" w:type="dxa"/>
          </w:tcPr>
          <w:p w14:paraId="12CACA97">
            <w:pPr>
              <w:pStyle w:val="1535"/>
            </w:pPr>
            <w:r>
              <w:t>操作失误</w:t>
            </w:r>
          </w:p>
        </w:tc>
        <w:tc>
          <w:tcPr>
            <w:tcW w:w="2742" w:type="dxa"/>
          </w:tcPr>
          <w:p w14:paraId="08CAC3F9">
            <w:pPr>
              <w:pStyle w:val="1535"/>
            </w:pPr>
            <w:r>
              <w:t>11</w:t>
            </w:r>
          </w:p>
        </w:tc>
      </w:tr>
      <w:tr w14:paraId="5A6C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56" w:type="dxa"/>
          </w:tcPr>
          <w:p w14:paraId="7E14BEB6">
            <w:pPr>
              <w:pStyle w:val="1535"/>
            </w:pPr>
            <w:r>
              <w:t>3</w:t>
            </w:r>
          </w:p>
        </w:tc>
        <w:tc>
          <w:tcPr>
            <w:tcW w:w="4860" w:type="dxa"/>
          </w:tcPr>
          <w:p w14:paraId="7CE53829">
            <w:pPr>
              <w:pStyle w:val="1535"/>
            </w:pPr>
            <w:r>
              <w:t>违反检修规程</w:t>
            </w:r>
          </w:p>
        </w:tc>
        <w:tc>
          <w:tcPr>
            <w:tcW w:w="2742" w:type="dxa"/>
          </w:tcPr>
          <w:p w14:paraId="00A87A67">
            <w:pPr>
              <w:pStyle w:val="1535"/>
            </w:pPr>
            <w:r>
              <w:t>10</w:t>
            </w:r>
          </w:p>
        </w:tc>
      </w:tr>
      <w:tr w14:paraId="5588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56" w:type="dxa"/>
          </w:tcPr>
          <w:p w14:paraId="0F3D3650">
            <w:pPr>
              <w:pStyle w:val="1535"/>
            </w:pPr>
            <w:r>
              <w:t>4</w:t>
            </w:r>
          </w:p>
        </w:tc>
        <w:tc>
          <w:tcPr>
            <w:tcW w:w="4860" w:type="dxa"/>
          </w:tcPr>
          <w:p w14:paraId="3A596325">
            <w:pPr>
              <w:pStyle w:val="1535"/>
            </w:pPr>
            <w:r>
              <w:t>处理系统故障</w:t>
            </w:r>
          </w:p>
        </w:tc>
        <w:tc>
          <w:tcPr>
            <w:tcW w:w="2742" w:type="dxa"/>
          </w:tcPr>
          <w:p w14:paraId="123D523E">
            <w:pPr>
              <w:pStyle w:val="1535"/>
            </w:pPr>
            <w:r>
              <w:t>15</w:t>
            </w:r>
          </w:p>
        </w:tc>
      </w:tr>
      <w:tr w14:paraId="6B5D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856" w:type="dxa"/>
          </w:tcPr>
          <w:p w14:paraId="7DFFBC0E">
            <w:pPr>
              <w:pStyle w:val="1535"/>
            </w:pPr>
            <w:r>
              <w:t>5</w:t>
            </w:r>
          </w:p>
        </w:tc>
        <w:tc>
          <w:tcPr>
            <w:tcW w:w="4860" w:type="dxa"/>
          </w:tcPr>
          <w:p w14:paraId="56DE4DD6">
            <w:pPr>
              <w:pStyle w:val="1535"/>
            </w:pPr>
            <w:r>
              <w:t>其它</w:t>
            </w:r>
          </w:p>
        </w:tc>
        <w:tc>
          <w:tcPr>
            <w:tcW w:w="2742" w:type="dxa"/>
          </w:tcPr>
          <w:p w14:paraId="295CE22F">
            <w:pPr>
              <w:pStyle w:val="1535"/>
            </w:pPr>
            <w:r>
              <w:t>12</w:t>
            </w:r>
          </w:p>
        </w:tc>
      </w:tr>
    </w:tbl>
    <w:p w14:paraId="0FE3CA5D">
      <w:pPr>
        <w:ind w:firstLine="520"/>
        <w:rPr>
          <w:color w:val="000000" w:themeColor="text1"/>
          <w14:textFill>
            <w14:solidFill>
              <w14:schemeClr w14:val="tx1"/>
            </w14:solidFill>
          </w14:textFill>
        </w:rPr>
      </w:pPr>
      <w:r>
        <w:rPr>
          <w:color w:val="000000" w:themeColor="text1"/>
          <w14:textFill>
            <w14:solidFill>
              <w14:schemeClr w14:val="tx1"/>
            </w14:solidFill>
          </w14:textFill>
        </w:rPr>
        <w:t>另外，根据《化工装备事故分析与预防》(化学工业出版社，1994年)中统计1949年~1988年的全国化工行业事故发生情况的相关资料，目前国内的各类化工设备事故发生频率P分布情况见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_Ref160557317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表7.5</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0D71419">
      <w:pPr>
        <w:spacing w:before="32"/>
        <w:ind w:firstLine="0" w:firstLineChars="0"/>
        <w:jc w:val="center"/>
        <w:rPr>
          <w:color w:val="000000" w:themeColor="text1"/>
          <w14:textFill>
            <w14:solidFill>
              <w14:schemeClr w14:val="tx1"/>
            </w14:solidFill>
          </w14:textFill>
        </w:rPr>
      </w:pPr>
      <w:bookmarkStart w:id="340" w:name="_Ref160557317"/>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7.5</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3</w:t>
      </w:r>
      <w:r>
        <w:rPr>
          <w:color w:val="000000" w:themeColor="text1"/>
          <w:szCs w:val="26"/>
          <w14:textFill>
            <w14:solidFill>
              <w14:schemeClr w14:val="tx1"/>
            </w14:solidFill>
          </w14:textFill>
        </w:rPr>
        <w:fldChar w:fldCharType="end"/>
      </w:r>
      <w:bookmarkEnd w:id="340"/>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事故频率P取值表（单位：次/年）</w:t>
      </w:r>
    </w:p>
    <w:tbl>
      <w:tblPr>
        <w:tblStyle w:val="88"/>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951"/>
        <w:gridCol w:w="1966"/>
        <w:gridCol w:w="2033"/>
        <w:gridCol w:w="1919"/>
        <w:gridCol w:w="1412"/>
      </w:tblGrid>
      <w:tr w14:paraId="5381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951" w:type="dxa"/>
          </w:tcPr>
          <w:p w14:paraId="462AD368">
            <w:pPr>
              <w:pStyle w:val="1535"/>
            </w:pPr>
            <w:r>
              <w:t>设备名称</w:t>
            </w:r>
          </w:p>
        </w:tc>
        <w:tc>
          <w:tcPr>
            <w:tcW w:w="1966" w:type="dxa"/>
          </w:tcPr>
          <w:p w14:paraId="73FD0BD4">
            <w:pPr>
              <w:pStyle w:val="1535"/>
            </w:pPr>
            <w:r>
              <w:t>反应釜</w:t>
            </w:r>
          </w:p>
        </w:tc>
        <w:tc>
          <w:tcPr>
            <w:tcW w:w="2033" w:type="dxa"/>
          </w:tcPr>
          <w:p w14:paraId="4DBBB60E">
            <w:pPr>
              <w:pStyle w:val="1535"/>
            </w:pPr>
            <w:r>
              <w:t>储槽</w:t>
            </w:r>
          </w:p>
        </w:tc>
        <w:tc>
          <w:tcPr>
            <w:tcW w:w="1919" w:type="dxa"/>
          </w:tcPr>
          <w:p w14:paraId="3544229C">
            <w:pPr>
              <w:pStyle w:val="1535"/>
            </w:pPr>
            <w:r>
              <w:t>换热器</w:t>
            </w:r>
          </w:p>
        </w:tc>
        <w:tc>
          <w:tcPr>
            <w:tcW w:w="1412" w:type="dxa"/>
          </w:tcPr>
          <w:p w14:paraId="11F08740">
            <w:pPr>
              <w:pStyle w:val="1535"/>
            </w:pPr>
            <w:r>
              <w:t>管道破裂</w:t>
            </w:r>
          </w:p>
        </w:tc>
      </w:tr>
      <w:tr w14:paraId="672A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951" w:type="dxa"/>
          </w:tcPr>
          <w:p w14:paraId="276BA815">
            <w:pPr>
              <w:pStyle w:val="1535"/>
            </w:pPr>
            <w:r>
              <w:t>事故频率</w:t>
            </w:r>
          </w:p>
        </w:tc>
        <w:tc>
          <w:tcPr>
            <w:tcW w:w="1966" w:type="dxa"/>
          </w:tcPr>
          <w:p w14:paraId="681C0644">
            <w:pPr>
              <w:pStyle w:val="1535"/>
            </w:pPr>
            <w:r>
              <w:t>1.1×10-5</w:t>
            </w:r>
          </w:p>
        </w:tc>
        <w:tc>
          <w:tcPr>
            <w:tcW w:w="2033" w:type="dxa"/>
          </w:tcPr>
          <w:p w14:paraId="16295A56">
            <w:pPr>
              <w:pStyle w:val="1535"/>
            </w:pPr>
            <w:r>
              <w:t>1.2×10-6</w:t>
            </w:r>
          </w:p>
        </w:tc>
        <w:tc>
          <w:tcPr>
            <w:tcW w:w="1919" w:type="dxa"/>
          </w:tcPr>
          <w:p w14:paraId="4B7B63D7">
            <w:pPr>
              <w:pStyle w:val="1535"/>
            </w:pPr>
            <w:r>
              <w:t>5.1×10-6</w:t>
            </w:r>
          </w:p>
        </w:tc>
        <w:tc>
          <w:tcPr>
            <w:tcW w:w="1412" w:type="dxa"/>
          </w:tcPr>
          <w:p w14:paraId="57B21DB3">
            <w:pPr>
              <w:pStyle w:val="1535"/>
            </w:pPr>
            <w:r>
              <w:t>6.7×10-6</w:t>
            </w:r>
          </w:p>
        </w:tc>
      </w:tr>
    </w:tbl>
    <w:p w14:paraId="59F6D098">
      <w:pPr>
        <w:ind w:firstLine="520"/>
        <w:rPr>
          <w:color w:val="000000" w:themeColor="text1"/>
          <w14:textFill>
            <w14:solidFill>
              <w14:schemeClr w14:val="tx1"/>
            </w14:solidFill>
          </w14:textFill>
        </w:rPr>
      </w:pPr>
      <w:r>
        <w:rPr>
          <w:color w:val="000000" w:themeColor="text1"/>
          <w14:textFill>
            <w14:solidFill>
              <w14:schemeClr w14:val="tx1"/>
            </w14:solidFill>
          </w14:textFill>
        </w:rPr>
        <w:t>根据扩建项目所用物料情况及采用设备的性能分析，可能造成有机毒物泄漏的主要部位来自储罐和贮罐连接的管道连接处。扩建项目在设定最大可信事故概率时，考虑到本工程采用的是当前世界先进的工艺技术、装备，在设计、生产及运行中，采取完善的安全措施及先进的监控措施，风险防范能力很高。基于上述分析，以偏保守考虑，扩建项目最大可信事故的概率仍采用表6.5-3中的数据，即管道泄漏的事故概率为6.7×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次/年。本次环评事故风险评价不考虑外部事故风险因素(如地震、雷电、战争、人为蓄意破坏等)，也不考虑危害范围只限于厂内的小事故，主要考虑可能对厂区外居民和周围环境造成污染危害的事故。假想的事故应当是可能对厂区外敏感点和周围环境造成较大影响的可信事故。</w:t>
      </w:r>
    </w:p>
    <w:p w14:paraId="6CAD407E">
      <w:pPr>
        <w:ind w:firstLine="520"/>
        <w:rPr>
          <w:color w:val="000000" w:themeColor="text1"/>
          <w14:textFill>
            <w14:solidFill>
              <w14:schemeClr w14:val="tx1"/>
            </w14:solidFill>
          </w14:textFill>
        </w:rPr>
      </w:pPr>
      <w:r>
        <w:rPr>
          <w:color w:val="000000" w:themeColor="text1"/>
          <w14:textFill>
            <w14:solidFill>
              <w14:schemeClr w14:val="tx1"/>
            </w14:solidFill>
          </w14:textFill>
        </w:rPr>
        <w:t>（3）最大可信事故源项分析</w:t>
      </w:r>
    </w:p>
    <w:p w14:paraId="4D90037B">
      <w:pPr>
        <w:ind w:firstLine="520"/>
        <w:rPr>
          <w:color w:val="000000" w:themeColor="text1"/>
          <w14:textFill>
            <w14:solidFill>
              <w14:schemeClr w14:val="tx1"/>
            </w14:solidFill>
          </w14:textFill>
        </w:rPr>
      </w:pPr>
      <w:r>
        <w:rPr>
          <w:color w:val="000000" w:themeColor="text1"/>
          <w14:textFill>
            <w14:solidFill>
              <w14:schemeClr w14:val="tx1"/>
            </w14:solidFill>
          </w14:textFill>
        </w:rPr>
        <w:t>由上述分析可知，扩建项目最大可信事故为扩建项目甲基三氯硅烷发生起火燃烧后产生的有毒有害物质(HCl、CO等)及甲基三氯硅烷泄露对周边环境的影响。</w:t>
      </w:r>
    </w:p>
    <w:p w14:paraId="28E25A21">
      <w:pPr>
        <w:ind w:firstLine="520"/>
        <w:rPr>
          <w:color w:val="000000" w:themeColor="text1"/>
          <w14:textFill>
            <w14:solidFill>
              <w14:schemeClr w14:val="tx1"/>
            </w14:solidFill>
          </w14:textFill>
        </w:rPr>
      </w:pPr>
      <w:r>
        <w:rPr>
          <w:color w:val="000000" w:themeColor="text1"/>
          <w14:textFill>
            <w14:solidFill>
              <w14:schemeClr w14:val="tx1"/>
            </w14:solidFill>
          </w14:textFill>
        </w:rPr>
        <w:t>1)甲基三氯硅烷泄漏事故</w:t>
      </w:r>
    </w:p>
    <w:p w14:paraId="0EA872AB">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泄漏源：甲基三氯硅烷仓库。泄漏方式：假定为连续性泄漏。</w:t>
      </w:r>
    </w:p>
    <w:p w14:paraId="6F43B2F4">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泄漏持续时间的选取在实际生产过程中，由于采取了压力、流量检测与控制等措施，加之作业现场有人定时巡视，泄漏持续时间一般不超过10min。在计算泄漏量，根据《建设项目环境风险评价技术导则》(HJ169-2018)，泄露时间按10min考虑。</w:t>
      </w:r>
    </w:p>
    <w:p w14:paraId="13353A9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甲基三氯硅烷泄漏量计算</w:t>
      </w:r>
    </w:p>
    <w:p w14:paraId="7C16A286">
      <w:pPr>
        <w:ind w:firstLine="520"/>
        <w:rPr>
          <w:color w:val="000000" w:themeColor="text1"/>
          <w14:textFill>
            <w14:solidFill>
              <w14:schemeClr w14:val="tx1"/>
            </w14:solidFill>
          </w14:textFill>
        </w:rPr>
      </w:pPr>
      <w:r>
        <w:rPr>
          <w:color w:val="000000" w:themeColor="text1"/>
          <w14:textFill>
            <w14:solidFill>
              <w14:schemeClr w14:val="tx1"/>
            </w14:solidFill>
          </w14:textFill>
        </w:rPr>
        <w:t>根据风险导则附录F提供的计算方法，液体泄露速率QL采用伯努利方程（限制条件为液体在喷口不应有急骤蒸发）。</w:t>
      </w:r>
    </w:p>
    <w:p w14:paraId="0B65FACD">
      <w:pPr>
        <w:spacing w:line="240" w:lineRule="auto"/>
        <w:ind w:firstLine="520"/>
        <w:rPr>
          <w:color w:val="000000" w:themeColor="text1"/>
          <w14:textFill>
            <w14:solidFill>
              <w14:schemeClr w14:val="tx1"/>
            </w14:solidFill>
          </w14:textFill>
        </w:rPr>
      </w:pPr>
      <m:oMathPara>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d</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Aρ</m:t>
          </m:r>
          <m:rad>
            <m:radPr>
              <m:degHide m:val="1"/>
              <m:ctrlPr>
                <w:rPr>
                  <w:rFonts w:ascii="Cambria Math" w:hAnsi="Cambria Math"/>
                  <w:color w:val="000000" w:themeColor="text1"/>
                  <w14:textFill>
                    <w14:solidFill>
                      <w14:schemeClr w14:val="tx1"/>
                    </w14:solidFill>
                  </w14:textFill>
                </w:rPr>
              </m:ctrlPr>
            </m:radPr>
            <m:deg>
              <m:ctrlPr>
                <w:rPr>
                  <w:rFonts w:ascii="Cambria Math" w:hAnsi="Cambria Math"/>
                  <w:color w:val="000000" w:themeColor="text1"/>
                  <w14:textFill>
                    <w14:solidFill>
                      <w14:schemeClr w14:val="tx1"/>
                    </w14:solidFill>
                  </w14:textFill>
                </w:rPr>
              </m:ctrlPr>
            </m:deg>
            <m:e>
              <m:f>
                <m:fPr>
                  <m:ctrlPr>
                    <w:rPr>
                      <w:rFonts w:ascii="Cambria Math" w:hAnsi="Cambria Math"/>
                      <w:color w:val="000000" w:themeColor="text1"/>
                      <w14:textFill>
                        <w14:solidFill>
                          <w14:schemeClr w14:val="tx1"/>
                        </w14:solidFill>
                      </w14:textFill>
                    </w:rPr>
                  </m:ctrlPr>
                </m:fPr>
                <m:num>
                  <m:r>
                    <m:rPr>
                      <m:sty m:val="p"/>
                    </m:rPr>
                    <w:rPr>
                      <w:rFonts w:ascii="Cambria Math" w:hAnsi="Cambria Math"/>
                      <w:color w:val="000000" w:themeColor="text1"/>
                      <w14:textFill>
                        <w14:solidFill>
                          <w14:schemeClr w14:val="tx1"/>
                        </w14:solidFill>
                      </w14:textFill>
                    </w:rPr>
                    <m:t>2</m:t>
                  </m:r>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P−</m:t>
                      </m:r>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e>
                  </m:d>
                  <m:ctrlPr>
                    <w:rPr>
                      <w:rFonts w:ascii="Cambria Math" w:hAnsi="Cambria Math"/>
                      <w:color w:val="000000" w:themeColor="text1"/>
                      <w14:textFill>
                        <w14:solidFill>
                          <w14:schemeClr w14:val="tx1"/>
                        </w14:solidFill>
                      </w14:textFill>
                    </w:rPr>
                  </m:ctrlPr>
                </m:num>
                <m:den>
                  <m:r>
                    <m:rPr>
                      <m:sty m:val="p"/>
                    </m:rPr>
                    <w:rPr>
                      <w:rFonts w:ascii="Cambria Math" w:hAnsi="Cambria Math"/>
                      <w:color w:val="000000" w:themeColor="text1"/>
                      <w14:textFill>
                        <w14:solidFill>
                          <w14:schemeClr w14:val="tx1"/>
                        </w14:solidFill>
                      </w14:textFill>
                    </w:rPr>
                    <m:t>ρ</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+2gh</m:t>
              </m:r>
              <m:ctrlPr>
                <w:rPr>
                  <w:rFonts w:ascii="Cambria Math" w:hAnsi="Cambria Math"/>
                  <w:color w:val="000000" w:themeColor="text1"/>
                  <w14:textFill>
                    <w14:solidFill>
                      <w14:schemeClr w14:val="tx1"/>
                    </w14:solidFill>
                  </w14:textFill>
                </w:rPr>
              </m:ctrlPr>
            </m:e>
          </m:rad>
        </m:oMath>
      </m:oMathPara>
    </w:p>
    <w:p w14:paraId="6253315C">
      <w:pPr>
        <w:ind w:firstLine="520"/>
        <w:rPr>
          <w:color w:val="000000" w:themeColor="text1"/>
          <w14:textFill>
            <w14:solidFill>
              <w14:schemeClr w14:val="tx1"/>
            </w14:solidFill>
          </w14:textFill>
        </w:rPr>
      </w:pPr>
      <w:r>
        <w:rPr>
          <w:color w:val="000000" w:themeColor="text1"/>
          <w14:textFill>
            <w14:solidFill>
              <w14:schemeClr w14:val="tx1"/>
            </w14:solidFill>
          </w14:textFill>
        </w:rPr>
        <w:t>式中，Q—液体排出率，kg/s；</w:t>
      </w:r>
    </w:p>
    <w:p w14:paraId="2C997AAD">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A—裂口流出的面积，m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；MTS储罐出料管口破裂发生泄露，泄露孔径为10mm孔径，裂口面积取7.85×10</w:t>
      </w:r>
      <w:r>
        <w:rPr>
          <w:color w:val="000000" w:themeColor="text1"/>
          <w:vertAlign w:val="superscript"/>
          <w14:textFill>
            <w14:solidFill>
              <w14:schemeClr w14:val="tx1"/>
            </w14:solidFill>
          </w14:textFill>
        </w:rPr>
        <w:t>-5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14:paraId="17041A0A">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d</w:t>
      </w:r>
      <w:r>
        <w:rPr>
          <w:color w:val="000000" w:themeColor="text1"/>
          <w14:textFill>
            <w14:solidFill>
              <w14:schemeClr w14:val="tx1"/>
            </w14:solidFill>
          </w14:textFill>
        </w:rPr>
        <w:t>—流量系数，参照导则附录F“事故源强计算方法”表F1液体泄漏系数(Cd)，取0.65；</w:t>
      </w:r>
    </w:p>
    <w:p w14:paraId="1367A749">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P—操作压力或容器压力，Pa，泄漏时取标准大气压1.01×10</w:t>
      </w:r>
      <w:r>
        <w:rPr>
          <w:color w:val="000000" w:themeColor="text1"/>
          <w:vertAlign w:val="superscript"/>
          <w14:textFill>
            <w14:solidFill>
              <w14:schemeClr w14:val="tx1"/>
            </w14:solidFill>
          </w14:textFill>
        </w:rPr>
        <w:t>5</w:t>
      </w:r>
      <w:r>
        <w:rPr>
          <w:color w:val="000000" w:themeColor="text1"/>
          <w14:textFill>
            <w14:solidFill>
              <w14:schemeClr w14:val="tx1"/>
            </w14:solidFill>
          </w14:textFill>
        </w:rPr>
        <w:t>Pa；</w:t>
      </w:r>
    </w:p>
    <w:p w14:paraId="0A895119">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—外界压力或大气压，Pa，环境压力P0取标准大气压1.01×10</w:t>
      </w:r>
      <w:r>
        <w:rPr>
          <w:color w:val="000000" w:themeColor="text1"/>
          <w:vertAlign w:val="superscript"/>
          <w14:textFill>
            <w14:solidFill>
              <w14:schemeClr w14:val="tx1"/>
            </w14:solidFill>
          </w14:textFill>
        </w:rPr>
        <w:t>5</w:t>
      </w:r>
      <w:r>
        <w:rPr>
          <w:color w:val="000000" w:themeColor="text1"/>
          <w14:textFill>
            <w14:solidFill>
              <w14:schemeClr w14:val="tx1"/>
            </w14:solidFill>
          </w14:textFill>
        </w:rPr>
        <w:t>Pa；</w:t>
      </w:r>
    </w:p>
    <w:p w14:paraId="50F8DAB0">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ρ—液体密度，kg/m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；甲基三氯硅烷密度约为1280kg/m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75EA6B06">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g—重力加速度，9.81m/s</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14:paraId="3D18C442">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h—罐中液面在排放点以上的高度，扩建项目裂口之上液位高度h取1.5m。</w:t>
      </w:r>
    </w:p>
    <w:p w14:paraId="7A2DF436">
      <w:pPr>
        <w:ind w:firstLine="520"/>
        <w:rPr>
          <w:color w:val="000000" w:themeColor="text1"/>
          <w14:textFill>
            <w14:solidFill>
              <w14:schemeClr w14:val="tx1"/>
            </w14:solidFill>
          </w14:textFill>
        </w:rPr>
      </w:pPr>
      <w:r>
        <w:rPr>
          <w:color w:val="000000" w:themeColor="text1"/>
          <w14:textFill>
            <w14:solidFill>
              <w14:schemeClr w14:val="tx1"/>
            </w14:solidFill>
          </w14:textFill>
        </w:rPr>
        <w:t>根据以上计算得，甲基三氯硅烷储罐的泄漏速率为0.354kg/s，按保守估计持续泄漏10min，甲基三氯硅烷泄漏量为212.4kg。</w:t>
      </w:r>
    </w:p>
    <w:p w14:paraId="4FFEAC75">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蒸发速率模拟计算</w:t>
      </w:r>
    </w:p>
    <w:p w14:paraId="782AF39F">
      <w:pPr>
        <w:ind w:firstLine="520"/>
        <w:rPr>
          <w:color w:val="000000" w:themeColor="text1"/>
          <w14:textFill>
            <w14:solidFill>
              <w14:schemeClr w14:val="tx1"/>
            </w14:solidFill>
          </w14:textFill>
        </w:rPr>
      </w:pPr>
      <w:r>
        <w:rPr>
          <w:color w:val="000000" w:themeColor="text1"/>
          <w14:textFill>
            <w14:solidFill>
              <w14:schemeClr w14:val="tx1"/>
            </w14:solidFill>
          </w14:textFill>
        </w:rPr>
        <w:t>液体物质泄漏后需要考虑其挥发后的气体量。蒸发分为闪蒸蒸发、热量蒸发及质量蒸发，因扩建项目甲基三氯硅烷在常温下泄漏，其沸点高于存储温度和环境温度，仅需考虑质量蒸发。</w:t>
      </w:r>
    </w:p>
    <w:p w14:paraId="22D102EA">
      <w:pPr>
        <w:ind w:firstLine="520"/>
        <w:rPr>
          <w:color w:val="000000" w:themeColor="text1"/>
          <w14:textFill>
            <w14:solidFill>
              <w14:schemeClr w14:val="tx1"/>
            </w14:solidFill>
          </w14:textFill>
        </w:rPr>
      </w:pPr>
      <w:r>
        <w:rPr>
          <w:color w:val="000000" w:themeColor="text1"/>
          <w14:textFill>
            <w14:solidFill>
              <w14:schemeClr w14:val="tx1"/>
            </w14:solidFill>
          </w14:textFill>
        </w:rPr>
        <w:t>质量蒸发估算：当热量蒸发结束后，转由液池表面气流运动使液体蒸发，称之为质量蒸发。其蒸发速率按下式计算。</w:t>
      </w:r>
    </w:p>
    <w:p w14:paraId="47699111">
      <w:pPr>
        <w:spacing w:line="240" w:lineRule="auto"/>
        <w:ind w:firstLine="520"/>
        <w:rPr>
          <w:color w:val="000000" w:themeColor="text1"/>
          <w14:textFill>
            <w14:solidFill>
              <w14:schemeClr w14:val="tx1"/>
            </w14:solidFill>
          </w14:textFill>
        </w:rPr>
      </w:pPr>
      <m:oMathPara>
        <m:oMath>
          <m:r>
            <m:rPr>
              <m:sty m:val="p"/>
            </m:rPr>
            <w:rPr>
              <w:rFonts w:ascii="Cambria Math" w:hAnsi="Cambria Math"/>
              <w:color w:val="000000" w:themeColor="text1"/>
              <w14:textFill>
                <w14:solidFill>
                  <w14:schemeClr w14:val="tx1"/>
                </w14:solidFill>
              </w14:textFill>
            </w:rPr>
            <m:t>Q=αP</m:t>
          </m:r>
          <m:f>
            <m:fPr>
              <m:ctrlPr>
                <w:rPr>
                  <w:rFonts w:ascii="Cambria Math" w:hAnsi="Cambria Math"/>
                  <w:color w:val="000000" w:themeColor="text1"/>
                  <w14:textFill>
                    <w14:solidFill>
                      <w14:schemeClr w14:val="tx1"/>
                    </w14:solidFill>
                  </w14:textFill>
                </w:rPr>
              </m:ctrlPr>
            </m:fPr>
            <m:num>
              <m:r>
                <m:rPr>
                  <m:sty m:val="p"/>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num>
            <m:den>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RT</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den>
          </m:f>
          <m:sSup>
            <m:sSupPr>
              <m:ctrlPr>
                <w:rPr>
                  <w:rFonts w:ascii="Cambria Math" w:hAnsi="Cambria Math"/>
                  <w:color w:val="000000" w:themeColor="text1"/>
                  <w14:textFill>
                    <w14:solidFill>
                      <w14:schemeClr w14:val="tx1"/>
                    </w14:solidFill>
                  </w14:textFill>
                </w:rPr>
              </m:ctrlPr>
            </m:sSupPr>
            <m:e>
              <m:r>
                <m:rPr>
                  <m:sty m:val="p"/>
                </m:rPr>
                <w:rPr>
                  <w:rFonts w:ascii="Cambria Math" w:hAnsi="Cambria Math"/>
                  <w:color w:val="000000" w:themeColor="text1"/>
                  <w14:textFill>
                    <w14:solidFill>
                      <w14:schemeClr w14:val="tx1"/>
                    </w14:solidFill>
                  </w14:textFill>
                </w:rPr>
                <m:t>u</m:t>
              </m:r>
              <m:ctrlPr>
                <w:rPr>
                  <w:rFonts w:ascii="Cambria Math" w:hAnsi="Cambria Math"/>
                  <w:color w:val="000000" w:themeColor="text1"/>
                  <w14:textFill>
                    <w14:solidFill>
                      <w14:schemeClr w14:val="tx1"/>
                    </w14:solidFill>
                  </w14:textFill>
                </w:rPr>
              </m:ctrlPr>
            </m:e>
            <m:sup>
              <m:f>
                <m:fPr>
                  <m:ctrlPr>
                    <w:rPr>
                      <w:rFonts w:ascii="Cambria Math" w:hAnsi="Cambria Math"/>
                      <w:color w:val="000000" w:themeColor="text1"/>
                      <w14:textFill>
                        <w14:solidFill>
                          <w14:schemeClr w14:val="tx1"/>
                        </w14:solidFill>
                      </w14:textFill>
                    </w:rPr>
                  </m:ctrlPr>
                </m:fPr>
                <m:num>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2−n</m:t>
                      </m:r>
                      <m:ctrlPr>
                        <w:rPr>
                          <w:rFonts w:ascii="Cambria Math" w:hAnsi="Cambria Math"/>
                          <w:color w:val="000000" w:themeColor="text1"/>
                          <w14:textFill>
                            <w14:solidFill>
                              <w14:schemeClr w14:val="tx1"/>
                            </w14:solidFill>
                          </w14:textFill>
                        </w:rPr>
                      </m:ctrlPr>
                    </m:e>
                  </m:d>
                  <m:ctrlPr>
                    <w:rPr>
                      <w:rFonts w:ascii="Cambria Math" w:hAnsi="Cambria Math"/>
                      <w:color w:val="000000" w:themeColor="text1"/>
                      <w14:textFill>
                        <w14:solidFill>
                          <w14:schemeClr w14:val="tx1"/>
                        </w14:solidFill>
                      </w14:textFill>
                    </w:rPr>
                  </m:ctrlPr>
                </m:num>
                <m:den>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2+n</m:t>
                      </m:r>
                      <m:ctrlPr>
                        <w:rPr>
                          <w:rFonts w:ascii="Cambria Math" w:hAnsi="Cambria Math"/>
                          <w:color w:val="000000" w:themeColor="text1"/>
                          <w14:textFill>
                            <w14:solidFill>
                              <w14:schemeClr w14:val="tx1"/>
                            </w14:solidFill>
                          </w14:textFill>
                        </w:rPr>
                      </m:ctrlPr>
                    </m:e>
                  </m:d>
                  <m:ctrlPr>
                    <w:rPr>
                      <w:rFonts w:ascii="Cambria Math" w:hAnsi="Cambria Math"/>
                      <w:color w:val="000000" w:themeColor="text1"/>
                      <w14:textFill>
                        <w14:solidFill>
                          <w14:schemeClr w14:val="tx1"/>
                        </w14:solidFill>
                      </w14:textFill>
                    </w:rPr>
                  </m:ctrlPr>
                </m:den>
              </m:f>
              <m:ctrlPr>
                <w:rPr>
                  <w:rFonts w:ascii="Cambria Math" w:hAnsi="Cambria Math"/>
                  <w:color w:val="000000" w:themeColor="text1"/>
                  <w14:textFill>
                    <w14:solidFill>
                      <w14:schemeClr w14:val="tx1"/>
                    </w14:solidFill>
                  </w14:textFill>
                </w:rPr>
              </m:ctrlPr>
            </m:sup>
          </m:sSup>
          <m:sSup>
            <m:sSupPr>
              <m:ctrlPr>
                <w:rPr>
                  <w:rFonts w:ascii="Cambria Math" w:hAnsi="Cambria Math"/>
                  <w:color w:val="000000" w:themeColor="text1"/>
                  <w14:textFill>
                    <w14:solidFill>
                      <w14:schemeClr w14:val="tx1"/>
                    </w14:solidFill>
                  </w14:textFill>
                </w:rPr>
              </m:ctrlPr>
            </m:sSupPr>
            <m:e>
              <m:r>
                <m:rPr>
                  <m:sty m:val="p"/>
                </m:rPr>
                <w:rPr>
                  <w:rFonts w:ascii="Cambria Math" w:hAnsi="Cambria Math"/>
                  <w:color w:val="000000" w:themeColor="text1"/>
                  <w14:textFill>
                    <w14:solidFill>
                      <w14:schemeClr w14:val="tx1"/>
                    </w14:solidFill>
                  </w14:textFill>
                </w:rPr>
                <m:t>r</m:t>
              </m:r>
              <m:ctrlPr>
                <w:rPr>
                  <w:rFonts w:ascii="Cambria Math" w:hAnsi="Cambria Math"/>
                  <w:color w:val="000000" w:themeColor="text1"/>
                  <w14:textFill>
                    <w14:solidFill>
                      <w14:schemeClr w14:val="tx1"/>
                    </w14:solidFill>
                  </w14:textFill>
                </w:rPr>
              </m:ctrlPr>
            </m:e>
            <m:sup>
              <m:f>
                <m:fPr>
                  <m:ctrlPr>
                    <w:rPr>
                      <w:rFonts w:ascii="Cambria Math" w:hAnsi="Cambria Math"/>
                      <w:color w:val="000000" w:themeColor="text1"/>
                      <w14:textFill>
                        <w14:solidFill>
                          <w14:schemeClr w14:val="tx1"/>
                        </w14:solidFill>
                      </w14:textFill>
                    </w:rPr>
                  </m:ctrlPr>
                </m:fPr>
                <m:num>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4+n</m:t>
                      </m:r>
                      <m:ctrlPr>
                        <w:rPr>
                          <w:rFonts w:ascii="Cambria Math" w:hAnsi="Cambria Math"/>
                          <w:color w:val="000000" w:themeColor="text1"/>
                          <w14:textFill>
                            <w14:solidFill>
                              <w14:schemeClr w14:val="tx1"/>
                            </w14:solidFill>
                          </w14:textFill>
                        </w:rPr>
                      </m:ctrlPr>
                    </m:e>
                  </m:d>
                  <m:ctrlPr>
                    <w:rPr>
                      <w:rFonts w:ascii="Cambria Math" w:hAnsi="Cambria Math"/>
                      <w:color w:val="000000" w:themeColor="text1"/>
                      <w14:textFill>
                        <w14:solidFill>
                          <w14:schemeClr w14:val="tx1"/>
                        </w14:solidFill>
                      </w14:textFill>
                    </w:rPr>
                  </m:ctrlPr>
                </m:num>
                <m:den>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2+n</m:t>
                      </m:r>
                      <m:ctrlPr>
                        <w:rPr>
                          <w:rFonts w:ascii="Cambria Math" w:hAnsi="Cambria Math"/>
                          <w:color w:val="000000" w:themeColor="text1"/>
                          <w14:textFill>
                            <w14:solidFill>
                              <w14:schemeClr w14:val="tx1"/>
                            </w14:solidFill>
                          </w14:textFill>
                        </w:rPr>
                      </m:ctrlPr>
                    </m:e>
                  </m:d>
                  <m:ctrlPr>
                    <w:rPr>
                      <w:rFonts w:ascii="Cambria Math" w:hAnsi="Cambria Math"/>
                      <w:color w:val="000000" w:themeColor="text1"/>
                      <w14:textFill>
                        <w14:solidFill>
                          <w14:schemeClr w14:val="tx1"/>
                        </w14:solidFill>
                      </w14:textFill>
                    </w:rPr>
                  </m:ctrlPr>
                </m:den>
              </m:f>
              <m:ctrlPr>
                <w:rPr>
                  <w:rFonts w:ascii="Cambria Math" w:hAnsi="Cambria Math"/>
                  <w:color w:val="000000" w:themeColor="text1"/>
                  <w14:textFill>
                    <w14:solidFill>
                      <w14:schemeClr w14:val="tx1"/>
                    </w14:solidFill>
                  </w14:textFill>
                </w:rPr>
              </m:ctrlPr>
            </m:sup>
          </m:sSup>
        </m:oMath>
      </m:oMathPara>
    </w:p>
    <w:p w14:paraId="37EF0CA6">
      <w:pPr>
        <w:ind w:firstLine="520"/>
        <w:rPr>
          <w:color w:val="000000" w:themeColor="text1"/>
          <w14:textFill>
            <w14:solidFill>
              <w14:schemeClr w14:val="tx1"/>
            </w14:solidFill>
          </w14:textFill>
        </w:rPr>
      </w:pPr>
      <w:r>
        <w:rPr>
          <w:color w:val="000000" w:themeColor="text1"/>
          <w14:textFill>
            <w14:solidFill>
              <w14:schemeClr w14:val="tx1"/>
            </w14:solidFill>
          </w14:textFill>
        </w:rPr>
        <w:t>式中：Q—质量蒸发速率，kg/s；</w:t>
      </w:r>
    </w:p>
    <w:p w14:paraId="68C4FD1E">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P—液体表面蒸气压，Pa；17793Pa；</w:t>
      </w:r>
    </w:p>
    <w:p w14:paraId="682F464E">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M—物质的摩尔质量，kg/mol；0.149kg/mol；</w:t>
      </w:r>
    </w:p>
    <w:p w14:paraId="78A91971">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R—气体常数，J/mol•k；8.314J/mol·K。</w:t>
      </w:r>
    </w:p>
    <w:p w14:paraId="0A41EE9A">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—环境温度，K；298K；</w:t>
      </w:r>
    </w:p>
    <w:p w14:paraId="1E6B48D0">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u—风速，m/s；2.5m/s。</w:t>
      </w:r>
    </w:p>
    <w:p w14:paraId="14D51640">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r—泄漏半径，m，2m；</w:t>
      </w:r>
    </w:p>
    <w:p w14:paraId="4DC3620D">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a，n—大气稳定系数，扩建项目MTS在贮存间内临时贮存，大气稳定系数为稳定。</w:t>
      </w:r>
    </w:p>
    <w:p w14:paraId="5B956D87">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7.5</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液池蒸发模式大气稳定系数</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3152"/>
        <w:gridCol w:w="3153"/>
        <w:gridCol w:w="3153"/>
      </w:tblGrid>
      <w:tr w14:paraId="03FF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3152" w:type="dxa"/>
          </w:tcPr>
          <w:p w14:paraId="0E97C7F6">
            <w:pPr>
              <w:pStyle w:val="1535"/>
            </w:pPr>
            <w:r>
              <w:t>大气稳定状况</w:t>
            </w:r>
          </w:p>
        </w:tc>
        <w:tc>
          <w:tcPr>
            <w:tcW w:w="3153" w:type="dxa"/>
          </w:tcPr>
          <w:p w14:paraId="6FDEDBC4">
            <w:pPr>
              <w:pStyle w:val="1535"/>
            </w:pPr>
            <w:r>
              <w:t>n</w:t>
            </w:r>
          </w:p>
        </w:tc>
        <w:tc>
          <w:tcPr>
            <w:tcW w:w="3153" w:type="dxa"/>
          </w:tcPr>
          <w:p w14:paraId="53A1DF45">
            <w:pPr>
              <w:pStyle w:val="1535"/>
            </w:pPr>
            <w:r>
              <w:t>a</w:t>
            </w:r>
          </w:p>
        </w:tc>
      </w:tr>
      <w:tr w14:paraId="0DFC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3152" w:type="dxa"/>
          </w:tcPr>
          <w:p w14:paraId="7106D67C">
            <w:pPr>
              <w:pStyle w:val="1535"/>
            </w:pPr>
            <w:r>
              <w:t>不稳定（A，B）</w:t>
            </w:r>
          </w:p>
        </w:tc>
        <w:tc>
          <w:tcPr>
            <w:tcW w:w="3153" w:type="dxa"/>
          </w:tcPr>
          <w:p w14:paraId="2E5F4491">
            <w:pPr>
              <w:pStyle w:val="1535"/>
            </w:pPr>
            <w:r>
              <w:t>0.2</w:t>
            </w:r>
          </w:p>
        </w:tc>
        <w:tc>
          <w:tcPr>
            <w:tcW w:w="3153" w:type="dxa"/>
          </w:tcPr>
          <w:p w14:paraId="17D62959">
            <w:pPr>
              <w:pStyle w:val="1535"/>
            </w:pPr>
            <w:r>
              <w:t>3.846×10-3</w:t>
            </w:r>
          </w:p>
        </w:tc>
      </w:tr>
      <w:tr w14:paraId="7389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3152" w:type="dxa"/>
          </w:tcPr>
          <w:p w14:paraId="3CACDE00">
            <w:pPr>
              <w:pStyle w:val="1535"/>
            </w:pPr>
            <w:r>
              <w:t>自然稳定（D）</w:t>
            </w:r>
          </w:p>
        </w:tc>
        <w:tc>
          <w:tcPr>
            <w:tcW w:w="3153" w:type="dxa"/>
          </w:tcPr>
          <w:p w14:paraId="4ECD71D4">
            <w:pPr>
              <w:pStyle w:val="1535"/>
            </w:pPr>
            <w:r>
              <w:t>0.25</w:t>
            </w:r>
          </w:p>
        </w:tc>
        <w:tc>
          <w:tcPr>
            <w:tcW w:w="3153" w:type="dxa"/>
          </w:tcPr>
          <w:p w14:paraId="3A94A4F6">
            <w:pPr>
              <w:pStyle w:val="1535"/>
            </w:pPr>
            <w:r>
              <w:t>4.685×10-3</w:t>
            </w:r>
          </w:p>
        </w:tc>
      </w:tr>
      <w:tr w14:paraId="1A97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3152" w:type="dxa"/>
          </w:tcPr>
          <w:p w14:paraId="75871CE1">
            <w:pPr>
              <w:pStyle w:val="1535"/>
            </w:pPr>
            <w:r>
              <w:t>稳定（E，F）</w:t>
            </w:r>
          </w:p>
        </w:tc>
        <w:tc>
          <w:tcPr>
            <w:tcW w:w="3153" w:type="dxa"/>
          </w:tcPr>
          <w:p w14:paraId="5B6BDC4C">
            <w:pPr>
              <w:pStyle w:val="1535"/>
            </w:pPr>
            <w:r>
              <w:t>0.3</w:t>
            </w:r>
          </w:p>
        </w:tc>
        <w:tc>
          <w:tcPr>
            <w:tcW w:w="3153" w:type="dxa"/>
          </w:tcPr>
          <w:p w14:paraId="53EF337D">
            <w:pPr>
              <w:pStyle w:val="1535"/>
            </w:pPr>
            <w:r>
              <w:t>5.285×10-3</w:t>
            </w:r>
          </w:p>
        </w:tc>
      </w:tr>
    </w:tbl>
    <w:p w14:paraId="32DE6C84">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扩建项目甲基三氯硅烷仅需考虑质量蒸发量，根据公式计算稳定条件(E，F)时甲基三氯硅烷质量蒸发速率为0.041kg/s，蒸发量为24.6kg。</w:t>
      </w:r>
    </w:p>
    <w:p w14:paraId="19F5DE05">
      <w:pPr>
        <w:ind w:firstLine="520"/>
        <w:rPr>
          <w:color w:val="000000" w:themeColor="text1"/>
          <w14:textFill>
            <w14:solidFill>
              <w14:schemeClr w14:val="tx1"/>
            </w14:solidFill>
          </w14:textFill>
        </w:rPr>
      </w:pPr>
      <w:r>
        <w:rPr>
          <w:color w:val="000000" w:themeColor="text1"/>
          <w14:textFill>
            <w14:solidFill>
              <w14:schemeClr w14:val="tx1"/>
            </w14:solidFill>
          </w14:textFill>
        </w:rPr>
        <w:t>2）甲基三氯硅烷火灾爆炸事故</w:t>
      </w:r>
    </w:p>
    <w:p w14:paraId="08532609">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甲基三氯硅烷储罐燃烧产生的HCl</w:t>
      </w:r>
    </w:p>
    <w:p w14:paraId="78E6CDEE">
      <w:pPr>
        <w:ind w:firstLine="520"/>
        <w:rPr>
          <w:color w:val="000000" w:themeColor="text1"/>
          <w14:textFill>
            <w14:solidFill>
              <w14:schemeClr w14:val="tx1"/>
            </w14:solidFill>
          </w14:textFill>
        </w:rPr>
      </w:pPr>
      <w:r>
        <w:rPr>
          <w:color w:val="000000" w:themeColor="text1"/>
          <w14:textFill>
            <w14:solidFill>
              <w14:schemeClr w14:val="tx1"/>
            </w14:solidFill>
          </w14:textFill>
        </w:rPr>
        <w:t>项目甲基三氯硅烷单个储罐最大储存量为1.0t，参考导则附录F表F.4取值，未参与燃烧的甲基三氯硅烷释放比例约为0，甲基三氯硅烷的沸点高于环境温度，其燃烧速率可按下式计算：</w:t>
      </w:r>
    </w:p>
    <w:p w14:paraId="4977192C">
      <w:pPr>
        <w:spacing w:line="240" w:lineRule="auto"/>
        <w:ind w:firstLine="520"/>
        <w:rPr>
          <w:color w:val="000000" w:themeColor="text1"/>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M</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dm</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dt</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0.001</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H</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b</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+H</m:t>
              </m:r>
              <m:ctrlPr>
                <w:rPr>
                  <w:rFonts w:ascii="Cambria Math" w:hAnsi="Cambria Math"/>
                  <w:i/>
                  <w:color w:val="000000" w:themeColor="text1"/>
                  <w14:textFill>
                    <w14:solidFill>
                      <w14:schemeClr w14:val="tx1"/>
                    </w14:solidFill>
                  </w14:textFill>
                </w:rPr>
              </m:ctrlPr>
            </m:den>
          </m:f>
        </m:oMath>
      </m:oMathPara>
    </w:p>
    <w:p w14:paraId="790D949B">
      <w:pPr>
        <w:ind w:firstLine="520"/>
        <w:rPr>
          <w:color w:val="000000" w:themeColor="text1"/>
          <w14:textFill>
            <w14:solidFill>
              <w14:schemeClr w14:val="tx1"/>
            </w14:solidFill>
          </w14:textFill>
        </w:rPr>
      </w:pPr>
      <w:r>
        <w:rPr>
          <w:color w:val="000000" w:themeColor="text1"/>
          <w14:textFill>
            <w14:solidFill>
              <w14:schemeClr w14:val="tx1"/>
            </w14:solidFill>
          </w14:textFill>
        </w:rPr>
        <w:t>式中：</w:t>
      </w:r>
      <w:r>
        <w:rPr>
          <w:rFonts w:hint="eastAsia"/>
          <w:color w:val="000000" w:themeColor="text1"/>
          <w14:textFill>
            <w14:solidFill>
              <w14:schemeClr w14:val="tx1"/>
            </w14:solidFill>
          </w14:textFill>
        </w:rPr>
        <w:t>M</w:t>
      </w:r>
      <w:r>
        <w:rPr>
          <w:color w:val="000000" w:themeColor="text1"/>
          <w:vertAlign w:val="subscript"/>
          <w14:textFill>
            <w14:solidFill>
              <w14:schemeClr w14:val="tx1"/>
            </w14:solidFill>
          </w14:textFill>
        </w:rPr>
        <w:t>f</w:t>
      </w:r>
      <w:r>
        <w:rPr>
          <w:color w:val="000000" w:themeColor="text1"/>
          <w14:textFill>
            <w14:solidFill>
              <w14:schemeClr w14:val="tx1"/>
            </w14:solidFill>
          </w14:textFill>
        </w:rPr>
        <w:t>—液体单位表面积燃烧速度，kg/(m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w:t>
      </w:r>
    </w:p>
    <w:p w14:paraId="190B0688">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c</w:t>
      </w:r>
      <w:r>
        <w:rPr>
          <w:color w:val="000000" w:themeColor="text1"/>
          <w14:textFill>
            <w14:solidFill>
              <w14:schemeClr w14:val="tx1"/>
            </w14:solidFill>
          </w14:textFill>
        </w:rPr>
        <w:t>—液体燃烧热，7119.4KJ/kg；</w:t>
      </w:r>
    </w:p>
    <w:p w14:paraId="57064B93">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p</w:t>
      </w:r>
      <w:r>
        <w:rPr>
          <w:color w:val="000000" w:themeColor="text1"/>
          <w14:textFill>
            <w14:solidFill>
              <w14:schemeClr w14:val="tx1"/>
            </w14:solidFill>
          </w14:textFill>
        </w:rPr>
        <w:t>—液体的比定热容，1.0229KJ/(kg·K)；</w:t>
      </w:r>
    </w:p>
    <w:p w14:paraId="278E1AC6">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—液体的沸点，339.65K；</w:t>
      </w:r>
    </w:p>
    <w:p w14:paraId="11A5E5A4">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—环境温度，298.15K；</w:t>
      </w:r>
    </w:p>
    <w:p w14:paraId="2467718A">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H—液体在常压沸点下的蒸发热（汽化热），192.895KJ/kg。</w:t>
      </w:r>
    </w:p>
    <w:p w14:paraId="2F7B6E03">
      <w:pPr>
        <w:ind w:firstLine="520"/>
        <w:rPr>
          <w:color w:val="000000" w:themeColor="text1"/>
          <w14:textFill>
            <w14:solidFill>
              <w14:schemeClr w14:val="tx1"/>
            </w14:solidFill>
          </w14:textFill>
        </w:rPr>
      </w:pPr>
      <w:r>
        <w:rPr>
          <w:color w:val="000000" w:themeColor="text1"/>
          <w14:textFill>
            <w14:solidFill>
              <w14:schemeClr w14:val="tx1"/>
            </w14:solidFill>
          </w14:textFill>
        </w:rPr>
        <w:t>经计算甲基三氯硅烷表面积燃烧速度为0.030kg/(m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·s)，泄露面积取10m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，甲基三氯硅燃烧释放的HCl产生速率为0.214kg/s（以Cl全部转化为HCl考虑），设火灾事故持续时间0.5h，HCl的排放量为0.385t。</w:t>
      </w:r>
    </w:p>
    <w:p w14:paraId="2D382961">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甲基三氯硅烷储罐燃烧产生的CO</w:t>
      </w:r>
    </w:p>
    <w:p w14:paraId="5E98423B">
      <w:pPr>
        <w:ind w:firstLine="520"/>
        <w:rPr>
          <w:color w:val="000000" w:themeColor="text1"/>
          <w14:textFill>
            <w14:solidFill>
              <w14:schemeClr w14:val="tx1"/>
            </w14:solidFill>
          </w14:textFill>
        </w:rPr>
      </w:pPr>
      <w:r>
        <w:rPr>
          <w:color w:val="000000" w:themeColor="text1"/>
          <w14:textFill>
            <w14:solidFill>
              <w14:schemeClr w14:val="tx1"/>
            </w14:solidFill>
          </w14:textFill>
        </w:rPr>
        <w:t>燃烧伴生CO产生量计算如下：</w:t>
      </w:r>
    </w:p>
    <w:p w14:paraId="1231C307">
      <w:pPr>
        <w:spacing w:line="240" w:lineRule="auto"/>
        <w:ind w:firstLine="520"/>
        <w:rPr>
          <w:color w:val="000000" w:themeColor="text1"/>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G</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CO</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=2330qCQ</m:t>
          </m:r>
        </m:oMath>
      </m:oMathPara>
    </w:p>
    <w:p w14:paraId="1A13A51C">
      <w:pPr>
        <w:ind w:firstLine="520"/>
        <w:rPr>
          <w:color w:val="000000" w:themeColor="text1"/>
          <w14:textFill>
            <w14:solidFill>
              <w14:schemeClr w14:val="tx1"/>
            </w14:solidFill>
          </w14:textFill>
        </w:rPr>
      </w:pPr>
      <w:r>
        <w:rPr>
          <w:color w:val="000000" w:themeColor="text1"/>
          <w14:textFill>
            <w14:solidFill>
              <w14:schemeClr w14:val="tx1"/>
            </w14:solidFill>
          </w14:textFill>
        </w:rPr>
        <w:t>式中：G</w:t>
      </w:r>
      <w:r>
        <w:rPr>
          <w:color w:val="000000" w:themeColor="text1"/>
          <w:vertAlign w:val="subscript"/>
          <w14:textFill>
            <w14:solidFill>
              <w14:schemeClr w14:val="tx1"/>
            </w14:solidFill>
          </w14:textFill>
        </w:rPr>
        <w:t>co</w:t>
      </w:r>
      <w:r>
        <w:rPr>
          <w:color w:val="000000" w:themeColor="text1"/>
          <w14:textFill>
            <w14:solidFill>
              <w14:schemeClr w14:val="tx1"/>
            </w14:solidFill>
          </w14:textFill>
        </w:rPr>
        <w:t>—一氧化碳的产生量，kg/s；</w:t>
      </w:r>
    </w:p>
    <w:p w14:paraId="7EB1D42C">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C—物质中碳的质量百分比含量，MTS为8.03%；</w:t>
      </w:r>
    </w:p>
    <w:p w14:paraId="07259440">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q—化学不完全燃烧值，取1.5%~6.0%，扩建项目取值4%。</w:t>
      </w:r>
    </w:p>
    <w:p w14:paraId="47B4FCE5">
      <w:pPr>
        <w:ind w:firstLine="1300" w:firstLineChars="500"/>
        <w:rPr>
          <w:color w:val="000000" w:themeColor="text1"/>
          <w14:textFill>
            <w14:solidFill>
              <w14:schemeClr w14:val="tx1"/>
            </w14:solidFill>
          </w14:textFill>
        </w:rPr>
      </w:pPr>
      <w:r>
        <w:rPr>
          <w:color w:val="000000" w:themeColor="text1"/>
          <w14:textFill>
            <w14:solidFill>
              <w14:schemeClr w14:val="tx1"/>
            </w14:solidFill>
          </w14:textFill>
        </w:rPr>
        <w:t>Q—参与燃烧的物质量，t/s，0.000041t/s。</w:t>
      </w:r>
    </w:p>
    <w:p w14:paraId="0556A607">
      <w:pPr>
        <w:ind w:firstLine="520"/>
        <w:rPr>
          <w:color w:val="000000" w:themeColor="text1"/>
          <w14:textFill>
            <w14:solidFill>
              <w14:schemeClr w14:val="tx1"/>
            </w14:solidFill>
          </w14:textFill>
        </w:rPr>
      </w:pPr>
      <w:r>
        <w:rPr>
          <w:color w:val="000000" w:themeColor="text1"/>
          <w14:textFill>
            <w14:solidFill>
              <w14:schemeClr w14:val="tx1"/>
            </w14:solidFill>
          </w14:textFill>
        </w:rPr>
        <w:t>计算得出甲基三氯硅烷燃烧一氧化碳的排放速率为0.00031kg/s，设火灾事故持续时间0.5h，一氧化碳的排放量为0.00056t。</w:t>
      </w:r>
    </w:p>
    <w:p w14:paraId="682BFCEF">
      <w:pPr>
        <w:ind w:firstLine="520"/>
        <w:rPr>
          <w:color w:val="000000" w:themeColor="text1"/>
          <w14:textFill>
            <w14:solidFill>
              <w14:schemeClr w14:val="tx1"/>
            </w14:solidFill>
          </w14:textFill>
        </w:rPr>
      </w:pPr>
      <w:r>
        <w:rPr>
          <w:color w:val="000000" w:themeColor="text1"/>
          <w14:textFill>
            <w14:solidFill>
              <w14:schemeClr w14:val="tx1"/>
            </w14:solidFill>
          </w14:textFill>
        </w:rPr>
        <w:t>2)项目风险源强统计</w:t>
      </w:r>
    </w:p>
    <w:p w14:paraId="7A9344F9">
      <w:pPr>
        <w:ind w:firstLine="520"/>
        <w:rPr>
          <w:color w:val="000000" w:themeColor="text1"/>
          <w14:textFill>
            <w14:solidFill>
              <w14:schemeClr w14:val="tx1"/>
            </w14:solidFill>
          </w14:textFill>
        </w:rPr>
      </w:pPr>
      <w:r>
        <w:rPr>
          <w:color w:val="000000" w:themeColor="text1"/>
          <w14:textFill>
            <w14:solidFill>
              <w14:schemeClr w14:val="tx1"/>
            </w14:solidFill>
          </w14:textFill>
        </w:rPr>
        <w:t>根据事故源项计算，项目风险源强如</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_Ref160557444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表7.5</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t>所示。</w:t>
      </w:r>
    </w:p>
    <w:p w14:paraId="7EC9F0BA">
      <w:pPr>
        <w:spacing w:before="32"/>
        <w:ind w:firstLine="0" w:firstLineChars="0"/>
        <w:jc w:val="center"/>
        <w:rPr>
          <w:color w:val="000000" w:themeColor="text1"/>
          <w14:textFill>
            <w14:solidFill>
              <w14:schemeClr w14:val="tx1"/>
            </w14:solidFill>
          </w14:textFill>
        </w:rPr>
      </w:pPr>
      <w:bookmarkStart w:id="341" w:name="_Ref160557444"/>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7.5</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5</w:t>
      </w:r>
      <w:r>
        <w:rPr>
          <w:color w:val="000000" w:themeColor="text1"/>
          <w:szCs w:val="26"/>
          <w14:textFill>
            <w14:solidFill>
              <w14:schemeClr w14:val="tx1"/>
            </w14:solidFill>
          </w14:textFill>
        </w:rPr>
        <w:fldChar w:fldCharType="end"/>
      </w:r>
      <w:bookmarkEnd w:id="341"/>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项目风险源强一览表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438"/>
        <w:gridCol w:w="1328"/>
        <w:gridCol w:w="496"/>
        <w:gridCol w:w="763"/>
        <w:gridCol w:w="747"/>
        <w:gridCol w:w="931"/>
        <w:gridCol w:w="767"/>
        <w:gridCol w:w="931"/>
        <w:gridCol w:w="747"/>
        <w:gridCol w:w="791"/>
        <w:gridCol w:w="765"/>
        <w:gridCol w:w="754"/>
      </w:tblGrid>
      <w:tr w14:paraId="2C76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439" w:type="dxa"/>
            <w:vAlign w:val="center"/>
          </w:tcPr>
          <w:p w14:paraId="2424FB8B">
            <w:pPr>
              <w:pStyle w:val="1535"/>
            </w:pPr>
            <w:r>
              <w:t>序号</w:t>
            </w:r>
          </w:p>
        </w:tc>
        <w:tc>
          <w:tcPr>
            <w:tcW w:w="1350" w:type="dxa"/>
            <w:vAlign w:val="center"/>
          </w:tcPr>
          <w:p w14:paraId="39D2D398">
            <w:pPr>
              <w:pStyle w:val="1535"/>
            </w:pPr>
            <w:r>
              <w:t>风险事故情形描述</w:t>
            </w:r>
          </w:p>
        </w:tc>
        <w:tc>
          <w:tcPr>
            <w:tcW w:w="498" w:type="dxa"/>
            <w:vAlign w:val="center"/>
          </w:tcPr>
          <w:p w14:paraId="680C4EB9">
            <w:pPr>
              <w:pStyle w:val="1535"/>
            </w:pPr>
            <w:r>
              <w:t>危险单元</w:t>
            </w:r>
          </w:p>
        </w:tc>
        <w:tc>
          <w:tcPr>
            <w:tcW w:w="769" w:type="dxa"/>
            <w:vAlign w:val="center"/>
          </w:tcPr>
          <w:p w14:paraId="3B350D9D">
            <w:pPr>
              <w:pStyle w:val="1535"/>
            </w:pPr>
            <w:r>
              <w:t>危险物质</w:t>
            </w:r>
          </w:p>
        </w:tc>
        <w:tc>
          <w:tcPr>
            <w:tcW w:w="757" w:type="dxa"/>
            <w:vAlign w:val="center"/>
          </w:tcPr>
          <w:p w14:paraId="7D5803EB">
            <w:pPr>
              <w:pStyle w:val="1535"/>
            </w:pPr>
            <w:r>
              <w:t>影响途径</w:t>
            </w:r>
          </w:p>
        </w:tc>
        <w:tc>
          <w:tcPr>
            <w:tcW w:w="899" w:type="dxa"/>
            <w:vAlign w:val="center"/>
          </w:tcPr>
          <w:p w14:paraId="349B3DF1">
            <w:pPr>
              <w:pStyle w:val="1535"/>
            </w:pPr>
            <w:r>
              <w:t>释放或泄漏速率/(kg/s)</w:t>
            </w:r>
          </w:p>
        </w:tc>
        <w:tc>
          <w:tcPr>
            <w:tcW w:w="772" w:type="dxa"/>
            <w:vAlign w:val="center"/>
          </w:tcPr>
          <w:p w14:paraId="42A40BDC">
            <w:pPr>
              <w:pStyle w:val="1535"/>
            </w:pPr>
            <w:r>
              <w:t>释放或泄漏时间/min</w:t>
            </w:r>
          </w:p>
        </w:tc>
        <w:tc>
          <w:tcPr>
            <w:tcW w:w="899" w:type="dxa"/>
            <w:vAlign w:val="center"/>
          </w:tcPr>
          <w:p w14:paraId="2A67D170">
            <w:pPr>
              <w:pStyle w:val="1535"/>
            </w:pPr>
            <w:r>
              <w:t>最大释放或泄漏量/t</w:t>
            </w:r>
          </w:p>
        </w:tc>
        <w:tc>
          <w:tcPr>
            <w:tcW w:w="757" w:type="dxa"/>
            <w:vAlign w:val="center"/>
          </w:tcPr>
          <w:p w14:paraId="6BDA7958">
            <w:pPr>
              <w:pStyle w:val="1535"/>
            </w:pPr>
            <w:r>
              <w:t>大气稳定度条件</w:t>
            </w:r>
          </w:p>
        </w:tc>
        <w:tc>
          <w:tcPr>
            <w:tcW w:w="786" w:type="dxa"/>
            <w:vAlign w:val="center"/>
          </w:tcPr>
          <w:p w14:paraId="376E25FF">
            <w:pPr>
              <w:pStyle w:val="1535"/>
            </w:pPr>
            <w:r>
              <w:t>泄漏液体蒸发速率/(kg/s)</w:t>
            </w:r>
          </w:p>
        </w:tc>
        <w:tc>
          <w:tcPr>
            <w:tcW w:w="770" w:type="dxa"/>
            <w:vAlign w:val="center"/>
          </w:tcPr>
          <w:p w14:paraId="17B47963">
            <w:pPr>
              <w:pStyle w:val="1535"/>
            </w:pPr>
            <w:r>
              <w:t>泄漏液体蒸发量/kg</w:t>
            </w:r>
          </w:p>
        </w:tc>
        <w:tc>
          <w:tcPr>
            <w:tcW w:w="762" w:type="dxa"/>
            <w:vAlign w:val="center"/>
          </w:tcPr>
          <w:p w14:paraId="01A184F7">
            <w:pPr>
              <w:pStyle w:val="1535"/>
            </w:pPr>
            <w:r>
              <w:t>其他事故源参数</w:t>
            </w:r>
          </w:p>
        </w:tc>
      </w:tr>
      <w:tr w14:paraId="4146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439" w:type="dxa"/>
            <w:vAlign w:val="center"/>
          </w:tcPr>
          <w:p w14:paraId="5D373D15">
            <w:pPr>
              <w:pStyle w:val="1535"/>
            </w:pPr>
            <w:r>
              <w:t>1</w:t>
            </w:r>
          </w:p>
        </w:tc>
        <w:tc>
          <w:tcPr>
            <w:tcW w:w="1350" w:type="dxa"/>
            <w:vAlign w:val="center"/>
          </w:tcPr>
          <w:p w14:paraId="2B2F48F3">
            <w:pPr>
              <w:pStyle w:val="1535"/>
            </w:pPr>
            <w:r>
              <w:t>储罐发生破裂，甲基三氯硅烷泄露至大气中</w:t>
            </w:r>
          </w:p>
        </w:tc>
        <w:tc>
          <w:tcPr>
            <w:tcW w:w="498" w:type="dxa"/>
            <w:vMerge w:val="restart"/>
            <w:vAlign w:val="center"/>
          </w:tcPr>
          <w:p w14:paraId="500E6D3D">
            <w:pPr>
              <w:pStyle w:val="1535"/>
            </w:pPr>
            <w:r>
              <w:t>甲基三氯硅烷贮存间</w:t>
            </w:r>
          </w:p>
        </w:tc>
        <w:tc>
          <w:tcPr>
            <w:tcW w:w="769" w:type="dxa"/>
            <w:vAlign w:val="center"/>
          </w:tcPr>
          <w:p w14:paraId="5481AAA1">
            <w:pPr>
              <w:pStyle w:val="1535"/>
            </w:pPr>
            <w:r>
              <w:t>甲基三氯硅烷</w:t>
            </w:r>
          </w:p>
        </w:tc>
        <w:tc>
          <w:tcPr>
            <w:tcW w:w="757" w:type="dxa"/>
            <w:vAlign w:val="center"/>
          </w:tcPr>
          <w:p w14:paraId="0D7BCACB">
            <w:pPr>
              <w:pStyle w:val="1535"/>
            </w:pPr>
            <w:r>
              <w:t>大气扩散</w:t>
            </w:r>
          </w:p>
        </w:tc>
        <w:tc>
          <w:tcPr>
            <w:tcW w:w="899" w:type="dxa"/>
            <w:vAlign w:val="center"/>
          </w:tcPr>
          <w:p w14:paraId="611F7B3A">
            <w:pPr>
              <w:pStyle w:val="1535"/>
            </w:pPr>
            <w:r>
              <w:t>0.354</w:t>
            </w:r>
          </w:p>
        </w:tc>
        <w:tc>
          <w:tcPr>
            <w:tcW w:w="772" w:type="dxa"/>
            <w:vAlign w:val="center"/>
          </w:tcPr>
          <w:p w14:paraId="0FC743BA">
            <w:pPr>
              <w:pStyle w:val="1535"/>
            </w:pPr>
            <w:r>
              <w:t>10</w:t>
            </w:r>
          </w:p>
        </w:tc>
        <w:tc>
          <w:tcPr>
            <w:tcW w:w="899" w:type="dxa"/>
            <w:vAlign w:val="center"/>
          </w:tcPr>
          <w:p w14:paraId="6A7E005F">
            <w:pPr>
              <w:pStyle w:val="1535"/>
            </w:pPr>
            <w:r>
              <w:t>0.212</w:t>
            </w:r>
          </w:p>
        </w:tc>
        <w:tc>
          <w:tcPr>
            <w:tcW w:w="757" w:type="dxa"/>
            <w:vMerge w:val="restart"/>
            <w:vAlign w:val="center"/>
          </w:tcPr>
          <w:p w14:paraId="7EE1397D">
            <w:pPr>
              <w:pStyle w:val="1535"/>
            </w:pPr>
            <w:r>
              <w:t>F</w:t>
            </w:r>
          </w:p>
        </w:tc>
        <w:tc>
          <w:tcPr>
            <w:tcW w:w="786" w:type="dxa"/>
            <w:vAlign w:val="center"/>
          </w:tcPr>
          <w:p w14:paraId="21676FB7">
            <w:pPr>
              <w:pStyle w:val="1535"/>
            </w:pPr>
            <w:r>
              <w:t>0.041</w:t>
            </w:r>
          </w:p>
        </w:tc>
        <w:tc>
          <w:tcPr>
            <w:tcW w:w="770" w:type="dxa"/>
            <w:vAlign w:val="center"/>
          </w:tcPr>
          <w:p w14:paraId="18358A56">
            <w:pPr>
              <w:pStyle w:val="1535"/>
            </w:pPr>
            <w:r>
              <w:t>24.6</w:t>
            </w:r>
          </w:p>
        </w:tc>
        <w:tc>
          <w:tcPr>
            <w:tcW w:w="762" w:type="dxa"/>
            <w:vAlign w:val="center"/>
          </w:tcPr>
          <w:p w14:paraId="5908CA53">
            <w:pPr>
              <w:pStyle w:val="1535"/>
            </w:pPr>
            <w:r>
              <w:t>释放高度2m</w:t>
            </w:r>
          </w:p>
        </w:tc>
      </w:tr>
      <w:tr w14:paraId="7C07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439" w:type="dxa"/>
            <w:vMerge w:val="restart"/>
            <w:vAlign w:val="center"/>
          </w:tcPr>
          <w:p w14:paraId="51F8A1A6">
            <w:pPr>
              <w:pStyle w:val="1535"/>
            </w:pPr>
            <w:r>
              <w:t>2</w:t>
            </w:r>
          </w:p>
        </w:tc>
        <w:tc>
          <w:tcPr>
            <w:tcW w:w="1350" w:type="dxa"/>
            <w:vMerge w:val="restart"/>
            <w:vAlign w:val="center"/>
          </w:tcPr>
          <w:p w14:paraId="4A5E36D8">
            <w:pPr>
              <w:pStyle w:val="1535"/>
            </w:pPr>
            <w:r>
              <w:t>甲基三氯硅烷储罐发生火灾燃烧产生有毒气体扩散至大气</w:t>
            </w:r>
          </w:p>
        </w:tc>
        <w:tc>
          <w:tcPr>
            <w:tcW w:w="498" w:type="dxa"/>
            <w:vMerge w:val="continue"/>
            <w:vAlign w:val="center"/>
          </w:tcPr>
          <w:p w14:paraId="1B6AD8A2">
            <w:pPr>
              <w:pStyle w:val="1535"/>
            </w:pPr>
          </w:p>
        </w:tc>
        <w:tc>
          <w:tcPr>
            <w:tcW w:w="769" w:type="dxa"/>
            <w:vAlign w:val="center"/>
          </w:tcPr>
          <w:p w14:paraId="6D05825C">
            <w:pPr>
              <w:pStyle w:val="1535"/>
            </w:pPr>
            <w:r>
              <w:t>HCl</w:t>
            </w:r>
          </w:p>
        </w:tc>
        <w:tc>
          <w:tcPr>
            <w:tcW w:w="757" w:type="dxa"/>
            <w:vMerge w:val="restart"/>
            <w:vAlign w:val="center"/>
          </w:tcPr>
          <w:p w14:paraId="0766F684">
            <w:pPr>
              <w:pStyle w:val="1535"/>
            </w:pPr>
            <w:r>
              <w:t>大气扩散</w:t>
            </w:r>
          </w:p>
        </w:tc>
        <w:tc>
          <w:tcPr>
            <w:tcW w:w="899" w:type="dxa"/>
            <w:vAlign w:val="center"/>
          </w:tcPr>
          <w:p w14:paraId="140BD96F">
            <w:pPr>
              <w:pStyle w:val="1535"/>
            </w:pPr>
            <w:r>
              <w:t>0.214</w:t>
            </w:r>
          </w:p>
        </w:tc>
        <w:tc>
          <w:tcPr>
            <w:tcW w:w="772" w:type="dxa"/>
            <w:vMerge w:val="restart"/>
            <w:vAlign w:val="center"/>
          </w:tcPr>
          <w:p w14:paraId="25A122A2">
            <w:pPr>
              <w:pStyle w:val="1535"/>
            </w:pPr>
            <w:r>
              <w:t>30</w:t>
            </w:r>
          </w:p>
        </w:tc>
        <w:tc>
          <w:tcPr>
            <w:tcW w:w="899" w:type="dxa"/>
            <w:vAlign w:val="center"/>
          </w:tcPr>
          <w:p w14:paraId="31BA7A3E">
            <w:pPr>
              <w:pStyle w:val="1535"/>
            </w:pPr>
            <w:r>
              <w:t>0.385</w:t>
            </w:r>
          </w:p>
        </w:tc>
        <w:tc>
          <w:tcPr>
            <w:tcW w:w="757" w:type="dxa"/>
            <w:vMerge w:val="continue"/>
            <w:vAlign w:val="center"/>
          </w:tcPr>
          <w:p w14:paraId="59F06ABF">
            <w:pPr>
              <w:pStyle w:val="1535"/>
            </w:pPr>
          </w:p>
        </w:tc>
        <w:tc>
          <w:tcPr>
            <w:tcW w:w="786" w:type="dxa"/>
            <w:vAlign w:val="center"/>
          </w:tcPr>
          <w:p w14:paraId="773C1380">
            <w:pPr>
              <w:pStyle w:val="1535"/>
            </w:pPr>
            <w:r>
              <w:t>/</w:t>
            </w:r>
          </w:p>
        </w:tc>
        <w:tc>
          <w:tcPr>
            <w:tcW w:w="770" w:type="dxa"/>
            <w:vAlign w:val="center"/>
          </w:tcPr>
          <w:p w14:paraId="56C507D7">
            <w:pPr>
              <w:pStyle w:val="1535"/>
            </w:pPr>
            <w:r>
              <w:t>/</w:t>
            </w:r>
          </w:p>
        </w:tc>
        <w:tc>
          <w:tcPr>
            <w:tcW w:w="762" w:type="dxa"/>
            <w:vMerge w:val="restart"/>
            <w:vAlign w:val="center"/>
          </w:tcPr>
          <w:p w14:paraId="5FCAA423">
            <w:pPr>
              <w:pStyle w:val="1535"/>
            </w:pPr>
            <w:r>
              <w:t>释放高度2m</w:t>
            </w:r>
          </w:p>
        </w:tc>
      </w:tr>
      <w:tr w14:paraId="37C5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439" w:type="dxa"/>
            <w:vMerge w:val="continue"/>
            <w:vAlign w:val="center"/>
          </w:tcPr>
          <w:p w14:paraId="4EBE2662">
            <w:pPr>
              <w:pStyle w:val="1535"/>
            </w:pPr>
          </w:p>
        </w:tc>
        <w:tc>
          <w:tcPr>
            <w:tcW w:w="1350" w:type="dxa"/>
            <w:vMerge w:val="continue"/>
            <w:vAlign w:val="center"/>
          </w:tcPr>
          <w:p w14:paraId="6FD36FDD">
            <w:pPr>
              <w:pStyle w:val="1535"/>
            </w:pPr>
          </w:p>
        </w:tc>
        <w:tc>
          <w:tcPr>
            <w:tcW w:w="498" w:type="dxa"/>
            <w:vMerge w:val="continue"/>
            <w:vAlign w:val="center"/>
          </w:tcPr>
          <w:p w14:paraId="1D777191">
            <w:pPr>
              <w:pStyle w:val="1535"/>
            </w:pPr>
          </w:p>
        </w:tc>
        <w:tc>
          <w:tcPr>
            <w:tcW w:w="769" w:type="dxa"/>
            <w:vAlign w:val="center"/>
          </w:tcPr>
          <w:p w14:paraId="0A4C79F5">
            <w:pPr>
              <w:pStyle w:val="1535"/>
            </w:pPr>
            <w:r>
              <w:t>CO</w:t>
            </w:r>
          </w:p>
        </w:tc>
        <w:tc>
          <w:tcPr>
            <w:tcW w:w="757" w:type="dxa"/>
            <w:vMerge w:val="continue"/>
            <w:vAlign w:val="center"/>
          </w:tcPr>
          <w:p w14:paraId="32EF5AE9">
            <w:pPr>
              <w:pStyle w:val="1535"/>
            </w:pPr>
          </w:p>
        </w:tc>
        <w:tc>
          <w:tcPr>
            <w:tcW w:w="899" w:type="dxa"/>
            <w:vAlign w:val="center"/>
          </w:tcPr>
          <w:p w14:paraId="237F6B3F">
            <w:pPr>
              <w:pStyle w:val="1535"/>
            </w:pPr>
            <w:r>
              <w:t>0.00031</w:t>
            </w:r>
          </w:p>
        </w:tc>
        <w:tc>
          <w:tcPr>
            <w:tcW w:w="772" w:type="dxa"/>
            <w:vMerge w:val="continue"/>
            <w:vAlign w:val="center"/>
          </w:tcPr>
          <w:p w14:paraId="6A42181E">
            <w:pPr>
              <w:pStyle w:val="1535"/>
            </w:pPr>
          </w:p>
        </w:tc>
        <w:tc>
          <w:tcPr>
            <w:tcW w:w="899" w:type="dxa"/>
            <w:vAlign w:val="center"/>
          </w:tcPr>
          <w:p w14:paraId="04A414A3">
            <w:pPr>
              <w:pStyle w:val="1535"/>
            </w:pPr>
            <w:r>
              <w:t>0.00056</w:t>
            </w:r>
          </w:p>
        </w:tc>
        <w:tc>
          <w:tcPr>
            <w:tcW w:w="757" w:type="dxa"/>
            <w:vMerge w:val="continue"/>
            <w:vAlign w:val="center"/>
          </w:tcPr>
          <w:p w14:paraId="25B86D9C">
            <w:pPr>
              <w:pStyle w:val="1535"/>
            </w:pPr>
          </w:p>
        </w:tc>
        <w:tc>
          <w:tcPr>
            <w:tcW w:w="786" w:type="dxa"/>
            <w:vAlign w:val="center"/>
          </w:tcPr>
          <w:p w14:paraId="2F51BC96">
            <w:pPr>
              <w:pStyle w:val="1535"/>
            </w:pPr>
            <w:r>
              <w:t>/</w:t>
            </w:r>
          </w:p>
        </w:tc>
        <w:tc>
          <w:tcPr>
            <w:tcW w:w="770" w:type="dxa"/>
            <w:vAlign w:val="center"/>
          </w:tcPr>
          <w:p w14:paraId="6DBC81D5">
            <w:pPr>
              <w:pStyle w:val="1535"/>
            </w:pPr>
            <w:r>
              <w:t>/</w:t>
            </w:r>
          </w:p>
        </w:tc>
        <w:tc>
          <w:tcPr>
            <w:tcW w:w="762" w:type="dxa"/>
            <w:vMerge w:val="continue"/>
            <w:vAlign w:val="center"/>
          </w:tcPr>
          <w:p w14:paraId="73CDC32F">
            <w:pPr>
              <w:pStyle w:val="1535"/>
            </w:pPr>
          </w:p>
        </w:tc>
      </w:tr>
    </w:tbl>
    <w:p w14:paraId="3BDD22AE">
      <w:pPr>
        <w:pStyle w:val="4"/>
        <w:rPr>
          <w:color w:val="000000" w:themeColor="text1"/>
          <w14:textFill>
            <w14:solidFill>
              <w14:schemeClr w14:val="tx1"/>
            </w14:solidFill>
          </w14:textFill>
        </w:rPr>
      </w:pPr>
      <w:bookmarkStart w:id="342" w:name="_Toc16192"/>
      <w:r>
        <w:rPr>
          <w:color w:val="000000" w:themeColor="text1"/>
          <w14:textFill>
            <w14:solidFill>
              <w14:schemeClr w14:val="tx1"/>
            </w14:solidFill>
          </w14:textFill>
        </w:rPr>
        <w:t>风险评价</w:t>
      </w:r>
      <w:bookmarkEnd w:id="342"/>
    </w:p>
    <w:p w14:paraId="2D8849AD">
      <w:pPr>
        <w:pStyle w:val="5"/>
        <w:rPr>
          <w:color w:val="000000" w:themeColor="text1"/>
          <w14:textFill>
            <w14:solidFill>
              <w14:schemeClr w14:val="tx1"/>
            </w14:solidFill>
          </w14:textFill>
        </w:rPr>
      </w:pPr>
      <w:r>
        <w:rPr>
          <w:color w:val="000000" w:themeColor="text1"/>
          <w14:textFill>
            <w14:solidFill>
              <w14:schemeClr w14:val="tx1"/>
            </w14:solidFill>
          </w14:textFill>
        </w:rPr>
        <w:t>大气环境风险评价</w:t>
      </w:r>
    </w:p>
    <w:p w14:paraId="607F2ADE">
      <w:pPr>
        <w:ind w:firstLine="520"/>
        <w:rPr>
          <w:color w:val="000000" w:themeColor="text1"/>
          <w14:textFill>
            <w14:solidFill>
              <w14:schemeClr w14:val="tx1"/>
            </w14:solidFill>
          </w14:textFill>
        </w:rPr>
      </w:pPr>
      <w:r>
        <w:rPr>
          <w:color w:val="000000" w:themeColor="text1"/>
          <w14:textFill>
            <w14:solidFill>
              <w14:schemeClr w14:val="tx1"/>
            </w14:solidFill>
          </w14:textFill>
        </w:rPr>
        <w:t>大气环境风险评价等级为三级。根据《建设项目环境风险评价技术导则》(HJ169-2018)，大气环境三级评价应定性分析说明大气环境影响后果。</w:t>
      </w:r>
    </w:p>
    <w:p w14:paraId="099C6942">
      <w:pPr>
        <w:ind w:firstLine="520"/>
        <w:rPr>
          <w:color w:val="000000" w:themeColor="text1"/>
          <w14:textFill>
            <w14:solidFill>
              <w14:schemeClr w14:val="tx1"/>
            </w14:solidFill>
          </w14:textFill>
        </w:rPr>
      </w:pPr>
      <w:r>
        <w:rPr>
          <w:color w:val="000000" w:themeColor="text1"/>
          <w14:textFill>
            <w14:solidFill>
              <w14:schemeClr w14:val="tx1"/>
            </w14:solidFill>
          </w14:textFill>
        </w:rPr>
        <w:t>碳化硅四级酸雾喷淋塔预留管道连接MTS储存室，常态下管道为封闭状态，泄漏事故发生时，可开启该管道，通过酸雾喷淋塔的风机抽气，将MTS储存室内挥发的气态MTS吸收至酸雾喷淋塔内与碱液反应后吸收。通过及时报警，快速处理，对外界的影响可以降到最低。</w:t>
      </w:r>
    </w:p>
    <w:p w14:paraId="507EBDF3">
      <w:pPr>
        <w:ind w:firstLine="520"/>
        <w:rPr>
          <w:color w:val="000000" w:themeColor="text1"/>
          <w14:textFill>
            <w14:solidFill>
              <w14:schemeClr w14:val="tx1"/>
            </w14:solidFill>
          </w14:textFill>
        </w:rPr>
      </w:pPr>
      <w:r>
        <w:rPr>
          <w:color w:val="000000" w:themeColor="text1"/>
          <w14:textFill>
            <w14:solidFill>
              <w14:schemeClr w14:val="tx1"/>
            </w14:solidFill>
          </w14:textFill>
        </w:rPr>
        <w:t>由扩建项目外环境特征可知，项目到周边环境敏感点的上风向最近距离在0.48km，下风向最近距离为1.9km，对外部环境敏感点几乎不会造成不利影响。</w:t>
      </w:r>
    </w:p>
    <w:p w14:paraId="2949FD3A">
      <w:pPr>
        <w:pStyle w:val="5"/>
        <w:rPr>
          <w:color w:val="000000" w:themeColor="text1"/>
          <w14:textFill>
            <w14:solidFill>
              <w14:schemeClr w14:val="tx1"/>
            </w14:solidFill>
          </w14:textFill>
        </w:rPr>
      </w:pPr>
      <w:r>
        <w:rPr>
          <w:color w:val="000000" w:themeColor="text1"/>
          <w14:textFill>
            <w14:solidFill>
              <w14:schemeClr w14:val="tx1"/>
            </w14:solidFill>
          </w14:textFill>
        </w:rPr>
        <w:t>地表水环境风险影响分析</w:t>
      </w:r>
    </w:p>
    <w:p w14:paraId="16846DC5">
      <w:pPr>
        <w:ind w:firstLine="520"/>
        <w:rPr>
          <w:color w:val="000000" w:themeColor="text1"/>
          <w14:textFill>
            <w14:solidFill>
              <w14:schemeClr w14:val="tx1"/>
            </w14:solidFill>
          </w14:textFill>
        </w:rPr>
      </w:pPr>
      <w:r>
        <w:rPr>
          <w:color w:val="000000" w:themeColor="text1"/>
          <w14:textFill>
            <w14:solidFill>
              <w14:schemeClr w14:val="tx1"/>
            </w14:solidFill>
          </w14:textFill>
        </w:rPr>
        <w:t>事故状态下废水收集、处置系统由MTS贮存间的收集沟、污水管道、污水处理站事故池等组成。当生产中出现物料泄漏和火灾、爆炸事故时，将产生消防废水，即事故状态废水，如果不对其加以收集、处置，必然会对当地地表水和地下水造成严重的污染。</w:t>
      </w:r>
    </w:p>
    <w:p w14:paraId="7173CDE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臻宝半导体公司</w:t>
      </w:r>
      <w:r>
        <w:rPr>
          <w:color w:val="000000" w:themeColor="text1"/>
          <w14:textFill>
            <w14:solidFill>
              <w14:schemeClr w14:val="tx1"/>
            </w14:solidFill>
          </w14:textFill>
        </w:rPr>
        <w:t>设置容积为270m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的事故池，各厂房均建设有事故废水收集管道连接至各层地面地漏，确保事故状态下建筑物内的废水能全部收集进入事故水池。事故池容积大于全厂事故废水最大量，能满足事故废水收集要求，确保事故废水不外流。</w:t>
      </w:r>
    </w:p>
    <w:p w14:paraId="02AFA8C9">
      <w:pPr>
        <w:ind w:firstLine="520"/>
        <w:rPr>
          <w:color w:val="000000" w:themeColor="text1"/>
          <w14:textFill>
            <w14:solidFill>
              <w14:schemeClr w14:val="tx1"/>
            </w14:solidFill>
          </w14:textFill>
        </w:rPr>
      </w:pPr>
      <w:r>
        <w:rPr>
          <w:color w:val="000000" w:themeColor="text1"/>
          <w14:textFill>
            <w14:solidFill>
              <w14:schemeClr w14:val="tx1"/>
            </w14:solidFill>
          </w14:textFill>
        </w:rPr>
        <w:t>根据《水体污染防控紧急措施设计导则》，对环境突发事故废水收集系统的设计和管理也必须满足以下要求：</w:t>
      </w:r>
    </w:p>
    <w:p w14:paraId="27EAD69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根据实际情况制订《污水阀的操作规程》，是为防止消防废水和事故废水进入外环境而设立的事故应急系统的启用程序，包括污水排放口和雨（清）水排放口的应急阀门开合、启动发生事故应急排污泵回收污水至污水事故池的程序文件。</w:t>
      </w:r>
    </w:p>
    <w:p w14:paraId="7737928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事故处置过程中未受污染的排水不宜进入储存设施。</w:t>
      </w:r>
    </w:p>
    <w:p w14:paraId="29FD7247">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事故池非事故状态下需占用时，占用容积不得超过1/3，并应设有在事故时可以紧急排空的技术措施。</w:t>
      </w:r>
    </w:p>
    <w:p w14:paraId="7B15E5D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自流进水的事故池内最高液位不应高于该收集系统范围内的最低地面标高，并留有适当的保护高度。</w:t>
      </w:r>
    </w:p>
    <w:p w14:paraId="121F06A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当自流进入的事故池容积不能满足事故排水储存容量要求，须加压外排到其它储存设施时，用电设备的电源应满足现行国家标准《供配电系统设计规范》所规定的一级负荷供电要求。</w:t>
      </w:r>
    </w:p>
    <w:p w14:paraId="4B4E17D8">
      <w:pPr>
        <w:pStyle w:val="5"/>
        <w:rPr>
          <w:color w:val="000000" w:themeColor="text1"/>
          <w14:textFill>
            <w14:solidFill>
              <w14:schemeClr w14:val="tx1"/>
            </w14:solidFill>
          </w14:textFill>
        </w:rPr>
      </w:pPr>
      <w:r>
        <w:rPr>
          <w:color w:val="000000" w:themeColor="text1"/>
          <w14:textFill>
            <w14:solidFill>
              <w14:schemeClr w14:val="tx1"/>
            </w14:solidFill>
          </w14:textFill>
        </w:rPr>
        <w:t>地下水环境风险影响分析</w:t>
      </w:r>
    </w:p>
    <w:p w14:paraId="0DF58CA4">
      <w:pPr>
        <w:ind w:firstLine="520"/>
        <w:rPr>
          <w:color w:val="000000" w:themeColor="text1"/>
          <w14:textFill>
            <w14:solidFill>
              <w14:schemeClr w14:val="tx1"/>
            </w14:solidFill>
          </w14:textFill>
        </w:rPr>
      </w:pPr>
      <w:r>
        <w:rPr>
          <w:color w:val="000000" w:themeColor="text1"/>
          <w14:textFill>
            <w14:solidFill>
              <w14:schemeClr w14:val="tx1"/>
            </w14:solidFill>
          </w14:textFill>
        </w:rPr>
        <w:t>地表水环境风险评价等级为简单分析。扩建项目氢氟酸、硝酸、硫酸及MTS储罐若发生泄露，对地下水影响途径主要是通过垂直渗透进入包气带，进入包气带的硫酸在物理、化学和生物作用下经吸附、转化、迁移和分解后输入地下水，从而引起地下水pH降低，水质显酸性，过低pH值的地下水可腐蚀管道，若人饮用会影响人体健康。</w:t>
      </w:r>
    </w:p>
    <w:p w14:paraId="20213AE2">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扩建项目工业废水管网可视化，切削液回收生产区周边设置收集沟，测试间，对化学品库、MTS贮存间、碳化硅生产区等采取防腐、防渗措施，防渗性能不低于6.0m厚渗透系数1×10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等效黏土层的防渗性能，泄露的物料可有效截留在围堰内，不会入渗至地下水中对其产生影响。项目所在区域内无集中式饮用水地下水取水设施，即使氢氟酸、硝酸、硫酸有少量渗透入地下水，也不会对区域饮水安全造成威胁。</w:t>
      </w:r>
    </w:p>
    <w:p w14:paraId="35DCB8A2">
      <w:pPr>
        <w:pStyle w:val="4"/>
        <w:rPr>
          <w:color w:val="000000" w:themeColor="text1"/>
          <w14:textFill>
            <w14:solidFill>
              <w14:schemeClr w14:val="tx1"/>
            </w14:solidFill>
          </w14:textFill>
        </w:rPr>
      </w:pPr>
      <w:bookmarkStart w:id="343" w:name="_Toc4960"/>
      <w:r>
        <w:rPr>
          <w:color w:val="000000" w:themeColor="text1"/>
          <w14:textFill>
            <w14:solidFill>
              <w14:schemeClr w14:val="tx1"/>
            </w14:solidFill>
          </w14:textFill>
        </w:rPr>
        <w:t>风险防范措施及应急预案</w:t>
      </w:r>
      <w:bookmarkEnd w:id="343"/>
    </w:p>
    <w:p w14:paraId="6FA3F218">
      <w:pPr>
        <w:pStyle w:val="5"/>
        <w:rPr>
          <w:color w:val="000000" w:themeColor="text1"/>
          <w14:textFill>
            <w14:solidFill>
              <w14:schemeClr w14:val="tx1"/>
            </w14:solidFill>
          </w14:textFill>
        </w:rPr>
      </w:pPr>
      <w:r>
        <w:rPr>
          <w:color w:val="000000" w:themeColor="text1"/>
          <w14:textFill>
            <w14:solidFill>
              <w14:schemeClr w14:val="tx1"/>
            </w14:solidFill>
          </w14:textFill>
        </w:rPr>
        <w:t>风险管理原则</w:t>
      </w:r>
    </w:p>
    <w:p w14:paraId="7F8B7B5A">
      <w:pPr>
        <w:ind w:firstLine="520"/>
        <w:rPr>
          <w:color w:val="000000" w:themeColor="text1"/>
          <w14:textFill>
            <w14:solidFill>
              <w14:schemeClr w14:val="tx1"/>
            </w14:solidFill>
          </w14:textFill>
        </w:rPr>
      </w:pPr>
      <w:r>
        <w:rPr>
          <w:color w:val="000000" w:themeColor="text1"/>
          <w14:textFill>
            <w14:solidFill>
              <w14:schemeClr w14:val="tx1"/>
            </w14:solidFill>
          </w14:textFill>
        </w:rPr>
        <w:t>风险事故发生的规律表明：</w:t>
      </w:r>
    </w:p>
    <w:p w14:paraId="2508169F">
      <w:pPr>
        <w:ind w:firstLine="520"/>
        <w:rPr>
          <w:color w:val="000000" w:themeColor="text1"/>
          <w14:textFill>
            <w14:solidFill>
              <w14:schemeClr w14:val="tx1"/>
            </w14:solidFill>
          </w14:textFill>
        </w:rPr>
      </w:pPr>
      <w:r>
        <w:rPr>
          <w:color w:val="000000" w:themeColor="text1"/>
          <w14:textFill>
            <w14:solidFill>
              <w14:schemeClr w14:val="tx1"/>
            </w14:solidFill>
          </w14:textFill>
        </w:rPr>
        <w:t>物的不安全因素+管理缺陷→风险事故隐患+人的不安全行为→风险事故</w:t>
      </w:r>
    </w:p>
    <w:p w14:paraId="42588D08">
      <w:pPr>
        <w:ind w:firstLine="520"/>
        <w:rPr>
          <w:color w:val="000000" w:themeColor="text1"/>
          <w14:textFill>
            <w14:solidFill>
              <w14:schemeClr w14:val="tx1"/>
            </w14:solidFill>
          </w14:textFill>
        </w:rPr>
      </w:pPr>
      <w:r>
        <w:rPr>
          <w:color w:val="000000" w:themeColor="text1"/>
          <w14:textFill>
            <w14:solidFill>
              <w14:schemeClr w14:val="tx1"/>
            </w14:solidFill>
          </w14:textFill>
        </w:rPr>
        <w:t>“预防为主”是安全生产的原则，加强预防工作，从管理入手，把风险事故的发生和影响降到最低限度，针对扩建项目的生产特点，特别要注意以下几点：</w:t>
      </w:r>
    </w:p>
    <w:p w14:paraId="5A273961">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严格按照安全生产规定，设置安全监控点；</w:t>
      </w:r>
    </w:p>
    <w:p w14:paraId="2DD13766">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对生产设备进行定期检测，对关键设备进行不定期探伤测试；</w:t>
      </w:r>
    </w:p>
    <w:p w14:paraId="4E4712E1">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加强原材料管理；</w:t>
      </w:r>
    </w:p>
    <w:p w14:paraId="17AC1EE0">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确保储罐、设备、管道、阀门的材质和加工质量，所有管道系统均必须按有关标准进行良好设计、制作及安装；</w:t>
      </w:r>
    </w:p>
    <w:p w14:paraId="412948B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加强职工安全环保教育，增强操作工人的责任心，防止和减少因人为因素造成的事故，同时也要加强防火安全教育；</w:t>
      </w:r>
    </w:p>
    <w:p w14:paraId="67D8AB44">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应配备足够的消防设施，落实安全管理责任。</w:t>
      </w:r>
    </w:p>
    <w:p w14:paraId="7E2F2E69">
      <w:pPr>
        <w:pStyle w:val="5"/>
        <w:rPr>
          <w:color w:val="000000" w:themeColor="text1"/>
          <w14:textFill>
            <w14:solidFill>
              <w14:schemeClr w14:val="tx1"/>
            </w14:solidFill>
          </w14:textFill>
        </w:rPr>
      </w:pPr>
      <w:r>
        <w:rPr>
          <w:color w:val="000000" w:themeColor="text1"/>
          <w14:textFill>
            <w14:solidFill>
              <w14:schemeClr w14:val="tx1"/>
            </w14:solidFill>
          </w14:textFill>
        </w:rPr>
        <w:t>安全环境管理制度</w:t>
      </w:r>
    </w:p>
    <w:p w14:paraId="731462C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制定和强化各种健康/安全/环境管理制度，并严格予以执行</w:t>
      </w:r>
      <w:r>
        <w:rPr>
          <w:rFonts w:hint="eastAsia"/>
          <w:color w:val="000000" w:themeColor="text1"/>
          <w14:textFill>
            <w14:solidFill>
              <w14:schemeClr w14:val="tx1"/>
            </w14:solidFill>
          </w14:textFill>
        </w:rPr>
        <w:t>，建设单位已于2023年6月编制完成《高纯度高强度固态碳化硅陶瓷材料研发生产项目（现有工程）安全生产条件和设施综合分析报告》，并于2023年7月通过专家评审。</w:t>
      </w:r>
    </w:p>
    <w:p w14:paraId="701DACFA">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严格执行我国有关劳动安全、环保与卫生的规范和标准，在设计、施工和运行过程中必须针对可能存在的不安全、不卫生因素采取相应的安全防卫措施，消除事故隐患，一旦发生事故应采取有效措施，降低因事故引起的损失和对环境的污染。</w:t>
      </w:r>
    </w:p>
    <w:p w14:paraId="3D81E071">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加强工厂、车间的安全环保管理，对全厂职工进行环保的教育和培训，做到持证上岗，减少人为风险事故（如误操作）的发生。</w:t>
      </w:r>
    </w:p>
    <w:p w14:paraId="3A8C1F00">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建立应急预案，并与西彭工业园区的应急预案衔接，一旦出现事故可借助社会救援，使损失和对环境的污染降到最低。</w:t>
      </w:r>
    </w:p>
    <w:p w14:paraId="2C8E1593">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投产前应制定出尽可能完善的各项安全生产规章制度并贯彻执行。</w:t>
      </w:r>
    </w:p>
    <w:p w14:paraId="61DE625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应针对事故发生情况制定详细的事故应急救援预案，并定期进行演练和检查救援设施器具的良好度。</w:t>
      </w:r>
    </w:p>
    <w:p w14:paraId="2B6ECD4A">
      <w:pPr>
        <w:pStyle w:val="5"/>
        <w:rPr>
          <w:color w:val="000000" w:themeColor="text1"/>
          <w14:textFill>
            <w14:solidFill>
              <w14:schemeClr w14:val="tx1"/>
            </w14:solidFill>
          </w14:textFill>
        </w:rPr>
      </w:pPr>
      <w:r>
        <w:rPr>
          <w:color w:val="000000" w:themeColor="text1"/>
          <w14:textFill>
            <w14:solidFill>
              <w14:schemeClr w14:val="tx1"/>
            </w14:solidFill>
          </w14:textFill>
        </w:rPr>
        <w:t>环境风险防范措施</w:t>
      </w:r>
    </w:p>
    <w:p w14:paraId="54C66021">
      <w:pPr>
        <w:pStyle w:val="6"/>
        <w:rPr>
          <w:color w:val="000000" w:themeColor="text1"/>
          <w14:textFill>
            <w14:solidFill>
              <w14:schemeClr w14:val="tx1"/>
            </w14:solidFill>
          </w14:textFill>
        </w:rPr>
      </w:pPr>
      <w:r>
        <w:rPr>
          <w:color w:val="000000" w:themeColor="text1"/>
          <w14:textFill>
            <w14:solidFill>
              <w14:schemeClr w14:val="tx1"/>
            </w14:solidFill>
          </w14:textFill>
        </w:rPr>
        <w:t>生产过程风险防范措施</w:t>
      </w:r>
    </w:p>
    <w:p w14:paraId="5962C06E">
      <w:pPr>
        <w:ind w:firstLine="520"/>
        <w:rPr>
          <w:color w:val="000000" w:themeColor="text1"/>
          <w14:textFill>
            <w14:solidFill>
              <w14:schemeClr w14:val="tx1"/>
            </w14:solidFill>
          </w14:textFill>
        </w:rPr>
      </w:pPr>
      <w:r>
        <w:rPr>
          <w:color w:val="000000" w:themeColor="text1"/>
          <w14:textFill>
            <w14:solidFill>
              <w14:schemeClr w14:val="tx1"/>
            </w14:solidFill>
          </w14:textFill>
        </w:rPr>
        <w:t>（1）各危险化学品储罐储存于阴凉、通风的库房，远离火种、热源。库温不宜超过30℃，相对湿度不超过85%。储罐区应设置可燃气体报警装置、防雷装置和防静电设施，并按消防等应急要求配置消防设施和应急处置物料(如消防砂、干粉或泡沫灭火器等)。</w:t>
      </w:r>
    </w:p>
    <w:p w14:paraId="3C7D3220">
      <w:pPr>
        <w:ind w:firstLine="520"/>
        <w:rPr>
          <w:color w:val="000000" w:themeColor="text1"/>
          <w14:textFill>
            <w14:solidFill>
              <w14:schemeClr w14:val="tx1"/>
            </w14:solidFill>
          </w14:textFill>
        </w:rPr>
      </w:pPr>
      <w:r>
        <w:rPr>
          <w:color w:val="000000" w:themeColor="text1"/>
          <w14:textFill>
            <w14:solidFill>
              <w14:schemeClr w14:val="tx1"/>
            </w14:solidFill>
          </w14:textFill>
        </w:rPr>
        <w:t>（2）装卸易燃液体需穿防静电工作服，禁止穿带钉鞋，大桶不得在水泥地面滚动，不得使用产生火花的机具。</w:t>
      </w:r>
    </w:p>
    <w:p w14:paraId="29F8BA43">
      <w:pPr>
        <w:ind w:firstLine="520"/>
        <w:rPr>
          <w:color w:val="000000" w:themeColor="text1"/>
          <w14:textFill>
            <w14:solidFill>
              <w14:schemeClr w14:val="tx1"/>
            </w14:solidFill>
          </w14:textFill>
        </w:rPr>
      </w:pPr>
      <w:r>
        <w:rPr>
          <w:color w:val="000000" w:themeColor="text1"/>
          <w14:textFill>
            <w14:solidFill>
              <w14:schemeClr w14:val="tx1"/>
            </w14:solidFill>
          </w14:textFill>
        </w:rPr>
        <w:t>（3）甲基三氯硅烷贮存间设置相对独立不易接触明火的区域，做好“勿近火、勿沾油蜡、勿暴晒、勿重击、无撞击”，并在储存点设置醒目的禁火标志，贮存间地面做好防渗措施，四周设有事故收集沟，收集方式为自流式，以确保原料发生泄露后能自流进入收集沟和收集井。配备消火栓、干粉灭火器、二氧化碳灭火器，并在甲基三氯硅烷储罐区外建设一组干砂库（甲基三氯硅烷着火后不能直接用水灭火），用于扑灭甲基三氯硅烷着火。</w:t>
      </w:r>
    </w:p>
    <w:p w14:paraId="460E5E80">
      <w:pPr>
        <w:ind w:firstLine="520"/>
        <w:rPr>
          <w:color w:val="000000" w:themeColor="text1"/>
          <w14:textFill>
            <w14:solidFill>
              <w14:schemeClr w14:val="tx1"/>
            </w14:solidFill>
          </w14:textFill>
        </w:rPr>
      </w:pPr>
      <w:r>
        <w:rPr>
          <w:color w:val="000000" w:themeColor="text1"/>
          <w14:textFill>
            <w14:solidFill>
              <w14:schemeClr w14:val="tx1"/>
            </w14:solidFill>
          </w14:textFill>
        </w:rPr>
        <w:t>（4）贮运及管理过程要进行严格管理，所用储存及输运设备要符合要求，并设有安全保护、防爆防腐等措施。</w:t>
      </w:r>
    </w:p>
    <w:p w14:paraId="304C3D40">
      <w:pPr>
        <w:ind w:firstLine="520"/>
        <w:rPr>
          <w:color w:val="000000" w:themeColor="text1"/>
          <w14:textFill>
            <w14:solidFill>
              <w14:schemeClr w14:val="tx1"/>
            </w14:solidFill>
          </w14:textFill>
        </w:rPr>
      </w:pPr>
      <w:r>
        <w:rPr>
          <w:color w:val="000000" w:themeColor="text1"/>
          <w14:textFill>
            <w14:solidFill>
              <w14:schemeClr w14:val="tx1"/>
            </w14:solidFill>
          </w14:textFill>
        </w:rPr>
        <w:t>（5）夏季应早晚运输，防止日光暴晒。</w:t>
      </w:r>
    </w:p>
    <w:p w14:paraId="77D6978A">
      <w:pPr>
        <w:ind w:firstLine="520"/>
        <w:rPr>
          <w:color w:val="000000" w:themeColor="text1"/>
          <w14:textFill>
            <w14:solidFill>
              <w14:schemeClr w14:val="tx1"/>
            </w14:solidFill>
          </w14:textFill>
        </w:rPr>
      </w:pPr>
      <w:r>
        <w:rPr>
          <w:color w:val="000000" w:themeColor="text1"/>
          <w14:textFill>
            <w14:solidFill>
              <w14:schemeClr w14:val="tx1"/>
            </w14:solidFill>
          </w14:textFill>
        </w:rPr>
        <w:t>（6）要严格遵守有关贮存的安全规定，具体包括《仓库防火安全管理规则》、《建筑设计防火规范》、《易燃易爆化学物品消防安全监督管理办法》等。</w:t>
      </w:r>
    </w:p>
    <w:p w14:paraId="7E807A6C">
      <w:pPr>
        <w:ind w:firstLine="520"/>
        <w:rPr>
          <w:color w:val="000000" w:themeColor="text1"/>
          <w14:textFill>
            <w14:solidFill>
              <w14:schemeClr w14:val="tx1"/>
            </w14:solidFill>
          </w14:textFill>
        </w:rPr>
      </w:pPr>
      <w:r>
        <w:rPr>
          <w:color w:val="000000" w:themeColor="text1"/>
          <w14:textFill>
            <w14:solidFill>
              <w14:schemeClr w14:val="tx1"/>
            </w14:solidFill>
          </w14:textFill>
        </w:rPr>
        <w:t>（7）严格按照规划设计布置物料储存区，防火间距的设置以及消防器材的配备必须通过消防部门审查。</w:t>
      </w:r>
    </w:p>
    <w:p w14:paraId="21E573A7">
      <w:pPr>
        <w:ind w:firstLine="520"/>
        <w:rPr>
          <w:color w:val="000000" w:themeColor="text1"/>
          <w14:textFill>
            <w14:solidFill>
              <w14:schemeClr w14:val="tx1"/>
            </w14:solidFill>
          </w14:textFill>
        </w:rPr>
      </w:pPr>
      <w:r>
        <w:rPr>
          <w:color w:val="000000" w:themeColor="text1"/>
          <w14:textFill>
            <w14:solidFill>
              <w14:schemeClr w14:val="tx1"/>
            </w14:solidFill>
          </w14:textFill>
        </w:rPr>
        <w:t>（8）贮存危险化学品的仓库管理人员以及罐区操作员，必须经过专业知识培训，熟悉贮存物品的特性、事故处理办法和防护知识，持证上岗，并配备有关的个人防护用品。</w:t>
      </w:r>
    </w:p>
    <w:p w14:paraId="7A928F3A">
      <w:pPr>
        <w:ind w:firstLine="520"/>
        <w:rPr>
          <w:color w:val="000000" w:themeColor="text1"/>
          <w14:textFill>
            <w14:solidFill>
              <w14:schemeClr w14:val="tx1"/>
            </w14:solidFill>
          </w14:textFill>
        </w:rPr>
      </w:pPr>
      <w:r>
        <w:rPr>
          <w:color w:val="000000" w:themeColor="text1"/>
          <w14:textFill>
            <w14:solidFill>
              <w14:schemeClr w14:val="tx1"/>
            </w14:solidFill>
          </w14:textFill>
        </w:rPr>
        <w:t>（9）在储存区和刻蚀区各设置1台氟化氢气体自动报警装置。</w:t>
      </w:r>
    </w:p>
    <w:p w14:paraId="638DA1CC">
      <w:pPr>
        <w:ind w:firstLine="520"/>
        <w:rPr>
          <w:color w:val="000000" w:themeColor="text1"/>
          <w14:textFill>
            <w14:solidFill>
              <w14:schemeClr w14:val="tx1"/>
            </w14:solidFill>
          </w14:textFill>
        </w:rPr>
      </w:pPr>
      <w:r>
        <w:rPr>
          <w:color w:val="000000" w:themeColor="text1"/>
          <w14:textFill>
            <w14:solidFill>
              <w14:schemeClr w14:val="tx1"/>
            </w14:solidFill>
          </w14:textFill>
        </w:rPr>
        <w:t>（10）加强火源管理，禁止明火，生产中需要用火要严格执行有关安全管理制度，提前办理用火手续；刻蚀工段和储存区设置干砂池和足够数量的手提式干粉灭火器，配备足够数量的正压式呼吸器、防毒服等防护用具。</w:t>
      </w:r>
    </w:p>
    <w:p w14:paraId="4B850785">
      <w:pPr>
        <w:ind w:firstLine="520"/>
        <w:rPr>
          <w:color w:val="000000" w:themeColor="text1"/>
          <w14:textFill>
            <w14:solidFill>
              <w14:schemeClr w14:val="tx1"/>
            </w14:solidFill>
          </w14:textFill>
        </w:rPr>
      </w:pPr>
      <w:r>
        <w:rPr>
          <w:color w:val="000000" w:themeColor="text1"/>
          <w14:textFill>
            <w14:solidFill>
              <w14:schemeClr w14:val="tx1"/>
            </w14:solidFill>
          </w14:textFill>
        </w:rPr>
        <w:t>（11）蚀刻和清洗车间和储存区内部设置导流槽，酸洗车间和储存区各设置一个储液罐，一旦发生物料泄漏时导流槽直接引至储液罐，能够及时收集引至事故池，导流槽内的残留物用水冲洗后引至废水事故池，阶段性的将事故储池内废水送至厂内污水处理站处理达标后排放。</w:t>
      </w:r>
    </w:p>
    <w:p w14:paraId="497E4F2F">
      <w:pPr>
        <w:ind w:firstLine="520"/>
        <w:rPr>
          <w:color w:val="000000" w:themeColor="text1"/>
          <w14:textFill>
            <w14:solidFill>
              <w14:schemeClr w14:val="tx1"/>
            </w14:solidFill>
          </w14:textFill>
        </w:rPr>
      </w:pPr>
      <w:r>
        <w:rPr>
          <w:color w:val="000000" w:themeColor="text1"/>
          <w14:textFill>
            <w14:solidFill>
              <w14:schemeClr w14:val="tx1"/>
            </w14:solidFill>
          </w14:textFill>
        </w:rPr>
        <w:t>（12）操作人员均应经过专业培训和严格训练并取得合格证后方可上岗操作，要严格执行安全操作规程，操作人员不仅应熟悉掌握正常生产状况下本岗位和相关岗位的操作程序和要求，而且应熟练掌握非正常生产状况下的操作程序和要求。</w:t>
      </w:r>
    </w:p>
    <w:p w14:paraId="0DB09E10">
      <w:pPr>
        <w:ind w:firstLine="520"/>
        <w:rPr>
          <w:color w:val="000000" w:themeColor="text1"/>
          <w14:textFill>
            <w14:solidFill>
              <w14:schemeClr w14:val="tx1"/>
            </w14:solidFill>
          </w14:textFill>
        </w:rPr>
      </w:pPr>
      <w:r>
        <w:rPr>
          <w:color w:val="000000" w:themeColor="text1"/>
          <w14:textFill>
            <w14:solidFill>
              <w14:schemeClr w14:val="tx1"/>
            </w14:solidFill>
          </w14:textFill>
        </w:rPr>
        <w:t>（13）加强设备、管道的密封措施，如工艺各种管道和管道的法兰垫片采用耐腐蚀的、可靠的材料、管道、设备表面涂刷油漆防腐等。</w:t>
      </w:r>
    </w:p>
    <w:p w14:paraId="4BAC7313">
      <w:pPr>
        <w:ind w:firstLine="520"/>
        <w:rPr>
          <w:color w:val="000000" w:themeColor="text1"/>
          <w14:textFill>
            <w14:solidFill>
              <w14:schemeClr w14:val="tx1"/>
            </w14:solidFill>
          </w14:textFill>
        </w:rPr>
      </w:pPr>
      <w:r>
        <w:rPr>
          <w:color w:val="000000" w:themeColor="text1"/>
          <w14:textFill>
            <w14:solidFill>
              <w14:schemeClr w14:val="tx1"/>
            </w14:solidFill>
          </w14:textFill>
        </w:rPr>
        <w:t>（14）企业贮存的危险化学品必须设有明显的标志，并在醒目位置列出危险化学品安全周知牌，注明储存物料、储存量、应急处置措施、应急联系方式及安全责任人。</w:t>
      </w:r>
    </w:p>
    <w:p w14:paraId="31C780A3">
      <w:pPr>
        <w:ind w:firstLine="520"/>
        <w:rPr>
          <w:color w:val="000000" w:themeColor="text1"/>
          <w14:textFill>
            <w14:solidFill>
              <w14:schemeClr w14:val="tx1"/>
            </w14:solidFill>
          </w14:textFill>
        </w:rPr>
      </w:pPr>
      <w:r>
        <w:rPr>
          <w:color w:val="000000" w:themeColor="text1"/>
          <w14:textFill>
            <w14:solidFill>
              <w14:schemeClr w14:val="tx1"/>
            </w14:solidFill>
          </w14:textFill>
        </w:rPr>
        <w:t>（15）MTS所属设备、管线及附属冲洗、消防、生活等设备。安排人员每天定时进行巡检，发现泄漏点，及时进行消缺。对动静密封点进行统计，设备、管路都必须建立静、动密封档案和台帐。</w:t>
      </w:r>
    </w:p>
    <w:p w14:paraId="4D9EB3CC">
      <w:pPr>
        <w:ind w:firstLine="520"/>
        <w:rPr>
          <w:color w:val="000000" w:themeColor="text1"/>
          <w14:textFill>
            <w14:solidFill>
              <w14:schemeClr w14:val="tx1"/>
            </w14:solidFill>
          </w14:textFill>
        </w:rPr>
      </w:pPr>
      <w:r>
        <w:rPr>
          <w:color w:val="000000" w:themeColor="text1"/>
          <w14:textFill>
            <w14:solidFill>
              <w14:schemeClr w14:val="tx1"/>
            </w14:solidFill>
          </w14:textFill>
        </w:rPr>
        <w:t>（16）甲、乙类生产装置选用防爆仪表、电气设备。工艺管道以及重要压力设备均设立温度、压力、液位的测量、报警、调节及必要的连锁系统，确保生产系统的安全平稳运行。</w:t>
      </w:r>
    </w:p>
    <w:p w14:paraId="5C6476FE">
      <w:pPr>
        <w:ind w:firstLine="520"/>
        <w:rPr>
          <w:color w:val="000000" w:themeColor="text1"/>
          <w14:textFill>
            <w14:solidFill>
              <w14:schemeClr w14:val="tx1"/>
            </w14:solidFill>
          </w14:textFill>
        </w:rPr>
      </w:pPr>
      <w:r>
        <w:rPr>
          <w:color w:val="000000" w:themeColor="text1"/>
          <w14:textFill>
            <w14:solidFill>
              <w14:schemeClr w14:val="tx1"/>
            </w14:solidFill>
          </w14:textFill>
        </w:rPr>
        <w:t>（17）生产装置内工艺设备、工艺管道、调节阀等根据工艺介质特性、操作条件进行，材料选择及设计条件确定，防止物料跑、冒、滴、漏；压力容器严格按照《压力容器安全技术监察规程》的有关规定进行设计，并按规定装设安全阀或爆破片等防爆泄压系统，防止超压后的危害。可燃性物料的管路系统设立阻火器、水封等阻火设施。</w:t>
      </w:r>
    </w:p>
    <w:p w14:paraId="1535DEF8">
      <w:pPr>
        <w:ind w:firstLine="520"/>
        <w:rPr>
          <w:color w:val="000000" w:themeColor="text1"/>
          <w14:textFill>
            <w14:solidFill>
              <w14:schemeClr w14:val="tx1"/>
            </w14:solidFill>
          </w14:textFill>
        </w:rPr>
      </w:pPr>
      <w:r>
        <w:rPr>
          <w:color w:val="000000" w:themeColor="text1"/>
          <w14:textFill>
            <w14:solidFill>
              <w14:schemeClr w14:val="tx1"/>
            </w14:solidFill>
          </w14:textFill>
        </w:rPr>
        <w:t>（18）在生产装置可能有可燃或有毒气体泄漏和积聚的地方设置可燃和/或有毒气体探测器，以检测设备泄漏及空气中可燃或有毒气体浓度。</w:t>
      </w:r>
    </w:p>
    <w:p w14:paraId="4EB78AC3">
      <w:pPr>
        <w:ind w:firstLine="520"/>
        <w:rPr>
          <w:color w:val="000000" w:themeColor="text1"/>
          <w14:textFill>
            <w14:solidFill>
              <w14:schemeClr w14:val="tx1"/>
            </w14:solidFill>
          </w14:textFill>
        </w:rPr>
      </w:pPr>
      <w:r>
        <w:rPr>
          <w:color w:val="000000" w:themeColor="text1"/>
          <w14:textFill>
            <w14:solidFill>
              <w14:schemeClr w14:val="tx1"/>
            </w14:solidFill>
          </w14:textFill>
        </w:rPr>
        <w:t>（19）在控制室设置火灾报警盘，以显示危险区的位置。火警盘上的信号由设在各个防火区域探测器送达，以便及时消灭火灾隐患。</w:t>
      </w:r>
    </w:p>
    <w:p w14:paraId="72533D4B">
      <w:pPr>
        <w:ind w:firstLine="520"/>
        <w:rPr>
          <w:color w:val="000000" w:themeColor="text1"/>
          <w14:textFill>
            <w14:solidFill>
              <w14:schemeClr w14:val="tx1"/>
            </w14:solidFill>
          </w14:textFill>
        </w:rPr>
      </w:pPr>
      <w:r>
        <w:rPr>
          <w:color w:val="000000" w:themeColor="text1"/>
          <w14:textFill>
            <w14:solidFill>
              <w14:schemeClr w14:val="tx1"/>
            </w14:solidFill>
          </w14:textFill>
        </w:rPr>
        <w:t>（20）当发生泄漏时，应采取以下措施进行处理：</w:t>
      </w:r>
    </w:p>
    <w:p w14:paraId="7E635A0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迅速撤离泄漏污染区人员至安全区，并进行隔离，严格限制出入；</w:t>
      </w:r>
    </w:p>
    <w:p w14:paraId="4480F0FE">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建议应急处理人员戴自给正压式呼吸器，穿化学防护服。不要直接接触泄漏物，在确保安全情况下堵漏；</w:t>
      </w:r>
    </w:p>
    <w:p w14:paraId="21AA1A44">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少量泄漏可将泄漏液收集在可密闭容器中或用沙土、干燥石灰混合。大量泄漏时构筑围堤或挖坑收容。用泵转移至槽车或专用收集器内，回收或运至废物处理场所处置；</w:t>
      </w:r>
    </w:p>
    <w:p w14:paraId="15BE5BF4">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若皮肤接触时立即脱去被污染的衣着，用大量流动清水冲洗，至少15分钟。</w:t>
      </w:r>
    </w:p>
    <w:p w14:paraId="42DA4A6D">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眼睛接触到时立即用大量流动清水或生理盐水彻底冲洗至少15分钟。</w:t>
      </w:r>
    </w:p>
    <w:p w14:paraId="4B66069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吸入时迅速脱离现场至空气新鲜处，保持呼吸道通畅。如呼吸困难，给输氧。如呼吸停止，立即进行人工呼吸，马上就医。</w:t>
      </w:r>
    </w:p>
    <w:p w14:paraId="2416FA1D">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⑦</w:t>
      </w:r>
      <w:r>
        <w:rPr>
          <w:color w:val="000000" w:themeColor="text1"/>
          <w14:textFill>
            <w14:solidFill>
              <w14:schemeClr w14:val="tx1"/>
            </w14:solidFill>
          </w14:textFill>
        </w:rPr>
        <w:t>灭火方法：消防人员必须穿戴全身防火防毒服。灭火剂：干粉、砂土。禁止使用水、泡沫或卤化物灭火剂。</w:t>
      </w:r>
    </w:p>
    <w:p w14:paraId="2085F3AB">
      <w:pPr>
        <w:pStyle w:val="6"/>
        <w:rPr>
          <w:color w:val="000000" w:themeColor="text1"/>
          <w14:textFill>
            <w14:solidFill>
              <w14:schemeClr w14:val="tx1"/>
            </w14:solidFill>
          </w14:textFill>
        </w:rPr>
      </w:pPr>
      <w:r>
        <w:rPr>
          <w:color w:val="000000" w:themeColor="text1"/>
          <w14:textFill>
            <w14:solidFill>
              <w14:schemeClr w14:val="tx1"/>
            </w14:solidFill>
          </w14:textFill>
        </w:rPr>
        <w:t>运输过程</w:t>
      </w:r>
    </w:p>
    <w:p w14:paraId="4DE1A563">
      <w:pPr>
        <w:ind w:firstLine="520"/>
        <w:rPr>
          <w:color w:val="000000" w:themeColor="text1"/>
          <w14:textFill>
            <w14:solidFill>
              <w14:schemeClr w14:val="tx1"/>
            </w14:solidFill>
          </w14:textFill>
        </w:rPr>
      </w:pPr>
      <w:r>
        <w:rPr>
          <w:color w:val="000000" w:themeColor="text1"/>
          <w14:textFill>
            <w14:solidFill>
              <w14:schemeClr w14:val="tx1"/>
            </w14:solidFill>
          </w14:textFill>
        </w:rPr>
        <w:t>（1）在运输途中，由于各种意外原因，产生汽车翻车、物料泄漏等，危险货物有可能散落、抛出至大气、水体或陆域，造成重大环境灾害，对于这类风险事故，要求采取应急措施，包括工程应急措施和社会救援应急预案。</w:t>
      </w:r>
    </w:p>
    <w:p w14:paraId="64929EA1">
      <w:pPr>
        <w:ind w:firstLine="520"/>
        <w:rPr>
          <w:color w:val="000000" w:themeColor="text1"/>
          <w14:textFill>
            <w14:solidFill>
              <w14:schemeClr w14:val="tx1"/>
            </w14:solidFill>
          </w14:textFill>
        </w:rPr>
      </w:pPr>
      <w:r>
        <w:rPr>
          <w:color w:val="000000" w:themeColor="text1"/>
          <w14:textFill>
            <w14:solidFill>
              <w14:schemeClr w14:val="tx1"/>
            </w14:solidFill>
          </w14:textFill>
        </w:rPr>
        <w:t>（2）运输过程严格执行《危险货物运输包装通用技术条件》（GB12463-2009）和各种运输方式的《危险货物运输规则》，并配备相应地应急物资和设备；装卸过程要求防震、防撞、防倾斜；断火源、禁火种；通风和降温。</w:t>
      </w:r>
    </w:p>
    <w:p w14:paraId="67DC7442">
      <w:pPr>
        <w:ind w:firstLine="520"/>
        <w:rPr>
          <w:color w:val="000000" w:themeColor="text1"/>
          <w14:textFill>
            <w14:solidFill>
              <w14:schemeClr w14:val="tx1"/>
            </w14:solidFill>
          </w14:textFill>
        </w:rPr>
      </w:pPr>
      <w:r>
        <w:rPr>
          <w:color w:val="000000" w:themeColor="text1"/>
          <w14:textFill>
            <w14:solidFill>
              <w14:schemeClr w14:val="tx1"/>
            </w14:solidFill>
          </w14:textFill>
        </w:rPr>
        <w:t>（3）化学品槽罐车运输时应做到定车、定人、定线和定时。定车就是要把装运危险物品的车辆、工具相对固定，专车专用；定人就是由专人负责危险化学品的管理、驾驶、押运以及装卸等工作，以确保危险化学品的安全运输；定线和定时就是运输车辆需在有关部门指定的时段内通过指定的运输路线运输，如不能指定路线由于客观原因不能通行时，则使用备选路线。进行运输路线选择时应避开水源保护区、集中居民区等敏感区域，运输时间应合理选择，尽可能避开人群流动高峰时期。</w:t>
      </w:r>
    </w:p>
    <w:p w14:paraId="0F64E5CA">
      <w:pPr>
        <w:ind w:firstLine="520"/>
        <w:rPr>
          <w:color w:val="000000" w:themeColor="text1"/>
          <w14:textFill>
            <w14:solidFill>
              <w14:schemeClr w14:val="tx1"/>
            </w14:solidFill>
          </w14:textFill>
        </w:rPr>
      </w:pPr>
      <w:r>
        <w:rPr>
          <w:color w:val="000000" w:themeColor="text1"/>
          <w14:textFill>
            <w14:solidFill>
              <w14:schemeClr w14:val="tx1"/>
            </w14:solidFill>
          </w14:textFill>
        </w:rPr>
        <w:t>（4）危化品运输时需避开交警部门规定的禁行路线，按照交警部门规定的时间和线路行驶，同时车速需遵循交通法所规定的路况限速要求，避免发生交通事故。</w:t>
      </w:r>
    </w:p>
    <w:p w14:paraId="2CD039BF">
      <w:pPr>
        <w:ind w:firstLine="520"/>
        <w:rPr>
          <w:color w:val="000000" w:themeColor="text1"/>
          <w14:textFill>
            <w14:solidFill>
              <w14:schemeClr w14:val="tx1"/>
            </w14:solidFill>
          </w14:textFill>
        </w:rPr>
      </w:pPr>
      <w:r>
        <w:rPr>
          <w:color w:val="000000" w:themeColor="text1"/>
          <w14:textFill>
            <w14:solidFill>
              <w14:schemeClr w14:val="tx1"/>
            </w14:solidFill>
          </w14:textFill>
        </w:rPr>
        <w:t>（5）配备相关应急设备和设施，并对运输人员加强培训，使其掌握相关事故的应急处理方法，确保事故发生时，运输人员能够采取相关应急处理措施，降低事故造成的不利影响。</w:t>
      </w:r>
    </w:p>
    <w:p w14:paraId="4B44132D">
      <w:pPr>
        <w:ind w:firstLine="520"/>
        <w:rPr>
          <w:color w:val="000000" w:themeColor="text1"/>
          <w14:textFill>
            <w14:solidFill>
              <w14:schemeClr w14:val="tx1"/>
            </w14:solidFill>
          </w14:textFill>
        </w:rPr>
      </w:pPr>
      <w:r>
        <w:rPr>
          <w:color w:val="000000" w:themeColor="text1"/>
          <w14:textFill>
            <w14:solidFill>
              <w14:schemeClr w14:val="tx1"/>
            </w14:solidFill>
          </w14:textFill>
        </w:rPr>
        <w:t>（6）借助GPS等高科技手段，实时掌握危险化学品运输车辆的动态，实现运输的全程监督。</w:t>
      </w:r>
    </w:p>
    <w:p w14:paraId="0DA0876F">
      <w:pPr>
        <w:pStyle w:val="6"/>
        <w:rPr>
          <w:color w:val="000000" w:themeColor="text1"/>
          <w14:textFill>
            <w14:solidFill>
              <w14:schemeClr w14:val="tx1"/>
            </w14:solidFill>
          </w14:textFill>
        </w:rPr>
      </w:pPr>
      <w:r>
        <w:rPr>
          <w:color w:val="000000" w:themeColor="text1"/>
          <w14:textFill>
            <w14:solidFill>
              <w14:schemeClr w14:val="tx1"/>
            </w14:solidFill>
          </w14:textFill>
        </w:rPr>
        <w:t>贮存过程风险防范措施</w:t>
      </w:r>
    </w:p>
    <w:p w14:paraId="627857E2">
      <w:pPr>
        <w:ind w:firstLine="520"/>
        <w:rPr>
          <w:color w:val="000000" w:themeColor="text1"/>
          <w14:textFill>
            <w14:solidFill>
              <w14:schemeClr w14:val="tx1"/>
            </w14:solidFill>
          </w14:textFill>
        </w:rPr>
      </w:pPr>
      <w:r>
        <w:rPr>
          <w:color w:val="000000" w:themeColor="text1"/>
          <w14:textFill>
            <w14:solidFill>
              <w14:schemeClr w14:val="tx1"/>
            </w14:solidFill>
          </w14:textFill>
        </w:rPr>
        <w:t>危险化学品在运输、贮存及使用过程中，应严格按照《化学危险物品安全管理条例》、《危险化学品登记管理办法》、《常用化学危险品贮存通则》等国家、地方有关危险化学品的法规、条例。</w:t>
      </w:r>
    </w:p>
    <w:p w14:paraId="3DD05989">
      <w:pPr>
        <w:ind w:firstLine="520"/>
        <w:rPr>
          <w:color w:val="000000" w:themeColor="text1"/>
          <w14:textFill>
            <w14:solidFill>
              <w14:schemeClr w14:val="tx1"/>
            </w14:solidFill>
          </w14:textFill>
        </w:rPr>
      </w:pPr>
      <w:r>
        <w:rPr>
          <w:color w:val="000000" w:themeColor="text1"/>
          <w14:textFill>
            <w14:solidFill>
              <w14:schemeClr w14:val="tx1"/>
            </w14:solidFill>
          </w14:textFill>
        </w:rPr>
        <w:t>由于MTS易挥发，有较强的刺激性气味及毒性，且易燃易爆，需要重点防范。氢气易燃易爆，需要妥善储存。</w:t>
      </w:r>
    </w:p>
    <w:p w14:paraId="7D07ADD7">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使用MTS根据生产节拍即时订购，由销售单位安排危化品车辆运输至厂内，MTS采用特制金属罐封装，每罐约1.0t，罐内充入氮气作为保护气。MTS贮存点位于碳化硅生产车间旁的辅房内，地面防渗并设置截流沟和收集池，收集池容积不小于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约1个金属罐内的MTS的体积），并在辅房内安装视频监控及检测报警装置，用于人工查验及及时发出警报。CVD炉设备内有MTS储槽，MTS通过管道打入储槽后密封，空金属罐交供应商安排危化品车辆运输回收处置，碳化硅生产过程中使用设备原料槽内的MTS，设备内全程通入氮气或氩气作为保护气，在生产过程中不接触外环境。设置自给式呼吸器、消防防护服、不可燃吸收毡或干燥沙土，酸雾吸收塔预留管道和阀门接入MTS储存间。</w:t>
      </w:r>
    </w:p>
    <w:p w14:paraId="2AA4FF7A">
      <w:pPr>
        <w:ind w:firstLine="520"/>
        <w:rPr>
          <w:color w:val="000000" w:themeColor="text1"/>
          <w14:textFill>
            <w14:solidFill>
              <w14:schemeClr w14:val="tx1"/>
            </w14:solidFill>
          </w14:textFill>
        </w:rPr>
      </w:pPr>
      <w:r>
        <w:rPr>
          <w:color w:val="000000" w:themeColor="text1"/>
          <w14:textFill>
            <w14:solidFill>
              <w14:schemeClr w14:val="tx1"/>
            </w14:solidFill>
          </w14:textFill>
        </w:rPr>
        <w:t>危废贮存设施、切削液回收车间、危化品库、MTS储存间、污水处理站采用重点防渗措施，重点防渗区的防渗性能应与6.0m厚粘土层（渗透系数1.0×10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cm/s）等效，或参照GB18598执行。危废贮存设施及切削液回收车间室内地面与裙角采用耐腐蚀硬化处理，使用专用且具有外在标签的专用容器对危险废物进行分类密封盛装，存储区周边设置收集沟收集渗漏液池。</w:t>
      </w:r>
    </w:p>
    <w:p w14:paraId="16E9B43A">
      <w:pPr>
        <w:pStyle w:val="6"/>
        <w:rPr>
          <w:color w:val="000000" w:themeColor="text1"/>
          <w14:textFill>
            <w14:solidFill>
              <w14:schemeClr w14:val="tx1"/>
            </w14:solidFill>
          </w14:textFill>
        </w:rPr>
      </w:pPr>
      <w:r>
        <w:rPr>
          <w:color w:val="000000" w:themeColor="text1"/>
          <w14:textFill>
            <w14:solidFill>
              <w14:schemeClr w14:val="tx1"/>
            </w14:solidFill>
          </w14:textFill>
        </w:rPr>
        <w:t>环保设施风险防范措施</w:t>
      </w:r>
    </w:p>
    <w:p w14:paraId="1EB3E4CC">
      <w:pPr>
        <w:ind w:firstLine="520"/>
        <w:rPr>
          <w:color w:val="000000" w:themeColor="text1"/>
          <w14:textFill>
            <w14:solidFill>
              <w14:schemeClr w14:val="tx1"/>
            </w14:solidFill>
          </w14:textFill>
        </w:rPr>
      </w:pPr>
      <w:r>
        <w:rPr>
          <w:color w:val="000000" w:themeColor="text1"/>
          <w14:textFill>
            <w14:solidFill>
              <w14:schemeClr w14:val="tx1"/>
            </w14:solidFill>
          </w14:textFill>
        </w:rPr>
        <w:t>（1）废气处理系统风险防范措施</w:t>
      </w:r>
    </w:p>
    <w:p w14:paraId="765D23C6">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对废气处理系统进行定期的监测和检修，如发生腐蚀、设备运行不稳定的情况，需对设备进行更换和修理，确保废气处理装置的正常运行。</w:t>
      </w:r>
    </w:p>
    <w:p w14:paraId="6E324F93">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根据废气的成分和性质设置合理的废气处理装置，易燃易爆废气的处理应设置必要的阻燃器和火灾爆炸警报器等设施，防止发生燃爆事故。</w:t>
      </w:r>
    </w:p>
    <w:p w14:paraId="1B23A2EE">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对处理可燃性气体的装置和排气筒应设置监控装置和报警系统，并设置阻燃器，防止可燃性气体处理和排放处理系统发生燃爆事故。</w:t>
      </w:r>
    </w:p>
    <w:p w14:paraId="412E46EC">
      <w:pPr>
        <w:ind w:firstLine="520"/>
        <w:rPr>
          <w:color w:val="000000" w:themeColor="text1"/>
          <w14:textFill>
            <w14:solidFill>
              <w14:schemeClr w14:val="tx1"/>
            </w14:solidFill>
          </w14:textFill>
        </w:rPr>
      </w:pPr>
      <w:r>
        <w:rPr>
          <w:color w:val="000000" w:themeColor="text1"/>
          <w14:textFill>
            <w14:solidFill>
              <w14:schemeClr w14:val="tx1"/>
            </w14:solidFill>
          </w14:textFill>
        </w:rPr>
        <w:t>（2）废水处理风险防范措施</w:t>
      </w:r>
    </w:p>
    <w:p w14:paraId="2763A9F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项目运营期生产污水管网建议明管，按行业要求做防腐防渗措施，厂区污水处理厂自行监测及在线监测需按现行规定执行。</w:t>
      </w:r>
    </w:p>
    <w:p w14:paraId="357D627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加强对废水处理站的日常检查，做好记录备查；</w:t>
      </w:r>
    </w:p>
    <w:p w14:paraId="26367BD8">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对废水处理站设备进行定期保养，尽可能减少设备事故性停运；</w:t>
      </w:r>
    </w:p>
    <w:p w14:paraId="1339CB70">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臻宝半导体</w:t>
      </w:r>
      <w:r>
        <w:rPr>
          <w:color w:val="000000" w:themeColor="text1"/>
          <w14:textFill>
            <w14:solidFill>
              <w14:schemeClr w14:val="tx1"/>
            </w14:solidFill>
          </w14:textFill>
        </w:rPr>
        <w:t>设置1座事故池，容积为270m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，雨污水排放口设置切断装置，发生事故时，及时拉开排污口切断装置，将事故废水引入事故池，经处理达标后排放。</w:t>
      </w:r>
    </w:p>
    <w:p w14:paraId="2B3E437B">
      <w:pPr>
        <w:spacing w:line="240" w:lineRule="auto"/>
        <w:ind w:firstLine="0" w:firstLineChars="0"/>
        <w:jc w:val="center"/>
        <w:rPr>
          <w:color w:val="000000" w:themeColor="text1"/>
          <w14:textFill>
            <w14:solidFill>
              <w14:schemeClr w14:val="tx1"/>
            </w14:solidFill>
          </w14:textFill>
        </w:rPr>
      </w:pPr>
      <w:r>
        <w:rPr>
          <w:snapToGrid/>
          <w:color w:val="000000" w:themeColor="text1"/>
          <w:sz w:val="24"/>
          <w14:textFill>
            <w14:solidFill>
              <w14:schemeClr w14:val="tx1"/>
            </w14:solidFill>
          </w14:textFill>
        </w:rPr>
        <w:drawing>
          <wp:inline distT="0" distB="0" distL="0" distR="0">
            <wp:extent cx="3923665" cy="2764155"/>
            <wp:effectExtent l="0" t="0" r="635" b="0"/>
            <wp:docPr id="11379356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35673" name="图片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923665" cy="2764155"/>
                    </a:xfrm>
                    <a:prstGeom prst="rect">
                      <a:avLst/>
                    </a:prstGeom>
                    <a:noFill/>
                    <a:ln>
                      <a:noFill/>
                    </a:ln>
                  </pic:spPr>
                </pic:pic>
              </a:graphicData>
            </a:graphic>
          </wp:inline>
        </w:drawing>
      </w:r>
    </w:p>
    <w:p w14:paraId="0EAF9D94">
      <w:pPr>
        <w:ind w:firstLine="520"/>
        <w:rPr>
          <w:color w:val="000000" w:themeColor="text1"/>
          <w14:textFill>
            <w14:solidFill>
              <w14:schemeClr w14:val="tx1"/>
            </w14:solidFill>
          </w14:textFill>
        </w:rPr>
      </w:pPr>
      <w:r>
        <w:rPr>
          <w:color w:val="000000" w:themeColor="text1"/>
          <w14:textFill>
            <w14:solidFill>
              <w14:schemeClr w14:val="tx1"/>
            </w14:solidFill>
          </w14:textFill>
        </w:rPr>
        <w:t>（3）危废贮存设施及切削液回收车间风险防范</w:t>
      </w:r>
    </w:p>
    <w:p w14:paraId="023CECB8">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产生的危险废物主要是废切削液、废槽液，其中废切削液经切削液回收车间压滤过滤处理后回用于生产，会产生的沾染切削液废污泥。扩建项目将严格根据《危险废物贮存污染控制标准》(GB18597-2023)进行储存。扩建项目具体防范措施：</w:t>
      </w:r>
    </w:p>
    <w:p w14:paraId="7651F9ED">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严格按照《危险废物贮存污染控制标准》(GB18597-2023)相关要求进行分类收集后置于专用桶或专用废物袋中，暂存放在对应的危险废物贮存库内，评价要求危险废物至少一周转运一次。</w:t>
      </w:r>
    </w:p>
    <w:p w14:paraId="41EDE3F3">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根据《危险废物贮存污染控制标准》(GB18597-2023)，危险废物贮存间基础必须防渗，且防渗层为至少1m厚粘土层（渗透系数≤10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cm/s），或2mm厚高密度聚乙烯，或至少2mm厚的其他人工材料，渗透系数≤10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w:t>
      </w:r>
    </w:p>
    <w:p w14:paraId="5E4EAC94">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危废定期送有处理资质的单位进行处理。</w:t>
      </w:r>
    </w:p>
    <w:p w14:paraId="0B3F98AA">
      <w:pPr>
        <w:pStyle w:val="5"/>
        <w:rPr>
          <w:color w:val="000000" w:themeColor="text1"/>
          <w14:textFill>
            <w14:solidFill>
              <w14:schemeClr w14:val="tx1"/>
            </w14:solidFill>
          </w14:textFill>
        </w:rPr>
      </w:pPr>
      <w:r>
        <w:rPr>
          <w:color w:val="000000" w:themeColor="text1"/>
          <w14:textFill>
            <w14:solidFill>
              <w14:schemeClr w14:val="tx1"/>
            </w14:solidFill>
          </w14:textFill>
        </w:rPr>
        <w:t>风险事故应急预案</w:t>
      </w:r>
    </w:p>
    <w:p w14:paraId="21D05EA4">
      <w:pPr>
        <w:pStyle w:val="6"/>
        <w:rPr>
          <w:color w:val="000000" w:themeColor="text1"/>
          <w14:textFill>
            <w14:solidFill>
              <w14:schemeClr w14:val="tx1"/>
            </w14:solidFill>
          </w14:textFill>
        </w:rPr>
      </w:pPr>
      <w:r>
        <w:rPr>
          <w:color w:val="000000" w:themeColor="text1"/>
          <w14:textFill>
            <w14:solidFill>
              <w14:schemeClr w14:val="tx1"/>
            </w14:solidFill>
          </w14:textFill>
        </w:rPr>
        <w:t>制定风险事故应急预案的目的</w:t>
      </w:r>
    </w:p>
    <w:p w14:paraId="51CB8BD9">
      <w:pPr>
        <w:ind w:firstLine="520"/>
        <w:rPr>
          <w:color w:val="000000" w:themeColor="text1"/>
          <w14:textFill>
            <w14:solidFill>
              <w14:schemeClr w14:val="tx1"/>
            </w14:solidFill>
          </w14:textFill>
        </w:rPr>
      </w:pPr>
      <w:r>
        <w:rPr>
          <w:color w:val="000000" w:themeColor="text1"/>
          <w14:textFill>
            <w14:solidFill>
              <w14:schemeClr w14:val="tx1"/>
            </w14:solidFill>
          </w14:textFill>
        </w:rPr>
        <w:t>认真贯彻落实党中央、国务院领导的指示精神，高度重视污染事故的防范和处理，消除污染事故隐患，加强环境监管，保障环境安全，维护群众环境权益。</w:t>
      </w:r>
    </w:p>
    <w:p w14:paraId="08C0EE9C">
      <w:pPr>
        <w:pStyle w:val="6"/>
        <w:rPr>
          <w:color w:val="000000" w:themeColor="text1"/>
          <w14:textFill>
            <w14:solidFill>
              <w14:schemeClr w14:val="tx1"/>
            </w14:solidFill>
          </w14:textFill>
        </w:rPr>
      </w:pPr>
      <w:r>
        <w:rPr>
          <w:color w:val="000000" w:themeColor="text1"/>
          <w14:textFill>
            <w14:solidFill>
              <w14:schemeClr w14:val="tx1"/>
            </w14:solidFill>
          </w14:textFill>
        </w:rPr>
        <w:t>应急预案内容</w:t>
      </w:r>
    </w:p>
    <w:p w14:paraId="6C8E83ED">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根据《建设项目环境风险评价技术导则》（HJ169-2018）要求，参照《危险废物经营单位编制应急预案指南》，制定企业环境风险应急预案，并向有关部门备案，其主要内容如</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_Ref160557766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表7.7</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。建设单位应在生产前自行编制或委托有资质的单位编制项目突发环境事件应急预案与风险评估报告，并进行评估，报有关部门备案，一旦发生风险事故，应立即启动预案计划。</w:t>
      </w:r>
    </w:p>
    <w:p w14:paraId="32681036">
      <w:pPr>
        <w:spacing w:before="32"/>
        <w:ind w:firstLine="0" w:firstLineChars="0"/>
        <w:jc w:val="center"/>
        <w:rPr>
          <w:color w:val="000000" w:themeColor="text1"/>
          <w14:textFill>
            <w14:solidFill>
              <w14:schemeClr w14:val="tx1"/>
            </w14:solidFill>
          </w14:textFill>
        </w:rPr>
      </w:pPr>
      <w:bookmarkStart w:id="344" w:name="_Ref160557766"/>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7.7</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344"/>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项目环境风险应急预案内容表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727"/>
        <w:gridCol w:w="1817"/>
        <w:gridCol w:w="6914"/>
      </w:tblGrid>
      <w:tr w14:paraId="20BE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7" w:type="dxa"/>
            <w:vAlign w:val="center"/>
          </w:tcPr>
          <w:p w14:paraId="5D42BDDC">
            <w:pPr>
              <w:pStyle w:val="1535"/>
            </w:pPr>
            <w:r>
              <w:t>序号</w:t>
            </w:r>
          </w:p>
        </w:tc>
        <w:tc>
          <w:tcPr>
            <w:tcW w:w="1817" w:type="dxa"/>
            <w:vAlign w:val="center"/>
          </w:tcPr>
          <w:p w14:paraId="647A7D62">
            <w:pPr>
              <w:pStyle w:val="1535"/>
            </w:pPr>
            <w:r>
              <w:t>项目</w:t>
            </w:r>
          </w:p>
        </w:tc>
        <w:tc>
          <w:tcPr>
            <w:tcW w:w="6914" w:type="dxa"/>
            <w:vAlign w:val="center"/>
          </w:tcPr>
          <w:p w14:paraId="4A28F7FC">
            <w:pPr>
              <w:pStyle w:val="1535"/>
            </w:pPr>
            <w:r>
              <w:t>内容及要求</w:t>
            </w:r>
          </w:p>
        </w:tc>
      </w:tr>
      <w:tr w14:paraId="7EAC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42A1F081">
            <w:pPr>
              <w:pStyle w:val="1535"/>
            </w:pPr>
            <w:r>
              <w:t>1</w:t>
            </w:r>
          </w:p>
        </w:tc>
        <w:tc>
          <w:tcPr>
            <w:tcW w:w="1817" w:type="dxa"/>
            <w:vAlign w:val="center"/>
          </w:tcPr>
          <w:p w14:paraId="59946ED0">
            <w:pPr>
              <w:pStyle w:val="1535"/>
            </w:pPr>
            <w:r>
              <w:t>应急计划区</w:t>
            </w:r>
          </w:p>
        </w:tc>
        <w:tc>
          <w:tcPr>
            <w:tcW w:w="6914" w:type="dxa"/>
            <w:vAlign w:val="center"/>
          </w:tcPr>
          <w:p w14:paraId="2E6BF542">
            <w:pPr>
              <w:pStyle w:val="1535"/>
            </w:pPr>
            <w:r>
              <w:t>危险目标：污水处理站、MTS贮存点、H2气站、危废贮存设施、切削液回收车间、刻蚀区、清洗区、废气处理设施</w:t>
            </w:r>
          </w:p>
        </w:tc>
      </w:tr>
      <w:tr w14:paraId="687A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438310B6">
            <w:pPr>
              <w:pStyle w:val="1535"/>
            </w:pPr>
            <w:r>
              <w:t>2</w:t>
            </w:r>
          </w:p>
        </w:tc>
        <w:tc>
          <w:tcPr>
            <w:tcW w:w="1817" w:type="dxa"/>
            <w:vAlign w:val="center"/>
          </w:tcPr>
          <w:p w14:paraId="1624EC10">
            <w:pPr>
              <w:pStyle w:val="1535"/>
            </w:pPr>
            <w:r>
              <w:t>应急组织机构和人员</w:t>
            </w:r>
          </w:p>
        </w:tc>
        <w:tc>
          <w:tcPr>
            <w:tcW w:w="6914" w:type="dxa"/>
            <w:vAlign w:val="center"/>
          </w:tcPr>
          <w:p w14:paraId="2180E267">
            <w:pPr>
              <w:pStyle w:val="1535"/>
            </w:pPr>
            <w:r>
              <w:t>公司应急委员会和员工、开发区环境风险应急组织机构和人员。公司应急委员会应成立环境风险应急处置小组，包括环境风险源控制组、救援组、警戒和疏散组、环境监测组等，并任命专人负责事故的记录和报告。</w:t>
            </w:r>
          </w:p>
        </w:tc>
      </w:tr>
      <w:tr w14:paraId="3E77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37CC08D8">
            <w:pPr>
              <w:pStyle w:val="1535"/>
            </w:pPr>
            <w:r>
              <w:t>3</w:t>
            </w:r>
          </w:p>
        </w:tc>
        <w:tc>
          <w:tcPr>
            <w:tcW w:w="1817" w:type="dxa"/>
            <w:vAlign w:val="center"/>
          </w:tcPr>
          <w:p w14:paraId="297C0988">
            <w:pPr>
              <w:pStyle w:val="1535"/>
            </w:pPr>
            <w:r>
              <w:t>预案分级响应条件</w:t>
            </w:r>
          </w:p>
        </w:tc>
        <w:tc>
          <w:tcPr>
            <w:tcW w:w="6914" w:type="dxa"/>
            <w:vAlign w:val="center"/>
          </w:tcPr>
          <w:p w14:paraId="16866FB0">
            <w:pPr>
              <w:pStyle w:val="1535"/>
            </w:pPr>
            <w:r>
              <w:t>规定预案的级别及分级响应程序，根据环境风险事故可能产生的环境影响，对事故预警进行分级，并根据事态发展调整事故应急响应程序。应急响应程序启动后应按照应急预案的规定内容开展应急处置并及时报告相关情况。</w:t>
            </w:r>
          </w:p>
        </w:tc>
      </w:tr>
      <w:tr w14:paraId="2799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09555781">
            <w:pPr>
              <w:pStyle w:val="1535"/>
            </w:pPr>
            <w:r>
              <w:t>4</w:t>
            </w:r>
          </w:p>
        </w:tc>
        <w:tc>
          <w:tcPr>
            <w:tcW w:w="1817" w:type="dxa"/>
            <w:vAlign w:val="center"/>
          </w:tcPr>
          <w:p w14:paraId="2A0AB805">
            <w:pPr>
              <w:pStyle w:val="1535"/>
            </w:pPr>
            <w:r>
              <w:t>应急救援保障</w:t>
            </w:r>
          </w:p>
        </w:tc>
        <w:tc>
          <w:tcPr>
            <w:tcW w:w="6914" w:type="dxa"/>
            <w:vAlign w:val="center"/>
          </w:tcPr>
          <w:p w14:paraId="78426E95">
            <w:pPr>
              <w:pStyle w:val="1535"/>
            </w:pPr>
            <w:r>
              <w:t>消防沙、灭火器、事故应急池、消火栓等</w:t>
            </w:r>
          </w:p>
        </w:tc>
      </w:tr>
      <w:tr w14:paraId="5172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3AF9DC57">
            <w:pPr>
              <w:pStyle w:val="1535"/>
            </w:pPr>
            <w:r>
              <w:t>5</w:t>
            </w:r>
          </w:p>
        </w:tc>
        <w:tc>
          <w:tcPr>
            <w:tcW w:w="1817" w:type="dxa"/>
            <w:vAlign w:val="center"/>
          </w:tcPr>
          <w:p w14:paraId="1E86BB71">
            <w:pPr>
              <w:pStyle w:val="1535"/>
            </w:pPr>
            <w:r>
              <w:t>报警、通讯联络方式</w:t>
            </w:r>
          </w:p>
        </w:tc>
        <w:tc>
          <w:tcPr>
            <w:tcW w:w="6914" w:type="dxa"/>
            <w:vAlign w:val="center"/>
          </w:tcPr>
          <w:p w14:paraId="31D19C9E">
            <w:pPr>
              <w:pStyle w:val="1535"/>
            </w:pPr>
            <w:r>
              <w:t>规定应急状态下的报警通讯方式、通知方式和交通保障、管制</w:t>
            </w:r>
          </w:p>
        </w:tc>
      </w:tr>
      <w:tr w14:paraId="6F1F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233EB2B1">
            <w:pPr>
              <w:pStyle w:val="1535"/>
            </w:pPr>
            <w:r>
              <w:t>6</w:t>
            </w:r>
          </w:p>
        </w:tc>
        <w:tc>
          <w:tcPr>
            <w:tcW w:w="1817" w:type="dxa"/>
            <w:vAlign w:val="center"/>
          </w:tcPr>
          <w:p w14:paraId="3759E93F">
            <w:pPr>
              <w:pStyle w:val="1535"/>
            </w:pPr>
            <w:r>
              <w:t>应急环境监测、抢险、救援及控制措施</w:t>
            </w:r>
          </w:p>
        </w:tc>
        <w:tc>
          <w:tcPr>
            <w:tcW w:w="6914" w:type="dxa"/>
            <w:vAlign w:val="center"/>
          </w:tcPr>
          <w:p w14:paraId="0F55F187">
            <w:pPr>
              <w:pStyle w:val="1535"/>
            </w:pPr>
            <w:r>
              <w:t>由市、区环境监测站负责对事故现场进行侦察监测，对事故性质、参数与后果进行评估，为指挥部门提供决策依据</w:t>
            </w:r>
          </w:p>
        </w:tc>
      </w:tr>
      <w:tr w14:paraId="0E40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26AA054A">
            <w:pPr>
              <w:pStyle w:val="1535"/>
            </w:pPr>
            <w:r>
              <w:t>7</w:t>
            </w:r>
          </w:p>
        </w:tc>
        <w:tc>
          <w:tcPr>
            <w:tcW w:w="1817" w:type="dxa"/>
            <w:vAlign w:val="center"/>
          </w:tcPr>
          <w:p w14:paraId="6399BF2C">
            <w:pPr>
              <w:pStyle w:val="1535"/>
            </w:pPr>
            <w:r>
              <w:t>应急检测、防护措施、清除泄漏措施和器材</w:t>
            </w:r>
          </w:p>
        </w:tc>
        <w:tc>
          <w:tcPr>
            <w:tcW w:w="6914" w:type="dxa"/>
            <w:vAlign w:val="center"/>
          </w:tcPr>
          <w:p w14:paraId="1C47EC47">
            <w:pPr>
              <w:pStyle w:val="1535"/>
            </w:pPr>
            <w:r>
              <w:t>事故现场、邻近区域、控制防火区域，控制和清除污染措施及相应设备</w:t>
            </w:r>
          </w:p>
        </w:tc>
      </w:tr>
      <w:tr w14:paraId="0B98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4EDEE552">
            <w:pPr>
              <w:pStyle w:val="1535"/>
            </w:pPr>
            <w:r>
              <w:t>8</w:t>
            </w:r>
          </w:p>
        </w:tc>
        <w:tc>
          <w:tcPr>
            <w:tcW w:w="1817" w:type="dxa"/>
            <w:vAlign w:val="center"/>
          </w:tcPr>
          <w:p w14:paraId="58104B30">
            <w:pPr>
              <w:pStyle w:val="1535"/>
            </w:pPr>
            <w:r>
              <w:t>人员紧急撤离、疏散，应急剂量控制、撤离组织计划</w:t>
            </w:r>
          </w:p>
        </w:tc>
        <w:tc>
          <w:tcPr>
            <w:tcW w:w="6914" w:type="dxa"/>
            <w:vAlign w:val="center"/>
          </w:tcPr>
          <w:p w14:paraId="04214676">
            <w:pPr>
              <w:pStyle w:val="1535"/>
            </w:pPr>
            <w:r>
              <w:t>事故现场、项目邻近区、受事故影响的区域人员及公众对毒物应急剂量控制规定，撤离组织计划及救护，医疗救护与公众健康</w:t>
            </w:r>
          </w:p>
        </w:tc>
      </w:tr>
      <w:tr w14:paraId="399F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7DC03131">
            <w:pPr>
              <w:pStyle w:val="1535"/>
            </w:pPr>
            <w:r>
              <w:t>9</w:t>
            </w:r>
          </w:p>
        </w:tc>
        <w:tc>
          <w:tcPr>
            <w:tcW w:w="1817" w:type="dxa"/>
            <w:vAlign w:val="center"/>
          </w:tcPr>
          <w:p w14:paraId="512C2CA5">
            <w:pPr>
              <w:pStyle w:val="1535"/>
            </w:pPr>
            <w:r>
              <w:t>事故应急救援关闭程序与恢复措施</w:t>
            </w:r>
          </w:p>
        </w:tc>
        <w:tc>
          <w:tcPr>
            <w:tcW w:w="6914" w:type="dxa"/>
            <w:vAlign w:val="center"/>
          </w:tcPr>
          <w:p w14:paraId="26B99BEC">
            <w:pPr>
              <w:pStyle w:val="1535"/>
            </w:pPr>
            <w:r>
              <w:t>规定应急状态终止程序事故现场善后处理，恢复措施邻近区域解除事故警戒及善后恢复措施</w:t>
            </w:r>
          </w:p>
        </w:tc>
      </w:tr>
      <w:tr w14:paraId="4F63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33741B32">
            <w:pPr>
              <w:pStyle w:val="1535"/>
            </w:pPr>
            <w:r>
              <w:t>10</w:t>
            </w:r>
          </w:p>
        </w:tc>
        <w:tc>
          <w:tcPr>
            <w:tcW w:w="1817" w:type="dxa"/>
            <w:vAlign w:val="center"/>
          </w:tcPr>
          <w:p w14:paraId="08440B5C">
            <w:pPr>
              <w:pStyle w:val="1535"/>
            </w:pPr>
            <w:r>
              <w:t>应急培训计划</w:t>
            </w:r>
          </w:p>
        </w:tc>
        <w:tc>
          <w:tcPr>
            <w:tcW w:w="6914" w:type="dxa"/>
            <w:vAlign w:val="center"/>
          </w:tcPr>
          <w:p w14:paraId="357472C2">
            <w:pPr>
              <w:pStyle w:val="1535"/>
            </w:pPr>
            <w:r>
              <w:t>应急计划制定后，平时安排人员培训与演练</w:t>
            </w:r>
          </w:p>
        </w:tc>
      </w:tr>
      <w:tr w14:paraId="00C7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2ECE2BCD">
            <w:pPr>
              <w:pStyle w:val="1535"/>
            </w:pPr>
            <w:r>
              <w:t>11</w:t>
            </w:r>
          </w:p>
        </w:tc>
        <w:tc>
          <w:tcPr>
            <w:tcW w:w="1817" w:type="dxa"/>
            <w:vAlign w:val="center"/>
          </w:tcPr>
          <w:p w14:paraId="36731E5B">
            <w:pPr>
              <w:pStyle w:val="1535"/>
            </w:pPr>
            <w:r>
              <w:t>公众教育和信息</w:t>
            </w:r>
          </w:p>
        </w:tc>
        <w:tc>
          <w:tcPr>
            <w:tcW w:w="6914" w:type="dxa"/>
            <w:vAlign w:val="center"/>
          </w:tcPr>
          <w:p w14:paraId="79605C73">
            <w:pPr>
              <w:pStyle w:val="1535"/>
            </w:pPr>
            <w:r>
              <w:t>对项目邻近地区开展公众教育、培训和发布有关信息</w:t>
            </w:r>
          </w:p>
        </w:tc>
      </w:tr>
      <w:tr w14:paraId="51EB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07786EDE">
            <w:pPr>
              <w:pStyle w:val="1535"/>
            </w:pPr>
            <w:r>
              <w:t>12</w:t>
            </w:r>
          </w:p>
        </w:tc>
        <w:tc>
          <w:tcPr>
            <w:tcW w:w="1817" w:type="dxa"/>
            <w:vAlign w:val="center"/>
          </w:tcPr>
          <w:p w14:paraId="3241E8A8">
            <w:pPr>
              <w:pStyle w:val="1535"/>
            </w:pPr>
            <w:r>
              <w:t>记录和报告</w:t>
            </w:r>
          </w:p>
        </w:tc>
        <w:tc>
          <w:tcPr>
            <w:tcW w:w="6914" w:type="dxa"/>
            <w:vAlign w:val="center"/>
          </w:tcPr>
          <w:p w14:paraId="2587483E">
            <w:pPr>
              <w:pStyle w:val="1535"/>
            </w:pPr>
            <w:r>
              <w:t>设置环境风险事故应急处置记录，建立档案和报告制度，设专门人员负责管理。</w:t>
            </w:r>
          </w:p>
        </w:tc>
      </w:tr>
      <w:tr w14:paraId="63E6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727" w:type="dxa"/>
            <w:vAlign w:val="center"/>
          </w:tcPr>
          <w:p w14:paraId="465581A4">
            <w:pPr>
              <w:pStyle w:val="1535"/>
            </w:pPr>
            <w:r>
              <w:t>13</w:t>
            </w:r>
          </w:p>
        </w:tc>
        <w:tc>
          <w:tcPr>
            <w:tcW w:w="1817" w:type="dxa"/>
            <w:vAlign w:val="center"/>
          </w:tcPr>
          <w:p w14:paraId="595B440C">
            <w:pPr>
              <w:pStyle w:val="1535"/>
            </w:pPr>
            <w:r>
              <w:t>附件</w:t>
            </w:r>
          </w:p>
        </w:tc>
        <w:tc>
          <w:tcPr>
            <w:tcW w:w="6914" w:type="dxa"/>
            <w:vAlign w:val="center"/>
          </w:tcPr>
          <w:p w14:paraId="1D4E678A">
            <w:pPr>
              <w:pStyle w:val="1535"/>
            </w:pPr>
            <w:r>
              <w:t>拟建主要负责人联系方式、主要医院联系方式、平面布置图纸、基建图、管线布置图、环保、安监和消防部门联系方式。</w:t>
            </w:r>
          </w:p>
        </w:tc>
      </w:tr>
    </w:tbl>
    <w:p w14:paraId="28F3A675">
      <w:pPr>
        <w:ind w:firstLine="520"/>
        <w:rPr>
          <w:color w:val="000000" w:themeColor="text1"/>
          <w14:textFill>
            <w14:solidFill>
              <w14:schemeClr w14:val="tx1"/>
            </w14:solidFill>
          </w14:textFill>
        </w:rPr>
      </w:pPr>
      <w:r>
        <w:rPr>
          <w:color w:val="000000" w:themeColor="text1"/>
          <w14:textFill>
            <w14:solidFill>
              <w14:schemeClr w14:val="tx1"/>
            </w14:solidFill>
          </w14:textFill>
        </w:rPr>
        <w:t>（1）应急组织机构、人员</w:t>
      </w:r>
    </w:p>
    <w:p w14:paraId="26459AB1">
      <w:pPr>
        <w:ind w:firstLine="520"/>
        <w:rPr>
          <w:color w:val="000000" w:themeColor="text1"/>
          <w14:textFill>
            <w14:solidFill>
              <w14:schemeClr w14:val="tx1"/>
            </w14:solidFill>
          </w14:textFill>
        </w:rPr>
      </w:pPr>
      <w:r>
        <w:rPr>
          <w:color w:val="000000" w:themeColor="text1"/>
          <w14:textFill>
            <w14:solidFill>
              <w14:schemeClr w14:val="tx1"/>
            </w14:solidFill>
          </w14:textFill>
        </w:rPr>
        <w:t>应设立事故应急指挥部，指挥由总经理担任。指挥部下按各自职责设立应急防治小组：清污组、通信组、工艺组、警戒组、物资供应组、现场救护组、设备保障组、防火组、污染处理组。</w:t>
      </w:r>
    </w:p>
    <w:p w14:paraId="574C3704">
      <w:pPr>
        <w:ind w:firstLine="520"/>
        <w:rPr>
          <w:color w:val="000000" w:themeColor="text1"/>
          <w14:textFill>
            <w14:solidFill>
              <w14:schemeClr w14:val="tx1"/>
            </w14:solidFill>
          </w14:textFill>
        </w:rPr>
      </w:pPr>
      <w:r>
        <w:rPr>
          <w:color w:val="000000" w:themeColor="text1"/>
          <w14:textFill>
            <w14:solidFill>
              <w14:schemeClr w14:val="tx1"/>
            </w14:solidFill>
          </w14:textFill>
        </w:rPr>
        <w:t>应急指挥部主要职责：组织制定、审批并发布应急预案；组织指挥污染的控制与清除；审核和批准使用清污技术和设备；下达预案实施命令，向上级部门汇报情况，和有关单位保持联系；发生较大规模事故时，做出请求相关部门协助的决策；及时组织消防力量，防止系统爆炸火灾的发生；及时安排人员，进行现场医疗救护；组织培训和演习；安排人员对设备进行维护保养；及时组织应急预案的修订。</w:t>
      </w:r>
    </w:p>
    <w:p w14:paraId="21E76F91">
      <w:pPr>
        <w:ind w:firstLine="520"/>
        <w:rPr>
          <w:color w:val="000000" w:themeColor="text1"/>
          <w14:textFill>
            <w14:solidFill>
              <w14:schemeClr w14:val="tx1"/>
            </w14:solidFill>
          </w14:textFill>
        </w:rPr>
      </w:pPr>
      <w:r>
        <w:rPr>
          <w:color w:val="000000" w:themeColor="text1"/>
          <w14:textFill>
            <w14:solidFill>
              <w14:schemeClr w14:val="tx1"/>
            </w14:solidFill>
          </w14:textFill>
        </w:rPr>
        <w:t>（2）预案分级响应条件</w:t>
      </w:r>
    </w:p>
    <w:p w14:paraId="46AFE2B8">
      <w:pPr>
        <w:ind w:firstLine="520"/>
        <w:rPr>
          <w:color w:val="000000" w:themeColor="text1"/>
          <w14:textFill>
            <w14:solidFill>
              <w14:schemeClr w14:val="tx1"/>
            </w14:solidFill>
          </w14:textFill>
        </w:rPr>
      </w:pPr>
      <w:r>
        <w:rPr>
          <w:color w:val="000000" w:themeColor="text1"/>
          <w14:textFill>
            <w14:solidFill>
              <w14:schemeClr w14:val="tx1"/>
            </w14:solidFill>
          </w14:textFill>
        </w:rPr>
        <w:t>本预案只适用于应急处理泄漏事故，能在短时间内控制、清除污染的设备和能力。</w:t>
      </w:r>
    </w:p>
    <w:p w14:paraId="64998CE6">
      <w:pPr>
        <w:pStyle w:val="6"/>
        <w:rPr>
          <w:color w:val="000000" w:themeColor="text1"/>
          <w14:textFill>
            <w14:solidFill>
              <w14:schemeClr w14:val="tx1"/>
            </w14:solidFill>
          </w14:textFill>
        </w:rPr>
      </w:pPr>
      <w:r>
        <w:rPr>
          <w:color w:val="000000" w:themeColor="text1"/>
          <w14:textFill>
            <w14:solidFill>
              <w14:schemeClr w14:val="tx1"/>
            </w14:solidFill>
          </w14:textFill>
        </w:rPr>
        <w:t>应急防治设备</w:t>
      </w:r>
    </w:p>
    <w:p w14:paraId="71BF4E82">
      <w:pPr>
        <w:ind w:firstLine="520"/>
        <w:rPr>
          <w:color w:val="000000" w:themeColor="text1"/>
          <w14:textFill>
            <w14:solidFill>
              <w14:schemeClr w14:val="tx1"/>
            </w14:solidFill>
          </w14:textFill>
        </w:rPr>
      </w:pPr>
      <w:r>
        <w:rPr>
          <w:color w:val="000000" w:themeColor="text1"/>
          <w14:textFill>
            <w14:solidFill>
              <w14:schemeClr w14:val="tx1"/>
            </w14:solidFill>
          </w14:textFill>
        </w:rPr>
        <w:t>按要求配备必要的防护用具，如防毒面具，氧气呼吸器和其它安全用具，以便发生事故时可及时进入现场，及时处理事故。</w:t>
      </w:r>
    </w:p>
    <w:p w14:paraId="5333D433">
      <w:pPr>
        <w:pStyle w:val="6"/>
        <w:rPr>
          <w:color w:val="000000" w:themeColor="text1"/>
          <w14:textFill>
            <w14:solidFill>
              <w14:schemeClr w14:val="tx1"/>
            </w14:solidFill>
          </w14:textFill>
        </w:rPr>
      </w:pPr>
      <w:r>
        <w:rPr>
          <w:color w:val="000000" w:themeColor="text1"/>
          <w14:textFill>
            <w14:solidFill>
              <w14:schemeClr w14:val="tx1"/>
            </w14:solidFill>
          </w14:textFill>
        </w:rPr>
        <w:t>报警、通讯联络方式</w:t>
      </w:r>
    </w:p>
    <w:p w14:paraId="066095DA">
      <w:pPr>
        <w:ind w:firstLine="520"/>
        <w:rPr>
          <w:color w:val="000000" w:themeColor="text1"/>
          <w14:textFill>
            <w14:solidFill>
              <w14:schemeClr w14:val="tx1"/>
            </w14:solidFill>
          </w14:textFill>
        </w:rPr>
      </w:pPr>
      <w:r>
        <w:rPr>
          <w:color w:val="000000" w:themeColor="text1"/>
          <w14:textFill>
            <w14:solidFill>
              <w14:schemeClr w14:val="tx1"/>
            </w14:solidFill>
          </w14:textFill>
        </w:rPr>
        <w:t>项目应制定应急联系体系，明确具体联系人员、联系电话。任何部门和岗位人员，发现事故应立即向应急指挥部报告。现场的组织指挥人员应将详细情况及时向应急指挥部报告。当发生大规模事故时，应急指挥部应及时将事故情况向上级有关部门和当地</w:t>
      </w:r>
      <w:r>
        <w:rPr>
          <w:rFonts w:hint="eastAsia"/>
          <w:color w:val="000000" w:themeColor="text1"/>
          <w14:textFill>
            <w14:solidFill>
              <w14:schemeClr w14:val="tx1"/>
            </w14:solidFill>
          </w14:textFill>
        </w:rPr>
        <w:t>生态环境主管部门</w:t>
      </w:r>
      <w:r>
        <w:rPr>
          <w:color w:val="000000" w:themeColor="text1"/>
          <w14:textFill>
            <w14:solidFill>
              <w14:schemeClr w14:val="tx1"/>
            </w14:solidFill>
          </w14:textFill>
        </w:rPr>
        <w:t>报告或通报。</w:t>
      </w:r>
    </w:p>
    <w:p w14:paraId="42618032">
      <w:pPr>
        <w:pStyle w:val="6"/>
        <w:rPr>
          <w:color w:val="000000" w:themeColor="text1"/>
          <w14:textFill>
            <w14:solidFill>
              <w14:schemeClr w14:val="tx1"/>
            </w14:solidFill>
          </w14:textFill>
        </w:rPr>
      </w:pPr>
      <w:r>
        <w:rPr>
          <w:color w:val="000000" w:themeColor="text1"/>
          <w14:textFill>
            <w14:solidFill>
              <w14:schemeClr w14:val="tx1"/>
            </w14:solidFill>
          </w14:textFill>
        </w:rPr>
        <w:t>应急反应行动程序</w:t>
      </w:r>
    </w:p>
    <w:p w14:paraId="317FDA41">
      <w:pPr>
        <w:ind w:firstLine="520"/>
        <w:rPr>
          <w:color w:val="000000" w:themeColor="text1"/>
          <w14:textFill>
            <w14:solidFill>
              <w14:schemeClr w14:val="tx1"/>
            </w14:solidFill>
          </w14:textFill>
        </w:rPr>
      </w:pPr>
      <w:r>
        <w:rPr>
          <w:color w:val="000000" w:themeColor="text1"/>
          <w14:textFill>
            <w14:solidFill>
              <w14:schemeClr w14:val="tx1"/>
            </w14:solidFill>
          </w14:textFill>
        </w:rPr>
        <w:t>收集必要信息：目击时间、位置、泄漏源、泄漏原因、数量以及进一步泄漏的可能性，已采取和即将采取的清除污染或防止进一步污染的行动、报告人的姓名和联系办法。对事故进行初步评估，确定应急等级；制定应急反应对策和行动方案（包括信息发布和区域协作等）；指派指挥人员赴现场；通知各防治小组做好准备。</w:t>
      </w:r>
    </w:p>
    <w:p w14:paraId="10E4AC29">
      <w:pPr>
        <w:ind w:firstLine="520"/>
        <w:rPr>
          <w:color w:val="000000" w:themeColor="text1"/>
          <w14:textFill>
            <w14:solidFill>
              <w14:schemeClr w14:val="tx1"/>
            </w14:solidFill>
          </w14:textFill>
        </w:rPr>
      </w:pPr>
      <w:r>
        <w:rPr>
          <w:color w:val="000000" w:themeColor="text1"/>
          <w14:textFill>
            <w14:solidFill>
              <w14:schemeClr w14:val="tx1"/>
            </w14:solidFill>
          </w14:textFill>
        </w:rPr>
        <w:t>采取的行动：发出事故报警或紧急通报，用电话和传真通知有关政府部门和企业；向上级或有关部门报告；起草泄漏影响范围情况报告；安排后勤保障；估计事故扩散流动方向；判别受威胁的敏感水域；通知可能受威胁的用水单位。</w:t>
      </w:r>
    </w:p>
    <w:p w14:paraId="2FAD4B61">
      <w:pPr>
        <w:ind w:firstLine="520"/>
        <w:rPr>
          <w:color w:val="000000" w:themeColor="text1"/>
          <w14:textFill>
            <w14:solidFill>
              <w14:schemeClr w14:val="tx1"/>
            </w14:solidFill>
          </w14:textFill>
        </w:rPr>
      </w:pPr>
      <w:r>
        <w:rPr>
          <w:color w:val="000000" w:themeColor="text1"/>
          <w14:textFill>
            <w14:solidFill>
              <w14:schemeClr w14:val="tx1"/>
            </w14:solidFill>
          </w14:textFill>
        </w:rPr>
        <w:t>执行清除作业；指定人员做好相关记录；适时发布终止作业的命令和解除警报。</w:t>
      </w:r>
    </w:p>
    <w:p w14:paraId="2631A1B4">
      <w:pPr>
        <w:pStyle w:val="6"/>
        <w:rPr>
          <w:color w:val="000000" w:themeColor="text1"/>
          <w14:textFill>
            <w14:solidFill>
              <w14:schemeClr w14:val="tx1"/>
            </w14:solidFill>
          </w14:textFill>
        </w:rPr>
      </w:pPr>
      <w:r>
        <w:rPr>
          <w:color w:val="000000" w:themeColor="text1"/>
          <w14:textFill>
            <w14:solidFill>
              <w14:schemeClr w14:val="tx1"/>
            </w14:solidFill>
          </w14:textFill>
        </w:rPr>
        <w:t>应急关闭程序</w:t>
      </w:r>
    </w:p>
    <w:p w14:paraId="59154B95">
      <w:pPr>
        <w:ind w:firstLine="520"/>
        <w:rPr>
          <w:color w:val="000000" w:themeColor="text1"/>
          <w14:textFill>
            <w14:solidFill>
              <w14:schemeClr w14:val="tx1"/>
            </w14:solidFill>
          </w14:textFill>
        </w:rPr>
      </w:pPr>
      <w:r>
        <w:rPr>
          <w:color w:val="000000" w:themeColor="text1"/>
          <w14:textFill>
            <w14:solidFill>
              <w14:schemeClr w14:val="tx1"/>
            </w14:solidFill>
          </w14:textFill>
        </w:rPr>
        <w:t>符合下列条件之一的，终止应急行动：事件现场得到控制，事件条件已经消除；污染源的泄漏或释放已降至规定限值以内；事件所造成的危害已被彻底消除，无续发可能；事件现场的各种专业应急处置行动已无继续的必要；采取了必要的防护措施已能保证公众免受再次危害，并使事件可能引起的中长期影响趋于合理且尽量低的水平。</w:t>
      </w:r>
    </w:p>
    <w:p w14:paraId="21018120">
      <w:pPr>
        <w:pStyle w:val="6"/>
        <w:rPr>
          <w:color w:val="000000" w:themeColor="text1"/>
          <w14:textFill>
            <w14:solidFill>
              <w14:schemeClr w14:val="tx1"/>
            </w14:solidFill>
          </w14:textFill>
        </w:rPr>
      </w:pPr>
      <w:r>
        <w:rPr>
          <w:color w:val="000000" w:themeColor="text1"/>
          <w14:textFill>
            <w14:solidFill>
              <w14:schemeClr w14:val="tx1"/>
            </w14:solidFill>
          </w14:textFill>
        </w:rPr>
        <w:t>应急培训计划</w:t>
      </w:r>
    </w:p>
    <w:p w14:paraId="51C374FA">
      <w:pPr>
        <w:ind w:firstLine="520"/>
        <w:rPr>
          <w:color w:val="000000" w:themeColor="text1"/>
          <w14:textFill>
            <w14:solidFill>
              <w14:schemeClr w14:val="tx1"/>
            </w14:solidFill>
          </w14:textFill>
        </w:rPr>
      </w:pPr>
      <w:r>
        <w:rPr>
          <w:color w:val="000000" w:themeColor="text1"/>
          <w14:textFill>
            <w14:solidFill>
              <w14:schemeClr w14:val="tx1"/>
            </w14:solidFill>
          </w14:textFill>
        </w:rPr>
        <w:t>为了确保应急计划的有效性和可操作性，必须预先对计划中所涉及的人员、设备器材进行训练和护保养，使参加应急行动的每人都能做到应知应会、熟练掌握。</w:t>
      </w:r>
    </w:p>
    <w:p w14:paraId="526B782E">
      <w:pPr>
        <w:ind w:firstLine="520"/>
        <w:rPr>
          <w:color w:val="000000" w:themeColor="text1"/>
          <w14:textFill>
            <w14:solidFill>
              <w14:schemeClr w14:val="tx1"/>
            </w14:solidFill>
          </w14:textFill>
        </w:rPr>
      </w:pPr>
      <w:r>
        <w:rPr>
          <w:color w:val="000000" w:themeColor="text1"/>
          <w14:textFill>
            <w14:solidFill>
              <w14:schemeClr w14:val="tx1"/>
            </w14:solidFill>
          </w14:textFill>
        </w:rPr>
        <w:t>每年定期组织应急人员培训，使受培训人员能掌握使用和维护、保养各种应急设备和器材，并具有在指挥人员指导下完成应急反应的能力。</w:t>
      </w:r>
    </w:p>
    <w:p w14:paraId="7FEE62FC">
      <w:pPr>
        <w:ind w:firstLine="520"/>
        <w:rPr>
          <w:color w:val="000000" w:themeColor="text1"/>
          <w14:textFill>
            <w14:solidFill>
              <w14:schemeClr w14:val="tx1"/>
            </w14:solidFill>
          </w14:textFill>
        </w:rPr>
      </w:pPr>
      <w:r>
        <w:rPr>
          <w:color w:val="000000" w:themeColor="text1"/>
          <w14:textFill>
            <w14:solidFill>
              <w14:schemeClr w14:val="tx1"/>
            </w14:solidFill>
          </w14:textFill>
        </w:rPr>
        <w:t>每半年~一年进行一次应急演习，在模拟的事故状态下，检查应急机构，应急队伍，应急设备和器材，应急通讯等各方面的实战船能力。通过演习，发现工作中薄弱环节，并修改、完善应急计划。演习分室内演习和现场实地模拟事故演习。</w:t>
      </w:r>
    </w:p>
    <w:p w14:paraId="77585B6C">
      <w:pPr>
        <w:pStyle w:val="5"/>
        <w:rPr>
          <w:color w:val="000000" w:themeColor="text1"/>
          <w14:textFill>
            <w14:solidFill>
              <w14:schemeClr w14:val="tx1"/>
            </w14:solidFill>
          </w14:textFill>
        </w:rPr>
      </w:pPr>
      <w:r>
        <w:rPr>
          <w:color w:val="000000" w:themeColor="text1"/>
          <w14:textFill>
            <w14:solidFill>
              <w14:schemeClr w14:val="tx1"/>
            </w14:solidFill>
          </w14:textFill>
        </w:rPr>
        <w:t>应急预案与园区联动机制</w:t>
      </w:r>
    </w:p>
    <w:p w14:paraId="13B8446F">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扩建项目风险防范应急预案应与园区实现衔接和联动，具体措施如下：</w:t>
      </w:r>
    </w:p>
    <w:p w14:paraId="1F261617">
      <w:pPr>
        <w:ind w:firstLine="520"/>
        <w:rPr>
          <w:color w:val="000000" w:themeColor="text1"/>
          <w14:textFill>
            <w14:solidFill>
              <w14:schemeClr w14:val="tx1"/>
            </w14:solidFill>
          </w14:textFill>
        </w:rPr>
      </w:pPr>
      <w:r>
        <w:rPr>
          <w:color w:val="000000" w:themeColor="text1"/>
          <w14:textFill>
            <w14:solidFill>
              <w14:schemeClr w14:val="tx1"/>
            </w14:solidFill>
          </w14:textFill>
        </w:rPr>
        <w:t>应急响应：应急预案体系的应急处置实行“分级管理、分级响应”的原则，当环境污染事件发生时，启动企业应急预案，负责事故灾难现场先期应急救援组织指挥。事件扩大到一定程度，拟建企业无法独立解决时，及时上报园区，现场指挥权从厂区应急救援指挥领导小组移交至园区应急救援指挥部，并启动园区应急预案。当园区无法独立解决时，应逐层上报并自动移交现场指挥权。</w:t>
      </w:r>
    </w:p>
    <w:p w14:paraId="132A39F0">
      <w:pPr>
        <w:ind w:firstLine="520"/>
        <w:rPr>
          <w:color w:val="000000" w:themeColor="text1"/>
          <w14:textFill>
            <w14:solidFill>
              <w14:schemeClr w14:val="tx1"/>
            </w14:solidFill>
          </w14:textFill>
        </w:rPr>
      </w:pPr>
      <w:r>
        <w:rPr>
          <w:color w:val="000000" w:themeColor="text1"/>
          <w14:textFill>
            <w14:solidFill>
              <w14:schemeClr w14:val="tx1"/>
            </w14:solidFill>
          </w14:textFill>
        </w:rPr>
        <w:t>应急演习：项目的应急救援队伍与园区内其它企业各自的应急救援队伍组成应急救援体系。根据项目自身情况，由企业指挥领导小组每年至少组织一次模拟演练。对工厂应急救援的信息系统、通讯能力定期进行评价，每年至少进行一次，以提高工厂的应急通讯能力。</w:t>
      </w:r>
    </w:p>
    <w:p w14:paraId="55FD6DE6">
      <w:pPr>
        <w:ind w:firstLine="520"/>
        <w:rPr>
          <w:color w:val="000000" w:themeColor="text1"/>
          <w14:textFill>
            <w14:solidFill>
              <w14:schemeClr w14:val="tx1"/>
            </w14:solidFill>
          </w14:textFill>
        </w:rPr>
      </w:pPr>
      <w:r>
        <w:rPr>
          <w:color w:val="000000" w:themeColor="text1"/>
          <w14:textFill>
            <w14:solidFill>
              <w14:schemeClr w14:val="tx1"/>
            </w14:solidFill>
          </w14:textFill>
        </w:rPr>
        <w:t>根据《重庆西彭工业园区规划环境影响报告书》，西彭工业园区应按照“装置级—企业级—园区级”分别设置对应的风险防范措施的原则，形成三级风险防范体系，防止事故污水向外环境转移。</w:t>
      </w:r>
    </w:p>
    <w:p w14:paraId="766DF5DB">
      <w:pPr>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000000" w:themeColor="text1"/>
          <w14:textFill>
            <w14:solidFill>
              <w14:schemeClr w14:val="tx1"/>
            </w14:solidFill>
          </w14:textFill>
        </w:rPr>
        <w:t>一级防范体系（装置级）</w:t>
      </w:r>
    </w:p>
    <w:p w14:paraId="737DC293">
      <w:pPr>
        <w:ind w:firstLine="520"/>
        <w:rPr>
          <w:color w:val="000000" w:themeColor="text1"/>
          <w14:textFill>
            <w14:solidFill>
              <w14:schemeClr w14:val="tx1"/>
            </w14:solidFill>
          </w14:textFill>
        </w:rPr>
      </w:pPr>
      <w:r>
        <w:rPr>
          <w:color w:val="000000" w:themeColor="text1"/>
          <w14:textFill>
            <w14:solidFill>
              <w14:schemeClr w14:val="tx1"/>
            </w14:solidFill>
          </w14:textFill>
        </w:rPr>
        <w:t>涉及危险品生产装置应在装置区周围设置围堰及导流设施；涉及危险品的储存区或罐区，应设置围堤或隔堤。围堰、围堤的设置按《石油化工企业设计防火规范》等规定进行。挥发性较强的液体或者气态有毒有害物质，应在装置区按《石油化工企业可燃气体和有毒气体检测报警设计规范》等规范设置可燃气体检测报警系统、有毒有害气体检测报警系统；同时，按照《事故状态下水体污染的预防与控制技术要求》等，在装置区或者罐区设置水雾或者稀碱喷洒设施等，风险事故一旦发生，可有效降低风险物质对外环境的影响。</w:t>
      </w:r>
    </w:p>
    <w:p w14:paraId="3A9E7086">
      <w:pPr>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color w:val="000000" w:themeColor="text1"/>
          <w14:textFill>
            <w14:solidFill>
              <w14:schemeClr w14:val="tx1"/>
            </w14:solidFill>
          </w14:textFill>
        </w:rPr>
        <w:t>二级防范体系（企业级）</w:t>
      </w:r>
    </w:p>
    <w:p w14:paraId="6B4F868A">
      <w:pPr>
        <w:ind w:firstLine="520"/>
        <w:rPr>
          <w:color w:val="000000" w:themeColor="text1"/>
          <w14:textFill>
            <w14:solidFill>
              <w14:schemeClr w14:val="tx1"/>
            </w14:solidFill>
          </w14:textFill>
        </w:rPr>
      </w:pPr>
      <w:r>
        <w:rPr>
          <w:color w:val="000000" w:themeColor="text1"/>
          <w14:textFill>
            <w14:solidFill>
              <w14:schemeClr w14:val="tx1"/>
            </w14:solidFill>
          </w14:textFill>
        </w:rPr>
        <w:t>围堰、围堤或隔堤外应设置转换阀门，转换阀门分别接企业事故池以及园区雨水管网。正常情况下，转换阀门接企业事故池，发生装置区围堰或者罐区围堤无法完全收集事故水时，事故水可自流进企业事故池。</w:t>
      </w:r>
    </w:p>
    <w:p w14:paraId="64E94F5F">
      <w:pPr>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三级防范体系（园区级）</w:t>
      </w:r>
    </w:p>
    <w:p w14:paraId="6596D76F">
      <w:pPr>
        <w:ind w:firstLine="520"/>
        <w:rPr>
          <w:color w:val="000000" w:themeColor="text1"/>
          <w14:textFill>
            <w14:solidFill>
              <w14:schemeClr w14:val="tx1"/>
            </w14:solidFill>
          </w14:textFill>
        </w:rPr>
      </w:pPr>
      <w:r>
        <w:rPr>
          <w:color w:val="000000" w:themeColor="text1"/>
          <w14:textFill>
            <w14:solidFill>
              <w14:schemeClr w14:val="tx1"/>
            </w14:solidFill>
          </w14:textFill>
        </w:rPr>
        <w:t>根据现状调查，西彭工业园区工业污水处理厂尚未建设事故应急池，污水处理厂开展扩建工程时应配套完善事故池建设，保证园区污水处理设备发生故障时，应立即关闭污水处理厂各废水处理系统入口闸门，进口水经溢流井排入事故池中，正常运行后，通过潜污泵将废水抽回调节池。</w:t>
      </w:r>
    </w:p>
    <w:p w14:paraId="66D3BB0D">
      <w:pPr>
        <w:ind w:firstLine="520"/>
        <w:rPr>
          <w:color w:val="000000" w:themeColor="text1"/>
          <w14:textFill>
            <w14:solidFill>
              <w14:schemeClr w14:val="tx1"/>
            </w14:solidFill>
          </w14:textFill>
        </w:rPr>
      </w:pPr>
      <w:r>
        <w:rPr>
          <w:color w:val="000000" w:themeColor="text1"/>
          <w14:textFill>
            <w14:solidFill>
              <w14:schemeClr w14:val="tx1"/>
            </w14:solidFill>
          </w14:textFill>
        </w:rPr>
        <w:t>项目不涉及危化品的生产，化学品库应设置截流沟和收集井，收集井大小不低于25L，确保单桶泄露事故状态下可全部收集不外流。</w:t>
      </w:r>
    </w:p>
    <w:p w14:paraId="63BBD9FB">
      <w:pPr>
        <w:pStyle w:val="5"/>
        <w:rPr>
          <w:color w:val="000000" w:themeColor="text1"/>
          <w14:textFill>
            <w14:solidFill>
              <w14:schemeClr w14:val="tx1"/>
            </w14:solidFill>
          </w14:textFill>
        </w:rPr>
      </w:pPr>
      <w:bookmarkStart w:id="345" w:name="_Toc3367"/>
      <w:r>
        <w:rPr>
          <w:color w:val="000000" w:themeColor="text1"/>
          <w14:textFill>
            <w14:solidFill>
              <w14:schemeClr w14:val="tx1"/>
            </w14:solidFill>
          </w14:textFill>
        </w:rPr>
        <w:t>环境风险应急物资储备</w:t>
      </w:r>
    </w:p>
    <w:p w14:paraId="38A6607B">
      <w:pPr>
        <w:ind w:firstLine="520"/>
        <w:rPr>
          <w:color w:val="000000" w:themeColor="text1"/>
          <w14:textFill>
            <w14:solidFill>
              <w14:schemeClr w14:val="tx1"/>
            </w14:solidFill>
          </w14:textFill>
        </w:rPr>
      </w:pPr>
      <w:r>
        <w:rPr>
          <w:color w:val="000000" w:themeColor="text1"/>
          <w14:textFill>
            <w14:solidFill>
              <w14:schemeClr w14:val="tx1"/>
            </w14:solidFill>
          </w14:textFill>
        </w:rPr>
        <w:t>结合《环境应急资源调查指南（试行）》（环办应急[2019]17号）中的要求，参照《危险化学品单位应急物资配备要求》（GB30077-2013），本次评价提出应急物资储备建议清单，最终以公司修订的突发环境事件风险评估为准。</w:t>
      </w:r>
    </w:p>
    <w:p w14:paraId="61D0108B">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7.7</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环境应急物资储备建议清单</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2800"/>
        <w:gridCol w:w="978"/>
        <w:gridCol w:w="881"/>
        <w:gridCol w:w="1700"/>
        <w:gridCol w:w="2273"/>
      </w:tblGrid>
      <w:tr w14:paraId="7033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tcBorders>
              <w:top w:val="single" w:color="auto" w:sz="4" w:space="0"/>
              <w:left w:val="single" w:color="auto" w:sz="4" w:space="0"/>
              <w:bottom w:val="single" w:color="auto" w:sz="4" w:space="0"/>
              <w:right w:val="single" w:color="auto" w:sz="4" w:space="0"/>
            </w:tcBorders>
            <w:vAlign w:val="center"/>
          </w:tcPr>
          <w:p w14:paraId="061797BD">
            <w:pPr>
              <w:pStyle w:val="1535"/>
            </w:pPr>
            <w:r>
              <w:t>序号</w:t>
            </w:r>
          </w:p>
        </w:tc>
        <w:tc>
          <w:tcPr>
            <w:tcW w:w="1481" w:type="pct"/>
            <w:tcBorders>
              <w:top w:val="single" w:color="auto" w:sz="4" w:space="0"/>
              <w:left w:val="nil"/>
              <w:bottom w:val="single" w:color="auto" w:sz="4" w:space="0"/>
              <w:right w:val="single" w:color="auto" w:sz="4" w:space="0"/>
            </w:tcBorders>
            <w:vAlign w:val="center"/>
          </w:tcPr>
          <w:p w14:paraId="5224EF12">
            <w:pPr>
              <w:pStyle w:val="1535"/>
            </w:pPr>
            <w:r>
              <w:t>名称</w:t>
            </w:r>
          </w:p>
        </w:tc>
        <w:tc>
          <w:tcPr>
            <w:tcW w:w="517" w:type="pct"/>
            <w:tcBorders>
              <w:top w:val="single" w:color="auto" w:sz="4" w:space="0"/>
              <w:left w:val="nil"/>
              <w:bottom w:val="single" w:color="auto" w:sz="4" w:space="0"/>
              <w:right w:val="single" w:color="auto" w:sz="4" w:space="0"/>
            </w:tcBorders>
            <w:vAlign w:val="center"/>
          </w:tcPr>
          <w:p w14:paraId="6DF47554">
            <w:pPr>
              <w:pStyle w:val="1535"/>
            </w:pPr>
            <w:r>
              <w:t>数量</w:t>
            </w:r>
          </w:p>
        </w:tc>
        <w:tc>
          <w:tcPr>
            <w:tcW w:w="466" w:type="pct"/>
            <w:tcBorders>
              <w:top w:val="single" w:color="auto" w:sz="4" w:space="0"/>
              <w:left w:val="nil"/>
              <w:bottom w:val="single" w:color="auto" w:sz="4" w:space="0"/>
              <w:right w:val="single" w:color="auto" w:sz="4" w:space="0"/>
            </w:tcBorders>
            <w:vAlign w:val="center"/>
          </w:tcPr>
          <w:p w14:paraId="56461804">
            <w:pPr>
              <w:pStyle w:val="1535"/>
            </w:pPr>
            <w:r>
              <w:t>单位</w:t>
            </w:r>
          </w:p>
        </w:tc>
        <w:tc>
          <w:tcPr>
            <w:tcW w:w="899" w:type="pct"/>
            <w:tcBorders>
              <w:top w:val="single" w:color="auto" w:sz="4" w:space="0"/>
              <w:left w:val="nil"/>
              <w:bottom w:val="single" w:color="auto" w:sz="4" w:space="0"/>
              <w:right w:val="single" w:color="auto" w:sz="4" w:space="0"/>
            </w:tcBorders>
            <w:vAlign w:val="center"/>
          </w:tcPr>
          <w:p w14:paraId="5A143F12">
            <w:pPr>
              <w:pStyle w:val="1535"/>
            </w:pPr>
            <w:r>
              <w:t>用途</w:t>
            </w:r>
          </w:p>
        </w:tc>
        <w:tc>
          <w:tcPr>
            <w:tcW w:w="1202" w:type="pct"/>
            <w:tcBorders>
              <w:top w:val="single" w:color="auto" w:sz="4" w:space="0"/>
              <w:left w:val="nil"/>
              <w:bottom w:val="single" w:color="auto" w:sz="4" w:space="0"/>
              <w:right w:val="single" w:color="auto" w:sz="4" w:space="0"/>
            </w:tcBorders>
            <w:vAlign w:val="center"/>
          </w:tcPr>
          <w:p w14:paraId="55C48BC6">
            <w:pPr>
              <w:pStyle w:val="1535"/>
            </w:pPr>
            <w:r>
              <w:t>贮备地点</w:t>
            </w:r>
          </w:p>
        </w:tc>
      </w:tr>
      <w:tr w14:paraId="2C70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73E86198">
            <w:pPr>
              <w:pStyle w:val="1535"/>
            </w:pPr>
            <w:r>
              <w:t>1</w:t>
            </w:r>
          </w:p>
        </w:tc>
        <w:tc>
          <w:tcPr>
            <w:tcW w:w="1481" w:type="pct"/>
            <w:tcBorders>
              <w:top w:val="single" w:color="auto" w:sz="4" w:space="0"/>
              <w:left w:val="nil"/>
              <w:bottom w:val="single" w:color="auto" w:sz="4" w:space="0"/>
              <w:right w:val="single" w:color="auto" w:sz="4" w:space="0"/>
            </w:tcBorders>
            <w:vAlign w:val="center"/>
          </w:tcPr>
          <w:p w14:paraId="34F4ED58">
            <w:pPr>
              <w:pStyle w:val="1535"/>
            </w:pPr>
            <w:r>
              <w:t>橡胶手套</w:t>
            </w:r>
          </w:p>
        </w:tc>
        <w:tc>
          <w:tcPr>
            <w:tcW w:w="517" w:type="pct"/>
            <w:tcBorders>
              <w:top w:val="single" w:color="auto" w:sz="4" w:space="0"/>
              <w:left w:val="nil"/>
              <w:bottom w:val="single" w:color="auto" w:sz="4" w:space="0"/>
              <w:right w:val="single" w:color="auto" w:sz="4" w:space="0"/>
            </w:tcBorders>
            <w:vAlign w:val="center"/>
          </w:tcPr>
          <w:p w14:paraId="33421CD1">
            <w:pPr>
              <w:pStyle w:val="1535"/>
            </w:pPr>
            <w:r>
              <w:t>4</w:t>
            </w:r>
          </w:p>
        </w:tc>
        <w:tc>
          <w:tcPr>
            <w:tcW w:w="466" w:type="pct"/>
            <w:tcBorders>
              <w:top w:val="single" w:color="auto" w:sz="4" w:space="0"/>
              <w:left w:val="nil"/>
              <w:bottom w:val="single" w:color="auto" w:sz="4" w:space="0"/>
              <w:right w:val="single" w:color="auto" w:sz="4" w:space="0"/>
            </w:tcBorders>
            <w:vAlign w:val="center"/>
          </w:tcPr>
          <w:p w14:paraId="0A583B39">
            <w:pPr>
              <w:pStyle w:val="1535"/>
            </w:pPr>
            <w:r>
              <w:t>双</w:t>
            </w:r>
          </w:p>
        </w:tc>
        <w:tc>
          <w:tcPr>
            <w:tcW w:w="899" w:type="pct"/>
            <w:tcBorders>
              <w:top w:val="single" w:color="auto" w:sz="4" w:space="0"/>
              <w:left w:val="nil"/>
              <w:bottom w:val="single" w:color="auto" w:sz="4" w:space="0"/>
              <w:right w:val="single" w:color="auto" w:sz="4" w:space="0"/>
            </w:tcBorders>
            <w:vAlign w:val="center"/>
          </w:tcPr>
          <w:p w14:paraId="75E49D25">
            <w:pPr>
              <w:pStyle w:val="1535"/>
            </w:pPr>
            <w:r>
              <w:t>劳保、防护</w:t>
            </w:r>
          </w:p>
        </w:tc>
        <w:tc>
          <w:tcPr>
            <w:tcW w:w="1202" w:type="pct"/>
            <w:vMerge w:val="restart"/>
            <w:tcBorders>
              <w:top w:val="single" w:color="auto" w:sz="4" w:space="0"/>
              <w:left w:val="nil"/>
              <w:right w:val="single" w:color="auto" w:sz="4" w:space="0"/>
            </w:tcBorders>
            <w:vAlign w:val="center"/>
          </w:tcPr>
          <w:p w14:paraId="5E6D916C">
            <w:pPr>
              <w:pStyle w:val="1535"/>
            </w:pPr>
            <w:r>
              <w:t>污水处理站</w:t>
            </w:r>
          </w:p>
        </w:tc>
      </w:tr>
      <w:tr w14:paraId="6110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7AE34A1F">
            <w:pPr>
              <w:pStyle w:val="1535"/>
            </w:pPr>
            <w:r>
              <w:t>2</w:t>
            </w:r>
          </w:p>
        </w:tc>
        <w:tc>
          <w:tcPr>
            <w:tcW w:w="1481" w:type="pct"/>
            <w:tcBorders>
              <w:top w:val="single" w:color="auto" w:sz="4" w:space="0"/>
              <w:left w:val="nil"/>
              <w:bottom w:val="single" w:color="auto" w:sz="4" w:space="0"/>
              <w:right w:val="single" w:color="auto" w:sz="4" w:space="0"/>
            </w:tcBorders>
            <w:vAlign w:val="center"/>
          </w:tcPr>
          <w:p w14:paraId="7C9F921A">
            <w:pPr>
              <w:pStyle w:val="1535"/>
            </w:pPr>
            <w:r>
              <w:t>潜水泵</w:t>
            </w:r>
          </w:p>
        </w:tc>
        <w:tc>
          <w:tcPr>
            <w:tcW w:w="517" w:type="pct"/>
            <w:tcBorders>
              <w:top w:val="single" w:color="auto" w:sz="4" w:space="0"/>
              <w:left w:val="nil"/>
              <w:bottom w:val="single" w:color="auto" w:sz="4" w:space="0"/>
              <w:right w:val="single" w:color="auto" w:sz="4" w:space="0"/>
            </w:tcBorders>
            <w:vAlign w:val="center"/>
          </w:tcPr>
          <w:p w14:paraId="10B4DF9E">
            <w:pPr>
              <w:pStyle w:val="1535"/>
            </w:pPr>
            <w:r>
              <w:t>1</w:t>
            </w:r>
          </w:p>
        </w:tc>
        <w:tc>
          <w:tcPr>
            <w:tcW w:w="466" w:type="pct"/>
            <w:tcBorders>
              <w:top w:val="single" w:color="auto" w:sz="4" w:space="0"/>
              <w:left w:val="nil"/>
              <w:bottom w:val="single" w:color="auto" w:sz="4" w:space="0"/>
              <w:right w:val="single" w:color="auto" w:sz="4" w:space="0"/>
            </w:tcBorders>
            <w:vAlign w:val="center"/>
          </w:tcPr>
          <w:p w14:paraId="05F360BB">
            <w:pPr>
              <w:pStyle w:val="1535"/>
            </w:pPr>
            <w:r>
              <w:t>个</w:t>
            </w:r>
          </w:p>
        </w:tc>
        <w:tc>
          <w:tcPr>
            <w:tcW w:w="899" w:type="pct"/>
            <w:tcBorders>
              <w:top w:val="single" w:color="auto" w:sz="4" w:space="0"/>
              <w:left w:val="nil"/>
              <w:bottom w:val="single" w:color="auto" w:sz="4" w:space="0"/>
              <w:right w:val="single" w:color="auto" w:sz="4" w:space="0"/>
            </w:tcBorders>
            <w:vAlign w:val="center"/>
          </w:tcPr>
          <w:p w14:paraId="64D29F7A">
            <w:pPr>
              <w:pStyle w:val="1535"/>
            </w:pPr>
            <w:r>
              <w:t>应急抽水</w:t>
            </w:r>
          </w:p>
        </w:tc>
        <w:tc>
          <w:tcPr>
            <w:tcW w:w="1202" w:type="pct"/>
            <w:vMerge w:val="continue"/>
            <w:tcBorders>
              <w:left w:val="nil"/>
              <w:right w:val="single" w:color="auto" w:sz="4" w:space="0"/>
            </w:tcBorders>
            <w:vAlign w:val="center"/>
          </w:tcPr>
          <w:p w14:paraId="7F3CF856">
            <w:pPr>
              <w:pStyle w:val="1535"/>
            </w:pPr>
          </w:p>
        </w:tc>
      </w:tr>
      <w:tr w14:paraId="4D4E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3ED4A33A">
            <w:pPr>
              <w:pStyle w:val="1535"/>
            </w:pPr>
            <w:r>
              <w:t>3</w:t>
            </w:r>
          </w:p>
        </w:tc>
        <w:tc>
          <w:tcPr>
            <w:tcW w:w="1481" w:type="pct"/>
            <w:tcBorders>
              <w:top w:val="single" w:color="auto" w:sz="4" w:space="0"/>
              <w:left w:val="nil"/>
              <w:bottom w:val="single" w:color="auto" w:sz="4" w:space="0"/>
              <w:right w:val="single" w:color="auto" w:sz="4" w:space="0"/>
            </w:tcBorders>
            <w:vAlign w:val="center"/>
          </w:tcPr>
          <w:p w14:paraId="7E86B10C">
            <w:pPr>
              <w:pStyle w:val="1535"/>
            </w:pPr>
            <w:r>
              <w:t>水鞋</w:t>
            </w:r>
          </w:p>
        </w:tc>
        <w:tc>
          <w:tcPr>
            <w:tcW w:w="517" w:type="pct"/>
            <w:tcBorders>
              <w:top w:val="single" w:color="auto" w:sz="4" w:space="0"/>
              <w:left w:val="nil"/>
              <w:bottom w:val="single" w:color="auto" w:sz="4" w:space="0"/>
              <w:right w:val="single" w:color="auto" w:sz="4" w:space="0"/>
            </w:tcBorders>
            <w:vAlign w:val="center"/>
          </w:tcPr>
          <w:p w14:paraId="1043166B">
            <w:pPr>
              <w:pStyle w:val="1535"/>
            </w:pPr>
            <w:r>
              <w:t>4</w:t>
            </w:r>
          </w:p>
        </w:tc>
        <w:tc>
          <w:tcPr>
            <w:tcW w:w="466" w:type="pct"/>
            <w:tcBorders>
              <w:top w:val="single" w:color="auto" w:sz="4" w:space="0"/>
              <w:left w:val="nil"/>
              <w:bottom w:val="single" w:color="auto" w:sz="4" w:space="0"/>
              <w:right w:val="single" w:color="auto" w:sz="4" w:space="0"/>
            </w:tcBorders>
            <w:vAlign w:val="center"/>
          </w:tcPr>
          <w:p w14:paraId="78BFC07D">
            <w:pPr>
              <w:pStyle w:val="1535"/>
            </w:pPr>
            <w:r>
              <w:t>双</w:t>
            </w:r>
          </w:p>
        </w:tc>
        <w:tc>
          <w:tcPr>
            <w:tcW w:w="899" w:type="pct"/>
            <w:tcBorders>
              <w:top w:val="single" w:color="auto" w:sz="4" w:space="0"/>
              <w:left w:val="nil"/>
              <w:bottom w:val="single" w:color="auto" w:sz="4" w:space="0"/>
              <w:right w:val="single" w:color="auto" w:sz="4" w:space="0"/>
            </w:tcBorders>
            <w:vAlign w:val="center"/>
          </w:tcPr>
          <w:p w14:paraId="6F486F66">
            <w:pPr>
              <w:pStyle w:val="1535"/>
            </w:pPr>
            <w:r>
              <w:t>劳保、防护</w:t>
            </w:r>
          </w:p>
        </w:tc>
        <w:tc>
          <w:tcPr>
            <w:tcW w:w="1202" w:type="pct"/>
            <w:vMerge w:val="continue"/>
            <w:tcBorders>
              <w:left w:val="nil"/>
              <w:bottom w:val="single" w:color="auto" w:sz="4" w:space="0"/>
              <w:right w:val="single" w:color="auto" w:sz="4" w:space="0"/>
            </w:tcBorders>
            <w:vAlign w:val="center"/>
          </w:tcPr>
          <w:p w14:paraId="48E67CC9">
            <w:pPr>
              <w:pStyle w:val="1535"/>
            </w:pPr>
          </w:p>
        </w:tc>
      </w:tr>
      <w:tr w14:paraId="7E89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47FD1C7C">
            <w:pPr>
              <w:pStyle w:val="1535"/>
            </w:pPr>
            <w:r>
              <w:t>4</w:t>
            </w:r>
          </w:p>
        </w:tc>
        <w:tc>
          <w:tcPr>
            <w:tcW w:w="1481" w:type="pct"/>
            <w:tcBorders>
              <w:top w:val="single" w:color="auto" w:sz="4" w:space="0"/>
              <w:left w:val="nil"/>
              <w:bottom w:val="single" w:color="auto" w:sz="4" w:space="0"/>
              <w:right w:val="single" w:color="auto" w:sz="4" w:space="0"/>
            </w:tcBorders>
            <w:vAlign w:val="center"/>
          </w:tcPr>
          <w:p w14:paraId="543AAD9E">
            <w:pPr>
              <w:pStyle w:val="1535"/>
            </w:pPr>
            <w:r>
              <w:t>河沙、消防沙</w:t>
            </w:r>
          </w:p>
        </w:tc>
        <w:tc>
          <w:tcPr>
            <w:tcW w:w="517" w:type="pct"/>
            <w:tcBorders>
              <w:top w:val="single" w:color="auto" w:sz="4" w:space="0"/>
              <w:left w:val="nil"/>
              <w:bottom w:val="single" w:color="auto" w:sz="4" w:space="0"/>
              <w:right w:val="single" w:color="auto" w:sz="4" w:space="0"/>
            </w:tcBorders>
            <w:vAlign w:val="center"/>
          </w:tcPr>
          <w:p w14:paraId="6A2367CE">
            <w:pPr>
              <w:pStyle w:val="1535"/>
            </w:pPr>
            <w:r>
              <w:t>4</w:t>
            </w:r>
          </w:p>
        </w:tc>
        <w:tc>
          <w:tcPr>
            <w:tcW w:w="466" w:type="pct"/>
            <w:tcBorders>
              <w:top w:val="single" w:color="auto" w:sz="4" w:space="0"/>
              <w:left w:val="nil"/>
              <w:bottom w:val="single" w:color="auto" w:sz="4" w:space="0"/>
              <w:right w:val="single" w:color="auto" w:sz="4" w:space="0"/>
            </w:tcBorders>
            <w:vAlign w:val="center"/>
          </w:tcPr>
          <w:p w14:paraId="6B5228C5">
            <w:pPr>
              <w:pStyle w:val="1535"/>
            </w:pPr>
            <w:r>
              <w:t>袋</w:t>
            </w:r>
          </w:p>
        </w:tc>
        <w:tc>
          <w:tcPr>
            <w:tcW w:w="899" w:type="pct"/>
            <w:tcBorders>
              <w:top w:val="single" w:color="auto" w:sz="4" w:space="0"/>
              <w:left w:val="nil"/>
              <w:bottom w:val="single" w:color="auto" w:sz="4" w:space="0"/>
              <w:right w:val="single" w:color="auto" w:sz="4" w:space="0"/>
            </w:tcBorders>
            <w:vAlign w:val="center"/>
          </w:tcPr>
          <w:p w14:paraId="49F2ECBA">
            <w:pPr>
              <w:pStyle w:val="1535"/>
            </w:pPr>
            <w:r>
              <w:t>吸附围堵泄漏</w:t>
            </w:r>
          </w:p>
        </w:tc>
        <w:tc>
          <w:tcPr>
            <w:tcW w:w="1202" w:type="pct"/>
            <w:vMerge w:val="restart"/>
            <w:tcBorders>
              <w:top w:val="single" w:color="auto" w:sz="4" w:space="0"/>
              <w:left w:val="nil"/>
              <w:right w:val="single" w:color="auto" w:sz="4" w:space="0"/>
            </w:tcBorders>
            <w:vAlign w:val="center"/>
          </w:tcPr>
          <w:p w14:paraId="0770696D">
            <w:pPr>
              <w:pStyle w:val="1535"/>
            </w:pPr>
            <w:r>
              <w:t>危废贮存设施</w:t>
            </w:r>
          </w:p>
        </w:tc>
      </w:tr>
      <w:tr w14:paraId="1F99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6E2412CF">
            <w:pPr>
              <w:pStyle w:val="1535"/>
            </w:pPr>
            <w:r>
              <w:t>5</w:t>
            </w:r>
          </w:p>
        </w:tc>
        <w:tc>
          <w:tcPr>
            <w:tcW w:w="1481" w:type="pct"/>
            <w:tcBorders>
              <w:top w:val="single" w:color="auto" w:sz="4" w:space="0"/>
              <w:left w:val="nil"/>
              <w:bottom w:val="single" w:color="auto" w:sz="4" w:space="0"/>
              <w:right w:val="single" w:color="auto" w:sz="4" w:space="0"/>
            </w:tcBorders>
            <w:vAlign w:val="center"/>
          </w:tcPr>
          <w:p w14:paraId="78F26E48">
            <w:pPr>
              <w:pStyle w:val="1535"/>
            </w:pPr>
            <w:r>
              <w:t>橡胶手套</w:t>
            </w:r>
          </w:p>
        </w:tc>
        <w:tc>
          <w:tcPr>
            <w:tcW w:w="517" w:type="pct"/>
            <w:tcBorders>
              <w:top w:val="single" w:color="auto" w:sz="4" w:space="0"/>
              <w:left w:val="nil"/>
              <w:bottom w:val="single" w:color="auto" w:sz="4" w:space="0"/>
              <w:right w:val="single" w:color="auto" w:sz="4" w:space="0"/>
            </w:tcBorders>
            <w:vAlign w:val="center"/>
          </w:tcPr>
          <w:p w14:paraId="077DAD55">
            <w:pPr>
              <w:pStyle w:val="1535"/>
            </w:pPr>
            <w:r>
              <w:t>4</w:t>
            </w:r>
          </w:p>
        </w:tc>
        <w:tc>
          <w:tcPr>
            <w:tcW w:w="466" w:type="pct"/>
            <w:tcBorders>
              <w:top w:val="single" w:color="auto" w:sz="4" w:space="0"/>
              <w:left w:val="nil"/>
              <w:bottom w:val="single" w:color="auto" w:sz="4" w:space="0"/>
              <w:right w:val="single" w:color="auto" w:sz="4" w:space="0"/>
            </w:tcBorders>
            <w:vAlign w:val="center"/>
          </w:tcPr>
          <w:p w14:paraId="7B6F3C04">
            <w:pPr>
              <w:pStyle w:val="1535"/>
            </w:pPr>
            <w:r>
              <w:t>双</w:t>
            </w:r>
          </w:p>
        </w:tc>
        <w:tc>
          <w:tcPr>
            <w:tcW w:w="899" w:type="pct"/>
            <w:tcBorders>
              <w:top w:val="single" w:color="auto" w:sz="4" w:space="0"/>
              <w:left w:val="nil"/>
              <w:bottom w:val="single" w:color="auto" w:sz="4" w:space="0"/>
              <w:right w:val="single" w:color="auto" w:sz="4" w:space="0"/>
            </w:tcBorders>
            <w:vAlign w:val="center"/>
          </w:tcPr>
          <w:p w14:paraId="755E50BF">
            <w:pPr>
              <w:pStyle w:val="1535"/>
            </w:pPr>
            <w:r>
              <w:t>劳保、防护</w:t>
            </w:r>
          </w:p>
        </w:tc>
        <w:tc>
          <w:tcPr>
            <w:tcW w:w="1202" w:type="pct"/>
            <w:vMerge w:val="continue"/>
            <w:tcBorders>
              <w:top w:val="single" w:color="auto" w:sz="4" w:space="0"/>
              <w:left w:val="nil"/>
              <w:right w:val="single" w:color="auto" w:sz="4" w:space="0"/>
            </w:tcBorders>
            <w:vAlign w:val="center"/>
          </w:tcPr>
          <w:p w14:paraId="3E4CB3C9">
            <w:pPr>
              <w:pStyle w:val="1535"/>
            </w:pPr>
          </w:p>
        </w:tc>
      </w:tr>
      <w:tr w14:paraId="4E3A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71BFEF2D">
            <w:pPr>
              <w:pStyle w:val="1535"/>
            </w:pPr>
            <w:r>
              <w:t>6</w:t>
            </w:r>
          </w:p>
        </w:tc>
        <w:tc>
          <w:tcPr>
            <w:tcW w:w="1481" w:type="pct"/>
            <w:tcBorders>
              <w:top w:val="single" w:color="auto" w:sz="4" w:space="0"/>
              <w:left w:val="nil"/>
              <w:bottom w:val="single" w:color="auto" w:sz="4" w:space="0"/>
              <w:right w:val="single" w:color="auto" w:sz="4" w:space="0"/>
            </w:tcBorders>
            <w:vAlign w:val="center"/>
          </w:tcPr>
          <w:p w14:paraId="6B4796CB">
            <w:pPr>
              <w:pStyle w:val="1535"/>
            </w:pPr>
            <w:r>
              <w:t>塑料桶</w:t>
            </w:r>
          </w:p>
        </w:tc>
        <w:tc>
          <w:tcPr>
            <w:tcW w:w="517" w:type="pct"/>
            <w:tcBorders>
              <w:top w:val="single" w:color="auto" w:sz="4" w:space="0"/>
              <w:left w:val="nil"/>
              <w:bottom w:val="single" w:color="auto" w:sz="4" w:space="0"/>
              <w:right w:val="single" w:color="auto" w:sz="4" w:space="0"/>
            </w:tcBorders>
            <w:vAlign w:val="center"/>
          </w:tcPr>
          <w:p w14:paraId="3470D6EB">
            <w:pPr>
              <w:pStyle w:val="1535"/>
            </w:pPr>
            <w:r>
              <w:t>2</w:t>
            </w:r>
          </w:p>
        </w:tc>
        <w:tc>
          <w:tcPr>
            <w:tcW w:w="466" w:type="pct"/>
            <w:tcBorders>
              <w:top w:val="single" w:color="auto" w:sz="4" w:space="0"/>
              <w:left w:val="nil"/>
              <w:bottom w:val="single" w:color="auto" w:sz="4" w:space="0"/>
              <w:right w:val="single" w:color="auto" w:sz="4" w:space="0"/>
            </w:tcBorders>
            <w:vAlign w:val="center"/>
          </w:tcPr>
          <w:p w14:paraId="67F1C1DF">
            <w:pPr>
              <w:pStyle w:val="1535"/>
            </w:pPr>
            <w:r>
              <w:t>个</w:t>
            </w:r>
          </w:p>
        </w:tc>
        <w:tc>
          <w:tcPr>
            <w:tcW w:w="899" w:type="pct"/>
            <w:tcBorders>
              <w:top w:val="single" w:color="auto" w:sz="4" w:space="0"/>
              <w:left w:val="nil"/>
              <w:bottom w:val="single" w:color="auto" w:sz="4" w:space="0"/>
              <w:right w:val="single" w:color="auto" w:sz="4" w:space="0"/>
            </w:tcBorders>
            <w:vAlign w:val="center"/>
          </w:tcPr>
          <w:p w14:paraId="40A7734F">
            <w:pPr>
              <w:pStyle w:val="1535"/>
            </w:pPr>
            <w:r>
              <w:t>泄露收集</w:t>
            </w:r>
          </w:p>
        </w:tc>
        <w:tc>
          <w:tcPr>
            <w:tcW w:w="1202" w:type="pct"/>
            <w:vMerge w:val="continue"/>
            <w:tcBorders>
              <w:top w:val="single" w:color="auto" w:sz="4" w:space="0"/>
              <w:left w:val="nil"/>
              <w:right w:val="single" w:color="auto" w:sz="4" w:space="0"/>
            </w:tcBorders>
            <w:vAlign w:val="center"/>
          </w:tcPr>
          <w:p w14:paraId="72FF7BBB">
            <w:pPr>
              <w:pStyle w:val="1535"/>
            </w:pPr>
          </w:p>
        </w:tc>
      </w:tr>
      <w:tr w14:paraId="5D07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3D077441">
            <w:pPr>
              <w:pStyle w:val="1535"/>
            </w:pPr>
            <w:r>
              <w:t>7</w:t>
            </w:r>
          </w:p>
        </w:tc>
        <w:tc>
          <w:tcPr>
            <w:tcW w:w="1481" w:type="pct"/>
            <w:tcBorders>
              <w:top w:val="single" w:color="auto" w:sz="4" w:space="0"/>
              <w:left w:val="nil"/>
              <w:bottom w:val="single" w:color="auto" w:sz="4" w:space="0"/>
              <w:right w:val="single" w:color="auto" w:sz="4" w:space="0"/>
            </w:tcBorders>
            <w:vAlign w:val="center"/>
          </w:tcPr>
          <w:p w14:paraId="6203AC64">
            <w:pPr>
              <w:pStyle w:val="1535"/>
            </w:pPr>
            <w:r>
              <w:t>水鞋</w:t>
            </w:r>
          </w:p>
        </w:tc>
        <w:tc>
          <w:tcPr>
            <w:tcW w:w="517" w:type="pct"/>
            <w:tcBorders>
              <w:top w:val="single" w:color="auto" w:sz="4" w:space="0"/>
              <w:left w:val="nil"/>
              <w:bottom w:val="single" w:color="auto" w:sz="4" w:space="0"/>
              <w:right w:val="single" w:color="auto" w:sz="4" w:space="0"/>
            </w:tcBorders>
            <w:vAlign w:val="center"/>
          </w:tcPr>
          <w:p w14:paraId="41F95CCF">
            <w:pPr>
              <w:pStyle w:val="1535"/>
            </w:pPr>
            <w:r>
              <w:t>2</w:t>
            </w:r>
          </w:p>
        </w:tc>
        <w:tc>
          <w:tcPr>
            <w:tcW w:w="466" w:type="pct"/>
            <w:tcBorders>
              <w:top w:val="single" w:color="auto" w:sz="4" w:space="0"/>
              <w:left w:val="nil"/>
              <w:bottom w:val="single" w:color="auto" w:sz="4" w:space="0"/>
              <w:right w:val="single" w:color="auto" w:sz="4" w:space="0"/>
            </w:tcBorders>
            <w:vAlign w:val="center"/>
          </w:tcPr>
          <w:p w14:paraId="166A3AEE">
            <w:pPr>
              <w:pStyle w:val="1535"/>
            </w:pPr>
            <w:r>
              <w:t>双</w:t>
            </w:r>
          </w:p>
        </w:tc>
        <w:tc>
          <w:tcPr>
            <w:tcW w:w="899" w:type="pct"/>
            <w:tcBorders>
              <w:top w:val="single" w:color="auto" w:sz="4" w:space="0"/>
              <w:left w:val="nil"/>
              <w:bottom w:val="single" w:color="auto" w:sz="4" w:space="0"/>
              <w:right w:val="single" w:color="auto" w:sz="4" w:space="0"/>
            </w:tcBorders>
            <w:vAlign w:val="center"/>
          </w:tcPr>
          <w:p w14:paraId="04638C1D">
            <w:pPr>
              <w:pStyle w:val="1535"/>
            </w:pPr>
            <w:r>
              <w:t>劳保、防护</w:t>
            </w:r>
          </w:p>
        </w:tc>
        <w:tc>
          <w:tcPr>
            <w:tcW w:w="1202" w:type="pct"/>
            <w:vMerge w:val="continue"/>
            <w:tcBorders>
              <w:top w:val="single" w:color="auto" w:sz="4" w:space="0"/>
              <w:left w:val="nil"/>
              <w:right w:val="single" w:color="auto" w:sz="4" w:space="0"/>
            </w:tcBorders>
            <w:vAlign w:val="center"/>
          </w:tcPr>
          <w:p w14:paraId="7A02EB3B">
            <w:pPr>
              <w:pStyle w:val="1535"/>
            </w:pPr>
          </w:p>
        </w:tc>
      </w:tr>
      <w:tr w14:paraId="365B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op w:val="single" w:color="auto" w:sz="4" w:space="0"/>
              <w:left w:val="single" w:color="auto" w:sz="4" w:space="0"/>
              <w:bottom w:val="single" w:color="auto" w:sz="4" w:space="0"/>
              <w:right w:val="single" w:color="auto" w:sz="4" w:space="0"/>
            </w:tcBorders>
            <w:vAlign w:val="center"/>
          </w:tcPr>
          <w:p w14:paraId="7677B79A">
            <w:pPr>
              <w:pStyle w:val="1535"/>
            </w:pPr>
            <w:r>
              <w:t>8</w:t>
            </w:r>
          </w:p>
        </w:tc>
        <w:tc>
          <w:tcPr>
            <w:tcW w:w="1481" w:type="pct"/>
            <w:tcBorders>
              <w:top w:val="single" w:color="auto" w:sz="4" w:space="0"/>
              <w:left w:val="nil"/>
              <w:bottom w:val="single" w:color="auto" w:sz="4" w:space="0"/>
              <w:right w:val="single" w:color="auto" w:sz="4" w:space="0"/>
            </w:tcBorders>
            <w:vAlign w:val="center"/>
          </w:tcPr>
          <w:p w14:paraId="69CB743F">
            <w:pPr>
              <w:pStyle w:val="1535"/>
            </w:pPr>
            <w:r>
              <w:t>铁铲</w:t>
            </w:r>
          </w:p>
        </w:tc>
        <w:tc>
          <w:tcPr>
            <w:tcW w:w="517" w:type="pct"/>
            <w:tcBorders>
              <w:top w:val="single" w:color="auto" w:sz="4" w:space="0"/>
              <w:left w:val="nil"/>
              <w:bottom w:val="single" w:color="auto" w:sz="4" w:space="0"/>
              <w:right w:val="single" w:color="auto" w:sz="4" w:space="0"/>
            </w:tcBorders>
            <w:vAlign w:val="center"/>
          </w:tcPr>
          <w:p w14:paraId="3D3784E8">
            <w:pPr>
              <w:pStyle w:val="1535"/>
            </w:pPr>
            <w:r>
              <w:t>2</w:t>
            </w:r>
          </w:p>
        </w:tc>
        <w:tc>
          <w:tcPr>
            <w:tcW w:w="466" w:type="pct"/>
            <w:tcBorders>
              <w:top w:val="single" w:color="auto" w:sz="4" w:space="0"/>
              <w:left w:val="nil"/>
              <w:bottom w:val="single" w:color="auto" w:sz="4" w:space="0"/>
              <w:right w:val="single" w:color="auto" w:sz="4" w:space="0"/>
            </w:tcBorders>
            <w:vAlign w:val="center"/>
          </w:tcPr>
          <w:p w14:paraId="15F280F7">
            <w:pPr>
              <w:pStyle w:val="1535"/>
            </w:pPr>
            <w:r>
              <w:t>把</w:t>
            </w:r>
          </w:p>
        </w:tc>
        <w:tc>
          <w:tcPr>
            <w:tcW w:w="899" w:type="pct"/>
            <w:tcBorders>
              <w:top w:val="single" w:color="auto" w:sz="4" w:space="0"/>
              <w:left w:val="nil"/>
              <w:bottom w:val="single" w:color="auto" w:sz="4" w:space="0"/>
              <w:right w:val="single" w:color="auto" w:sz="4" w:space="0"/>
            </w:tcBorders>
            <w:vAlign w:val="center"/>
          </w:tcPr>
          <w:p w14:paraId="134A3E8D">
            <w:pPr>
              <w:pStyle w:val="1535"/>
            </w:pPr>
            <w:r>
              <w:t>应急</w:t>
            </w:r>
          </w:p>
        </w:tc>
        <w:tc>
          <w:tcPr>
            <w:tcW w:w="1202" w:type="pct"/>
            <w:vMerge w:val="continue"/>
            <w:tcBorders>
              <w:left w:val="nil"/>
              <w:bottom w:val="single" w:color="auto" w:sz="4" w:space="0"/>
              <w:right w:val="single" w:color="auto" w:sz="4" w:space="0"/>
            </w:tcBorders>
            <w:vAlign w:val="center"/>
          </w:tcPr>
          <w:p w14:paraId="224E7141">
            <w:pPr>
              <w:pStyle w:val="1535"/>
            </w:pPr>
          </w:p>
        </w:tc>
      </w:tr>
      <w:tr w14:paraId="7EEE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71A76B81">
            <w:pPr>
              <w:pStyle w:val="1535"/>
            </w:pPr>
            <w:r>
              <w:t>9</w:t>
            </w:r>
          </w:p>
        </w:tc>
        <w:tc>
          <w:tcPr>
            <w:tcW w:w="1481" w:type="pct"/>
            <w:tcBorders>
              <w:top w:val="single" w:color="auto" w:sz="4" w:space="0"/>
              <w:left w:val="nil"/>
              <w:bottom w:val="single" w:color="auto" w:sz="4" w:space="0"/>
              <w:right w:val="single" w:color="auto" w:sz="4" w:space="0"/>
            </w:tcBorders>
            <w:vAlign w:val="center"/>
          </w:tcPr>
          <w:p w14:paraId="3ED42621">
            <w:pPr>
              <w:pStyle w:val="1535"/>
            </w:pPr>
            <w:r>
              <w:t>防护口罩、防毒面具</w:t>
            </w:r>
          </w:p>
        </w:tc>
        <w:tc>
          <w:tcPr>
            <w:tcW w:w="517" w:type="pct"/>
            <w:tcBorders>
              <w:top w:val="single" w:color="auto" w:sz="4" w:space="0"/>
              <w:left w:val="nil"/>
              <w:bottom w:val="single" w:color="auto" w:sz="4" w:space="0"/>
              <w:right w:val="single" w:color="auto" w:sz="4" w:space="0"/>
            </w:tcBorders>
            <w:vAlign w:val="center"/>
          </w:tcPr>
          <w:p w14:paraId="6BC799FA">
            <w:pPr>
              <w:pStyle w:val="1535"/>
            </w:pPr>
            <w:r>
              <w:t>各4</w:t>
            </w:r>
          </w:p>
        </w:tc>
        <w:tc>
          <w:tcPr>
            <w:tcW w:w="466" w:type="pct"/>
            <w:tcBorders>
              <w:top w:val="single" w:color="auto" w:sz="4" w:space="0"/>
              <w:left w:val="nil"/>
              <w:bottom w:val="single" w:color="auto" w:sz="4" w:space="0"/>
              <w:right w:val="single" w:color="auto" w:sz="4" w:space="0"/>
            </w:tcBorders>
            <w:vAlign w:val="center"/>
          </w:tcPr>
          <w:p w14:paraId="636AEB6D">
            <w:pPr>
              <w:pStyle w:val="1535"/>
            </w:pPr>
            <w:r>
              <w:t>个</w:t>
            </w:r>
          </w:p>
        </w:tc>
        <w:tc>
          <w:tcPr>
            <w:tcW w:w="899" w:type="pct"/>
            <w:tcBorders>
              <w:top w:val="single" w:color="auto" w:sz="4" w:space="0"/>
              <w:left w:val="nil"/>
              <w:bottom w:val="single" w:color="auto" w:sz="4" w:space="0"/>
              <w:right w:val="single" w:color="auto" w:sz="4" w:space="0"/>
            </w:tcBorders>
            <w:vAlign w:val="center"/>
          </w:tcPr>
          <w:p w14:paraId="17D6AC1C">
            <w:pPr>
              <w:pStyle w:val="1535"/>
            </w:pPr>
            <w:r>
              <w:t>防护</w:t>
            </w:r>
          </w:p>
        </w:tc>
        <w:tc>
          <w:tcPr>
            <w:tcW w:w="1202" w:type="pct"/>
            <w:vMerge w:val="restart"/>
            <w:tcBorders>
              <w:top w:val="single" w:color="auto" w:sz="4" w:space="0"/>
              <w:left w:val="nil"/>
              <w:right w:val="single" w:color="auto" w:sz="4" w:space="0"/>
            </w:tcBorders>
            <w:vAlign w:val="center"/>
          </w:tcPr>
          <w:p w14:paraId="21957D26">
            <w:pPr>
              <w:pStyle w:val="1535"/>
            </w:pPr>
            <w:r>
              <w:t>化学品储存间</w:t>
            </w:r>
          </w:p>
        </w:tc>
      </w:tr>
      <w:tr w14:paraId="1144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2D019416">
            <w:pPr>
              <w:pStyle w:val="1535"/>
            </w:pPr>
            <w:r>
              <w:t>10</w:t>
            </w:r>
          </w:p>
        </w:tc>
        <w:tc>
          <w:tcPr>
            <w:tcW w:w="1481" w:type="pct"/>
            <w:tcBorders>
              <w:top w:val="single" w:color="auto" w:sz="4" w:space="0"/>
              <w:left w:val="nil"/>
              <w:bottom w:val="single" w:color="auto" w:sz="4" w:space="0"/>
              <w:right w:val="single" w:color="auto" w:sz="4" w:space="0"/>
            </w:tcBorders>
            <w:vAlign w:val="center"/>
          </w:tcPr>
          <w:p w14:paraId="309ACE42">
            <w:pPr>
              <w:pStyle w:val="1535"/>
            </w:pPr>
            <w:r>
              <w:t>防腐手套</w:t>
            </w:r>
          </w:p>
        </w:tc>
        <w:tc>
          <w:tcPr>
            <w:tcW w:w="517" w:type="pct"/>
            <w:tcBorders>
              <w:top w:val="single" w:color="auto" w:sz="4" w:space="0"/>
              <w:left w:val="nil"/>
              <w:bottom w:val="single" w:color="auto" w:sz="4" w:space="0"/>
              <w:right w:val="single" w:color="auto" w:sz="4" w:space="0"/>
            </w:tcBorders>
            <w:vAlign w:val="center"/>
          </w:tcPr>
          <w:p w14:paraId="3DE791A5">
            <w:pPr>
              <w:pStyle w:val="1535"/>
            </w:pPr>
            <w:r>
              <w:t>4</w:t>
            </w:r>
          </w:p>
        </w:tc>
        <w:tc>
          <w:tcPr>
            <w:tcW w:w="466" w:type="pct"/>
            <w:tcBorders>
              <w:top w:val="single" w:color="auto" w:sz="4" w:space="0"/>
              <w:left w:val="nil"/>
              <w:bottom w:val="single" w:color="auto" w:sz="4" w:space="0"/>
              <w:right w:val="single" w:color="auto" w:sz="4" w:space="0"/>
            </w:tcBorders>
            <w:vAlign w:val="center"/>
          </w:tcPr>
          <w:p w14:paraId="77CB2E58">
            <w:pPr>
              <w:pStyle w:val="1535"/>
            </w:pPr>
            <w:r>
              <w:t>双</w:t>
            </w:r>
          </w:p>
        </w:tc>
        <w:tc>
          <w:tcPr>
            <w:tcW w:w="899" w:type="pct"/>
            <w:tcBorders>
              <w:top w:val="single" w:color="auto" w:sz="4" w:space="0"/>
              <w:left w:val="nil"/>
              <w:bottom w:val="single" w:color="auto" w:sz="4" w:space="0"/>
              <w:right w:val="single" w:color="auto" w:sz="4" w:space="0"/>
            </w:tcBorders>
            <w:vAlign w:val="center"/>
          </w:tcPr>
          <w:p w14:paraId="48BDEA24">
            <w:pPr>
              <w:pStyle w:val="1535"/>
            </w:pPr>
            <w:r>
              <w:t>劳保、防护</w:t>
            </w:r>
          </w:p>
        </w:tc>
        <w:tc>
          <w:tcPr>
            <w:tcW w:w="1202" w:type="pct"/>
            <w:vMerge w:val="continue"/>
            <w:tcBorders>
              <w:left w:val="nil"/>
              <w:right w:val="single" w:color="auto" w:sz="4" w:space="0"/>
            </w:tcBorders>
            <w:vAlign w:val="center"/>
          </w:tcPr>
          <w:p w14:paraId="38CC50CD">
            <w:pPr>
              <w:pStyle w:val="1535"/>
            </w:pPr>
          </w:p>
        </w:tc>
      </w:tr>
      <w:tr w14:paraId="30E7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12C5B536">
            <w:pPr>
              <w:pStyle w:val="1535"/>
            </w:pPr>
            <w:r>
              <w:t>11</w:t>
            </w:r>
          </w:p>
        </w:tc>
        <w:tc>
          <w:tcPr>
            <w:tcW w:w="1481" w:type="pct"/>
            <w:tcBorders>
              <w:top w:val="single" w:color="auto" w:sz="4" w:space="0"/>
              <w:left w:val="nil"/>
              <w:bottom w:val="single" w:color="auto" w:sz="4" w:space="0"/>
              <w:right w:val="single" w:color="auto" w:sz="4" w:space="0"/>
            </w:tcBorders>
            <w:vAlign w:val="center"/>
          </w:tcPr>
          <w:p w14:paraId="45C5832D">
            <w:pPr>
              <w:pStyle w:val="1535"/>
            </w:pPr>
            <w:r>
              <w:t>水鞋</w:t>
            </w:r>
          </w:p>
        </w:tc>
        <w:tc>
          <w:tcPr>
            <w:tcW w:w="517" w:type="pct"/>
            <w:tcBorders>
              <w:top w:val="single" w:color="auto" w:sz="4" w:space="0"/>
              <w:left w:val="nil"/>
              <w:bottom w:val="single" w:color="auto" w:sz="4" w:space="0"/>
              <w:right w:val="single" w:color="auto" w:sz="4" w:space="0"/>
            </w:tcBorders>
            <w:vAlign w:val="center"/>
          </w:tcPr>
          <w:p w14:paraId="454635C8">
            <w:pPr>
              <w:pStyle w:val="1535"/>
            </w:pPr>
            <w:r>
              <w:t>2</w:t>
            </w:r>
          </w:p>
        </w:tc>
        <w:tc>
          <w:tcPr>
            <w:tcW w:w="466" w:type="pct"/>
            <w:tcBorders>
              <w:top w:val="single" w:color="auto" w:sz="4" w:space="0"/>
              <w:left w:val="nil"/>
              <w:bottom w:val="single" w:color="auto" w:sz="4" w:space="0"/>
              <w:right w:val="single" w:color="auto" w:sz="4" w:space="0"/>
            </w:tcBorders>
            <w:vAlign w:val="center"/>
          </w:tcPr>
          <w:p w14:paraId="318A0ABB">
            <w:pPr>
              <w:pStyle w:val="1535"/>
            </w:pPr>
            <w:r>
              <w:t>双</w:t>
            </w:r>
          </w:p>
        </w:tc>
        <w:tc>
          <w:tcPr>
            <w:tcW w:w="899" w:type="pct"/>
            <w:tcBorders>
              <w:top w:val="single" w:color="auto" w:sz="4" w:space="0"/>
              <w:left w:val="nil"/>
              <w:bottom w:val="single" w:color="auto" w:sz="4" w:space="0"/>
              <w:right w:val="single" w:color="auto" w:sz="4" w:space="0"/>
            </w:tcBorders>
            <w:vAlign w:val="center"/>
          </w:tcPr>
          <w:p w14:paraId="17CA6FF1">
            <w:pPr>
              <w:pStyle w:val="1535"/>
            </w:pPr>
            <w:r>
              <w:t>劳保、防护</w:t>
            </w:r>
          </w:p>
        </w:tc>
        <w:tc>
          <w:tcPr>
            <w:tcW w:w="1202" w:type="pct"/>
            <w:vMerge w:val="continue"/>
            <w:tcBorders>
              <w:left w:val="nil"/>
              <w:right w:val="single" w:color="auto" w:sz="4" w:space="0"/>
            </w:tcBorders>
            <w:vAlign w:val="center"/>
          </w:tcPr>
          <w:p w14:paraId="4C353961">
            <w:pPr>
              <w:pStyle w:val="1535"/>
            </w:pPr>
          </w:p>
        </w:tc>
      </w:tr>
      <w:tr w14:paraId="30B7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2FC3E436">
            <w:pPr>
              <w:pStyle w:val="1535"/>
            </w:pPr>
            <w:r>
              <w:t>12</w:t>
            </w:r>
          </w:p>
        </w:tc>
        <w:tc>
          <w:tcPr>
            <w:tcW w:w="1481" w:type="pct"/>
            <w:tcBorders>
              <w:top w:val="single" w:color="auto" w:sz="4" w:space="0"/>
              <w:left w:val="nil"/>
              <w:bottom w:val="single" w:color="auto" w:sz="4" w:space="0"/>
              <w:right w:val="single" w:color="auto" w:sz="4" w:space="0"/>
            </w:tcBorders>
            <w:vAlign w:val="center"/>
          </w:tcPr>
          <w:p w14:paraId="0916B187">
            <w:pPr>
              <w:pStyle w:val="1535"/>
            </w:pPr>
            <w:r>
              <w:t>河沙、消防沙</w:t>
            </w:r>
          </w:p>
        </w:tc>
        <w:tc>
          <w:tcPr>
            <w:tcW w:w="517" w:type="pct"/>
            <w:tcBorders>
              <w:top w:val="single" w:color="auto" w:sz="4" w:space="0"/>
              <w:left w:val="nil"/>
              <w:bottom w:val="single" w:color="auto" w:sz="4" w:space="0"/>
              <w:right w:val="single" w:color="auto" w:sz="4" w:space="0"/>
            </w:tcBorders>
            <w:vAlign w:val="center"/>
          </w:tcPr>
          <w:p w14:paraId="46A54D94">
            <w:pPr>
              <w:pStyle w:val="1535"/>
            </w:pPr>
            <w:r>
              <w:t>4</w:t>
            </w:r>
          </w:p>
        </w:tc>
        <w:tc>
          <w:tcPr>
            <w:tcW w:w="466" w:type="pct"/>
            <w:tcBorders>
              <w:top w:val="single" w:color="auto" w:sz="4" w:space="0"/>
              <w:left w:val="nil"/>
              <w:bottom w:val="single" w:color="auto" w:sz="4" w:space="0"/>
              <w:right w:val="single" w:color="auto" w:sz="4" w:space="0"/>
            </w:tcBorders>
            <w:vAlign w:val="center"/>
          </w:tcPr>
          <w:p w14:paraId="4E9DEFD2">
            <w:pPr>
              <w:pStyle w:val="1535"/>
            </w:pPr>
            <w:r>
              <w:t>袋</w:t>
            </w:r>
          </w:p>
        </w:tc>
        <w:tc>
          <w:tcPr>
            <w:tcW w:w="899" w:type="pct"/>
            <w:tcBorders>
              <w:top w:val="single" w:color="auto" w:sz="4" w:space="0"/>
              <w:left w:val="nil"/>
              <w:bottom w:val="single" w:color="auto" w:sz="4" w:space="0"/>
              <w:right w:val="single" w:color="auto" w:sz="4" w:space="0"/>
            </w:tcBorders>
            <w:vAlign w:val="center"/>
          </w:tcPr>
          <w:p w14:paraId="1C0628F4">
            <w:pPr>
              <w:pStyle w:val="1535"/>
            </w:pPr>
            <w:r>
              <w:t>吸附围堵泄露</w:t>
            </w:r>
          </w:p>
        </w:tc>
        <w:tc>
          <w:tcPr>
            <w:tcW w:w="1202" w:type="pct"/>
            <w:vMerge w:val="continue"/>
            <w:tcBorders>
              <w:left w:val="nil"/>
              <w:right w:val="single" w:color="auto" w:sz="4" w:space="0"/>
            </w:tcBorders>
            <w:vAlign w:val="center"/>
          </w:tcPr>
          <w:p w14:paraId="335DCE11">
            <w:pPr>
              <w:pStyle w:val="1535"/>
            </w:pPr>
          </w:p>
        </w:tc>
      </w:tr>
      <w:tr w14:paraId="7F60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7DB4B795">
            <w:pPr>
              <w:pStyle w:val="1535"/>
            </w:pPr>
            <w:r>
              <w:t>13</w:t>
            </w:r>
          </w:p>
        </w:tc>
        <w:tc>
          <w:tcPr>
            <w:tcW w:w="1481" w:type="pct"/>
            <w:tcBorders>
              <w:top w:val="single" w:color="auto" w:sz="4" w:space="0"/>
              <w:left w:val="nil"/>
              <w:bottom w:val="single" w:color="auto" w:sz="4" w:space="0"/>
              <w:right w:val="single" w:color="auto" w:sz="4" w:space="0"/>
            </w:tcBorders>
            <w:vAlign w:val="center"/>
          </w:tcPr>
          <w:p w14:paraId="18F3CD76">
            <w:pPr>
              <w:pStyle w:val="1535"/>
            </w:pPr>
            <w:r>
              <w:t>铁铲</w:t>
            </w:r>
          </w:p>
        </w:tc>
        <w:tc>
          <w:tcPr>
            <w:tcW w:w="517" w:type="pct"/>
            <w:tcBorders>
              <w:top w:val="single" w:color="auto" w:sz="4" w:space="0"/>
              <w:left w:val="nil"/>
              <w:bottom w:val="single" w:color="auto" w:sz="4" w:space="0"/>
              <w:right w:val="single" w:color="auto" w:sz="4" w:space="0"/>
            </w:tcBorders>
            <w:vAlign w:val="center"/>
          </w:tcPr>
          <w:p w14:paraId="5C1DE4EF">
            <w:pPr>
              <w:pStyle w:val="1535"/>
            </w:pPr>
            <w:r>
              <w:t>2</w:t>
            </w:r>
          </w:p>
        </w:tc>
        <w:tc>
          <w:tcPr>
            <w:tcW w:w="466" w:type="pct"/>
            <w:tcBorders>
              <w:top w:val="single" w:color="auto" w:sz="4" w:space="0"/>
              <w:left w:val="nil"/>
              <w:bottom w:val="single" w:color="auto" w:sz="4" w:space="0"/>
              <w:right w:val="single" w:color="auto" w:sz="4" w:space="0"/>
            </w:tcBorders>
            <w:vAlign w:val="center"/>
          </w:tcPr>
          <w:p w14:paraId="01E48017">
            <w:pPr>
              <w:pStyle w:val="1535"/>
            </w:pPr>
            <w:r>
              <w:t>把</w:t>
            </w:r>
          </w:p>
        </w:tc>
        <w:tc>
          <w:tcPr>
            <w:tcW w:w="899" w:type="pct"/>
            <w:tcBorders>
              <w:top w:val="single" w:color="auto" w:sz="4" w:space="0"/>
              <w:left w:val="nil"/>
              <w:bottom w:val="single" w:color="auto" w:sz="4" w:space="0"/>
              <w:right w:val="single" w:color="auto" w:sz="4" w:space="0"/>
            </w:tcBorders>
            <w:vAlign w:val="center"/>
          </w:tcPr>
          <w:p w14:paraId="3612AEF9">
            <w:pPr>
              <w:pStyle w:val="1535"/>
            </w:pPr>
            <w:r>
              <w:t>应急</w:t>
            </w:r>
          </w:p>
        </w:tc>
        <w:tc>
          <w:tcPr>
            <w:tcW w:w="1202" w:type="pct"/>
            <w:vMerge w:val="continue"/>
            <w:tcBorders>
              <w:left w:val="nil"/>
              <w:right w:val="single" w:color="auto" w:sz="4" w:space="0"/>
            </w:tcBorders>
            <w:vAlign w:val="center"/>
          </w:tcPr>
          <w:p w14:paraId="05CF5E47">
            <w:pPr>
              <w:pStyle w:val="1535"/>
            </w:pPr>
          </w:p>
        </w:tc>
      </w:tr>
      <w:tr w14:paraId="7788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367891CC">
            <w:pPr>
              <w:pStyle w:val="1535"/>
            </w:pPr>
            <w:r>
              <w:t>14</w:t>
            </w:r>
          </w:p>
        </w:tc>
        <w:tc>
          <w:tcPr>
            <w:tcW w:w="1481" w:type="pct"/>
            <w:tcBorders>
              <w:top w:val="single" w:color="auto" w:sz="4" w:space="0"/>
              <w:left w:val="nil"/>
              <w:bottom w:val="single" w:color="auto" w:sz="4" w:space="0"/>
              <w:right w:val="single" w:color="auto" w:sz="4" w:space="0"/>
            </w:tcBorders>
            <w:vAlign w:val="center"/>
          </w:tcPr>
          <w:p w14:paraId="4A7E041E">
            <w:pPr>
              <w:pStyle w:val="1535"/>
            </w:pPr>
            <w:r>
              <w:t>淋浴器及洗眼器</w:t>
            </w:r>
          </w:p>
        </w:tc>
        <w:tc>
          <w:tcPr>
            <w:tcW w:w="517" w:type="pct"/>
            <w:tcBorders>
              <w:top w:val="single" w:color="auto" w:sz="4" w:space="0"/>
              <w:left w:val="nil"/>
              <w:bottom w:val="single" w:color="auto" w:sz="4" w:space="0"/>
              <w:right w:val="single" w:color="auto" w:sz="4" w:space="0"/>
            </w:tcBorders>
            <w:vAlign w:val="center"/>
          </w:tcPr>
          <w:p w14:paraId="5F70D7E6">
            <w:pPr>
              <w:pStyle w:val="1535"/>
            </w:pPr>
            <w:r>
              <w:t>1</w:t>
            </w:r>
          </w:p>
        </w:tc>
        <w:tc>
          <w:tcPr>
            <w:tcW w:w="466" w:type="pct"/>
            <w:tcBorders>
              <w:top w:val="single" w:color="auto" w:sz="4" w:space="0"/>
              <w:left w:val="nil"/>
              <w:bottom w:val="single" w:color="auto" w:sz="4" w:space="0"/>
              <w:right w:val="single" w:color="auto" w:sz="4" w:space="0"/>
            </w:tcBorders>
            <w:vAlign w:val="center"/>
          </w:tcPr>
          <w:p w14:paraId="07178D11">
            <w:pPr>
              <w:pStyle w:val="1535"/>
            </w:pPr>
            <w:r>
              <w:t>个</w:t>
            </w:r>
          </w:p>
        </w:tc>
        <w:tc>
          <w:tcPr>
            <w:tcW w:w="899" w:type="pct"/>
            <w:tcBorders>
              <w:top w:val="single" w:color="auto" w:sz="4" w:space="0"/>
              <w:left w:val="nil"/>
              <w:bottom w:val="single" w:color="auto" w:sz="4" w:space="0"/>
              <w:right w:val="single" w:color="auto" w:sz="4" w:space="0"/>
            </w:tcBorders>
            <w:vAlign w:val="center"/>
          </w:tcPr>
          <w:p w14:paraId="2D8B77FB">
            <w:pPr>
              <w:pStyle w:val="1535"/>
            </w:pPr>
            <w:r>
              <w:t>应急</w:t>
            </w:r>
          </w:p>
        </w:tc>
        <w:tc>
          <w:tcPr>
            <w:tcW w:w="1202" w:type="pct"/>
            <w:vMerge w:val="continue"/>
            <w:tcBorders>
              <w:left w:val="nil"/>
              <w:right w:val="single" w:color="auto" w:sz="4" w:space="0"/>
            </w:tcBorders>
            <w:vAlign w:val="center"/>
          </w:tcPr>
          <w:p w14:paraId="5A869181">
            <w:pPr>
              <w:pStyle w:val="1535"/>
            </w:pPr>
          </w:p>
        </w:tc>
      </w:tr>
      <w:tr w14:paraId="1BF4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581F3D09">
            <w:pPr>
              <w:pStyle w:val="1535"/>
            </w:pPr>
            <w:r>
              <w:t>15</w:t>
            </w:r>
          </w:p>
        </w:tc>
        <w:tc>
          <w:tcPr>
            <w:tcW w:w="1481" w:type="pct"/>
            <w:tcBorders>
              <w:top w:val="single" w:color="auto" w:sz="4" w:space="0"/>
              <w:left w:val="nil"/>
              <w:bottom w:val="single" w:color="auto" w:sz="4" w:space="0"/>
              <w:right w:val="single" w:color="auto" w:sz="4" w:space="0"/>
            </w:tcBorders>
            <w:vAlign w:val="center"/>
          </w:tcPr>
          <w:p w14:paraId="41756DCB">
            <w:pPr>
              <w:pStyle w:val="1535"/>
            </w:pPr>
            <w:r>
              <w:t>排风扇</w:t>
            </w:r>
          </w:p>
        </w:tc>
        <w:tc>
          <w:tcPr>
            <w:tcW w:w="517" w:type="pct"/>
            <w:tcBorders>
              <w:top w:val="single" w:color="auto" w:sz="4" w:space="0"/>
              <w:left w:val="nil"/>
              <w:bottom w:val="single" w:color="auto" w:sz="4" w:space="0"/>
              <w:right w:val="single" w:color="auto" w:sz="4" w:space="0"/>
            </w:tcBorders>
            <w:vAlign w:val="center"/>
          </w:tcPr>
          <w:p w14:paraId="5101D152">
            <w:pPr>
              <w:pStyle w:val="1535"/>
            </w:pPr>
            <w:r>
              <w:t>1</w:t>
            </w:r>
          </w:p>
        </w:tc>
        <w:tc>
          <w:tcPr>
            <w:tcW w:w="466" w:type="pct"/>
            <w:tcBorders>
              <w:top w:val="single" w:color="auto" w:sz="4" w:space="0"/>
              <w:left w:val="nil"/>
              <w:bottom w:val="single" w:color="auto" w:sz="4" w:space="0"/>
              <w:right w:val="single" w:color="auto" w:sz="4" w:space="0"/>
            </w:tcBorders>
            <w:vAlign w:val="center"/>
          </w:tcPr>
          <w:p w14:paraId="4DC8290E">
            <w:pPr>
              <w:pStyle w:val="1535"/>
            </w:pPr>
            <w:r>
              <w:t>个</w:t>
            </w:r>
          </w:p>
        </w:tc>
        <w:tc>
          <w:tcPr>
            <w:tcW w:w="899" w:type="pct"/>
            <w:tcBorders>
              <w:top w:val="single" w:color="auto" w:sz="4" w:space="0"/>
              <w:left w:val="nil"/>
              <w:bottom w:val="single" w:color="auto" w:sz="4" w:space="0"/>
              <w:right w:val="single" w:color="auto" w:sz="4" w:space="0"/>
            </w:tcBorders>
            <w:vAlign w:val="center"/>
          </w:tcPr>
          <w:p w14:paraId="12DBD801">
            <w:pPr>
              <w:pStyle w:val="1535"/>
            </w:pPr>
            <w:r>
              <w:t>排气</w:t>
            </w:r>
          </w:p>
        </w:tc>
        <w:tc>
          <w:tcPr>
            <w:tcW w:w="1202" w:type="pct"/>
            <w:vMerge w:val="continue"/>
            <w:tcBorders>
              <w:left w:val="nil"/>
              <w:bottom w:val="single" w:color="auto" w:sz="4" w:space="0"/>
              <w:right w:val="single" w:color="auto" w:sz="4" w:space="0"/>
            </w:tcBorders>
            <w:vAlign w:val="center"/>
          </w:tcPr>
          <w:p w14:paraId="16FA50A5">
            <w:pPr>
              <w:pStyle w:val="1535"/>
            </w:pPr>
          </w:p>
        </w:tc>
      </w:tr>
      <w:tr w14:paraId="6A03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0CCCEB6F">
            <w:pPr>
              <w:pStyle w:val="1535"/>
            </w:pPr>
            <w:r>
              <w:t>16</w:t>
            </w:r>
          </w:p>
        </w:tc>
        <w:tc>
          <w:tcPr>
            <w:tcW w:w="1481" w:type="pct"/>
            <w:tcBorders>
              <w:top w:val="single" w:color="auto" w:sz="4" w:space="0"/>
              <w:left w:val="nil"/>
              <w:bottom w:val="single" w:color="auto" w:sz="4" w:space="0"/>
              <w:right w:val="single" w:color="auto" w:sz="4" w:space="0"/>
            </w:tcBorders>
            <w:vAlign w:val="center"/>
          </w:tcPr>
          <w:p w14:paraId="2C70C98E">
            <w:pPr>
              <w:pStyle w:val="1535"/>
            </w:pPr>
            <w:r>
              <w:t>手套</w:t>
            </w:r>
          </w:p>
        </w:tc>
        <w:tc>
          <w:tcPr>
            <w:tcW w:w="517" w:type="pct"/>
            <w:tcBorders>
              <w:top w:val="single" w:color="auto" w:sz="4" w:space="0"/>
              <w:left w:val="nil"/>
              <w:bottom w:val="single" w:color="auto" w:sz="4" w:space="0"/>
              <w:right w:val="single" w:color="auto" w:sz="4" w:space="0"/>
            </w:tcBorders>
            <w:vAlign w:val="center"/>
          </w:tcPr>
          <w:p w14:paraId="7DF12A51">
            <w:pPr>
              <w:pStyle w:val="1535"/>
            </w:pPr>
            <w:r>
              <w:t>4</w:t>
            </w:r>
          </w:p>
        </w:tc>
        <w:tc>
          <w:tcPr>
            <w:tcW w:w="466" w:type="pct"/>
            <w:tcBorders>
              <w:top w:val="single" w:color="auto" w:sz="4" w:space="0"/>
              <w:left w:val="nil"/>
              <w:bottom w:val="single" w:color="auto" w:sz="4" w:space="0"/>
              <w:right w:val="single" w:color="auto" w:sz="4" w:space="0"/>
            </w:tcBorders>
            <w:vAlign w:val="center"/>
          </w:tcPr>
          <w:p w14:paraId="27F16E8C">
            <w:pPr>
              <w:pStyle w:val="1535"/>
            </w:pPr>
            <w:r>
              <w:t>双</w:t>
            </w:r>
          </w:p>
        </w:tc>
        <w:tc>
          <w:tcPr>
            <w:tcW w:w="899" w:type="pct"/>
            <w:tcBorders>
              <w:top w:val="single" w:color="auto" w:sz="4" w:space="0"/>
              <w:left w:val="nil"/>
              <w:bottom w:val="single" w:color="auto" w:sz="4" w:space="0"/>
              <w:right w:val="single" w:color="auto" w:sz="4" w:space="0"/>
            </w:tcBorders>
            <w:vAlign w:val="center"/>
          </w:tcPr>
          <w:p w14:paraId="742AB3EB">
            <w:pPr>
              <w:pStyle w:val="1535"/>
            </w:pPr>
            <w:r>
              <w:t>应急检修</w:t>
            </w:r>
          </w:p>
        </w:tc>
        <w:tc>
          <w:tcPr>
            <w:tcW w:w="1202" w:type="pct"/>
            <w:vMerge w:val="restart"/>
            <w:tcBorders>
              <w:left w:val="nil"/>
              <w:right w:val="single" w:color="auto" w:sz="4" w:space="0"/>
            </w:tcBorders>
            <w:vAlign w:val="center"/>
          </w:tcPr>
          <w:p w14:paraId="25452E04">
            <w:pPr>
              <w:pStyle w:val="1535"/>
            </w:pPr>
            <w:r>
              <w:t>废气处理设施</w:t>
            </w:r>
          </w:p>
        </w:tc>
      </w:tr>
      <w:tr w14:paraId="676B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144E8B33">
            <w:pPr>
              <w:pStyle w:val="1535"/>
            </w:pPr>
            <w:r>
              <w:t>17</w:t>
            </w:r>
          </w:p>
        </w:tc>
        <w:tc>
          <w:tcPr>
            <w:tcW w:w="1481" w:type="pct"/>
            <w:tcBorders>
              <w:top w:val="single" w:color="auto" w:sz="4" w:space="0"/>
              <w:left w:val="nil"/>
              <w:bottom w:val="single" w:color="auto" w:sz="4" w:space="0"/>
              <w:right w:val="single" w:color="auto" w:sz="4" w:space="0"/>
            </w:tcBorders>
            <w:vAlign w:val="center"/>
          </w:tcPr>
          <w:p w14:paraId="243EE371">
            <w:pPr>
              <w:pStyle w:val="1535"/>
            </w:pPr>
            <w:r>
              <w:t>防护口罩、防毒面具</w:t>
            </w:r>
          </w:p>
        </w:tc>
        <w:tc>
          <w:tcPr>
            <w:tcW w:w="517" w:type="pct"/>
            <w:tcBorders>
              <w:top w:val="single" w:color="auto" w:sz="4" w:space="0"/>
              <w:left w:val="nil"/>
              <w:bottom w:val="single" w:color="auto" w:sz="4" w:space="0"/>
              <w:right w:val="single" w:color="auto" w:sz="4" w:space="0"/>
            </w:tcBorders>
            <w:vAlign w:val="center"/>
          </w:tcPr>
          <w:p w14:paraId="1BA83D92">
            <w:pPr>
              <w:pStyle w:val="1535"/>
            </w:pPr>
            <w:r>
              <w:t>4</w:t>
            </w:r>
          </w:p>
        </w:tc>
        <w:tc>
          <w:tcPr>
            <w:tcW w:w="466" w:type="pct"/>
            <w:tcBorders>
              <w:top w:val="single" w:color="auto" w:sz="4" w:space="0"/>
              <w:left w:val="nil"/>
              <w:bottom w:val="single" w:color="auto" w:sz="4" w:space="0"/>
              <w:right w:val="single" w:color="auto" w:sz="4" w:space="0"/>
            </w:tcBorders>
            <w:vAlign w:val="center"/>
          </w:tcPr>
          <w:p w14:paraId="204EC383">
            <w:pPr>
              <w:pStyle w:val="1535"/>
            </w:pPr>
            <w:r>
              <w:t>个</w:t>
            </w:r>
          </w:p>
        </w:tc>
        <w:tc>
          <w:tcPr>
            <w:tcW w:w="899" w:type="pct"/>
            <w:tcBorders>
              <w:top w:val="single" w:color="auto" w:sz="4" w:space="0"/>
              <w:left w:val="nil"/>
              <w:bottom w:val="single" w:color="auto" w:sz="4" w:space="0"/>
              <w:right w:val="single" w:color="auto" w:sz="4" w:space="0"/>
            </w:tcBorders>
            <w:vAlign w:val="center"/>
          </w:tcPr>
          <w:p w14:paraId="08AF3848">
            <w:pPr>
              <w:pStyle w:val="1535"/>
            </w:pPr>
            <w:r>
              <w:t>应急检修</w:t>
            </w:r>
          </w:p>
        </w:tc>
        <w:tc>
          <w:tcPr>
            <w:tcW w:w="1202" w:type="pct"/>
            <w:vMerge w:val="continue"/>
            <w:tcBorders>
              <w:left w:val="nil"/>
              <w:bottom w:val="single" w:color="auto" w:sz="4" w:space="0"/>
              <w:right w:val="single" w:color="auto" w:sz="4" w:space="0"/>
            </w:tcBorders>
            <w:vAlign w:val="center"/>
          </w:tcPr>
          <w:p w14:paraId="450EE4C4">
            <w:pPr>
              <w:pStyle w:val="1535"/>
            </w:pPr>
          </w:p>
        </w:tc>
      </w:tr>
      <w:tr w14:paraId="7D3F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13A070FC">
            <w:pPr>
              <w:pStyle w:val="1535"/>
            </w:pPr>
            <w:r>
              <w:t>18</w:t>
            </w:r>
          </w:p>
        </w:tc>
        <w:tc>
          <w:tcPr>
            <w:tcW w:w="1481" w:type="pct"/>
            <w:tcBorders>
              <w:top w:val="single" w:color="auto" w:sz="4" w:space="0"/>
              <w:left w:val="nil"/>
              <w:bottom w:val="single" w:color="auto" w:sz="4" w:space="0"/>
              <w:right w:val="single" w:color="auto" w:sz="4" w:space="0"/>
            </w:tcBorders>
            <w:vAlign w:val="center"/>
          </w:tcPr>
          <w:p w14:paraId="0D1B40BA">
            <w:pPr>
              <w:pStyle w:val="1535"/>
            </w:pPr>
            <w:r>
              <w:t>橡胶手套</w:t>
            </w:r>
          </w:p>
        </w:tc>
        <w:tc>
          <w:tcPr>
            <w:tcW w:w="517" w:type="pct"/>
            <w:tcBorders>
              <w:top w:val="single" w:color="auto" w:sz="4" w:space="0"/>
              <w:left w:val="nil"/>
              <w:bottom w:val="single" w:color="auto" w:sz="4" w:space="0"/>
              <w:right w:val="single" w:color="auto" w:sz="4" w:space="0"/>
            </w:tcBorders>
            <w:vAlign w:val="center"/>
          </w:tcPr>
          <w:p w14:paraId="698ED67E">
            <w:pPr>
              <w:pStyle w:val="1535"/>
            </w:pPr>
            <w:r>
              <w:t>4</w:t>
            </w:r>
          </w:p>
        </w:tc>
        <w:tc>
          <w:tcPr>
            <w:tcW w:w="466" w:type="pct"/>
            <w:tcBorders>
              <w:top w:val="single" w:color="auto" w:sz="4" w:space="0"/>
              <w:left w:val="nil"/>
              <w:bottom w:val="single" w:color="auto" w:sz="4" w:space="0"/>
              <w:right w:val="single" w:color="auto" w:sz="4" w:space="0"/>
            </w:tcBorders>
            <w:vAlign w:val="center"/>
          </w:tcPr>
          <w:p w14:paraId="27C77F16">
            <w:pPr>
              <w:pStyle w:val="1535"/>
            </w:pPr>
            <w:r>
              <w:t>双</w:t>
            </w:r>
          </w:p>
        </w:tc>
        <w:tc>
          <w:tcPr>
            <w:tcW w:w="899" w:type="pct"/>
            <w:tcBorders>
              <w:top w:val="single" w:color="auto" w:sz="4" w:space="0"/>
              <w:left w:val="nil"/>
              <w:bottom w:val="single" w:color="auto" w:sz="4" w:space="0"/>
              <w:right w:val="single" w:color="auto" w:sz="4" w:space="0"/>
            </w:tcBorders>
            <w:vAlign w:val="center"/>
          </w:tcPr>
          <w:p w14:paraId="2B632445">
            <w:pPr>
              <w:pStyle w:val="1535"/>
            </w:pPr>
            <w:r>
              <w:t>应急检修</w:t>
            </w:r>
          </w:p>
        </w:tc>
        <w:tc>
          <w:tcPr>
            <w:tcW w:w="1202" w:type="pct"/>
            <w:vMerge w:val="restart"/>
            <w:tcBorders>
              <w:left w:val="nil"/>
              <w:right w:val="single" w:color="auto" w:sz="4" w:space="0"/>
            </w:tcBorders>
            <w:vAlign w:val="center"/>
          </w:tcPr>
          <w:p w14:paraId="1573242A">
            <w:pPr>
              <w:pStyle w:val="1535"/>
            </w:pPr>
            <w:r>
              <w:t>蚀刻间</w:t>
            </w:r>
          </w:p>
        </w:tc>
      </w:tr>
      <w:tr w14:paraId="2A61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7A1A2CCF">
            <w:pPr>
              <w:pStyle w:val="1535"/>
            </w:pPr>
            <w:r>
              <w:t>19</w:t>
            </w:r>
          </w:p>
        </w:tc>
        <w:tc>
          <w:tcPr>
            <w:tcW w:w="1481" w:type="pct"/>
            <w:tcBorders>
              <w:top w:val="single" w:color="auto" w:sz="4" w:space="0"/>
              <w:left w:val="nil"/>
              <w:bottom w:val="single" w:color="auto" w:sz="4" w:space="0"/>
              <w:right w:val="single" w:color="auto" w:sz="4" w:space="0"/>
            </w:tcBorders>
            <w:vAlign w:val="center"/>
          </w:tcPr>
          <w:p w14:paraId="5935EB85">
            <w:pPr>
              <w:pStyle w:val="1535"/>
            </w:pPr>
            <w:r>
              <w:t>防护口罩、防毒面具</w:t>
            </w:r>
          </w:p>
        </w:tc>
        <w:tc>
          <w:tcPr>
            <w:tcW w:w="517" w:type="pct"/>
            <w:tcBorders>
              <w:top w:val="single" w:color="auto" w:sz="4" w:space="0"/>
              <w:left w:val="nil"/>
              <w:bottom w:val="single" w:color="auto" w:sz="4" w:space="0"/>
              <w:right w:val="single" w:color="auto" w:sz="4" w:space="0"/>
            </w:tcBorders>
            <w:vAlign w:val="center"/>
          </w:tcPr>
          <w:p w14:paraId="049943EF">
            <w:pPr>
              <w:pStyle w:val="1535"/>
            </w:pPr>
            <w:r>
              <w:t>4</w:t>
            </w:r>
          </w:p>
        </w:tc>
        <w:tc>
          <w:tcPr>
            <w:tcW w:w="466" w:type="pct"/>
            <w:tcBorders>
              <w:top w:val="single" w:color="auto" w:sz="4" w:space="0"/>
              <w:left w:val="nil"/>
              <w:bottom w:val="single" w:color="auto" w:sz="4" w:space="0"/>
              <w:right w:val="single" w:color="auto" w:sz="4" w:space="0"/>
            </w:tcBorders>
            <w:vAlign w:val="center"/>
          </w:tcPr>
          <w:p w14:paraId="06CFC98C">
            <w:pPr>
              <w:pStyle w:val="1535"/>
            </w:pPr>
            <w:r>
              <w:t>个</w:t>
            </w:r>
          </w:p>
        </w:tc>
        <w:tc>
          <w:tcPr>
            <w:tcW w:w="899" w:type="pct"/>
            <w:tcBorders>
              <w:top w:val="single" w:color="auto" w:sz="4" w:space="0"/>
              <w:left w:val="nil"/>
              <w:bottom w:val="single" w:color="auto" w:sz="4" w:space="0"/>
              <w:right w:val="single" w:color="auto" w:sz="4" w:space="0"/>
            </w:tcBorders>
            <w:vAlign w:val="center"/>
          </w:tcPr>
          <w:p w14:paraId="6C73A94B">
            <w:pPr>
              <w:pStyle w:val="1535"/>
            </w:pPr>
            <w:r>
              <w:t>应急检修</w:t>
            </w:r>
          </w:p>
        </w:tc>
        <w:tc>
          <w:tcPr>
            <w:tcW w:w="1202" w:type="pct"/>
            <w:vMerge w:val="continue"/>
            <w:tcBorders>
              <w:left w:val="nil"/>
              <w:right w:val="single" w:color="auto" w:sz="4" w:space="0"/>
            </w:tcBorders>
            <w:vAlign w:val="center"/>
          </w:tcPr>
          <w:p w14:paraId="2C328D3F">
            <w:pPr>
              <w:pStyle w:val="1535"/>
            </w:pPr>
          </w:p>
        </w:tc>
      </w:tr>
      <w:tr w14:paraId="71DD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767AF11B">
            <w:pPr>
              <w:pStyle w:val="1535"/>
            </w:pPr>
            <w:r>
              <w:t>20</w:t>
            </w:r>
          </w:p>
        </w:tc>
        <w:tc>
          <w:tcPr>
            <w:tcW w:w="1481" w:type="pct"/>
            <w:tcBorders>
              <w:top w:val="single" w:color="auto" w:sz="4" w:space="0"/>
              <w:left w:val="nil"/>
              <w:bottom w:val="single" w:color="auto" w:sz="4" w:space="0"/>
              <w:right w:val="single" w:color="auto" w:sz="4" w:space="0"/>
            </w:tcBorders>
            <w:vAlign w:val="center"/>
          </w:tcPr>
          <w:p w14:paraId="65809676">
            <w:pPr>
              <w:pStyle w:val="1535"/>
            </w:pPr>
            <w:r>
              <w:t>水鞋</w:t>
            </w:r>
          </w:p>
        </w:tc>
        <w:tc>
          <w:tcPr>
            <w:tcW w:w="517" w:type="pct"/>
            <w:tcBorders>
              <w:top w:val="single" w:color="auto" w:sz="4" w:space="0"/>
              <w:left w:val="nil"/>
              <w:bottom w:val="single" w:color="auto" w:sz="4" w:space="0"/>
              <w:right w:val="single" w:color="auto" w:sz="4" w:space="0"/>
            </w:tcBorders>
            <w:vAlign w:val="center"/>
          </w:tcPr>
          <w:p w14:paraId="11191E3D">
            <w:pPr>
              <w:pStyle w:val="1535"/>
            </w:pPr>
            <w:r>
              <w:t>2</w:t>
            </w:r>
          </w:p>
        </w:tc>
        <w:tc>
          <w:tcPr>
            <w:tcW w:w="466" w:type="pct"/>
            <w:tcBorders>
              <w:top w:val="single" w:color="auto" w:sz="4" w:space="0"/>
              <w:left w:val="nil"/>
              <w:bottom w:val="single" w:color="auto" w:sz="4" w:space="0"/>
              <w:right w:val="single" w:color="auto" w:sz="4" w:space="0"/>
            </w:tcBorders>
            <w:vAlign w:val="center"/>
          </w:tcPr>
          <w:p w14:paraId="0BA9B6D2">
            <w:pPr>
              <w:pStyle w:val="1535"/>
            </w:pPr>
            <w:r>
              <w:t>双</w:t>
            </w:r>
          </w:p>
        </w:tc>
        <w:tc>
          <w:tcPr>
            <w:tcW w:w="899" w:type="pct"/>
            <w:tcBorders>
              <w:top w:val="single" w:color="auto" w:sz="4" w:space="0"/>
              <w:left w:val="nil"/>
              <w:bottom w:val="single" w:color="auto" w:sz="4" w:space="0"/>
              <w:right w:val="single" w:color="auto" w:sz="4" w:space="0"/>
            </w:tcBorders>
            <w:vAlign w:val="center"/>
          </w:tcPr>
          <w:p w14:paraId="08D753A9">
            <w:pPr>
              <w:pStyle w:val="1535"/>
            </w:pPr>
            <w:r>
              <w:t>应急检修</w:t>
            </w:r>
          </w:p>
        </w:tc>
        <w:tc>
          <w:tcPr>
            <w:tcW w:w="1202" w:type="pct"/>
            <w:vMerge w:val="continue"/>
            <w:tcBorders>
              <w:left w:val="nil"/>
              <w:bottom w:val="single" w:color="auto" w:sz="4" w:space="0"/>
              <w:right w:val="single" w:color="auto" w:sz="4" w:space="0"/>
            </w:tcBorders>
            <w:vAlign w:val="center"/>
          </w:tcPr>
          <w:p w14:paraId="47B124CE">
            <w:pPr>
              <w:pStyle w:val="1535"/>
            </w:pPr>
          </w:p>
        </w:tc>
      </w:tr>
      <w:tr w14:paraId="72CB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63E82731">
            <w:pPr>
              <w:pStyle w:val="1535"/>
            </w:pPr>
            <w:r>
              <w:t>21</w:t>
            </w:r>
          </w:p>
        </w:tc>
        <w:tc>
          <w:tcPr>
            <w:tcW w:w="1481" w:type="pct"/>
            <w:tcBorders>
              <w:top w:val="single" w:color="auto" w:sz="4" w:space="0"/>
              <w:left w:val="nil"/>
              <w:bottom w:val="single" w:color="auto" w:sz="4" w:space="0"/>
              <w:right w:val="single" w:color="auto" w:sz="4" w:space="0"/>
            </w:tcBorders>
            <w:vAlign w:val="center"/>
          </w:tcPr>
          <w:p w14:paraId="5C34706B">
            <w:pPr>
              <w:pStyle w:val="1535"/>
            </w:pPr>
            <w:r>
              <w:t>橡胶手套</w:t>
            </w:r>
          </w:p>
        </w:tc>
        <w:tc>
          <w:tcPr>
            <w:tcW w:w="517" w:type="pct"/>
            <w:tcBorders>
              <w:top w:val="single" w:color="auto" w:sz="4" w:space="0"/>
              <w:left w:val="nil"/>
              <w:bottom w:val="single" w:color="auto" w:sz="4" w:space="0"/>
              <w:right w:val="single" w:color="auto" w:sz="4" w:space="0"/>
            </w:tcBorders>
            <w:vAlign w:val="center"/>
          </w:tcPr>
          <w:p w14:paraId="62C9AF1B">
            <w:pPr>
              <w:pStyle w:val="1535"/>
            </w:pPr>
            <w:r>
              <w:t>4</w:t>
            </w:r>
          </w:p>
        </w:tc>
        <w:tc>
          <w:tcPr>
            <w:tcW w:w="466" w:type="pct"/>
            <w:tcBorders>
              <w:top w:val="single" w:color="auto" w:sz="4" w:space="0"/>
              <w:left w:val="nil"/>
              <w:bottom w:val="single" w:color="auto" w:sz="4" w:space="0"/>
              <w:right w:val="single" w:color="auto" w:sz="4" w:space="0"/>
            </w:tcBorders>
            <w:vAlign w:val="center"/>
          </w:tcPr>
          <w:p w14:paraId="6E4F90C6">
            <w:pPr>
              <w:pStyle w:val="1535"/>
            </w:pPr>
            <w:r>
              <w:t>双</w:t>
            </w:r>
          </w:p>
        </w:tc>
        <w:tc>
          <w:tcPr>
            <w:tcW w:w="899" w:type="pct"/>
            <w:tcBorders>
              <w:top w:val="single" w:color="auto" w:sz="4" w:space="0"/>
              <w:left w:val="nil"/>
              <w:bottom w:val="single" w:color="auto" w:sz="4" w:space="0"/>
              <w:right w:val="single" w:color="auto" w:sz="4" w:space="0"/>
            </w:tcBorders>
            <w:vAlign w:val="center"/>
          </w:tcPr>
          <w:p w14:paraId="7D71E055">
            <w:pPr>
              <w:pStyle w:val="1535"/>
            </w:pPr>
            <w:r>
              <w:t>应急检修</w:t>
            </w:r>
          </w:p>
        </w:tc>
        <w:tc>
          <w:tcPr>
            <w:tcW w:w="1202" w:type="pct"/>
            <w:vMerge w:val="restart"/>
            <w:tcBorders>
              <w:left w:val="nil"/>
              <w:right w:val="single" w:color="auto" w:sz="4" w:space="0"/>
            </w:tcBorders>
            <w:vAlign w:val="center"/>
          </w:tcPr>
          <w:p w14:paraId="14B80602">
            <w:pPr>
              <w:pStyle w:val="1535"/>
            </w:pPr>
            <w:r>
              <w:t>MTS储存间外</w:t>
            </w:r>
          </w:p>
        </w:tc>
      </w:tr>
      <w:tr w14:paraId="0BB0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76D25CE8">
            <w:pPr>
              <w:pStyle w:val="1535"/>
            </w:pPr>
            <w:r>
              <w:t>22</w:t>
            </w:r>
          </w:p>
        </w:tc>
        <w:tc>
          <w:tcPr>
            <w:tcW w:w="1481" w:type="pct"/>
            <w:tcBorders>
              <w:top w:val="single" w:color="auto" w:sz="4" w:space="0"/>
              <w:left w:val="nil"/>
              <w:bottom w:val="single" w:color="auto" w:sz="4" w:space="0"/>
              <w:right w:val="single" w:color="auto" w:sz="4" w:space="0"/>
            </w:tcBorders>
            <w:vAlign w:val="center"/>
          </w:tcPr>
          <w:p w14:paraId="7F432098">
            <w:pPr>
              <w:pStyle w:val="1535"/>
            </w:pPr>
            <w:r>
              <w:t>防护口罩、防毒面具</w:t>
            </w:r>
          </w:p>
        </w:tc>
        <w:tc>
          <w:tcPr>
            <w:tcW w:w="517" w:type="pct"/>
            <w:tcBorders>
              <w:top w:val="single" w:color="auto" w:sz="4" w:space="0"/>
              <w:left w:val="nil"/>
              <w:bottom w:val="single" w:color="auto" w:sz="4" w:space="0"/>
              <w:right w:val="single" w:color="auto" w:sz="4" w:space="0"/>
            </w:tcBorders>
            <w:vAlign w:val="center"/>
          </w:tcPr>
          <w:p w14:paraId="4D467236">
            <w:pPr>
              <w:pStyle w:val="1535"/>
            </w:pPr>
            <w:r>
              <w:t>各4</w:t>
            </w:r>
          </w:p>
        </w:tc>
        <w:tc>
          <w:tcPr>
            <w:tcW w:w="466" w:type="pct"/>
            <w:tcBorders>
              <w:top w:val="single" w:color="auto" w:sz="4" w:space="0"/>
              <w:left w:val="nil"/>
              <w:bottom w:val="single" w:color="auto" w:sz="4" w:space="0"/>
              <w:right w:val="single" w:color="auto" w:sz="4" w:space="0"/>
            </w:tcBorders>
            <w:vAlign w:val="center"/>
          </w:tcPr>
          <w:p w14:paraId="2298595C">
            <w:pPr>
              <w:pStyle w:val="1535"/>
            </w:pPr>
            <w:r>
              <w:t>个</w:t>
            </w:r>
          </w:p>
        </w:tc>
        <w:tc>
          <w:tcPr>
            <w:tcW w:w="899" w:type="pct"/>
            <w:tcBorders>
              <w:top w:val="single" w:color="auto" w:sz="4" w:space="0"/>
              <w:left w:val="nil"/>
              <w:bottom w:val="single" w:color="auto" w:sz="4" w:space="0"/>
              <w:right w:val="single" w:color="auto" w:sz="4" w:space="0"/>
            </w:tcBorders>
            <w:vAlign w:val="center"/>
          </w:tcPr>
          <w:p w14:paraId="49A8ECCC">
            <w:pPr>
              <w:pStyle w:val="1535"/>
            </w:pPr>
            <w:r>
              <w:t>应急检修</w:t>
            </w:r>
          </w:p>
        </w:tc>
        <w:tc>
          <w:tcPr>
            <w:tcW w:w="1202" w:type="pct"/>
            <w:vMerge w:val="continue"/>
            <w:tcBorders>
              <w:left w:val="nil"/>
              <w:right w:val="single" w:color="auto" w:sz="4" w:space="0"/>
            </w:tcBorders>
            <w:vAlign w:val="center"/>
          </w:tcPr>
          <w:p w14:paraId="709127CC">
            <w:pPr>
              <w:pStyle w:val="1535"/>
            </w:pPr>
          </w:p>
        </w:tc>
      </w:tr>
      <w:tr w14:paraId="52CE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130B7DE3">
            <w:pPr>
              <w:pStyle w:val="1535"/>
            </w:pPr>
            <w:r>
              <w:t>23</w:t>
            </w:r>
          </w:p>
        </w:tc>
        <w:tc>
          <w:tcPr>
            <w:tcW w:w="1481" w:type="pct"/>
            <w:tcBorders>
              <w:top w:val="single" w:color="auto" w:sz="4" w:space="0"/>
              <w:left w:val="nil"/>
              <w:bottom w:val="single" w:color="auto" w:sz="4" w:space="0"/>
              <w:right w:val="single" w:color="auto" w:sz="4" w:space="0"/>
            </w:tcBorders>
            <w:vAlign w:val="center"/>
          </w:tcPr>
          <w:p w14:paraId="3AE93AF1">
            <w:pPr>
              <w:pStyle w:val="1535"/>
            </w:pPr>
            <w:r>
              <w:t>消防沙</w:t>
            </w:r>
          </w:p>
        </w:tc>
        <w:tc>
          <w:tcPr>
            <w:tcW w:w="517" w:type="pct"/>
            <w:tcBorders>
              <w:top w:val="single" w:color="auto" w:sz="4" w:space="0"/>
              <w:left w:val="nil"/>
              <w:bottom w:val="single" w:color="auto" w:sz="4" w:space="0"/>
              <w:right w:val="single" w:color="auto" w:sz="4" w:space="0"/>
            </w:tcBorders>
            <w:vAlign w:val="center"/>
          </w:tcPr>
          <w:p w14:paraId="20870259">
            <w:pPr>
              <w:pStyle w:val="1535"/>
            </w:pPr>
            <w:r>
              <w:t>0.5</w:t>
            </w:r>
          </w:p>
        </w:tc>
        <w:tc>
          <w:tcPr>
            <w:tcW w:w="466" w:type="pct"/>
            <w:tcBorders>
              <w:top w:val="single" w:color="auto" w:sz="4" w:space="0"/>
              <w:left w:val="nil"/>
              <w:bottom w:val="single" w:color="auto" w:sz="4" w:space="0"/>
              <w:right w:val="single" w:color="auto" w:sz="4" w:space="0"/>
            </w:tcBorders>
            <w:vAlign w:val="center"/>
          </w:tcPr>
          <w:p w14:paraId="7671DF27">
            <w:pPr>
              <w:pStyle w:val="1535"/>
            </w:pPr>
            <w:r>
              <w:rPr>
                <w:rFonts w:hint="eastAsia"/>
              </w:rPr>
              <w:t>m</w:t>
            </w:r>
            <w:r>
              <w:rPr>
                <w:rFonts w:hint="eastAsia"/>
                <w:vertAlign w:val="superscript"/>
              </w:rPr>
              <w:t>3</w:t>
            </w:r>
          </w:p>
        </w:tc>
        <w:tc>
          <w:tcPr>
            <w:tcW w:w="899" w:type="pct"/>
            <w:tcBorders>
              <w:top w:val="single" w:color="auto" w:sz="4" w:space="0"/>
              <w:left w:val="nil"/>
              <w:bottom w:val="single" w:color="auto" w:sz="4" w:space="0"/>
              <w:right w:val="single" w:color="auto" w:sz="4" w:space="0"/>
            </w:tcBorders>
            <w:vAlign w:val="center"/>
          </w:tcPr>
          <w:p w14:paraId="098ADEAC">
            <w:pPr>
              <w:pStyle w:val="1535"/>
            </w:pPr>
            <w:r>
              <w:t>应急收集</w:t>
            </w:r>
          </w:p>
        </w:tc>
        <w:tc>
          <w:tcPr>
            <w:tcW w:w="1202" w:type="pct"/>
            <w:vMerge w:val="continue"/>
            <w:tcBorders>
              <w:left w:val="nil"/>
              <w:right w:val="single" w:color="auto" w:sz="4" w:space="0"/>
            </w:tcBorders>
            <w:vAlign w:val="center"/>
          </w:tcPr>
          <w:p w14:paraId="2F8D1792">
            <w:pPr>
              <w:pStyle w:val="1535"/>
            </w:pPr>
          </w:p>
        </w:tc>
      </w:tr>
      <w:tr w14:paraId="29F1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43F6EF45">
            <w:pPr>
              <w:pStyle w:val="1535"/>
            </w:pPr>
            <w:r>
              <w:t>24</w:t>
            </w:r>
          </w:p>
        </w:tc>
        <w:tc>
          <w:tcPr>
            <w:tcW w:w="1481" w:type="pct"/>
            <w:tcBorders>
              <w:top w:val="single" w:color="auto" w:sz="4" w:space="0"/>
              <w:left w:val="nil"/>
              <w:bottom w:val="single" w:color="auto" w:sz="4" w:space="0"/>
              <w:right w:val="single" w:color="auto" w:sz="4" w:space="0"/>
            </w:tcBorders>
            <w:vAlign w:val="center"/>
          </w:tcPr>
          <w:p w14:paraId="7345F4B1">
            <w:pPr>
              <w:pStyle w:val="1535"/>
            </w:pPr>
            <w:r>
              <w:t>不可燃吸收毡</w:t>
            </w:r>
          </w:p>
        </w:tc>
        <w:tc>
          <w:tcPr>
            <w:tcW w:w="517" w:type="pct"/>
            <w:tcBorders>
              <w:top w:val="single" w:color="auto" w:sz="4" w:space="0"/>
              <w:left w:val="nil"/>
              <w:bottom w:val="single" w:color="auto" w:sz="4" w:space="0"/>
              <w:right w:val="single" w:color="auto" w:sz="4" w:space="0"/>
            </w:tcBorders>
            <w:vAlign w:val="center"/>
          </w:tcPr>
          <w:p w14:paraId="5DC92734">
            <w:pPr>
              <w:pStyle w:val="1535"/>
            </w:pPr>
            <w:r>
              <w:t>3</w:t>
            </w:r>
          </w:p>
        </w:tc>
        <w:tc>
          <w:tcPr>
            <w:tcW w:w="466" w:type="pct"/>
            <w:tcBorders>
              <w:top w:val="single" w:color="auto" w:sz="4" w:space="0"/>
              <w:left w:val="nil"/>
              <w:bottom w:val="single" w:color="auto" w:sz="4" w:space="0"/>
              <w:right w:val="single" w:color="auto" w:sz="4" w:space="0"/>
            </w:tcBorders>
            <w:vAlign w:val="center"/>
          </w:tcPr>
          <w:p w14:paraId="08F1EE4E">
            <w:pPr>
              <w:pStyle w:val="1535"/>
            </w:pPr>
            <w:r>
              <w:t>条</w:t>
            </w:r>
          </w:p>
        </w:tc>
        <w:tc>
          <w:tcPr>
            <w:tcW w:w="899" w:type="pct"/>
            <w:tcBorders>
              <w:top w:val="single" w:color="auto" w:sz="4" w:space="0"/>
              <w:left w:val="nil"/>
              <w:bottom w:val="single" w:color="auto" w:sz="4" w:space="0"/>
              <w:right w:val="single" w:color="auto" w:sz="4" w:space="0"/>
            </w:tcBorders>
            <w:vAlign w:val="center"/>
          </w:tcPr>
          <w:p w14:paraId="444FD5D7">
            <w:pPr>
              <w:pStyle w:val="1535"/>
            </w:pPr>
            <w:r>
              <w:t>应急收集</w:t>
            </w:r>
          </w:p>
        </w:tc>
        <w:tc>
          <w:tcPr>
            <w:tcW w:w="1202" w:type="pct"/>
            <w:vMerge w:val="continue"/>
            <w:tcBorders>
              <w:left w:val="nil"/>
              <w:right w:val="single" w:color="auto" w:sz="4" w:space="0"/>
            </w:tcBorders>
            <w:vAlign w:val="center"/>
          </w:tcPr>
          <w:p w14:paraId="45CB7917">
            <w:pPr>
              <w:pStyle w:val="1535"/>
            </w:pPr>
          </w:p>
        </w:tc>
      </w:tr>
      <w:tr w14:paraId="0DDD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258A61EB">
            <w:pPr>
              <w:pStyle w:val="1535"/>
            </w:pPr>
            <w:r>
              <w:t>25</w:t>
            </w:r>
          </w:p>
        </w:tc>
        <w:tc>
          <w:tcPr>
            <w:tcW w:w="1481" w:type="pct"/>
            <w:tcBorders>
              <w:top w:val="single" w:color="auto" w:sz="4" w:space="0"/>
              <w:left w:val="nil"/>
              <w:bottom w:val="single" w:color="auto" w:sz="4" w:space="0"/>
              <w:right w:val="single" w:color="auto" w:sz="4" w:space="0"/>
            </w:tcBorders>
            <w:vAlign w:val="center"/>
          </w:tcPr>
          <w:p w14:paraId="48DB3AF4">
            <w:pPr>
              <w:pStyle w:val="1535"/>
            </w:pPr>
            <w:r>
              <w:t>水鞋</w:t>
            </w:r>
          </w:p>
        </w:tc>
        <w:tc>
          <w:tcPr>
            <w:tcW w:w="517" w:type="pct"/>
            <w:tcBorders>
              <w:top w:val="single" w:color="auto" w:sz="4" w:space="0"/>
              <w:left w:val="nil"/>
              <w:bottom w:val="single" w:color="auto" w:sz="4" w:space="0"/>
              <w:right w:val="single" w:color="auto" w:sz="4" w:space="0"/>
            </w:tcBorders>
            <w:vAlign w:val="center"/>
          </w:tcPr>
          <w:p w14:paraId="1D718087">
            <w:pPr>
              <w:pStyle w:val="1535"/>
            </w:pPr>
            <w:r>
              <w:t>2</w:t>
            </w:r>
          </w:p>
        </w:tc>
        <w:tc>
          <w:tcPr>
            <w:tcW w:w="466" w:type="pct"/>
            <w:tcBorders>
              <w:top w:val="single" w:color="auto" w:sz="4" w:space="0"/>
              <w:left w:val="nil"/>
              <w:bottom w:val="single" w:color="auto" w:sz="4" w:space="0"/>
              <w:right w:val="single" w:color="auto" w:sz="4" w:space="0"/>
            </w:tcBorders>
            <w:vAlign w:val="center"/>
          </w:tcPr>
          <w:p w14:paraId="265C8560">
            <w:pPr>
              <w:pStyle w:val="1535"/>
            </w:pPr>
            <w:r>
              <w:t>双</w:t>
            </w:r>
          </w:p>
        </w:tc>
        <w:tc>
          <w:tcPr>
            <w:tcW w:w="899" w:type="pct"/>
            <w:tcBorders>
              <w:top w:val="single" w:color="auto" w:sz="4" w:space="0"/>
              <w:left w:val="nil"/>
              <w:bottom w:val="single" w:color="auto" w:sz="4" w:space="0"/>
              <w:right w:val="single" w:color="auto" w:sz="4" w:space="0"/>
            </w:tcBorders>
            <w:vAlign w:val="center"/>
          </w:tcPr>
          <w:p w14:paraId="46756E8B">
            <w:pPr>
              <w:pStyle w:val="1535"/>
            </w:pPr>
            <w:r>
              <w:t>应急检修</w:t>
            </w:r>
          </w:p>
        </w:tc>
        <w:tc>
          <w:tcPr>
            <w:tcW w:w="1202" w:type="pct"/>
            <w:vMerge w:val="continue"/>
            <w:tcBorders>
              <w:left w:val="nil"/>
              <w:bottom w:val="single" w:color="auto" w:sz="4" w:space="0"/>
              <w:right w:val="single" w:color="auto" w:sz="4" w:space="0"/>
            </w:tcBorders>
            <w:vAlign w:val="center"/>
          </w:tcPr>
          <w:p w14:paraId="221EACF4">
            <w:pPr>
              <w:pStyle w:val="1535"/>
            </w:pPr>
          </w:p>
        </w:tc>
      </w:tr>
      <w:tr w14:paraId="3B9A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op w:val="single" w:color="auto" w:sz="4" w:space="0"/>
              <w:left w:val="single" w:color="auto" w:sz="4" w:space="0"/>
              <w:bottom w:val="single" w:color="auto" w:sz="4" w:space="0"/>
              <w:right w:val="single" w:color="auto" w:sz="4" w:space="0"/>
            </w:tcBorders>
            <w:vAlign w:val="center"/>
          </w:tcPr>
          <w:p w14:paraId="1302A3D4">
            <w:pPr>
              <w:pStyle w:val="1535"/>
            </w:pPr>
            <w:r>
              <w:t>26</w:t>
            </w:r>
          </w:p>
        </w:tc>
        <w:tc>
          <w:tcPr>
            <w:tcW w:w="1481" w:type="pct"/>
            <w:tcBorders>
              <w:top w:val="single" w:color="auto" w:sz="4" w:space="0"/>
              <w:left w:val="nil"/>
              <w:bottom w:val="single" w:color="auto" w:sz="4" w:space="0"/>
              <w:right w:val="single" w:color="auto" w:sz="4" w:space="0"/>
            </w:tcBorders>
            <w:vAlign w:val="center"/>
          </w:tcPr>
          <w:p w14:paraId="6753A899">
            <w:pPr>
              <w:pStyle w:val="1535"/>
            </w:pPr>
            <w:r>
              <w:t>风向标</w:t>
            </w:r>
          </w:p>
        </w:tc>
        <w:tc>
          <w:tcPr>
            <w:tcW w:w="517" w:type="pct"/>
            <w:tcBorders>
              <w:top w:val="single" w:color="auto" w:sz="4" w:space="0"/>
              <w:left w:val="nil"/>
              <w:bottom w:val="single" w:color="auto" w:sz="4" w:space="0"/>
              <w:right w:val="single" w:color="auto" w:sz="4" w:space="0"/>
            </w:tcBorders>
            <w:vAlign w:val="center"/>
          </w:tcPr>
          <w:p w14:paraId="0F77D259">
            <w:pPr>
              <w:pStyle w:val="1535"/>
            </w:pPr>
            <w:r>
              <w:t>1</w:t>
            </w:r>
          </w:p>
        </w:tc>
        <w:tc>
          <w:tcPr>
            <w:tcW w:w="466" w:type="pct"/>
            <w:tcBorders>
              <w:top w:val="single" w:color="auto" w:sz="4" w:space="0"/>
              <w:left w:val="nil"/>
              <w:bottom w:val="single" w:color="auto" w:sz="4" w:space="0"/>
              <w:right w:val="single" w:color="auto" w:sz="4" w:space="0"/>
            </w:tcBorders>
            <w:vAlign w:val="center"/>
          </w:tcPr>
          <w:p w14:paraId="02CD4EDE">
            <w:pPr>
              <w:pStyle w:val="1535"/>
            </w:pPr>
            <w:r>
              <w:t>个</w:t>
            </w:r>
          </w:p>
        </w:tc>
        <w:tc>
          <w:tcPr>
            <w:tcW w:w="899" w:type="pct"/>
            <w:tcBorders>
              <w:top w:val="single" w:color="auto" w:sz="4" w:space="0"/>
              <w:left w:val="nil"/>
              <w:bottom w:val="single" w:color="auto" w:sz="4" w:space="0"/>
              <w:right w:val="single" w:color="auto" w:sz="4" w:space="0"/>
            </w:tcBorders>
            <w:vAlign w:val="center"/>
          </w:tcPr>
          <w:p w14:paraId="19574669">
            <w:pPr>
              <w:pStyle w:val="1535"/>
            </w:pPr>
            <w:r>
              <w:t>指明风向</w:t>
            </w:r>
          </w:p>
        </w:tc>
        <w:tc>
          <w:tcPr>
            <w:tcW w:w="1202" w:type="pct"/>
            <w:tcBorders>
              <w:left w:val="nil"/>
              <w:bottom w:val="single" w:color="auto" w:sz="4" w:space="0"/>
              <w:right w:val="single" w:color="auto" w:sz="4" w:space="0"/>
            </w:tcBorders>
            <w:vAlign w:val="center"/>
          </w:tcPr>
          <w:p w14:paraId="4434E09F">
            <w:pPr>
              <w:pStyle w:val="1535"/>
            </w:pPr>
            <w:r>
              <w:t>区域最高点</w:t>
            </w:r>
          </w:p>
        </w:tc>
      </w:tr>
      <w:tr w14:paraId="7C25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35" w:type="pct"/>
            <w:tcBorders>
              <w:top w:val="single" w:color="auto" w:sz="4" w:space="0"/>
              <w:left w:val="single" w:color="auto" w:sz="4" w:space="0"/>
              <w:bottom w:val="single" w:color="auto" w:sz="4" w:space="0"/>
              <w:right w:val="single" w:color="auto" w:sz="4" w:space="0"/>
            </w:tcBorders>
            <w:vAlign w:val="center"/>
          </w:tcPr>
          <w:p w14:paraId="1E08F5A4">
            <w:pPr>
              <w:pStyle w:val="1535"/>
            </w:pPr>
            <w:r>
              <w:t>27</w:t>
            </w:r>
          </w:p>
        </w:tc>
        <w:tc>
          <w:tcPr>
            <w:tcW w:w="1481" w:type="pct"/>
            <w:tcBorders>
              <w:top w:val="single" w:color="auto" w:sz="4" w:space="0"/>
              <w:left w:val="nil"/>
              <w:bottom w:val="single" w:color="auto" w:sz="4" w:space="0"/>
              <w:right w:val="single" w:color="auto" w:sz="4" w:space="0"/>
            </w:tcBorders>
            <w:vAlign w:val="center"/>
          </w:tcPr>
          <w:p w14:paraId="58C44C40">
            <w:pPr>
              <w:pStyle w:val="1535"/>
            </w:pPr>
            <w:r>
              <w:t>手电</w:t>
            </w:r>
          </w:p>
        </w:tc>
        <w:tc>
          <w:tcPr>
            <w:tcW w:w="517" w:type="pct"/>
            <w:tcBorders>
              <w:top w:val="single" w:color="auto" w:sz="4" w:space="0"/>
              <w:left w:val="nil"/>
              <w:bottom w:val="single" w:color="auto" w:sz="4" w:space="0"/>
              <w:right w:val="single" w:color="auto" w:sz="4" w:space="0"/>
            </w:tcBorders>
            <w:vAlign w:val="center"/>
          </w:tcPr>
          <w:p w14:paraId="7DAE0B83">
            <w:pPr>
              <w:pStyle w:val="1535"/>
            </w:pPr>
            <w:r>
              <w:t>2</w:t>
            </w:r>
          </w:p>
        </w:tc>
        <w:tc>
          <w:tcPr>
            <w:tcW w:w="466" w:type="pct"/>
            <w:tcBorders>
              <w:top w:val="single" w:color="auto" w:sz="4" w:space="0"/>
              <w:left w:val="nil"/>
              <w:bottom w:val="single" w:color="auto" w:sz="4" w:space="0"/>
              <w:right w:val="single" w:color="auto" w:sz="4" w:space="0"/>
            </w:tcBorders>
            <w:vAlign w:val="center"/>
          </w:tcPr>
          <w:p w14:paraId="18FC9FBF">
            <w:pPr>
              <w:pStyle w:val="1535"/>
            </w:pPr>
            <w:r>
              <w:t>个</w:t>
            </w:r>
          </w:p>
        </w:tc>
        <w:tc>
          <w:tcPr>
            <w:tcW w:w="899" w:type="pct"/>
            <w:tcBorders>
              <w:top w:val="single" w:color="auto" w:sz="4" w:space="0"/>
              <w:left w:val="nil"/>
              <w:bottom w:val="single" w:color="auto" w:sz="4" w:space="0"/>
              <w:right w:val="single" w:color="auto" w:sz="4" w:space="0"/>
            </w:tcBorders>
            <w:vAlign w:val="center"/>
          </w:tcPr>
          <w:p w14:paraId="2E891F4E">
            <w:pPr>
              <w:pStyle w:val="1535"/>
            </w:pPr>
            <w:r>
              <w:t>应急照明</w:t>
            </w:r>
          </w:p>
        </w:tc>
        <w:tc>
          <w:tcPr>
            <w:tcW w:w="1202" w:type="pct"/>
            <w:tcBorders>
              <w:top w:val="single" w:color="auto" w:sz="4" w:space="0"/>
              <w:left w:val="nil"/>
              <w:bottom w:val="single" w:color="auto" w:sz="4" w:space="0"/>
              <w:right w:val="single" w:color="auto" w:sz="4" w:space="0"/>
            </w:tcBorders>
            <w:vAlign w:val="center"/>
          </w:tcPr>
          <w:p w14:paraId="5D82C0A9">
            <w:pPr>
              <w:pStyle w:val="1535"/>
            </w:pPr>
            <w:r>
              <w:t>办公室</w:t>
            </w:r>
          </w:p>
        </w:tc>
      </w:tr>
    </w:tbl>
    <w:p w14:paraId="58A5CA77">
      <w:pPr>
        <w:spacing w:line="240" w:lineRule="auto"/>
        <w:ind w:firstLine="520"/>
        <w:jc w:val="left"/>
        <w:rPr>
          <w:color w:val="000000" w:themeColor="text1"/>
          <w14:textFill>
            <w14:solidFill>
              <w14:schemeClr w14:val="tx1"/>
            </w14:solidFill>
          </w14:textFill>
        </w:rPr>
      </w:pPr>
      <w:r>
        <w:rPr>
          <w:color w:val="000000" w:themeColor="text1"/>
          <w14:textFill>
            <w14:solidFill>
              <w14:schemeClr w14:val="tx1"/>
            </w14:solidFill>
          </w14:textFill>
        </w:rPr>
        <w:t>备注：最终以公司修订的突发环境事件风险评估报告为准。</w:t>
      </w:r>
    </w:p>
    <w:p w14:paraId="6B5513C4">
      <w:pPr>
        <w:pStyle w:val="4"/>
        <w:rPr>
          <w:color w:val="000000" w:themeColor="text1"/>
          <w14:textFill>
            <w14:solidFill>
              <w14:schemeClr w14:val="tx1"/>
            </w14:solidFill>
          </w14:textFill>
        </w:rPr>
      </w:pPr>
      <w:bookmarkStart w:id="346" w:name="_Toc5560"/>
      <w:r>
        <w:rPr>
          <w:color w:val="000000" w:themeColor="text1"/>
          <w14:textFill>
            <w14:solidFill>
              <w14:schemeClr w14:val="tx1"/>
            </w14:solidFill>
          </w14:textFill>
        </w:rPr>
        <w:t>环境风险评价结论</w:t>
      </w:r>
      <w:bookmarkEnd w:id="345"/>
      <w:bookmarkEnd w:id="346"/>
    </w:p>
    <w:p w14:paraId="39E42C8E">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主要环境风险为项目厂区物料泄漏、废气处理设施喷淋塔故障和生产废水污水处理站发生事故，导致物料泄漏、废气未经处理直排以及未经处理的污水排入厂区外，对周边人体健康、大气、地下水和土壤产生危害。由于项目修建事故应急池，事故一旦发生，可将废水收集入事故应急池。酸洗车间和乙类化学品库酸料存储区需做防渗，地面采取铺设2mm高密度聚乙烯膜防渗或使用其他防渗材料，渗透系数小于等于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并在酸洗车间和酸料储存区内部设置导流槽，各设置一个储液罐，一旦发生物料泄漏时导流槽直接引至储液罐，能够及时收集引至事故池，导流槽内的残留物用水冲洗后引至废水事故池，阶段性的将事故储池内废水送至厂内污水处理站处理达标后排放，对外环境无影响。并且建设单位应通过实施各项防范措施和应急措施，防范风险事故发生。</w:t>
      </w:r>
    </w:p>
    <w:p w14:paraId="018E2239">
      <w:pPr>
        <w:ind w:firstLine="520"/>
        <w:rPr>
          <w:color w:val="000000" w:themeColor="text1"/>
          <w14:textFill>
            <w14:solidFill>
              <w14:schemeClr w14:val="tx1"/>
            </w14:solidFill>
          </w14:textFill>
        </w:rPr>
      </w:pPr>
      <w:r>
        <w:rPr>
          <w:color w:val="000000" w:themeColor="text1"/>
          <w14:textFill>
            <w14:solidFill>
              <w14:schemeClr w14:val="tx1"/>
            </w14:solidFill>
          </w14:textFill>
        </w:rPr>
        <w:t>综上所述，扩建项目的环境风险防范措施合理可行，风险水平属于可以接受的范畴。</w:t>
      </w:r>
    </w:p>
    <w:p w14:paraId="44C3A7FE">
      <w:pPr>
        <w:spacing w:before="32"/>
        <w:ind w:firstLine="0" w:firstLineChars="0"/>
        <w:jc w:val="center"/>
        <w:rPr>
          <w:color w:val="000000" w:themeColor="text1"/>
          <w14:textFill>
            <w14:solidFill>
              <w14:schemeClr w14:val="tx1"/>
            </w14:solidFill>
          </w14:textFill>
        </w:rPr>
      </w:pPr>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7.8</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环境风险评价自查表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679"/>
        <w:gridCol w:w="847"/>
        <w:gridCol w:w="501"/>
        <w:gridCol w:w="391"/>
        <w:gridCol w:w="711"/>
        <w:gridCol w:w="132"/>
        <w:gridCol w:w="708"/>
        <w:gridCol w:w="138"/>
        <w:gridCol w:w="422"/>
        <w:gridCol w:w="6"/>
        <w:gridCol w:w="823"/>
        <w:gridCol w:w="1144"/>
        <w:gridCol w:w="785"/>
        <w:gridCol w:w="728"/>
        <w:gridCol w:w="893"/>
      </w:tblGrid>
      <w:tr w14:paraId="593E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tcBorders>
              <w:tl2br w:val="nil"/>
              <w:tr2bl w:val="nil"/>
            </w:tcBorders>
            <w:vAlign w:val="center"/>
          </w:tcPr>
          <w:p w14:paraId="21109976">
            <w:pPr>
              <w:pStyle w:val="1535"/>
            </w:pPr>
            <w:r>
              <w:t>工作内容</w:t>
            </w:r>
          </w:p>
        </w:tc>
        <w:tc>
          <w:tcPr>
            <w:tcW w:w="4351" w:type="pct"/>
            <w:gridSpan w:val="14"/>
            <w:tcBorders>
              <w:tl2br w:val="nil"/>
              <w:tr2bl w:val="nil"/>
            </w:tcBorders>
            <w:vAlign w:val="center"/>
          </w:tcPr>
          <w:p w14:paraId="14DC0F2C">
            <w:pPr>
              <w:pStyle w:val="1535"/>
            </w:pPr>
            <w:r>
              <w:t>完成情况</w:t>
            </w:r>
          </w:p>
        </w:tc>
      </w:tr>
      <w:tr w14:paraId="03C3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vAlign w:val="center"/>
          </w:tcPr>
          <w:p w14:paraId="5A454232">
            <w:pPr>
              <w:pStyle w:val="1535"/>
            </w:pPr>
            <w:r>
              <w:t>风险调查</w:t>
            </w:r>
          </w:p>
        </w:tc>
        <w:tc>
          <w:tcPr>
            <w:tcW w:w="359" w:type="pct"/>
            <w:vMerge w:val="restart"/>
            <w:vAlign w:val="center"/>
          </w:tcPr>
          <w:p w14:paraId="2E0970CD">
            <w:pPr>
              <w:pStyle w:val="1535"/>
            </w:pPr>
            <w:r>
              <w:t>危险物质</w:t>
            </w:r>
          </w:p>
        </w:tc>
        <w:tc>
          <w:tcPr>
            <w:tcW w:w="448" w:type="pct"/>
            <w:vAlign w:val="center"/>
          </w:tcPr>
          <w:p w14:paraId="3B392CE2">
            <w:pPr>
              <w:pStyle w:val="1535"/>
            </w:pPr>
            <w:r>
              <w:t>名称</w:t>
            </w:r>
          </w:p>
        </w:tc>
        <w:tc>
          <w:tcPr>
            <w:tcW w:w="472" w:type="pct"/>
            <w:gridSpan w:val="2"/>
            <w:vAlign w:val="center"/>
          </w:tcPr>
          <w:p w14:paraId="1B7BADB9">
            <w:pPr>
              <w:pStyle w:val="1535"/>
            </w:pPr>
            <w:r>
              <w:rPr>
                <w:rFonts w:hint="eastAsia"/>
              </w:rPr>
              <w:t>清洗液</w:t>
            </w:r>
          </w:p>
        </w:tc>
        <w:tc>
          <w:tcPr>
            <w:tcW w:w="376" w:type="pct"/>
            <w:vAlign w:val="center"/>
          </w:tcPr>
          <w:p w14:paraId="72C460F4">
            <w:pPr>
              <w:pStyle w:val="1535"/>
            </w:pPr>
            <w:r>
              <w:t>硝酸</w:t>
            </w:r>
          </w:p>
        </w:tc>
        <w:tc>
          <w:tcPr>
            <w:tcW w:w="444" w:type="pct"/>
            <w:gridSpan w:val="2"/>
            <w:vAlign w:val="center"/>
          </w:tcPr>
          <w:p w14:paraId="72C86D2B">
            <w:pPr>
              <w:pStyle w:val="1535"/>
            </w:pPr>
            <w:r>
              <w:t>氢氟酸</w:t>
            </w:r>
          </w:p>
        </w:tc>
        <w:tc>
          <w:tcPr>
            <w:tcW w:w="296" w:type="pct"/>
            <w:gridSpan w:val="2"/>
            <w:vAlign w:val="center"/>
          </w:tcPr>
          <w:p w14:paraId="0E1106A1">
            <w:pPr>
              <w:pStyle w:val="1535"/>
            </w:pPr>
            <w:r>
              <w:t>盐酸</w:t>
            </w:r>
          </w:p>
        </w:tc>
        <w:tc>
          <w:tcPr>
            <w:tcW w:w="438" w:type="pct"/>
            <w:gridSpan w:val="2"/>
            <w:vAlign w:val="center"/>
          </w:tcPr>
          <w:p w14:paraId="3E3819A4">
            <w:pPr>
              <w:pStyle w:val="1535"/>
            </w:pPr>
            <w:r>
              <w:rPr>
                <w:rFonts w:hint="eastAsia"/>
              </w:rPr>
              <w:t>MTS</w:t>
            </w:r>
          </w:p>
        </w:tc>
        <w:tc>
          <w:tcPr>
            <w:tcW w:w="605" w:type="pct"/>
            <w:vAlign w:val="center"/>
          </w:tcPr>
          <w:p w14:paraId="093C898A">
            <w:pPr>
              <w:pStyle w:val="1535"/>
            </w:pPr>
            <w:r>
              <w:rPr>
                <w:rFonts w:hint="eastAsia"/>
              </w:rPr>
              <w:t>蚀刻液（</w:t>
            </w:r>
            <w:r>
              <w:t>硫酸</w:t>
            </w:r>
            <w:r>
              <w:rPr>
                <w:rFonts w:hint="eastAsia"/>
              </w:rPr>
              <w:t>）</w:t>
            </w:r>
          </w:p>
        </w:tc>
        <w:tc>
          <w:tcPr>
            <w:tcW w:w="415" w:type="pct"/>
            <w:vAlign w:val="center"/>
          </w:tcPr>
          <w:p w14:paraId="72752841">
            <w:pPr>
              <w:pStyle w:val="1535"/>
            </w:pPr>
            <w:r>
              <w:rPr>
                <w:rFonts w:hint="eastAsia"/>
              </w:rPr>
              <w:t>甲苯</w:t>
            </w:r>
          </w:p>
        </w:tc>
        <w:tc>
          <w:tcPr>
            <w:tcW w:w="385" w:type="pct"/>
            <w:vAlign w:val="center"/>
          </w:tcPr>
          <w:p w14:paraId="13963D80">
            <w:pPr>
              <w:pStyle w:val="1535"/>
            </w:pPr>
            <w:r>
              <w:rPr>
                <w:rFonts w:hint="eastAsia"/>
              </w:rPr>
              <w:t>切削液</w:t>
            </w:r>
          </w:p>
        </w:tc>
        <w:tc>
          <w:tcPr>
            <w:tcW w:w="472" w:type="pct"/>
            <w:vAlign w:val="center"/>
          </w:tcPr>
          <w:p w14:paraId="05C222F5">
            <w:pPr>
              <w:pStyle w:val="1535"/>
            </w:pPr>
            <w:r>
              <w:t>醋酸</w:t>
            </w:r>
          </w:p>
        </w:tc>
      </w:tr>
      <w:tr w14:paraId="26AE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07D41A2E">
            <w:pPr>
              <w:pStyle w:val="1535"/>
            </w:pPr>
          </w:p>
        </w:tc>
        <w:tc>
          <w:tcPr>
            <w:tcW w:w="359" w:type="pct"/>
            <w:vMerge w:val="continue"/>
            <w:vAlign w:val="center"/>
          </w:tcPr>
          <w:p w14:paraId="6EFD035E">
            <w:pPr>
              <w:pStyle w:val="1535"/>
            </w:pPr>
          </w:p>
        </w:tc>
        <w:tc>
          <w:tcPr>
            <w:tcW w:w="448" w:type="pct"/>
            <w:vAlign w:val="center"/>
          </w:tcPr>
          <w:p w14:paraId="7B7710E0">
            <w:pPr>
              <w:pStyle w:val="1535"/>
            </w:pPr>
            <w:r>
              <w:t>存在总量/t</w:t>
            </w:r>
          </w:p>
        </w:tc>
        <w:tc>
          <w:tcPr>
            <w:tcW w:w="472" w:type="pct"/>
            <w:gridSpan w:val="2"/>
            <w:vAlign w:val="center"/>
          </w:tcPr>
          <w:p w14:paraId="21CF5897">
            <w:pPr>
              <w:pStyle w:val="1535"/>
            </w:pPr>
            <w:r>
              <w:rPr>
                <w:rFonts w:hint="eastAsia"/>
              </w:rPr>
              <w:t>3.0</w:t>
            </w:r>
          </w:p>
        </w:tc>
        <w:tc>
          <w:tcPr>
            <w:tcW w:w="376" w:type="pct"/>
            <w:vAlign w:val="center"/>
          </w:tcPr>
          <w:p w14:paraId="2A864C08">
            <w:pPr>
              <w:pStyle w:val="1535"/>
            </w:pPr>
            <w:r>
              <w:rPr>
                <w:rFonts w:hint="eastAsia"/>
              </w:rPr>
              <w:t>1.9</w:t>
            </w:r>
          </w:p>
        </w:tc>
        <w:tc>
          <w:tcPr>
            <w:tcW w:w="444" w:type="pct"/>
            <w:gridSpan w:val="2"/>
            <w:vAlign w:val="center"/>
          </w:tcPr>
          <w:p w14:paraId="7D1FAB11">
            <w:pPr>
              <w:pStyle w:val="1535"/>
            </w:pPr>
            <w:r>
              <w:rPr>
                <w:rFonts w:hint="eastAsia"/>
              </w:rPr>
              <w:t>0.32</w:t>
            </w:r>
          </w:p>
        </w:tc>
        <w:tc>
          <w:tcPr>
            <w:tcW w:w="296" w:type="pct"/>
            <w:gridSpan w:val="2"/>
            <w:vAlign w:val="center"/>
          </w:tcPr>
          <w:p w14:paraId="42F2950D">
            <w:pPr>
              <w:pStyle w:val="1535"/>
            </w:pPr>
            <w:r>
              <w:rPr>
                <w:rFonts w:hint="eastAsia"/>
              </w:rPr>
              <w:t>0.5</w:t>
            </w:r>
          </w:p>
        </w:tc>
        <w:tc>
          <w:tcPr>
            <w:tcW w:w="438" w:type="pct"/>
            <w:gridSpan w:val="2"/>
            <w:vAlign w:val="center"/>
          </w:tcPr>
          <w:p w14:paraId="6F4CE086">
            <w:pPr>
              <w:pStyle w:val="1535"/>
            </w:pPr>
            <w:r>
              <w:rPr>
                <w:rFonts w:hint="eastAsia"/>
              </w:rPr>
              <w:t>12.5</w:t>
            </w:r>
          </w:p>
        </w:tc>
        <w:tc>
          <w:tcPr>
            <w:tcW w:w="605" w:type="pct"/>
            <w:vAlign w:val="center"/>
          </w:tcPr>
          <w:p w14:paraId="734E557C">
            <w:pPr>
              <w:pStyle w:val="1535"/>
            </w:pPr>
            <w:r>
              <w:rPr>
                <w:rFonts w:hint="eastAsia"/>
              </w:rPr>
              <w:t>5.04</w:t>
            </w:r>
          </w:p>
        </w:tc>
        <w:tc>
          <w:tcPr>
            <w:tcW w:w="415" w:type="pct"/>
            <w:vAlign w:val="center"/>
          </w:tcPr>
          <w:p w14:paraId="1F3269F7">
            <w:pPr>
              <w:pStyle w:val="1535"/>
            </w:pPr>
            <w:r>
              <w:rPr>
                <w:rFonts w:hint="eastAsia"/>
              </w:rPr>
              <w:t>0.1</w:t>
            </w:r>
          </w:p>
        </w:tc>
        <w:tc>
          <w:tcPr>
            <w:tcW w:w="385" w:type="pct"/>
            <w:vAlign w:val="center"/>
          </w:tcPr>
          <w:p w14:paraId="6C17DC34">
            <w:pPr>
              <w:pStyle w:val="1535"/>
            </w:pPr>
            <w:r>
              <w:rPr>
                <w:rFonts w:hint="eastAsia"/>
              </w:rPr>
              <w:t>40</w:t>
            </w:r>
          </w:p>
        </w:tc>
        <w:tc>
          <w:tcPr>
            <w:tcW w:w="472" w:type="pct"/>
            <w:vAlign w:val="center"/>
          </w:tcPr>
          <w:p w14:paraId="6A67AEEC">
            <w:pPr>
              <w:pStyle w:val="1535"/>
            </w:pPr>
            <w:r>
              <w:t>0.</w:t>
            </w:r>
            <w:r>
              <w:rPr>
                <w:rFonts w:hint="eastAsia"/>
              </w:rPr>
              <w:t>4</w:t>
            </w:r>
          </w:p>
        </w:tc>
      </w:tr>
      <w:tr w14:paraId="7A6F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1262B061">
            <w:pPr>
              <w:pStyle w:val="1535"/>
            </w:pPr>
          </w:p>
        </w:tc>
        <w:tc>
          <w:tcPr>
            <w:tcW w:w="359" w:type="pct"/>
            <w:vMerge w:val="restart"/>
            <w:vAlign w:val="center"/>
          </w:tcPr>
          <w:p w14:paraId="6F153CBF">
            <w:pPr>
              <w:pStyle w:val="1535"/>
            </w:pPr>
            <w:r>
              <w:t>环境敏感性</w:t>
            </w:r>
          </w:p>
        </w:tc>
        <w:tc>
          <w:tcPr>
            <w:tcW w:w="448" w:type="pct"/>
            <w:vMerge w:val="restart"/>
            <w:vAlign w:val="center"/>
          </w:tcPr>
          <w:p w14:paraId="1CC85E7B">
            <w:pPr>
              <w:pStyle w:val="1535"/>
            </w:pPr>
            <w:r>
              <w:t>大气</w:t>
            </w:r>
          </w:p>
        </w:tc>
        <w:tc>
          <w:tcPr>
            <w:tcW w:w="1591" w:type="pct"/>
            <w:gridSpan w:val="8"/>
            <w:vAlign w:val="center"/>
          </w:tcPr>
          <w:p w14:paraId="4DDD4829">
            <w:pPr>
              <w:pStyle w:val="1535"/>
            </w:pPr>
            <w:r>
              <w:t>500m范围内人口数小于500人</w:t>
            </w:r>
          </w:p>
        </w:tc>
        <w:tc>
          <w:tcPr>
            <w:tcW w:w="2312" w:type="pct"/>
            <w:gridSpan w:val="5"/>
            <w:vAlign w:val="center"/>
          </w:tcPr>
          <w:p w14:paraId="3D261E91">
            <w:pPr>
              <w:pStyle w:val="1535"/>
            </w:pPr>
            <w:r>
              <w:t>5km范围内人口数3.9万人</w:t>
            </w:r>
          </w:p>
        </w:tc>
      </w:tr>
      <w:tr w14:paraId="2858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21AAAC67">
            <w:pPr>
              <w:pStyle w:val="1535"/>
            </w:pPr>
          </w:p>
        </w:tc>
        <w:tc>
          <w:tcPr>
            <w:tcW w:w="359" w:type="pct"/>
            <w:vMerge w:val="continue"/>
            <w:vAlign w:val="center"/>
          </w:tcPr>
          <w:p w14:paraId="2BA4B72C">
            <w:pPr>
              <w:pStyle w:val="1535"/>
            </w:pPr>
          </w:p>
        </w:tc>
        <w:tc>
          <w:tcPr>
            <w:tcW w:w="448" w:type="pct"/>
            <w:vMerge w:val="continue"/>
            <w:vAlign w:val="center"/>
          </w:tcPr>
          <w:p w14:paraId="6913DEF6">
            <w:pPr>
              <w:pStyle w:val="1535"/>
            </w:pPr>
          </w:p>
        </w:tc>
        <w:tc>
          <w:tcPr>
            <w:tcW w:w="3430" w:type="pct"/>
            <w:gridSpan w:val="12"/>
            <w:vAlign w:val="center"/>
          </w:tcPr>
          <w:p w14:paraId="3A5D6440">
            <w:pPr>
              <w:pStyle w:val="1535"/>
            </w:pPr>
            <w:r>
              <w:t>每公里管段周边200m范围内人口数（最大）</w:t>
            </w:r>
          </w:p>
        </w:tc>
        <w:tc>
          <w:tcPr>
            <w:tcW w:w="472" w:type="pct"/>
            <w:vAlign w:val="center"/>
          </w:tcPr>
          <w:p w14:paraId="2BDBBFC5">
            <w:pPr>
              <w:pStyle w:val="1535"/>
            </w:pPr>
            <w:r>
              <w:t>人</w:t>
            </w:r>
          </w:p>
        </w:tc>
      </w:tr>
      <w:tr w14:paraId="5AC1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6F85E8B1">
            <w:pPr>
              <w:pStyle w:val="1535"/>
            </w:pPr>
          </w:p>
        </w:tc>
        <w:tc>
          <w:tcPr>
            <w:tcW w:w="359" w:type="pct"/>
            <w:vMerge w:val="continue"/>
            <w:vAlign w:val="center"/>
          </w:tcPr>
          <w:p w14:paraId="7F3CCEA6">
            <w:pPr>
              <w:pStyle w:val="1535"/>
            </w:pPr>
          </w:p>
        </w:tc>
        <w:tc>
          <w:tcPr>
            <w:tcW w:w="448" w:type="pct"/>
            <w:vMerge w:val="restart"/>
            <w:vAlign w:val="center"/>
          </w:tcPr>
          <w:p w14:paraId="5AD0BC5A">
            <w:pPr>
              <w:pStyle w:val="1535"/>
            </w:pPr>
            <w:r>
              <w:t>地表水</w:t>
            </w:r>
          </w:p>
        </w:tc>
        <w:tc>
          <w:tcPr>
            <w:tcW w:w="917" w:type="pct"/>
            <w:gridSpan w:val="4"/>
            <w:vAlign w:val="center"/>
          </w:tcPr>
          <w:p w14:paraId="14D6A0E4">
            <w:pPr>
              <w:pStyle w:val="1535"/>
            </w:pPr>
            <w:r>
              <w:t>地表水功能敏感性</w:t>
            </w:r>
          </w:p>
        </w:tc>
        <w:tc>
          <w:tcPr>
            <w:tcW w:w="673" w:type="pct"/>
            <w:gridSpan w:val="4"/>
            <w:vAlign w:val="center"/>
          </w:tcPr>
          <w:p w14:paraId="08E6F64A">
            <w:pPr>
              <w:pStyle w:val="1535"/>
            </w:pPr>
            <w:r>
              <w:t>F1</w:t>
            </w:r>
            <w:r>
              <w:rPr/>
              <w:sym w:font="Wingdings 2" w:char="00A3"/>
            </w:r>
          </w:p>
        </w:tc>
        <w:tc>
          <w:tcPr>
            <w:tcW w:w="1840" w:type="pct"/>
            <w:gridSpan w:val="4"/>
            <w:vAlign w:val="center"/>
          </w:tcPr>
          <w:p w14:paraId="1F8335D9">
            <w:pPr>
              <w:pStyle w:val="1535"/>
            </w:pPr>
            <w:r>
              <w:t>F2</w:t>
            </w:r>
            <w:r>
              <w:rPr/>
              <w:sym w:font="Wingdings 2" w:char="00A3"/>
            </w:r>
          </w:p>
        </w:tc>
        <w:tc>
          <w:tcPr>
            <w:tcW w:w="472" w:type="pct"/>
            <w:vAlign w:val="center"/>
          </w:tcPr>
          <w:p w14:paraId="07B58BD2">
            <w:pPr>
              <w:pStyle w:val="1535"/>
            </w:pPr>
            <w:r>
              <w:t>F3</w:t>
            </w:r>
            <w:r>
              <w:rPr/>
              <w:sym w:font="Wingdings 2" w:char="0052"/>
            </w:r>
          </w:p>
        </w:tc>
      </w:tr>
      <w:tr w14:paraId="1378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50C149E5">
            <w:pPr>
              <w:pStyle w:val="1535"/>
            </w:pPr>
          </w:p>
        </w:tc>
        <w:tc>
          <w:tcPr>
            <w:tcW w:w="359" w:type="pct"/>
            <w:vMerge w:val="continue"/>
            <w:vAlign w:val="center"/>
          </w:tcPr>
          <w:p w14:paraId="223CB43B">
            <w:pPr>
              <w:pStyle w:val="1535"/>
            </w:pPr>
          </w:p>
        </w:tc>
        <w:tc>
          <w:tcPr>
            <w:tcW w:w="448" w:type="pct"/>
            <w:vMerge w:val="continue"/>
            <w:vAlign w:val="center"/>
          </w:tcPr>
          <w:p w14:paraId="0DDAED57">
            <w:pPr>
              <w:pStyle w:val="1535"/>
            </w:pPr>
          </w:p>
        </w:tc>
        <w:tc>
          <w:tcPr>
            <w:tcW w:w="917" w:type="pct"/>
            <w:gridSpan w:val="4"/>
            <w:vAlign w:val="center"/>
          </w:tcPr>
          <w:p w14:paraId="22CFD509">
            <w:pPr>
              <w:pStyle w:val="1535"/>
            </w:pPr>
            <w:r>
              <w:t>环境敏感目标分级</w:t>
            </w:r>
          </w:p>
        </w:tc>
        <w:tc>
          <w:tcPr>
            <w:tcW w:w="673" w:type="pct"/>
            <w:gridSpan w:val="4"/>
            <w:vAlign w:val="center"/>
          </w:tcPr>
          <w:p w14:paraId="1A2C771D">
            <w:pPr>
              <w:pStyle w:val="1535"/>
            </w:pPr>
            <w:r>
              <w:t>S1</w:t>
            </w:r>
            <w:r>
              <w:rPr/>
              <w:sym w:font="Wingdings 2" w:char="00A3"/>
            </w:r>
          </w:p>
        </w:tc>
        <w:tc>
          <w:tcPr>
            <w:tcW w:w="1840" w:type="pct"/>
            <w:gridSpan w:val="4"/>
            <w:vAlign w:val="center"/>
          </w:tcPr>
          <w:p w14:paraId="36E259E5">
            <w:pPr>
              <w:pStyle w:val="1535"/>
            </w:pPr>
            <w:r>
              <w:t>S2</w:t>
            </w:r>
            <w:r>
              <w:rPr/>
              <w:sym w:font="Wingdings 2" w:char="00A3"/>
            </w:r>
          </w:p>
        </w:tc>
        <w:tc>
          <w:tcPr>
            <w:tcW w:w="472" w:type="pct"/>
            <w:vAlign w:val="center"/>
          </w:tcPr>
          <w:p w14:paraId="249F6F2C">
            <w:pPr>
              <w:pStyle w:val="1535"/>
            </w:pPr>
            <w:r>
              <w:t>S3</w:t>
            </w:r>
            <w:r>
              <w:rPr/>
              <w:sym w:font="Wingdings 2" w:char="0052"/>
            </w:r>
          </w:p>
        </w:tc>
      </w:tr>
      <w:tr w14:paraId="0E2D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1AAAE9C2">
            <w:pPr>
              <w:pStyle w:val="1535"/>
            </w:pPr>
          </w:p>
        </w:tc>
        <w:tc>
          <w:tcPr>
            <w:tcW w:w="359" w:type="pct"/>
            <w:vMerge w:val="continue"/>
            <w:vAlign w:val="center"/>
          </w:tcPr>
          <w:p w14:paraId="29D67E23">
            <w:pPr>
              <w:pStyle w:val="1535"/>
            </w:pPr>
          </w:p>
        </w:tc>
        <w:tc>
          <w:tcPr>
            <w:tcW w:w="448" w:type="pct"/>
            <w:vMerge w:val="restart"/>
            <w:vAlign w:val="center"/>
          </w:tcPr>
          <w:p w14:paraId="24B1C335">
            <w:pPr>
              <w:pStyle w:val="1535"/>
            </w:pPr>
            <w:r>
              <w:t>地下水</w:t>
            </w:r>
          </w:p>
        </w:tc>
        <w:tc>
          <w:tcPr>
            <w:tcW w:w="917" w:type="pct"/>
            <w:gridSpan w:val="4"/>
            <w:vAlign w:val="center"/>
          </w:tcPr>
          <w:p w14:paraId="529A8E76">
            <w:pPr>
              <w:pStyle w:val="1535"/>
            </w:pPr>
            <w:r>
              <w:t>地下水功能敏感性</w:t>
            </w:r>
          </w:p>
        </w:tc>
        <w:tc>
          <w:tcPr>
            <w:tcW w:w="673" w:type="pct"/>
            <w:gridSpan w:val="4"/>
            <w:vAlign w:val="center"/>
          </w:tcPr>
          <w:p w14:paraId="0E582647">
            <w:pPr>
              <w:pStyle w:val="1535"/>
            </w:pPr>
            <w:r>
              <w:t>G1□</w:t>
            </w:r>
          </w:p>
        </w:tc>
        <w:tc>
          <w:tcPr>
            <w:tcW w:w="1840" w:type="pct"/>
            <w:gridSpan w:val="4"/>
            <w:vAlign w:val="center"/>
          </w:tcPr>
          <w:p w14:paraId="66C12A5D">
            <w:pPr>
              <w:pStyle w:val="1535"/>
            </w:pPr>
            <w:r>
              <w:t>G2□</w:t>
            </w:r>
          </w:p>
        </w:tc>
        <w:tc>
          <w:tcPr>
            <w:tcW w:w="472" w:type="pct"/>
            <w:vAlign w:val="center"/>
          </w:tcPr>
          <w:p w14:paraId="1B8310F2">
            <w:pPr>
              <w:pStyle w:val="1535"/>
            </w:pPr>
            <w:r>
              <w:t>G3√</w:t>
            </w:r>
          </w:p>
        </w:tc>
      </w:tr>
      <w:tr w14:paraId="35D7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11352BBD">
            <w:pPr>
              <w:pStyle w:val="1535"/>
            </w:pPr>
          </w:p>
        </w:tc>
        <w:tc>
          <w:tcPr>
            <w:tcW w:w="359" w:type="pct"/>
            <w:vMerge w:val="continue"/>
            <w:vAlign w:val="center"/>
          </w:tcPr>
          <w:p w14:paraId="3FDBB41F">
            <w:pPr>
              <w:pStyle w:val="1535"/>
            </w:pPr>
          </w:p>
        </w:tc>
        <w:tc>
          <w:tcPr>
            <w:tcW w:w="448" w:type="pct"/>
            <w:vMerge w:val="continue"/>
            <w:vAlign w:val="center"/>
          </w:tcPr>
          <w:p w14:paraId="6A99E785">
            <w:pPr>
              <w:pStyle w:val="1535"/>
            </w:pPr>
          </w:p>
        </w:tc>
        <w:tc>
          <w:tcPr>
            <w:tcW w:w="917" w:type="pct"/>
            <w:gridSpan w:val="4"/>
            <w:vAlign w:val="center"/>
          </w:tcPr>
          <w:p w14:paraId="2D53C67D">
            <w:pPr>
              <w:pStyle w:val="1535"/>
            </w:pPr>
            <w:r>
              <w:t>包气带防污性能</w:t>
            </w:r>
          </w:p>
        </w:tc>
        <w:tc>
          <w:tcPr>
            <w:tcW w:w="673" w:type="pct"/>
            <w:gridSpan w:val="4"/>
            <w:vAlign w:val="center"/>
          </w:tcPr>
          <w:p w14:paraId="01F275D7">
            <w:pPr>
              <w:pStyle w:val="1535"/>
            </w:pPr>
            <w:r>
              <w:t>D1□</w:t>
            </w:r>
          </w:p>
        </w:tc>
        <w:tc>
          <w:tcPr>
            <w:tcW w:w="1840" w:type="pct"/>
            <w:gridSpan w:val="4"/>
            <w:vAlign w:val="center"/>
          </w:tcPr>
          <w:p w14:paraId="4D9F7712">
            <w:pPr>
              <w:pStyle w:val="1535"/>
            </w:pPr>
            <w:r>
              <w:t>D2√</w:t>
            </w:r>
          </w:p>
        </w:tc>
        <w:tc>
          <w:tcPr>
            <w:tcW w:w="472" w:type="pct"/>
            <w:vAlign w:val="center"/>
          </w:tcPr>
          <w:p w14:paraId="79A7CFB2">
            <w:pPr>
              <w:pStyle w:val="1535"/>
            </w:pPr>
            <w:r>
              <w:t>D3□</w:t>
            </w:r>
          </w:p>
        </w:tc>
      </w:tr>
      <w:tr w14:paraId="2496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Merge w:val="restart"/>
            <w:vAlign w:val="center"/>
          </w:tcPr>
          <w:p w14:paraId="331C1732">
            <w:pPr>
              <w:pStyle w:val="1535"/>
            </w:pPr>
            <w:r>
              <w:t>物质及工艺系统危险性</w:t>
            </w:r>
          </w:p>
        </w:tc>
        <w:tc>
          <w:tcPr>
            <w:tcW w:w="448" w:type="pct"/>
            <w:vAlign w:val="center"/>
          </w:tcPr>
          <w:p w14:paraId="57B2AB6F">
            <w:pPr>
              <w:pStyle w:val="1535"/>
            </w:pPr>
            <w:r>
              <w:t>Q值</w:t>
            </w:r>
          </w:p>
        </w:tc>
        <w:tc>
          <w:tcPr>
            <w:tcW w:w="917" w:type="pct"/>
            <w:gridSpan w:val="4"/>
            <w:vAlign w:val="center"/>
          </w:tcPr>
          <w:p w14:paraId="7C67AC18">
            <w:pPr>
              <w:pStyle w:val="1535"/>
            </w:pPr>
            <w:r>
              <w:t>Q＜1□</w:t>
            </w:r>
          </w:p>
        </w:tc>
        <w:tc>
          <w:tcPr>
            <w:tcW w:w="673" w:type="pct"/>
            <w:gridSpan w:val="4"/>
            <w:vAlign w:val="center"/>
          </w:tcPr>
          <w:p w14:paraId="30420EB4">
            <w:pPr>
              <w:pStyle w:val="1535"/>
            </w:pPr>
            <w:r>
              <w:t>1≤Q＜10√</w:t>
            </w:r>
          </w:p>
        </w:tc>
        <w:tc>
          <w:tcPr>
            <w:tcW w:w="1840" w:type="pct"/>
            <w:gridSpan w:val="4"/>
            <w:vAlign w:val="center"/>
          </w:tcPr>
          <w:p w14:paraId="713ADE23">
            <w:pPr>
              <w:pStyle w:val="1535"/>
            </w:pPr>
            <w:r>
              <w:t>10≤Q＜100□</w:t>
            </w:r>
          </w:p>
        </w:tc>
        <w:tc>
          <w:tcPr>
            <w:tcW w:w="472" w:type="pct"/>
            <w:vAlign w:val="center"/>
          </w:tcPr>
          <w:p w14:paraId="7A68E13E">
            <w:pPr>
              <w:pStyle w:val="1535"/>
            </w:pPr>
            <w:r>
              <w:t>Q＞100□</w:t>
            </w:r>
          </w:p>
        </w:tc>
      </w:tr>
      <w:tr w14:paraId="5D48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Merge w:val="continue"/>
            <w:vAlign w:val="center"/>
          </w:tcPr>
          <w:p w14:paraId="2A124390">
            <w:pPr>
              <w:pStyle w:val="1535"/>
            </w:pPr>
          </w:p>
        </w:tc>
        <w:tc>
          <w:tcPr>
            <w:tcW w:w="448" w:type="pct"/>
            <w:vAlign w:val="center"/>
          </w:tcPr>
          <w:p w14:paraId="19B6A5E9">
            <w:pPr>
              <w:pStyle w:val="1535"/>
            </w:pPr>
            <w:r>
              <w:t>M值</w:t>
            </w:r>
          </w:p>
        </w:tc>
        <w:tc>
          <w:tcPr>
            <w:tcW w:w="917" w:type="pct"/>
            <w:gridSpan w:val="4"/>
            <w:vAlign w:val="center"/>
          </w:tcPr>
          <w:p w14:paraId="0F0790C6">
            <w:pPr>
              <w:pStyle w:val="1535"/>
            </w:pPr>
            <w:r>
              <w:t>M1□</w:t>
            </w:r>
          </w:p>
        </w:tc>
        <w:tc>
          <w:tcPr>
            <w:tcW w:w="673" w:type="pct"/>
            <w:gridSpan w:val="4"/>
            <w:vAlign w:val="center"/>
          </w:tcPr>
          <w:p w14:paraId="3049A717">
            <w:pPr>
              <w:pStyle w:val="1535"/>
            </w:pPr>
            <w:r>
              <w:t>M2□</w:t>
            </w:r>
          </w:p>
        </w:tc>
        <w:tc>
          <w:tcPr>
            <w:tcW w:w="1840" w:type="pct"/>
            <w:gridSpan w:val="4"/>
            <w:vAlign w:val="center"/>
          </w:tcPr>
          <w:p w14:paraId="149BE8D0">
            <w:pPr>
              <w:pStyle w:val="1535"/>
            </w:pPr>
            <w:r>
              <w:t>M3□</w:t>
            </w:r>
          </w:p>
        </w:tc>
        <w:tc>
          <w:tcPr>
            <w:tcW w:w="472" w:type="pct"/>
            <w:vAlign w:val="center"/>
          </w:tcPr>
          <w:p w14:paraId="3C3F23AB">
            <w:pPr>
              <w:pStyle w:val="1535"/>
            </w:pPr>
            <w:r>
              <w:t>M4√</w:t>
            </w:r>
          </w:p>
        </w:tc>
      </w:tr>
      <w:tr w14:paraId="1AD8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Merge w:val="continue"/>
            <w:vAlign w:val="center"/>
          </w:tcPr>
          <w:p w14:paraId="3351F8A6">
            <w:pPr>
              <w:pStyle w:val="1535"/>
            </w:pPr>
          </w:p>
        </w:tc>
        <w:tc>
          <w:tcPr>
            <w:tcW w:w="448" w:type="pct"/>
            <w:vAlign w:val="center"/>
          </w:tcPr>
          <w:p w14:paraId="6ABCB5AB">
            <w:pPr>
              <w:pStyle w:val="1535"/>
            </w:pPr>
            <w:r>
              <w:t>P值</w:t>
            </w:r>
          </w:p>
        </w:tc>
        <w:tc>
          <w:tcPr>
            <w:tcW w:w="917" w:type="pct"/>
            <w:gridSpan w:val="4"/>
            <w:vAlign w:val="center"/>
          </w:tcPr>
          <w:p w14:paraId="64925841">
            <w:pPr>
              <w:pStyle w:val="1535"/>
            </w:pPr>
            <w:r>
              <w:t>P1□</w:t>
            </w:r>
          </w:p>
        </w:tc>
        <w:tc>
          <w:tcPr>
            <w:tcW w:w="673" w:type="pct"/>
            <w:gridSpan w:val="4"/>
            <w:vAlign w:val="center"/>
          </w:tcPr>
          <w:p w14:paraId="5D50AE79">
            <w:pPr>
              <w:pStyle w:val="1535"/>
            </w:pPr>
            <w:r>
              <w:t>P2□</w:t>
            </w:r>
          </w:p>
        </w:tc>
        <w:tc>
          <w:tcPr>
            <w:tcW w:w="1840" w:type="pct"/>
            <w:gridSpan w:val="4"/>
            <w:vAlign w:val="center"/>
          </w:tcPr>
          <w:p w14:paraId="7B423145">
            <w:pPr>
              <w:pStyle w:val="1535"/>
            </w:pPr>
            <w:r>
              <w:t>P3□</w:t>
            </w:r>
          </w:p>
        </w:tc>
        <w:tc>
          <w:tcPr>
            <w:tcW w:w="472" w:type="pct"/>
            <w:vAlign w:val="center"/>
          </w:tcPr>
          <w:p w14:paraId="356911B0">
            <w:pPr>
              <w:pStyle w:val="1535"/>
            </w:pPr>
            <w:r>
              <w:t>P4√</w:t>
            </w:r>
          </w:p>
        </w:tc>
      </w:tr>
      <w:tr w14:paraId="2472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Merge w:val="restart"/>
            <w:vAlign w:val="center"/>
          </w:tcPr>
          <w:p w14:paraId="79704308">
            <w:pPr>
              <w:pStyle w:val="1535"/>
            </w:pPr>
            <w:r>
              <w:t>环境敏感程度</w:t>
            </w:r>
          </w:p>
        </w:tc>
        <w:tc>
          <w:tcPr>
            <w:tcW w:w="448" w:type="pct"/>
            <w:vAlign w:val="center"/>
          </w:tcPr>
          <w:p w14:paraId="62C8908D">
            <w:pPr>
              <w:pStyle w:val="1535"/>
            </w:pPr>
            <w:r>
              <w:t>大气</w:t>
            </w:r>
          </w:p>
        </w:tc>
        <w:tc>
          <w:tcPr>
            <w:tcW w:w="917" w:type="pct"/>
            <w:gridSpan w:val="4"/>
            <w:vAlign w:val="center"/>
          </w:tcPr>
          <w:p w14:paraId="435E5ACC">
            <w:pPr>
              <w:pStyle w:val="1535"/>
            </w:pPr>
            <w:r>
              <w:t>E1□</w:t>
            </w:r>
          </w:p>
        </w:tc>
        <w:tc>
          <w:tcPr>
            <w:tcW w:w="670" w:type="pct"/>
            <w:gridSpan w:val="3"/>
            <w:vAlign w:val="center"/>
          </w:tcPr>
          <w:p w14:paraId="15CE1B54">
            <w:pPr>
              <w:pStyle w:val="1535"/>
            </w:pPr>
            <w:r>
              <w:t>E2</w:t>
            </w:r>
            <w:r>
              <w:rPr>
                <w:rFonts w:ascii="Segoe UI Symbol" w:hAnsi="Segoe UI Symbol" w:cs="Segoe UI Symbol"/>
              </w:rPr>
              <w:t>☑</w:t>
            </w:r>
          </w:p>
        </w:tc>
        <w:tc>
          <w:tcPr>
            <w:tcW w:w="2315" w:type="pct"/>
            <w:gridSpan w:val="6"/>
            <w:vAlign w:val="center"/>
          </w:tcPr>
          <w:p w14:paraId="1EFB297A">
            <w:pPr>
              <w:pStyle w:val="1535"/>
            </w:pPr>
            <w:r>
              <w:t>E3□</w:t>
            </w:r>
          </w:p>
        </w:tc>
      </w:tr>
      <w:tr w14:paraId="7DFE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Merge w:val="continue"/>
            <w:vAlign w:val="center"/>
          </w:tcPr>
          <w:p w14:paraId="6A73B23F">
            <w:pPr>
              <w:pStyle w:val="1535"/>
            </w:pPr>
          </w:p>
        </w:tc>
        <w:tc>
          <w:tcPr>
            <w:tcW w:w="448" w:type="pct"/>
            <w:vAlign w:val="center"/>
          </w:tcPr>
          <w:p w14:paraId="738A152B">
            <w:pPr>
              <w:pStyle w:val="1535"/>
            </w:pPr>
            <w:r>
              <w:t>地表水</w:t>
            </w:r>
          </w:p>
        </w:tc>
        <w:tc>
          <w:tcPr>
            <w:tcW w:w="917" w:type="pct"/>
            <w:gridSpan w:val="4"/>
            <w:vAlign w:val="center"/>
          </w:tcPr>
          <w:p w14:paraId="135AFD3F">
            <w:pPr>
              <w:pStyle w:val="1535"/>
            </w:pPr>
            <w:r>
              <w:t>E1□</w:t>
            </w:r>
          </w:p>
        </w:tc>
        <w:tc>
          <w:tcPr>
            <w:tcW w:w="670" w:type="pct"/>
            <w:gridSpan w:val="3"/>
            <w:vAlign w:val="center"/>
          </w:tcPr>
          <w:p w14:paraId="24B21FA6">
            <w:pPr>
              <w:pStyle w:val="1535"/>
            </w:pPr>
            <w:r>
              <w:t>E2□</w:t>
            </w:r>
          </w:p>
        </w:tc>
        <w:tc>
          <w:tcPr>
            <w:tcW w:w="2315" w:type="pct"/>
            <w:gridSpan w:val="6"/>
            <w:vAlign w:val="center"/>
          </w:tcPr>
          <w:p w14:paraId="6074DAE6">
            <w:pPr>
              <w:pStyle w:val="1535"/>
            </w:pPr>
            <w:r>
              <w:t>E3</w:t>
            </w:r>
            <w:r>
              <w:rPr>
                <w:rFonts w:ascii="Segoe UI Symbol" w:hAnsi="Segoe UI Symbol" w:cs="Segoe UI Symbol"/>
              </w:rPr>
              <w:t>☑</w:t>
            </w:r>
          </w:p>
        </w:tc>
      </w:tr>
      <w:tr w14:paraId="5E2B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Merge w:val="continue"/>
            <w:vAlign w:val="center"/>
          </w:tcPr>
          <w:p w14:paraId="2C7B97E5">
            <w:pPr>
              <w:pStyle w:val="1535"/>
            </w:pPr>
          </w:p>
        </w:tc>
        <w:tc>
          <w:tcPr>
            <w:tcW w:w="448" w:type="pct"/>
            <w:vAlign w:val="center"/>
          </w:tcPr>
          <w:p w14:paraId="1C7EE8A9">
            <w:pPr>
              <w:pStyle w:val="1535"/>
            </w:pPr>
            <w:r>
              <w:t>地下水</w:t>
            </w:r>
          </w:p>
        </w:tc>
        <w:tc>
          <w:tcPr>
            <w:tcW w:w="917" w:type="pct"/>
            <w:gridSpan w:val="4"/>
            <w:vAlign w:val="center"/>
          </w:tcPr>
          <w:p w14:paraId="4BB06546">
            <w:pPr>
              <w:pStyle w:val="1535"/>
            </w:pPr>
            <w:r>
              <w:t>E1□</w:t>
            </w:r>
          </w:p>
        </w:tc>
        <w:tc>
          <w:tcPr>
            <w:tcW w:w="670" w:type="pct"/>
            <w:gridSpan w:val="3"/>
            <w:vAlign w:val="center"/>
          </w:tcPr>
          <w:p w14:paraId="492A0C04">
            <w:pPr>
              <w:pStyle w:val="1535"/>
            </w:pPr>
            <w:r>
              <w:t>E2□</w:t>
            </w:r>
          </w:p>
        </w:tc>
        <w:tc>
          <w:tcPr>
            <w:tcW w:w="2315" w:type="pct"/>
            <w:gridSpan w:val="6"/>
            <w:vAlign w:val="center"/>
          </w:tcPr>
          <w:p w14:paraId="6D1BCA45">
            <w:pPr>
              <w:pStyle w:val="1535"/>
            </w:pPr>
            <w:r>
              <w:t>E3</w:t>
            </w:r>
            <w:r>
              <w:rPr>
                <w:rFonts w:ascii="Segoe UI Symbol" w:hAnsi="Segoe UI Symbol" w:cs="Segoe UI Symbol"/>
              </w:rPr>
              <w:t>☑</w:t>
            </w:r>
          </w:p>
        </w:tc>
      </w:tr>
      <w:tr w14:paraId="4447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Align w:val="center"/>
          </w:tcPr>
          <w:p w14:paraId="4C3BF729">
            <w:pPr>
              <w:pStyle w:val="1535"/>
            </w:pPr>
            <w:r>
              <w:t>环境风险潜势</w:t>
            </w:r>
          </w:p>
        </w:tc>
        <w:tc>
          <w:tcPr>
            <w:tcW w:w="713" w:type="pct"/>
            <w:gridSpan w:val="2"/>
            <w:vAlign w:val="center"/>
          </w:tcPr>
          <w:p w14:paraId="3385C25A">
            <w:pPr>
              <w:pStyle w:val="1535"/>
            </w:pPr>
            <w:r>
              <w:t>Ⅳ+□</w:t>
            </w:r>
          </w:p>
        </w:tc>
        <w:tc>
          <w:tcPr>
            <w:tcW w:w="653" w:type="pct"/>
            <w:gridSpan w:val="3"/>
            <w:vAlign w:val="center"/>
          </w:tcPr>
          <w:p w14:paraId="2D7DC419">
            <w:pPr>
              <w:pStyle w:val="1535"/>
            </w:pPr>
            <w:r>
              <w:t>Ⅳ□</w:t>
            </w:r>
          </w:p>
        </w:tc>
        <w:tc>
          <w:tcPr>
            <w:tcW w:w="673" w:type="pct"/>
            <w:gridSpan w:val="4"/>
            <w:vAlign w:val="center"/>
          </w:tcPr>
          <w:p w14:paraId="4CD8BEE9">
            <w:pPr>
              <w:pStyle w:val="1535"/>
            </w:pPr>
            <w:r>
              <w:t>Ⅲ</w:t>
            </w:r>
          </w:p>
        </w:tc>
        <w:tc>
          <w:tcPr>
            <w:tcW w:w="1840" w:type="pct"/>
            <w:gridSpan w:val="4"/>
            <w:vAlign w:val="center"/>
          </w:tcPr>
          <w:p w14:paraId="3220C397">
            <w:pPr>
              <w:pStyle w:val="1535"/>
            </w:pPr>
            <w:r>
              <w:t>Ⅱ√</w:t>
            </w:r>
          </w:p>
        </w:tc>
        <w:tc>
          <w:tcPr>
            <w:tcW w:w="472" w:type="pct"/>
            <w:vAlign w:val="center"/>
          </w:tcPr>
          <w:p w14:paraId="2DFC549E">
            <w:pPr>
              <w:pStyle w:val="1535"/>
            </w:pPr>
            <w:r>
              <w:t>Ⅰ√</w:t>
            </w:r>
          </w:p>
        </w:tc>
      </w:tr>
      <w:tr w14:paraId="4A8E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Align w:val="center"/>
          </w:tcPr>
          <w:p w14:paraId="73C93D5D">
            <w:pPr>
              <w:pStyle w:val="1535"/>
            </w:pPr>
            <w:r>
              <w:t>评价等级</w:t>
            </w:r>
          </w:p>
        </w:tc>
        <w:tc>
          <w:tcPr>
            <w:tcW w:w="1365" w:type="pct"/>
            <w:gridSpan w:val="5"/>
            <w:vAlign w:val="center"/>
          </w:tcPr>
          <w:p w14:paraId="0A441BFD">
            <w:pPr>
              <w:pStyle w:val="1535"/>
            </w:pPr>
            <w:r>
              <w:t>一级□</w:t>
            </w:r>
          </w:p>
        </w:tc>
        <w:tc>
          <w:tcPr>
            <w:tcW w:w="673" w:type="pct"/>
            <w:gridSpan w:val="4"/>
            <w:vAlign w:val="center"/>
          </w:tcPr>
          <w:p w14:paraId="71F26E7B">
            <w:pPr>
              <w:pStyle w:val="1535"/>
            </w:pPr>
            <w:r>
              <w:t>二级</w:t>
            </w:r>
          </w:p>
        </w:tc>
        <w:tc>
          <w:tcPr>
            <w:tcW w:w="1840" w:type="pct"/>
            <w:gridSpan w:val="4"/>
            <w:vAlign w:val="center"/>
          </w:tcPr>
          <w:p w14:paraId="7C856003">
            <w:pPr>
              <w:pStyle w:val="1535"/>
            </w:pPr>
            <w:r>
              <w:t>三级√</w:t>
            </w:r>
          </w:p>
        </w:tc>
        <w:tc>
          <w:tcPr>
            <w:tcW w:w="472" w:type="pct"/>
            <w:vAlign w:val="center"/>
          </w:tcPr>
          <w:p w14:paraId="23C152B2">
            <w:pPr>
              <w:pStyle w:val="1535"/>
            </w:pPr>
            <w:r>
              <w:t>简单分析√</w:t>
            </w:r>
          </w:p>
        </w:tc>
      </w:tr>
      <w:tr w14:paraId="3718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vAlign w:val="center"/>
          </w:tcPr>
          <w:p w14:paraId="4CE1E281">
            <w:pPr>
              <w:pStyle w:val="1535"/>
            </w:pPr>
            <w:r>
              <w:t>风险识别</w:t>
            </w:r>
          </w:p>
        </w:tc>
        <w:tc>
          <w:tcPr>
            <w:tcW w:w="359" w:type="pct"/>
            <w:vAlign w:val="center"/>
          </w:tcPr>
          <w:p w14:paraId="10BB5C56">
            <w:pPr>
              <w:pStyle w:val="1535"/>
            </w:pPr>
            <w:r>
              <w:t>物质危险性</w:t>
            </w:r>
          </w:p>
        </w:tc>
        <w:tc>
          <w:tcPr>
            <w:tcW w:w="1813" w:type="pct"/>
            <w:gridSpan w:val="7"/>
            <w:vAlign w:val="center"/>
          </w:tcPr>
          <w:p w14:paraId="7ED2112D">
            <w:pPr>
              <w:pStyle w:val="1535"/>
            </w:pPr>
            <w:r>
              <w:t>有毒有害</w:t>
            </w:r>
            <w:r>
              <w:rPr/>
              <w:sym w:font="Wingdings 2" w:char="0052"/>
            </w:r>
          </w:p>
        </w:tc>
        <w:tc>
          <w:tcPr>
            <w:tcW w:w="2538" w:type="pct"/>
            <w:gridSpan w:val="7"/>
            <w:vAlign w:val="center"/>
          </w:tcPr>
          <w:p w14:paraId="5BE9E58E">
            <w:pPr>
              <w:pStyle w:val="1535"/>
            </w:pPr>
            <w:r>
              <w:t>易燃易爆</w:t>
            </w:r>
            <w:r>
              <w:rPr/>
              <w:sym w:font="Wingdings 2" w:char="0052"/>
            </w:r>
          </w:p>
        </w:tc>
      </w:tr>
      <w:tr w14:paraId="4338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3C9A6033">
            <w:pPr>
              <w:pStyle w:val="1535"/>
            </w:pPr>
          </w:p>
        </w:tc>
        <w:tc>
          <w:tcPr>
            <w:tcW w:w="359" w:type="pct"/>
            <w:vAlign w:val="center"/>
          </w:tcPr>
          <w:p w14:paraId="09695707">
            <w:pPr>
              <w:pStyle w:val="1535"/>
            </w:pPr>
            <w:r>
              <w:t>环境风险类型</w:t>
            </w:r>
          </w:p>
        </w:tc>
        <w:tc>
          <w:tcPr>
            <w:tcW w:w="1365" w:type="pct"/>
            <w:gridSpan w:val="5"/>
            <w:vAlign w:val="center"/>
          </w:tcPr>
          <w:p w14:paraId="293C5A7F">
            <w:pPr>
              <w:pStyle w:val="1535"/>
            </w:pPr>
            <w:r>
              <w:t>泄漏√</w:t>
            </w:r>
          </w:p>
        </w:tc>
        <w:tc>
          <w:tcPr>
            <w:tcW w:w="2985" w:type="pct"/>
            <w:gridSpan w:val="9"/>
            <w:vAlign w:val="center"/>
          </w:tcPr>
          <w:p w14:paraId="0B688166">
            <w:pPr>
              <w:pStyle w:val="1535"/>
            </w:pPr>
            <w:r>
              <w:t>火灾、爆炸引发伴生/次生污染物排放</w:t>
            </w:r>
            <w:r>
              <w:rPr/>
              <w:sym w:font="Wingdings 2" w:char="0052"/>
            </w:r>
          </w:p>
        </w:tc>
      </w:tr>
      <w:tr w14:paraId="5EFE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757FB947">
            <w:pPr>
              <w:pStyle w:val="1535"/>
            </w:pPr>
          </w:p>
        </w:tc>
        <w:tc>
          <w:tcPr>
            <w:tcW w:w="359" w:type="pct"/>
            <w:vAlign w:val="center"/>
          </w:tcPr>
          <w:p w14:paraId="3FF3BD32">
            <w:pPr>
              <w:pStyle w:val="1535"/>
            </w:pPr>
            <w:r>
              <w:t>影响途径</w:t>
            </w:r>
          </w:p>
        </w:tc>
        <w:tc>
          <w:tcPr>
            <w:tcW w:w="1365" w:type="pct"/>
            <w:gridSpan w:val="5"/>
            <w:vAlign w:val="center"/>
          </w:tcPr>
          <w:p w14:paraId="04AE104B">
            <w:pPr>
              <w:pStyle w:val="1535"/>
            </w:pPr>
            <w:r>
              <w:t>大气√</w:t>
            </w:r>
          </w:p>
        </w:tc>
        <w:tc>
          <w:tcPr>
            <w:tcW w:w="670" w:type="pct"/>
            <w:gridSpan w:val="3"/>
            <w:vAlign w:val="center"/>
          </w:tcPr>
          <w:p w14:paraId="24B3BAA8">
            <w:pPr>
              <w:pStyle w:val="1535"/>
            </w:pPr>
            <w:r>
              <w:t>地表水√</w:t>
            </w:r>
          </w:p>
        </w:tc>
        <w:tc>
          <w:tcPr>
            <w:tcW w:w="2315" w:type="pct"/>
            <w:gridSpan w:val="6"/>
            <w:vAlign w:val="center"/>
          </w:tcPr>
          <w:p w14:paraId="1E0C755B">
            <w:pPr>
              <w:pStyle w:val="1535"/>
            </w:pPr>
            <w:r>
              <w:t>地下水√</w:t>
            </w:r>
          </w:p>
        </w:tc>
      </w:tr>
      <w:tr w14:paraId="6637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Align w:val="center"/>
          </w:tcPr>
          <w:p w14:paraId="759626C9">
            <w:pPr>
              <w:pStyle w:val="1535"/>
            </w:pPr>
            <w:r>
              <w:t>事故轻型分析</w:t>
            </w:r>
          </w:p>
        </w:tc>
        <w:tc>
          <w:tcPr>
            <w:tcW w:w="713" w:type="pct"/>
            <w:gridSpan w:val="2"/>
            <w:vAlign w:val="center"/>
          </w:tcPr>
          <w:p w14:paraId="1C5AEFD9">
            <w:pPr>
              <w:pStyle w:val="1535"/>
            </w:pPr>
            <w:r>
              <w:t>源强设定方法</w:t>
            </w:r>
          </w:p>
        </w:tc>
        <w:tc>
          <w:tcPr>
            <w:tcW w:w="653" w:type="pct"/>
            <w:gridSpan w:val="3"/>
            <w:vAlign w:val="center"/>
          </w:tcPr>
          <w:p w14:paraId="67B01100">
            <w:pPr>
              <w:pStyle w:val="1535"/>
            </w:pPr>
            <w:r>
              <w:t>计算法√</w:t>
            </w:r>
          </w:p>
        </w:tc>
        <w:tc>
          <w:tcPr>
            <w:tcW w:w="670" w:type="pct"/>
            <w:gridSpan w:val="3"/>
            <w:vAlign w:val="center"/>
          </w:tcPr>
          <w:p w14:paraId="68891D8A">
            <w:pPr>
              <w:pStyle w:val="1535"/>
            </w:pPr>
            <w:r>
              <w:t>经验估算法□</w:t>
            </w:r>
          </w:p>
        </w:tc>
        <w:tc>
          <w:tcPr>
            <w:tcW w:w="2315" w:type="pct"/>
            <w:gridSpan w:val="6"/>
            <w:vAlign w:val="center"/>
          </w:tcPr>
          <w:p w14:paraId="6F3F3097">
            <w:pPr>
              <w:pStyle w:val="1535"/>
            </w:pPr>
            <w:r>
              <w:t>其他估算法□</w:t>
            </w:r>
          </w:p>
        </w:tc>
      </w:tr>
      <w:tr w14:paraId="51BA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vAlign w:val="center"/>
          </w:tcPr>
          <w:p w14:paraId="0CBA433E">
            <w:pPr>
              <w:pStyle w:val="1535"/>
            </w:pPr>
            <w:r>
              <w:t>风险预测与评价</w:t>
            </w:r>
          </w:p>
        </w:tc>
        <w:tc>
          <w:tcPr>
            <w:tcW w:w="359" w:type="pct"/>
            <w:vMerge w:val="restart"/>
            <w:vAlign w:val="center"/>
          </w:tcPr>
          <w:p w14:paraId="60B24E07">
            <w:pPr>
              <w:pStyle w:val="1535"/>
            </w:pPr>
            <w:r>
              <w:t>大气</w:t>
            </w:r>
          </w:p>
        </w:tc>
        <w:tc>
          <w:tcPr>
            <w:tcW w:w="713" w:type="pct"/>
            <w:gridSpan w:val="2"/>
            <w:vAlign w:val="center"/>
          </w:tcPr>
          <w:p w14:paraId="33685EB3">
            <w:pPr>
              <w:pStyle w:val="1535"/>
            </w:pPr>
            <w:r>
              <w:t>预测模型</w:t>
            </w:r>
          </w:p>
        </w:tc>
        <w:tc>
          <w:tcPr>
            <w:tcW w:w="653" w:type="pct"/>
            <w:gridSpan w:val="3"/>
            <w:vAlign w:val="center"/>
          </w:tcPr>
          <w:p w14:paraId="4605D20B">
            <w:pPr>
              <w:pStyle w:val="1535"/>
            </w:pPr>
            <w:r>
              <w:t>SLABA□</w:t>
            </w:r>
          </w:p>
        </w:tc>
        <w:tc>
          <w:tcPr>
            <w:tcW w:w="670" w:type="pct"/>
            <w:gridSpan w:val="3"/>
            <w:vAlign w:val="center"/>
          </w:tcPr>
          <w:p w14:paraId="6857C1BE">
            <w:pPr>
              <w:pStyle w:val="1535"/>
            </w:pPr>
            <w:r>
              <w:t>AFTOX□</w:t>
            </w:r>
          </w:p>
        </w:tc>
        <w:tc>
          <w:tcPr>
            <w:tcW w:w="2315" w:type="pct"/>
            <w:gridSpan w:val="6"/>
            <w:vAlign w:val="center"/>
          </w:tcPr>
          <w:p w14:paraId="09B07663">
            <w:pPr>
              <w:pStyle w:val="1535"/>
            </w:pPr>
            <w:r>
              <w:t>其他□</w:t>
            </w:r>
          </w:p>
        </w:tc>
      </w:tr>
      <w:tr w14:paraId="7516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74C386E1">
            <w:pPr>
              <w:pStyle w:val="1535"/>
            </w:pPr>
          </w:p>
        </w:tc>
        <w:tc>
          <w:tcPr>
            <w:tcW w:w="359" w:type="pct"/>
            <w:vMerge w:val="continue"/>
            <w:vAlign w:val="center"/>
          </w:tcPr>
          <w:p w14:paraId="0C1A5490">
            <w:pPr>
              <w:pStyle w:val="1535"/>
            </w:pPr>
          </w:p>
        </w:tc>
        <w:tc>
          <w:tcPr>
            <w:tcW w:w="713" w:type="pct"/>
            <w:gridSpan w:val="2"/>
            <w:vMerge w:val="restart"/>
            <w:vAlign w:val="center"/>
          </w:tcPr>
          <w:p w14:paraId="692ABE4D">
            <w:pPr>
              <w:pStyle w:val="1535"/>
            </w:pPr>
            <w:r>
              <w:t>预测结果</w:t>
            </w:r>
          </w:p>
        </w:tc>
        <w:tc>
          <w:tcPr>
            <w:tcW w:w="3638" w:type="pct"/>
            <w:gridSpan w:val="12"/>
            <w:vAlign w:val="center"/>
          </w:tcPr>
          <w:p w14:paraId="27D36D56">
            <w:pPr>
              <w:pStyle w:val="1535"/>
            </w:pPr>
            <w:r>
              <w:t>大气毒性终点浓度最大影响范围m</w:t>
            </w:r>
          </w:p>
        </w:tc>
      </w:tr>
      <w:tr w14:paraId="1597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710EA20B">
            <w:pPr>
              <w:pStyle w:val="1535"/>
            </w:pPr>
          </w:p>
        </w:tc>
        <w:tc>
          <w:tcPr>
            <w:tcW w:w="359" w:type="pct"/>
            <w:vMerge w:val="continue"/>
            <w:vAlign w:val="center"/>
          </w:tcPr>
          <w:p w14:paraId="596B8631">
            <w:pPr>
              <w:pStyle w:val="1535"/>
            </w:pPr>
          </w:p>
        </w:tc>
        <w:tc>
          <w:tcPr>
            <w:tcW w:w="713" w:type="pct"/>
            <w:gridSpan w:val="2"/>
            <w:vMerge w:val="continue"/>
            <w:vAlign w:val="center"/>
          </w:tcPr>
          <w:p w14:paraId="0D07EBEE">
            <w:pPr>
              <w:pStyle w:val="1535"/>
            </w:pPr>
          </w:p>
        </w:tc>
        <w:tc>
          <w:tcPr>
            <w:tcW w:w="3638" w:type="pct"/>
            <w:gridSpan w:val="12"/>
            <w:vAlign w:val="center"/>
          </w:tcPr>
          <w:p w14:paraId="03F2D30B">
            <w:pPr>
              <w:pStyle w:val="1535"/>
            </w:pPr>
            <w:r>
              <w:t>大气毒性终点浓度最大影响范围m</w:t>
            </w:r>
          </w:p>
        </w:tc>
      </w:tr>
      <w:tr w14:paraId="10CC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5F1C1B0E">
            <w:pPr>
              <w:pStyle w:val="1535"/>
            </w:pPr>
          </w:p>
        </w:tc>
        <w:tc>
          <w:tcPr>
            <w:tcW w:w="359" w:type="pct"/>
            <w:vAlign w:val="center"/>
          </w:tcPr>
          <w:p w14:paraId="5446D81A">
            <w:pPr>
              <w:pStyle w:val="1535"/>
            </w:pPr>
            <w:r>
              <w:t>地表水</w:t>
            </w:r>
          </w:p>
        </w:tc>
        <w:tc>
          <w:tcPr>
            <w:tcW w:w="4351" w:type="pct"/>
            <w:gridSpan w:val="14"/>
            <w:vAlign w:val="center"/>
          </w:tcPr>
          <w:p w14:paraId="3CDD4C7D">
            <w:pPr>
              <w:pStyle w:val="1535"/>
            </w:pPr>
            <w:r>
              <w:t>最近环境敏感目标0.48km，到达时间h</w:t>
            </w:r>
          </w:p>
        </w:tc>
      </w:tr>
      <w:tr w14:paraId="506B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05A3E940">
            <w:pPr>
              <w:pStyle w:val="1535"/>
            </w:pPr>
          </w:p>
        </w:tc>
        <w:tc>
          <w:tcPr>
            <w:tcW w:w="359" w:type="pct"/>
            <w:vMerge w:val="restart"/>
            <w:vAlign w:val="center"/>
          </w:tcPr>
          <w:p w14:paraId="7C380168">
            <w:pPr>
              <w:pStyle w:val="1535"/>
            </w:pPr>
            <w:r>
              <w:t>地下水</w:t>
            </w:r>
          </w:p>
        </w:tc>
        <w:tc>
          <w:tcPr>
            <w:tcW w:w="4351" w:type="pct"/>
            <w:gridSpan w:val="14"/>
            <w:vAlign w:val="center"/>
          </w:tcPr>
          <w:p w14:paraId="0B9AE5BA">
            <w:pPr>
              <w:pStyle w:val="1535"/>
            </w:pPr>
            <w:r>
              <w:t>下游厂区边界到达时间d</w:t>
            </w:r>
          </w:p>
        </w:tc>
      </w:tr>
      <w:tr w14:paraId="0815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14:paraId="4F3BE9D4">
            <w:pPr>
              <w:pStyle w:val="1535"/>
            </w:pPr>
          </w:p>
        </w:tc>
        <w:tc>
          <w:tcPr>
            <w:tcW w:w="359" w:type="pct"/>
            <w:vMerge w:val="continue"/>
            <w:vAlign w:val="center"/>
          </w:tcPr>
          <w:p w14:paraId="48863A6A">
            <w:pPr>
              <w:pStyle w:val="1535"/>
            </w:pPr>
          </w:p>
        </w:tc>
        <w:tc>
          <w:tcPr>
            <w:tcW w:w="4351" w:type="pct"/>
            <w:gridSpan w:val="14"/>
            <w:vAlign w:val="center"/>
          </w:tcPr>
          <w:p w14:paraId="607BCA86">
            <w:pPr>
              <w:pStyle w:val="1535"/>
            </w:pPr>
            <w:r>
              <w:t>最近环境敏感目标，到达时间d</w:t>
            </w:r>
          </w:p>
        </w:tc>
      </w:tr>
      <w:tr w14:paraId="3302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Align w:val="center"/>
          </w:tcPr>
          <w:p w14:paraId="37C12D54">
            <w:pPr>
              <w:pStyle w:val="1535"/>
            </w:pPr>
            <w:r>
              <w:t>重点风险防范措施</w:t>
            </w:r>
          </w:p>
        </w:tc>
        <w:tc>
          <w:tcPr>
            <w:tcW w:w="4351" w:type="pct"/>
            <w:gridSpan w:val="14"/>
            <w:vAlign w:val="center"/>
          </w:tcPr>
          <w:p w14:paraId="08F4D100">
            <w:pPr>
              <w:pStyle w:val="1535"/>
            </w:pPr>
            <w:r>
              <w:t>切削液回收车间、化学品库、污水处理站、危废间、MTS储存间采取重点防渗措施，设置收集沟和收集坑收集泄漏物料，设置开闭阀门且连接厂区各污水处理站</w:t>
            </w:r>
            <w:r>
              <w:rPr>
                <w:rFonts w:hint="eastAsia"/>
              </w:rPr>
              <w:t>。</w:t>
            </w:r>
            <w:r>
              <w:t>事故池规模为270</w:t>
            </w:r>
            <w:r>
              <w:rPr>
                <w:rFonts w:hint="eastAsia"/>
              </w:rPr>
              <w:t xml:space="preserve"> m</w:t>
            </w:r>
            <w:r>
              <w:rPr>
                <w:rFonts w:hint="eastAsia"/>
                <w:vertAlign w:val="superscript"/>
              </w:rPr>
              <w:t>3</w:t>
            </w:r>
            <w:r>
              <w:t>。及时修定环境风险应急预案，配备必要的环境风险应急资源并定期演练。</w:t>
            </w:r>
          </w:p>
        </w:tc>
      </w:tr>
      <w:tr w14:paraId="7226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9" w:type="pct"/>
            <w:gridSpan w:val="2"/>
            <w:vAlign w:val="center"/>
          </w:tcPr>
          <w:p w14:paraId="08A2052D">
            <w:pPr>
              <w:pStyle w:val="1535"/>
            </w:pPr>
            <w:r>
              <w:t>评价结论与建议</w:t>
            </w:r>
          </w:p>
        </w:tc>
        <w:tc>
          <w:tcPr>
            <w:tcW w:w="4351" w:type="pct"/>
            <w:gridSpan w:val="14"/>
            <w:vAlign w:val="center"/>
          </w:tcPr>
          <w:p w14:paraId="4AAD370F">
            <w:pPr>
              <w:pStyle w:val="1535"/>
            </w:pPr>
            <w:r>
              <w:t>大气、地表水、地下水环境风险预测评价结果表明，环境风险水平可接受。</w:t>
            </w:r>
          </w:p>
        </w:tc>
      </w:tr>
      <w:tr w14:paraId="19E0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6"/>
            <w:vAlign w:val="center"/>
          </w:tcPr>
          <w:p w14:paraId="3B71DAB5">
            <w:pPr>
              <w:pStyle w:val="1535"/>
            </w:pPr>
            <w:r>
              <w:t>注：“□”为勾选项，“”为填写项</w:t>
            </w:r>
          </w:p>
        </w:tc>
      </w:tr>
    </w:tbl>
    <w:p w14:paraId="48E6AD07">
      <w:pPr>
        <w:spacing w:before="32"/>
        <w:ind w:firstLine="520"/>
        <w:rPr>
          <w:color w:val="000000" w:themeColor="text1"/>
          <w14:textFill>
            <w14:solidFill>
              <w14:schemeClr w14:val="tx1"/>
            </w14:solidFill>
          </w14:textFill>
        </w:rPr>
      </w:pPr>
    </w:p>
    <w:p w14:paraId="5488BE08">
      <w:pPr>
        <w:spacing w:before="32"/>
        <w:ind w:firstLine="520"/>
        <w:rPr>
          <w:color w:val="000000" w:themeColor="text1"/>
          <w14:textFill>
            <w14:solidFill>
              <w14:schemeClr w14:val="tx1"/>
            </w14:solidFill>
          </w14:textFill>
        </w:rPr>
        <w:sectPr>
          <w:pgSz w:w="11907" w:h="16840"/>
          <w:pgMar w:top="1134" w:right="1134" w:bottom="1134" w:left="1134" w:header="283" w:footer="851" w:gutter="397"/>
          <w:cols w:space="720" w:num="1"/>
          <w:docGrid w:type="linesAndChars" w:linePitch="326" w:charSpace="0"/>
        </w:sectPr>
      </w:pPr>
    </w:p>
    <w:p w14:paraId="1CEF269B">
      <w:pPr>
        <w:pStyle w:val="3"/>
        <w:spacing w:after="326"/>
        <w:rPr>
          <w:color w:val="000000" w:themeColor="text1"/>
          <w14:textFill>
            <w14:solidFill>
              <w14:schemeClr w14:val="tx1"/>
            </w14:solidFill>
          </w14:textFill>
        </w:rPr>
      </w:pPr>
      <w:bookmarkStart w:id="347" w:name="_Toc11256"/>
      <w:r>
        <w:rPr>
          <w:color w:val="000000" w:themeColor="text1"/>
          <w14:textFill>
            <w14:solidFill>
              <w14:schemeClr w14:val="tx1"/>
            </w14:solidFill>
          </w14:textFill>
        </w:rPr>
        <w:t>环境保护措施及其可行性论证</w:t>
      </w:r>
      <w:bookmarkEnd w:id="347"/>
    </w:p>
    <w:p w14:paraId="1DA8B8CA">
      <w:pPr>
        <w:pStyle w:val="4"/>
        <w:rPr>
          <w:color w:val="000000" w:themeColor="text1"/>
          <w14:textFill>
            <w14:solidFill>
              <w14:schemeClr w14:val="tx1"/>
            </w14:solidFill>
          </w14:textFill>
        </w:rPr>
      </w:pPr>
      <w:bookmarkStart w:id="348" w:name="_Toc1294"/>
      <w:r>
        <w:rPr>
          <w:color w:val="000000" w:themeColor="text1"/>
          <w14:textFill>
            <w14:solidFill>
              <w14:schemeClr w14:val="tx1"/>
            </w14:solidFill>
          </w14:textFill>
        </w:rPr>
        <w:t>污废水治理措施技术可行性分析</w:t>
      </w:r>
      <w:bookmarkEnd w:id="348"/>
    </w:p>
    <w:p w14:paraId="6CC5E4DD">
      <w:pPr>
        <w:ind w:firstLine="520"/>
        <w:rPr>
          <w:color w:val="000000" w:themeColor="text1"/>
          <w14:textFill>
            <w14:solidFill>
              <w14:schemeClr w14:val="tx1"/>
            </w14:solidFill>
          </w14:textFill>
        </w:rPr>
      </w:pPr>
      <w:r>
        <w:rPr>
          <w:color w:val="000000" w:themeColor="text1"/>
          <w14:textFill>
            <w14:solidFill>
              <w14:schemeClr w14:val="tx1"/>
            </w14:solidFill>
          </w14:textFill>
        </w:rPr>
        <w:t>项目建成后，</w:t>
      </w:r>
      <w:r>
        <w:rPr>
          <w:rFonts w:hint="eastAsia"/>
          <w:color w:val="000000" w:themeColor="text1"/>
          <w14:textFill>
            <w14:solidFill>
              <w14:schemeClr w14:val="tx1"/>
            </w14:solidFill>
          </w14:textFill>
        </w:rPr>
        <w:t>依托现有工程（臻宝半导体公司）建设部分</w:t>
      </w:r>
      <w:r>
        <w:rPr>
          <w:color w:val="000000" w:themeColor="text1"/>
          <w14:textFill>
            <w14:solidFill>
              <w14:schemeClr w14:val="tx1"/>
            </w14:solidFill>
          </w14:textFill>
        </w:rPr>
        <w:t>废水产生量为</w:t>
      </w:r>
      <w:r>
        <w:rPr>
          <w:rFonts w:hint="eastAsia"/>
          <w:color w:val="000000" w:themeColor="text1"/>
          <w14:textFill>
            <w14:solidFill>
              <w14:schemeClr w14:val="tx1"/>
            </w14:solidFill>
          </w14:textFill>
        </w:rPr>
        <w:t>9.37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/d。其中生产废水产生量为</w:t>
      </w:r>
      <w:r>
        <w:rPr>
          <w:rFonts w:hint="eastAsia"/>
          <w:color w:val="000000" w:themeColor="text1"/>
          <w14:textFill>
            <w14:solidFill>
              <w14:schemeClr w14:val="tx1"/>
            </w14:solidFill>
          </w14:textFill>
        </w:rPr>
        <w:t>8.37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/d；生活污水产生量为</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/d。生产废水</w:t>
      </w:r>
      <w:r>
        <w:rPr>
          <w:rFonts w:hint="eastAsia"/>
          <w:color w:val="000000" w:themeColor="text1"/>
          <w14:textFill>
            <w14:solidFill>
              <w14:schemeClr w14:val="tx1"/>
            </w14:solidFill>
          </w14:textFill>
        </w:rPr>
        <w:t>依托现有</w:t>
      </w:r>
      <w:r>
        <w:rPr>
          <w:color w:val="000000" w:themeColor="text1"/>
          <w14:textFill>
            <w14:solidFill>
              <w14:schemeClr w14:val="tx1"/>
            </w14:solidFill>
          </w14:textFill>
        </w:rPr>
        <w:t>综合废水处理站</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（150m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/d），处理满足《电子工业水污染物排放标准》（GB39731-2020）间接排放标准。生活污水</w:t>
      </w:r>
      <w:r>
        <w:rPr>
          <w:rFonts w:hint="eastAsia"/>
          <w:color w:val="000000" w:themeColor="text1"/>
          <w14:textFill>
            <w14:solidFill>
              <w14:schemeClr w14:val="tx1"/>
            </w14:solidFill>
          </w14:textFill>
        </w:rPr>
        <w:t>依托现有</w:t>
      </w:r>
      <w:r>
        <w:rPr>
          <w:color w:val="000000" w:themeColor="text1"/>
          <w14:textFill>
            <w14:solidFill>
              <w14:schemeClr w14:val="tx1"/>
            </w14:solidFill>
          </w14:textFill>
        </w:rPr>
        <w:t>生化池（20m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/d）处理达《污水综合排放标准》（GB8978-1996）三级排放标准。</w:t>
      </w:r>
    </w:p>
    <w:p w14:paraId="7EE9D70F">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租赁臻宝科技公司建设部分抛光</w:t>
      </w:r>
      <w:r>
        <w:rPr>
          <w:color w:val="000000" w:themeColor="text1"/>
          <w14:textFill>
            <w14:solidFill>
              <w14:schemeClr w14:val="tx1"/>
            </w14:solidFill>
          </w14:textFill>
        </w:rPr>
        <w:t>废水产生量为</w:t>
      </w:r>
      <w:r>
        <w:rPr>
          <w:rFonts w:hint="eastAsia"/>
          <w:color w:val="000000" w:themeColor="text1"/>
          <w14:textFill>
            <w14:solidFill>
              <w14:schemeClr w14:val="tx1"/>
            </w14:solidFill>
          </w14:textFill>
        </w:rPr>
        <w:t>0.45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/d。生产废水</w:t>
      </w:r>
      <w:r>
        <w:rPr>
          <w:rFonts w:hint="eastAsia"/>
          <w:color w:val="000000" w:themeColor="text1"/>
          <w14:textFill>
            <w14:solidFill>
              <w14:schemeClr w14:val="tx1"/>
            </w14:solidFill>
          </w14:textFill>
        </w:rPr>
        <w:t>依托臻宝科技公司现有</w:t>
      </w:r>
      <w:r>
        <w:rPr>
          <w:color w:val="000000" w:themeColor="text1"/>
          <w14:textFill>
            <w14:solidFill>
              <w14:schemeClr w14:val="tx1"/>
            </w14:solidFill>
          </w14:textFill>
        </w:rPr>
        <w:t>综合废水处理站（</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/d），处理满足《电子工业水污染物排放标准》（GB39731-2020）间接排放标准。</w:t>
      </w:r>
    </w:p>
    <w:p w14:paraId="6BEC667D">
      <w:pPr>
        <w:pStyle w:val="5"/>
        <w:rPr>
          <w:color w:val="000000" w:themeColor="text1"/>
          <w14:textFill>
            <w14:solidFill>
              <w14:schemeClr w14:val="tx1"/>
            </w14:solidFill>
          </w14:textFill>
        </w:rPr>
      </w:pPr>
      <w:r>
        <w:rPr>
          <w:color w:val="000000" w:themeColor="text1"/>
          <w14:textFill>
            <w14:solidFill>
              <w14:schemeClr w14:val="tx1"/>
            </w14:solidFill>
          </w14:textFill>
        </w:rPr>
        <w:t>治理措施可行性分析</w:t>
      </w:r>
    </w:p>
    <w:p w14:paraId="6724B5FB">
      <w:pPr>
        <w:ind w:firstLine="520"/>
        <w:rPr>
          <w:color w:val="000000" w:themeColor="text1"/>
          <w14:textFill>
            <w14:solidFill>
              <w14:schemeClr w14:val="tx1"/>
            </w14:solidFill>
          </w14:textFill>
        </w:rPr>
      </w:pPr>
      <w:r>
        <w:rPr>
          <w:color w:val="000000" w:themeColor="text1"/>
          <w14:textFill>
            <w14:solidFill>
              <w14:schemeClr w14:val="tx1"/>
            </w14:solidFill>
          </w14:textFill>
        </w:rPr>
        <w:t>（1）污水处理站工艺论证</w:t>
      </w:r>
    </w:p>
    <w:p w14:paraId="06663FA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臻宝半导体公司和臻宝科技公司生产废水均以清洗废水为主，两者水质类似，主要污染物均为：</w:t>
      </w:r>
      <w:r>
        <w:rPr>
          <w:color w:val="000000" w:themeColor="text1"/>
          <w14:textFill>
            <w14:solidFill>
              <w14:schemeClr w14:val="tx1"/>
            </w14:solidFill>
          </w14:textFill>
        </w:rPr>
        <w:t>氟化物、SS、石油类</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，设计处理规模</w:t>
      </w:r>
      <w:r>
        <w:rPr>
          <w:rFonts w:hint="eastAsia"/>
          <w:color w:val="000000" w:themeColor="text1"/>
          <w14:textFill>
            <w14:solidFill>
              <w14:schemeClr w14:val="tx1"/>
            </w14:solidFill>
          </w14:textFill>
        </w:rPr>
        <w:t>分别</w:t>
      </w:r>
      <w:r>
        <w:rPr>
          <w:color w:val="000000" w:themeColor="text1"/>
          <w14:textFill>
            <w14:solidFill>
              <w14:schemeClr w14:val="tx1"/>
            </w14:solidFill>
          </w14:textFill>
        </w:rPr>
        <w:t>为150m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剩余处理能力分别为：65.5</w:t>
      </w:r>
      <w:r>
        <w:rPr>
          <w:color w:val="000000" w:themeColor="text1"/>
          <w14:textFill>
            <w14:solidFill>
              <w14:schemeClr w14:val="tx1"/>
            </w14:solidFill>
          </w14:textFill>
        </w:rPr>
        <w:t xml:space="preserve">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，46.54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均能满足项目</w:t>
      </w:r>
      <w:r>
        <w:rPr>
          <w:color w:val="000000" w:themeColor="text1"/>
          <w14:textFill>
            <w14:solidFill>
              <w14:schemeClr w14:val="tx1"/>
            </w14:solidFill>
          </w14:textFill>
        </w:rPr>
        <w:t>9.36m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 （臻宝半导体公司厂区）、0.45m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/d（臻宝科技公司厂区）废水处理需求；处理工艺均一致，</w:t>
      </w:r>
      <w:r>
        <w:rPr>
          <w:color w:val="000000" w:themeColor="text1"/>
          <w14:textFill>
            <w14:solidFill>
              <w14:schemeClr w14:val="tx1"/>
            </w14:solidFill>
          </w14:textFill>
        </w:rPr>
        <w:t>废水先经pH调节后，再经气浮装置除油，然后经三级反应池去除氟化物、石油类和悬浮物。进入厂区总排口，最后经市政管网送园区污水处理厂处理达标排放。根据采用同种物化的处理工艺的企业生产废水站处理运行效果，厂区综合废水处理站出水水质可以满足《电子工业水污染物排放标准》（GB39731-2020）间接排放标准。</w:t>
      </w:r>
      <w:r>
        <w:rPr>
          <w:rFonts w:hint="eastAsia"/>
          <w:color w:val="000000" w:themeColor="text1"/>
          <w14:textFill>
            <w14:solidFill>
              <w14:schemeClr w14:val="tx1"/>
            </w14:solidFill>
          </w14:textFill>
        </w:rPr>
        <w:t>项目废水主要污染物为：</w:t>
      </w:r>
      <w:r>
        <w:rPr>
          <w:color w:val="000000" w:themeColor="text1"/>
          <w14:textFill>
            <w14:solidFill>
              <w14:schemeClr w14:val="tx1"/>
            </w14:solidFill>
          </w14:textFill>
        </w:rPr>
        <w:t>氟化物、SS、石油类</w:t>
      </w:r>
      <w:r>
        <w:rPr>
          <w:rFonts w:hint="eastAsia"/>
          <w:color w:val="000000" w:themeColor="text1"/>
          <w14:textFill>
            <w14:solidFill>
              <w14:schemeClr w14:val="tx1"/>
            </w14:solidFill>
          </w14:textFill>
        </w:rPr>
        <w:t>等，根据</w:t>
      </w:r>
      <w:bookmarkStart w:id="349" w:name="OLE_LINK12"/>
      <w:r>
        <w:rPr>
          <w:rFonts w:hint="eastAsia"/>
          <w:color w:val="000000" w:themeColor="text1"/>
          <w14:textFill>
            <w14:solidFill>
              <w14:schemeClr w14:val="tx1"/>
            </w14:solidFill>
          </w14:textFill>
        </w:rPr>
        <w:t>《排污许可证申请与核发技术规范 电子工业》（HJ 1031-2019）</w:t>
      </w:r>
      <w:bookmarkEnd w:id="349"/>
      <w:r>
        <w:rPr>
          <w:rFonts w:hint="eastAsia"/>
          <w:color w:val="000000" w:themeColor="text1"/>
          <w14:textFill>
            <w14:solidFill>
              <w14:schemeClr w14:val="tx1"/>
            </w14:solidFill>
          </w14:textFill>
        </w:rPr>
        <w:t>“附表B.2 电子工业排污单位废水防治可行技术参考表，含氟废水，采用化学沉淀法”，项目依托综合废水处理站采用“三级反应池去除氟化物”与该规范中推荐的废水防治可行技术相符。</w:t>
      </w:r>
    </w:p>
    <w:p w14:paraId="1BA542AA">
      <w:pPr>
        <w:ind w:firstLine="520"/>
        <w:rPr>
          <w:color w:val="000000" w:themeColor="text1"/>
          <w14:textFill>
            <w14:solidFill>
              <w14:schemeClr w14:val="tx1"/>
            </w14:solidFill>
          </w14:textFill>
        </w:rPr>
      </w:pPr>
      <w:r>
        <w:rPr>
          <w:color w:val="000000" w:themeColor="text1"/>
          <w14:textFill>
            <w14:solidFill>
              <w14:schemeClr w14:val="tx1"/>
            </w14:solidFill>
          </w14:textFill>
        </w:rPr>
        <w:t>综合废水处理站工艺流程见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_Ref160558111 \h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图</w:t>
      </w:r>
      <w:r>
        <w:rPr>
          <w:color w:val="000000" w:themeColor="text1"/>
          <w14:textFill>
            <w14:solidFill>
              <w14:schemeClr w14:val="tx1"/>
            </w14:solidFill>
          </w14:textFill>
        </w:rPr>
        <w:t>8.1</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。分级处理效率见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_Ref160558060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表8.1</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2DFB286F">
      <w:pPr>
        <w:spacing w:line="240" w:lineRule="auto"/>
        <w:ind w:firstLine="520"/>
        <w:jc w:val="center"/>
        <w:rPr>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3796030" cy="5177790"/>
            <wp:effectExtent l="0" t="0" r="0" b="0"/>
            <wp:docPr id="15724267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2672" name="图片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796030" cy="5177790"/>
                    </a:xfrm>
                    <a:prstGeom prst="rect">
                      <a:avLst/>
                    </a:prstGeom>
                    <a:noFill/>
                    <a:ln>
                      <a:noFill/>
                    </a:ln>
                  </pic:spPr>
                </pic:pic>
              </a:graphicData>
            </a:graphic>
          </wp:inline>
        </w:drawing>
      </w:r>
    </w:p>
    <w:p w14:paraId="174AF867">
      <w:pPr>
        <w:spacing w:before="32"/>
        <w:ind w:firstLine="0" w:firstLineChars="0"/>
        <w:jc w:val="center"/>
        <w:rPr>
          <w:color w:val="000000" w:themeColor="text1"/>
          <w14:textFill>
            <w14:solidFill>
              <w14:schemeClr w14:val="tx1"/>
            </w14:solidFill>
          </w14:textFill>
        </w:rPr>
      </w:pPr>
      <w:bookmarkStart w:id="350" w:name="_Ref160558111"/>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350"/>
      <w:r>
        <w:rPr>
          <w:color w:val="000000" w:themeColor="text1"/>
          <w14:textFill>
            <w14:solidFill>
              <w14:schemeClr w14:val="tx1"/>
            </w14:solidFill>
          </w14:textFill>
        </w:rPr>
        <w:t xml:space="preserve">   厂区综合废水处理站废水处理工艺流程</w:t>
      </w:r>
    </w:p>
    <w:p w14:paraId="3228453C">
      <w:pPr>
        <w:spacing w:before="32"/>
        <w:ind w:firstLine="0" w:firstLineChars="0"/>
        <w:jc w:val="center"/>
        <w:rPr>
          <w:color w:val="000000" w:themeColor="text1"/>
          <w14:textFill>
            <w14:solidFill>
              <w14:schemeClr w14:val="tx1"/>
            </w14:solidFill>
          </w14:textFill>
        </w:rPr>
      </w:pPr>
      <w:bookmarkStart w:id="351" w:name="_Ref160558060"/>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8.1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351"/>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综合废水处理站分级效率一览表</w:t>
      </w:r>
    </w:p>
    <w:tbl>
      <w:tblPr>
        <w:tblStyle w:val="8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0" w:type="dxa"/>
          <w:bottom w:w="28" w:type="dxa"/>
          <w:right w:w="0" w:type="dxa"/>
        </w:tblCellMar>
      </w:tblPr>
      <w:tblGrid>
        <w:gridCol w:w="3287"/>
        <w:gridCol w:w="1187"/>
        <w:gridCol w:w="925"/>
        <w:gridCol w:w="1036"/>
        <w:gridCol w:w="1036"/>
        <w:gridCol w:w="849"/>
        <w:gridCol w:w="926"/>
      </w:tblGrid>
      <w:tr w14:paraId="41B9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0" w:hRule="atLeast"/>
          <w:jc w:val="center"/>
        </w:trPr>
        <w:tc>
          <w:tcPr>
            <w:tcW w:w="1778" w:type="pct"/>
            <w:vAlign w:val="center"/>
          </w:tcPr>
          <w:p w14:paraId="4DF4E304">
            <w:pPr>
              <w:pStyle w:val="1535"/>
            </w:pPr>
            <w:r>
              <w:t>工艺名称污染物</w:t>
            </w:r>
          </w:p>
        </w:tc>
        <w:tc>
          <w:tcPr>
            <w:tcW w:w="642" w:type="pct"/>
            <w:vAlign w:val="center"/>
          </w:tcPr>
          <w:p w14:paraId="46B5F096">
            <w:pPr>
              <w:pStyle w:val="1535"/>
            </w:pPr>
            <w:r>
              <w:t>COD</w:t>
            </w:r>
          </w:p>
        </w:tc>
        <w:tc>
          <w:tcPr>
            <w:tcW w:w="500" w:type="pct"/>
            <w:vAlign w:val="center"/>
          </w:tcPr>
          <w:p w14:paraId="4CDB860E">
            <w:pPr>
              <w:pStyle w:val="1535"/>
            </w:pPr>
            <w:r>
              <w:t>SS</w:t>
            </w:r>
          </w:p>
        </w:tc>
        <w:tc>
          <w:tcPr>
            <w:tcW w:w="560" w:type="pct"/>
            <w:vAlign w:val="center"/>
          </w:tcPr>
          <w:p w14:paraId="1CB29F94">
            <w:pPr>
              <w:pStyle w:val="1535"/>
            </w:pPr>
            <w:r>
              <w:t>石油类</w:t>
            </w:r>
          </w:p>
        </w:tc>
        <w:tc>
          <w:tcPr>
            <w:tcW w:w="560" w:type="pct"/>
            <w:vAlign w:val="center"/>
          </w:tcPr>
          <w:p w14:paraId="0BA0B81A">
            <w:pPr>
              <w:pStyle w:val="1535"/>
            </w:pPr>
            <w:r>
              <w:t>氟化物</w:t>
            </w:r>
          </w:p>
        </w:tc>
        <w:tc>
          <w:tcPr>
            <w:tcW w:w="459" w:type="pct"/>
            <w:vAlign w:val="center"/>
          </w:tcPr>
          <w:p w14:paraId="2FC36DED">
            <w:pPr>
              <w:pStyle w:val="1535"/>
            </w:pPr>
            <w:r>
              <w:t>氨氮</w:t>
            </w:r>
          </w:p>
        </w:tc>
        <w:tc>
          <w:tcPr>
            <w:tcW w:w="501" w:type="pct"/>
            <w:vAlign w:val="center"/>
          </w:tcPr>
          <w:p w14:paraId="775CE494">
            <w:pPr>
              <w:pStyle w:val="1535"/>
            </w:pPr>
            <w:r>
              <w:t>PH</w:t>
            </w:r>
          </w:p>
        </w:tc>
      </w:tr>
      <w:tr w14:paraId="69C7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0" w:hRule="atLeast"/>
          <w:jc w:val="center"/>
        </w:trPr>
        <w:tc>
          <w:tcPr>
            <w:tcW w:w="1778" w:type="pct"/>
            <w:vAlign w:val="center"/>
          </w:tcPr>
          <w:p w14:paraId="13CE482D">
            <w:pPr>
              <w:pStyle w:val="1535"/>
            </w:pPr>
            <w:r>
              <w:t>原水浓度（Mg/L）</w:t>
            </w:r>
          </w:p>
        </w:tc>
        <w:tc>
          <w:tcPr>
            <w:tcW w:w="642" w:type="pct"/>
            <w:vAlign w:val="center"/>
          </w:tcPr>
          <w:p w14:paraId="6BB3AC7A">
            <w:pPr>
              <w:pStyle w:val="1535"/>
            </w:pPr>
            <w:r>
              <w:t>300</w:t>
            </w:r>
          </w:p>
        </w:tc>
        <w:tc>
          <w:tcPr>
            <w:tcW w:w="500" w:type="pct"/>
            <w:vAlign w:val="center"/>
          </w:tcPr>
          <w:p w14:paraId="66ECC51F">
            <w:pPr>
              <w:pStyle w:val="1535"/>
            </w:pPr>
            <w:r>
              <w:t>150</w:t>
            </w:r>
          </w:p>
        </w:tc>
        <w:tc>
          <w:tcPr>
            <w:tcW w:w="560" w:type="pct"/>
            <w:vAlign w:val="center"/>
          </w:tcPr>
          <w:p w14:paraId="24531965">
            <w:pPr>
              <w:pStyle w:val="1535"/>
            </w:pPr>
            <w:r>
              <w:t>30</w:t>
            </w:r>
          </w:p>
        </w:tc>
        <w:tc>
          <w:tcPr>
            <w:tcW w:w="560" w:type="pct"/>
            <w:vAlign w:val="center"/>
          </w:tcPr>
          <w:p w14:paraId="2301F715">
            <w:pPr>
              <w:pStyle w:val="1535"/>
            </w:pPr>
            <w:r>
              <w:t>100</w:t>
            </w:r>
          </w:p>
        </w:tc>
        <w:tc>
          <w:tcPr>
            <w:tcW w:w="459" w:type="pct"/>
            <w:vAlign w:val="center"/>
          </w:tcPr>
          <w:p w14:paraId="1D70ADBC">
            <w:pPr>
              <w:pStyle w:val="1535"/>
            </w:pPr>
            <w:r>
              <w:t>15</w:t>
            </w:r>
          </w:p>
        </w:tc>
        <w:tc>
          <w:tcPr>
            <w:tcW w:w="501" w:type="pct"/>
            <w:vAlign w:val="center"/>
          </w:tcPr>
          <w:p w14:paraId="06C5B541">
            <w:pPr>
              <w:pStyle w:val="1535"/>
            </w:pPr>
            <w:r>
              <w:t>2-3</w:t>
            </w:r>
          </w:p>
        </w:tc>
      </w:tr>
      <w:tr w14:paraId="6806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0" w:hRule="atLeast"/>
          <w:jc w:val="center"/>
        </w:trPr>
        <w:tc>
          <w:tcPr>
            <w:tcW w:w="1778" w:type="pct"/>
            <w:vAlign w:val="center"/>
          </w:tcPr>
          <w:p w14:paraId="1B495D7A">
            <w:pPr>
              <w:pStyle w:val="1535"/>
            </w:pPr>
            <w:r>
              <w:t>氢氧化钙沉淀法（降解率）</w:t>
            </w:r>
          </w:p>
        </w:tc>
        <w:tc>
          <w:tcPr>
            <w:tcW w:w="642" w:type="pct"/>
            <w:vAlign w:val="center"/>
          </w:tcPr>
          <w:p w14:paraId="6893CDEF">
            <w:pPr>
              <w:pStyle w:val="1535"/>
            </w:pPr>
            <w:r>
              <w:t>-</w:t>
            </w:r>
          </w:p>
        </w:tc>
        <w:tc>
          <w:tcPr>
            <w:tcW w:w="500" w:type="pct"/>
            <w:vAlign w:val="center"/>
          </w:tcPr>
          <w:p w14:paraId="09504802">
            <w:pPr>
              <w:pStyle w:val="1535"/>
            </w:pPr>
            <w:r>
              <w:t>-</w:t>
            </w:r>
          </w:p>
        </w:tc>
        <w:tc>
          <w:tcPr>
            <w:tcW w:w="560" w:type="pct"/>
            <w:vAlign w:val="center"/>
          </w:tcPr>
          <w:p w14:paraId="67E723B4">
            <w:pPr>
              <w:pStyle w:val="1535"/>
            </w:pPr>
            <w:r>
              <w:t>-</w:t>
            </w:r>
          </w:p>
        </w:tc>
        <w:tc>
          <w:tcPr>
            <w:tcW w:w="560" w:type="pct"/>
            <w:vAlign w:val="center"/>
          </w:tcPr>
          <w:p w14:paraId="2951AC53">
            <w:pPr>
              <w:pStyle w:val="1535"/>
            </w:pPr>
            <w:r>
              <w:t>70%</w:t>
            </w:r>
          </w:p>
        </w:tc>
        <w:tc>
          <w:tcPr>
            <w:tcW w:w="459" w:type="pct"/>
            <w:vAlign w:val="center"/>
          </w:tcPr>
          <w:p w14:paraId="3D4CB043">
            <w:pPr>
              <w:pStyle w:val="1535"/>
            </w:pPr>
            <w:r>
              <w:t>-</w:t>
            </w:r>
          </w:p>
        </w:tc>
        <w:tc>
          <w:tcPr>
            <w:tcW w:w="501" w:type="pct"/>
            <w:vAlign w:val="center"/>
          </w:tcPr>
          <w:p w14:paraId="4212D873">
            <w:pPr>
              <w:pStyle w:val="1535"/>
            </w:pPr>
            <w:r>
              <w:t>9-10</w:t>
            </w:r>
          </w:p>
        </w:tc>
      </w:tr>
      <w:tr w14:paraId="19B5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0" w:hRule="atLeast"/>
          <w:jc w:val="center"/>
        </w:trPr>
        <w:tc>
          <w:tcPr>
            <w:tcW w:w="1778" w:type="pct"/>
            <w:vAlign w:val="center"/>
          </w:tcPr>
          <w:p w14:paraId="5F42AEC2">
            <w:pPr>
              <w:pStyle w:val="1535"/>
            </w:pPr>
            <w:r>
              <w:t>竖流沉淀（降解率）</w:t>
            </w:r>
          </w:p>
        </w:tc>
        <w:tc>
          <w:tcPr>
            <w:tcW w:w="642" w:type="pct"/>
            <w:vAlign w:val="center"/>
          </w:tcPr>
          <w:p w14:paraId="1C372C0F">
            <w:pPr>
              <w:pStyle w:val="1535"/>
            </w:pPr>
            <w:r>
              <w:t>10%</w:t>
            </w:r>
          </w:p>
        </w:tc>
        <w:tc>
          <w:tcPr>
            <w:tcW w:w="500" w:type="pct"/>
            <w:vAlign w:val="center"/>
          </w:tcPr>
          <w:p w14:paraId="0BA1FE4A">
            <w:pPr>
              <w:pStyle w:val="1535"/>
            </w:pPr>
            <w:r>
              <w:t>80%</w:t>
            </w:r>
          </w:p>
        </w:tc>
        <w:tc>
          <w:tcPr>
            <w:tcW w:w="560" w:type="pct"/>
            <w:vAlign w:val="center"/>
          </w:tcPr>
          <w:p w14:paraId="60A51142">
            <w:pPr>
              <w:pStyle w:val="1535"/>
            </w:pPr>
            <w:r>
              <w:t>2%</w:t>
            </w:r>
          </w:p>
        </w:tc>
        <w:tc>
          <w:tcPr>
            <w:tcW w:w="560" w:type="pct"/>
            <w:vAlign w:val="center"/>
          </w:tcPr>
          <w:p w14:paraId="3793E98B">
            <w:pPr>
              <w:pStyle w:val="1535"/>
            </w:pPr>
            <w:r>
              <w:t>70%</w:t>
            </w:r>
          </w:p>
        </w:tc>
        <w:tc>
          <w:tcPr>
            <w:tcW w:w="459" w:type="pct"/>
            <w:vAlign w:val="center"/>
          </w:tcPr>
          <w:p w14:paraId="407347CC">
            <w:pPr>
              <w:pStyle w:val="1535"/>
            </w:pPr>
            <w:r>
              <w:t>-</w:t>
            </w:r>
          </w:p>
        </w:tc>
        <w:tc>
          <w:tcPr>
            <w:tcW w:w="501" w:type="pct"/>
            <w:vAlign w:val="center"/>
          </w:tcPr>
          <w:p w14:paraId="21962FD5">
            <w:pPr>
              <w:pStyle w:val="1535"/>
            </w:pPr>
            <w:r>
              <w:t>9-10</w:t>
            </w:r>
          </w:p>
        </w:tc>
      </w:tr>
      <w:tr w14:paraId="5AE7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0" w:hRule="atLeast"/>
          <w:jc w:val="center"/>
        </w:trPr>
        <w:tc>
          <w:tcPr>
            <w:tcW w:w="1778" w:type="pct"/>
            <w:vAlign w:val="center"/>
          </w:tcPr>
          <w:p w14:paraId="6D82CD0D">
            <w:pPr>
              <w:pStyle w:val="1535"/>
            </w:pPr>
            <w:r>
              <w:t>PH回调</w:t>
            </w:r>
          </w:p>
        </w:tc>
        <w:tc>
          <w:tcPr>
            <w:tcW w:w="642" w:type="pct"/>
            <w:vAlign w:val="center"/>
          </w:tcPr>
          <w:p w14:paraId="4E016315">
            <w:pPr>
              <w:pStyle w:val="1535"/>
            </w:pPr>
            <w:r>
              <w:t>-</w:t>
            </w:r>
          </w:p>
        </w:tc>
        <w:tc>
          <w:tcPr>
            <w:tcW w:w="500" w:type="pct"/>
            <w:vAlign w:val="center"/>
          </w:tcPr>
          <w:p w14:paraId="2643041B">
            <w:pPr>
              <w:pStyle w:val="1535"/>
            </w:pPr>
            <w:r>
              <w:t>-</w:t>
            </w:r>
          </w:p>
        </w:tc>
        <w:tc>
          <w:tcPr>
            <w:tcW w:w="560" w:type="pct"/>
            <w:vAlign w:val="center"/>
          </w:tcPr>
          <w:p w14:paraId="740153BA">
            <w:pPr>
              <w:pStyle w:val="1535"/>
            </w:pPr>
            <w:r>
              <w:t>-</w:t>
            </w:r>
          </w:p>
        </w:tc>
        <w:tc>
          <w:tcPr>
            <w:tcW w:w="560" w:type="pct"/>
            <w:vAlign w:val="center"/>
          </w:tcPr>
          <w:p w14:paraId="71F5F131">
            <w:pPr>
              <w:pStyle w:val="1535"/>
            </w:pPr>
            <w:r>
              <w:t>-</w:t>
            </w:r>
          </w:p>
        </w:tc>
        <w:tc>
          <w:tcPr>
            <w:tcW w:w="459" w:type="pct"/>
            <w:vAlign w:val="center"/>
          </w:tcPr>
          <w:p w14:paraId="0332D0ED">
            <w:pPr>
              <w:pStyle w:val="1535"/>
            </w:pPr>
            <w:r>
              <w:t>-</w:t>
            </w:r>
          </w:p>
        </w:tc>
        <w:tc>
          <w:tcPr>
            <w:tcW w:w="501" w:type="pct"/>
            <w:vAlign w:val="center"/>
          </w:tcPr>
          <w:p w14:paraId="4F85CBC5">
            <w:pPr>
              <w:pStyle w:val="1535"/>
            </w:pPr>
            <w:r>
              <w:t>7-8</w:t>
            </w:r>
          </w:p>
        </w:tc>
      </w:tr>
      <w:tr w14:paraId="000E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0" w:hRule="atLeast"/>
          <w:jc w:val="center"/>
        </w:trPr>
        <w:tc>
          <w:tcPr>
            <w:tcW w:w="1778" w:type="pct"/>
            <w:vAlign w:val="center"/>
          </w:tcPr>
          <w:p w14:paraId="6F4A072B">
            <w:pPr>
              <w:pStyle w:val="1535"/>
            </w:pPr>
            <w:r>
              <w:t>气浮（降解率）</w:t>
            </w:r>
          </w:p>
        </w:tc>
        <w:tc>
          <w:tcPr>
            <w:tcW w:w="642" w:type="pct"/>
            <w:vAlign w:val="center"/>
          </w:tcPr>
          <w:p w14:paraId="0601FD21">
            <w:pPr>
              <w:pStyle w:val="1535"/>
            </w:pPr>
            <w:r>
              <w:t>10%</w:t>
            </w:r>
          </w:p>
        </w:tc>
        <w:tc>
          <w:tcPr>
            <w:tcW w:w="500" w:type="pct"/>
            <w:vAlign w:val="center"/>
          </w:tcPr>
          <w:p w14:paraId="15587BE2">
            <w:pPr>
              <w:pStyle w:val="1535"/>
            </w:pPr>
            <w:r>
              <w:t>30%</w:t>
            </w:r>
          </w:p>
        </w:tc>
        <w:tc>
          <w:tcPr>
            <w:tcW w:w="560" w:type="pct"/>
            <w:vAlign w:val="center"/>
          </w:tcPr>
          <w:p w14:paraId="7E955CF9">
            <w:pPr>
              <w:pStyle w:val="1535"/>
            </w:pPr>
            <w:r>
              <w:t>70%</w:t>
            </w:r>
          </w:p>
        </w:tc>
        <w:tc>
          <w:tcPr>
            <w:tcW w:w="560" w:type="pct"/>
            <w:vAlign w:val="center"/>
          </w:tcPr>
          <w:p w14:paraId="431CAE6C">
            <w:pPr>
              <w:pStyle w:val="1535"/>
            </w:pPr>
            <w:r>
              <w:t>10%</w:t>
            </w:r>
          </w:p>
        </w:tc>
        <w:tc>
          <w:tcPr>
            <w:tcW w:w="459" w:type="pct"/>
            <w:vAlign w:val="center"/>
          </w:tcPr>
          <w:p w14:paraId="3E5C49B7">
            <w:pPr>
              <w:pStyle w:val="1535"/>
            </w:pPr>
            <w:r>
              <w:t>-</w:t>
            </w:r>
          </w:p>
        </w:tc>
        <w:tc>
          <w:tcPr>
            <w:tcW w:w="501" w:type="pct"/>
            <w:vAlign w:val="center"/>
          </w:tcPr>
          <w:p w14:paraId="7584BB35">
            <w:pPr>
              <w:pStyle w:val="1535"/>
            </w:pPr>
            <w:r>
              <w:t>7-8</w:t>
            </w:r>
          </w:p>
        </w:tc>
      </w:tr>
      <w:tr w14:paraId="0ADE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0" w:hRule="atLeast"/>
          <w:jc w:val="center"/>
        </w:trPr>
        <w:tc>
          <w:tcPr>
            <w:tcW w:w="1778" w:type="pct"/>
            <w:vAlign w:val="center"/>
          </w:tcPr>
          <w:p w14:paraId="543ECBD7">
            <w:pPr>
              <w:pStyle w:val="1535"/>
            </w:pPr>
            <w:r>
              <w:t>总降解率</w:t>
            </w:r>
          </w:p>
        </w:tc>
        <w:tc>
          <w:tcPr>
            <w:tcW w:w="642" w:type="pct"/>
            <w:vAlign w:val="center"/>
          </w:tcPr>
          <w:p w14:paraId="081EC87C">
            <w:pPr>
              <w:pStyle w:val="1535"/>
            </w:pPr>
            <w:r>
              <w:t>19%</w:t>
            </w:r>
          </w:p>
        </w:tc>
        <w:tc>
          <w:tcPr>
            <w:tcW w:w="500" w:type="pct"/>
            <w:vAlign w:val="center"/>
          </w:tcPr>
          <w:p w14:paraId="1FFDE1D7">
            <w:pPr>
              <w:pStyle w:val="1535"/>
            </w:pPr>
            <w:r>
              <w:t>86%</w:t>
            </w:r>
          </w:p>
        </w:tc>
        <w:tc>
          <w:tcPr>
            <w:tcW w:w="560" w:type="pct"/>
            <w:vAlign w:val="center"/>
          </w:tcPr>
          <w:p w14:paraId="69CDAFB2">
            <w:pPr>
              <w:pStyle w:val="1535"/>
            </w:pPr>
            <w:r>
              <w:t>70%</w:t>
            </w:r>
          </w:p>
        </w:tc>
        <w:tc>
          <w:tcPr>
            <w:tcW w:w="560" w:type="pct"/>
            <w:vAlign w:val="center"/>
          </w:tcPr>
          <w:p w14:paraId="12DA4185">
            <w:pPr>
              <w:pStyle w:val="1535"/>
            </w:pPr>
            <w:r>
              <w:t>92%</w:t>
            </w:r>
          </w:p>
        </w:tc>
        <w:tc>
          <w:tcPr>
            <w:tcW w:w="459" w:type="pct"/>
            <w:vAlign w:val="center"/>
          </w:tcPr>
          <w:p w14:paraId="5A103679">
            <w:pPr>
              <w:pStyle w:val="1535"/>
            </w:pPr>
            <w:r>
              <w:t>-</w:t>
            </w:r>
          </w:p>
        </w:tc>
        <w:tc>
          <w:tcPr>
            <w:tcW w:w="501" w:type="pct"/>
            <w:vAlign w:val="center"/>
          </w:tcPr>
          <w:p w14:paraId="3B06B1C6">
            <w:pPr>
              <w:pStyle w:val="1535"/>
            </w:pPr>
            <w:r>
              <w:t>-</w:t>
            </w:r>
          </w:p>
        </w:tc>
      </w:tr>
      <w:tr w14:paraId="3E64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0" w:hRule="atLeast"/>
          <w:jc w:val="center"/>
        </w:trPr>
        <w:tc>
          <w:tcPr>
            <w:tcW w:w="1778" w:type="pct"/>
            <w:vAlign w:val="center"/>
          </w:tcPr>
          <w:p w14:paraId="20C7470F">
            <w:pPr>
              <w:pStyle w:val="1535"/>
            </w:pPr>
            <w:r>
              <w:t>工艺出水浓度（mg/L）</w:t>
            </w:r>
          </w:p>
        </w:tc>
        <w:tc>
          <w:tcPr>
            <w:tcW w:w="642" w:type="pct"/>
            <w:vAlign w:val="center"/>
          </w:tcPr>
          <w:p w14:paraId="17FDDD79">
            <w:pPr>
              <w:pStyle w:val="1535"/>
            </w:pPr>
            <w:r>
              <w:t>243</w:t>
            </w:r>
          </w:p>
        </w:tc>
        <w:tc>
          <w:tcPr>
            <w:tcW w:w="500" w:type="pct"/>
            <w:vAlign w:val="center"/>
          </w:tcPr>
          <w:p w14:paraId="01262854">
            <w:pPr>
              <w:pStyle w:val="1535"/>
            </w:pPr>
            <w:r>
              <w:t>21</w:t>
            </w:r>
          </w:p>
        </w:tc>
        <w:tc>
          <w:tcPr>
            <w:tcW w:w="560" w:type="pct"/>
            <w:vAlign w:val="center"/>
          </w:tcPr>
          <w:p w14:paraId="2FE5C8ED">
            <w:pPr>
              <w:pStyle w:val="1535"/>
            </w:pPr>
            <w:r>
              <w:t>8.82</w:t>
            </w:r>
          </w:p>
        </w:tc>
        <w:tc>
          <w:tcPr>
            <w:tcW w:w="560" w:type="pct"/>
            <w:vAlign w:val="center"/>
          </w:tcPr>
          <w:p w14:paraId="1D59FE99">
            <w:pPr>
              <w:pStyle w:val="1535"/>
            </w:pPr>
            <w:r>
              <w:t>8.1</w:t>
            </w:r>
          </w:p>
        </w:tc>
        <w:tc>
          <w:tcPr>
            <w:tcW w:w="459" w:type="pct"/>
            <w:vAlign w:val="center"/>
          </w:tcPr>
          <w:p w14:paraId="2088F209">
            <w:pPr>
              <w:pStyle w:val="1535"/>
            </w:pPr>
            <w:r>
              <w:t>15</w:t>
            </w:r>
          </w:p>
        </w:tc>
        <w:tc>
          <w:tcPr>
            <w:tcW w:w="501" w:type="pct"/>
            <w:vAlign w:val="center"/>
          </w:tcPr>
          <w:p w14:paraId="40BA192D">
            <w:pPr>
              <w:pStyle w:val="1535"/>
            </w:pPr>
            <w:r>
              <w:t>7-8</w:t>
            </w:r>
          </w:p>
        </w:tc>
      </w:tr>
      <w:tr w14:paraId="1B5F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0" w:hRule="atLeast"/>
          <w:jc w:val="center"/>
        </w:trPr>
        <w:tc>
          <w:tcPr>
            <w:tcW w:w="1778" w:type="pct"/>
            <w:vAlign w:val="center"/>
          </w:tcPr>
          <w:p w14:paraId="35E65C90">
            <w:pPr>
              <w:pStyle w:val="1535"/>
            </w:pPr>
            <w:r>
              <w:t>《污水综合排放标准》三级</w:t>
            </w:r>
          </w:p>
        </w:tc>
        <w:tc>
          <w:tcPr>
            <w:tcW w:w="642" w:type="pct"/>
            <w:vAlign w:val="center"/>
          </w:tcPr>
          <w:p w14:paraId="6179CA91">
            <w:pPr>
              <w:pStyle w:val="1535"/>
            </w:pPr>
            <w:r>
              <w:t>≤500</w:t>
            </w:r>
          </w:p>
        </w:tc>
        <w:tc>
          <w:tcPr>
            <w:tcW w:w="500" w:type="pct"/>
            <w:vAlign w:val="center"/>
          </w:tcPr>
          <w:p w14:paraId="185CF6BE">
            <w:pPr>
              <w:pStyle w:val="1535"/>
            </w:pPr>
            <w:r>
              <w:t>≤400</w:t>
            </w:r>
          </w:p>
        </w:tc>
        <w:tc>
          <w:tcPr>
            <w:tcW w:w="560" w:type="pct"/>
            <w:vAlign w:val="center"/>
          </w:tcPr>
          <w:p w14:paraId="4172973D">
            <w:pPr>
              <w:pStyle w:val="1535"/>
            </w:pPr>
            <w:r>
              <w:t>≤30</w:t>
            </w:r>
          </w:p>
        </w:tc>
        <w:tc>
          <w:tcPr>
            <w:tcW w:w="560" w:type="pct"/>
            <w:vAlign w:val="center"/>
          </w:tcPr>
          <w:p w14:paraId="6420CC2F">
            <w:pPr>
              <w:pStyle w:val="1535"/>
            </w:pPr>
            <w:r>
              <w:t>≤20</w:t>
            </w:r>
          </w:p>
        </w:tc>
        <w:tc>
          <w:tcPr>
            <w:tcW w:w="459" w:type="pct"/>
            <w:vAlign w:val="center"/>
          </w:tcPr>
          <w:p w14:paraId="59461CC9">
            <w:pPr>
              <w:pStyle w:val="1535"/>
            </w:pPr>
            <w:r>
              <w:t>≤45</w:t>
            </w:r>
          </w:p>
        </w:tc>
        <w:tc>
          <w:tcPr>
            <w:tcW w:w="501" w:type="pct"/>
            <w:vAlign w:val="center"/>
          </w:tcPr>
          <w:p w14:paraId="71CB3291">
            <w:pPr>
              <w:pStyle w:val="1535"/>
            </w:pPr>
            <w:r>
              <w:t>6-9</w:t>
            </w:r>
          </w:p>
        </w:tc>
      </w:tr>
    </w:tbl>
    <w:p w14:paraId="49049BAD">
      <w:pPr>
        <w:ind w:firstLine="52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（2）基准排水量</w:t>
      </w:r>
    </w:p>
    <w:p w14:paraId="50D508E0">
      <w:pPr>
        <w:ind w:firstLine="52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根据《电子工业水污染物排放标准》（GB39731-2020）要求，水污染物排放限值适用于单位产品排水量不高于单位产品基准排水量的情况。若单位产品排水量超过单位产品基准排水量，须将实测水污染物浓度换算为水污染物基准排水量排放浓度，并以水污染物基准排水量排放浓度作为判定排放是否达标的依据。</w:t>
      </w:r>
    </w:p>
    <w:p w14:paraId="17C248BA">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建成后全厂主要产品为：硅产品、石英产品、石墨产品、陶瓷产品、碳化硅及涂层产品及GASKET产品；参照《电子工业水污染物排放标准》（GB39731-2020）表2，属于该表的产品为硅产品，剩余电子材料应该归类于电子专用材料-其他。</w:t>
      </w:r>
    </w:p>
    <w:p w14:paraId="136CC8C3">
      <w:pPr>
        <w:ind w:firstLine="520"/>
        <w:rPr>
          <w:color w:val="000000" w:themeColor="text1"/>
          <w14:textFill>
            <w14:solidFill>
              <w14:schemeClr w14:val="tx1"/>
            </w14:solidFill>
          </w14:textFill>
        </w:rPr>
      </w:pPr>
      <w:r>
        <w:rPr>
          <w:color w:val="000000" w:themeColor="text1"/>
          <w14:textFill>
            <w14:solidFill>
              <w14:schemeClr w14:val="tx1"/>
            </w14:solidFill>
          </w14:textFill>
        </w:rPr>
        <w:t>项目扩建后</w:t>
      </w:r>
      <w:r>
        <w:rPr>
          <w:rFonts w:hint="eastAsia"/>
          <w:color w:val="000000" w:themeColor="text1"/>
          <w14:textFill>
            <w14:solidFill>
              <w14:schemeClr w14:val="tx1"/>
            </w14:solidFill>
          </w14:textFill>
        </w:rPr>
        <w:t>碳化</w:t>
      </w:r>
      <w:r>
        <w:rPr>
          <w:color w:val="000000" w:themeColor="text1"/>
          <w14:textFill>
            <w14:solidFill>
              <w14:schemeClr w14:val="tx1"/>
            </w14:solidFill>
          </w14:textFill>
        </w:rPr>
        <w:t>硅产品产量约为</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t/a，单位产品基准排水量为2200m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/t产品；其他电子材料包括共计</w:t>
      </w:r>
      <w:r>
        <w:rPr>
          <w:rFonts w:hint="eastAsia"/>
          <w:color w:val="000000" w:themeColor="text1"/>
          <w14:textFill>
            <w14:solidFill>
              <w14:schemeClr w14:val="tx1"/>
            </w14:solidFill>
          </w14:textFill>
        </w:rPr>
        <w:t>51.2</w:t>
      </w:r>
      <w:r>
        <w:rPr>
          <w:color w:val="000000" w:themeColor="text1"/>
          <w14:textFill>
            <w14:solidFill>
              <w14:schemeClr w14:val="tx1"/>
            </w14:solidFill>
          </w14:textFill>
        </w:rPr>
        <w:t>t/a，单位产品基准排水量为5m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/t产品。根据计算，</w:t>
      </w:r>
      <w:r>
        <w:rPr>
          <w:rFonts w:hint="eastAsia"/>
          <w:color w:val="000000" w:themeColor="text1"/>
          <w14:textFill>
            <w14:solidFill>
              <w14:schemeClr w14:val="tx1"/>
            </w14:solidFill>
          </w14:textFill>
        </w:rPr>
        <w:t>扩建</w:t>
      </w:r>
      <w:r>
        <w:rPr>
          <w:color w:val="000000" w:themeColor="text1"/>
          <w14:textFill>
            <w14:solidFill>
              <w14:schemeClr w14:val="tx1"/>
            </w14:solidFill>
          </w14:textFill>
        </w:rPr>
        <w:t>项目基准排水量为</w:t>
      </w:r>
      <w:r>
        <w:rPr>
          <w:rFonts w:hint="eastAsia"/>
          <w:color w:val="000000" w:themeColor="text1"/>
          <w14:textFill>
            <w14:solidFill>
              <w14:schemeClr w14:val="tx1"/>
            </w14:solidFill>
          </w14:textFill>
        </w:rPr>
        <w:t>5056</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/a，项目</w:t>
      </w:r>
      <w:r>
        <w:rPr>
          <w:rFonts w:hint="eastAsia"/>
          <w:color w:val="000000" w:themeColor="text1"/>
          <w14:textFill>
            <w14:solidFill>
              <w14:schemeClr w14:val="tx1"/>
            </w14:solidFill>
          </w14:textFill>
        </w:rPr>
        <w:t>计算</w:t>
      </w:r>
      <w:r>
        <w:rPr>
          <w:color w:val="000000" w:themeColor="text1"/>
          <w14:textFill>
            <w14:solidFill>
              <w14:schemeClr w14:val="tx1"/>
            </w14:solidFill>
          </w14:textFill>
        </w:rPr>
        <w:t>排水量共计</w:t>
      </w:r>
      <w:r>
        <w:rPr>
          <w:rFonts w:hint="eastAsia"/>
          <w:snapToGrid/>
          <w:color w:val="000000" w:themeColor="text1"/>
          <w:szCs w:val="26"/>
          <w14:textFill>
            <w14:solidFill>
              <w14:schemeClr w14:val="tx1"/>
            </w14:solidFill>
          </w14:textFill>
        </w:rPr>
        <w:t>2301</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/a，排水量小于基准排水量，因此可直接适用《电子工业水污染物排放标准》（GB39731-2020）中的污染物排放浓度限值。</w:t>
      </w:r>
    </w:p>
    <w:p w14:paraId="4F5E955D">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w:t>
      </w:r>
      <w:r>
        <w:rPr>
          <w:color w:val="000000" w:themeColor="text1"/>
          <w14:textFill>
            <w14:solidFill>
              <w14:schemeClr w14:val="tx1"/>
            </w14:solidFill>
          </w14:textFill>
        </w:rPr>
        <w:t>生活污水</w:t>
      </w:r>
    </w:p>
    <w:p w14:paraId="7A94F749">
      <w:pPr>
        <w:ind w:firstLine="520"/>
        <w:rPr>
          <w:color w:val="000000" w:themeColor="text1"/>
          <w14:textFill>
            <w14:solidFill>
              <w14:schemeClr w14:val="tx1"/>
            </w14:solidFill>
          </w14:textFill>
        </w:rPr>
      </w:pPr>
      <w:r>
        <w:rPr>
          <w:color w:val="000000" w:themeColor="text1"/>
          <w14:textFill>
            <w14:solidFill>
              <w14:schemeClr w14:val="tx1"/>
            </w14:solidFill>
          </w14:textFill>
        </w:rPr>
        <w:t>生活污水</w:t>
      </w:r>
      <w:r>
        <w:rPr>
          <w:rFonts w:hint="eastAsia"/>
          <w:color w:val="000000" w:themeColor="text1"/>
          <w14:textFill>
            <w14:solidFill>
              <w14:schemeClr w14:val="tx1"/>
            </w14:solidFill>
          </w14:textFill>
        </w:rPr>
        <w:t>依托现有</w:t>
      </w:r>
      <w:r>
        <w:rPr>
          <w:color w:val="000000" w:themeColor="text1"/>
          <w14:textFill>
            <w14:solidFill>
              <w14:schemeClr w14:val="tx1"/>
            </w14:solidFill>
          </w14:textFill>
        </w:rPr>
        <w:t>生化池处理达《电子工业水污染物排放标准》（GB39731-2020）间接排放标准（动植物油执行《污水综合排放标准》（GB8978-1996）三级标准）后，由厂区总排口进入西彭工业园区污水处理厂达《污水综合排放标准》（GB8978-1996）一级标准后排入长江。生活污水产生量为</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现有</w:t>
      </w:r>
      <w:r>
        <w:rPr>
          <w:color w:val="000000" w:themeColor="text1"/>
          <w14:textFill>
            <w14:solidFill>
              <w14:schemeClr w14:val="tx1"/>
            </w14:solidFill>
          </w14:textFill>
        </w:rPr>
        <w:t>生化池</w:t>
      </w:r>
      <w:r>
        <w:rPr>
          <w:rFonts w:hint="eastAsia"/>
          <w:color w:val="000000" w:themeColor="text1"/>
          <w14:textFill>
            <w14:solidFill>
              <w14:schemeClr w14:val="tx1"/>
            </w14:solidFill>
          </w14:textFill>
        </w:rPr>
        <w:t>设计处理规模20m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/d，现有工程处理规模为10.8m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/d，剩余处理能力为9.2m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/d，项目可依托</w:t>
      </w:r>
      <w:r>
        <w:rPr>
          <w:color w:val="000000" w:themeColor="text1"/>
          <w14:textFill>
            <w14:solidFill>
              <w14:schemeClr w14:val="tx1"/>
            </w14:solidFill>
          </w14:textFill>
        </w:rPr>
        <w:t>。</w:t>
      </w:r>
    </w:p>
    <w:p w14:paraId="3FDF97F1">
      <w:pPr>
        <w:spacing w:line="240" w:lineRule="auto"/>
        <w:ind w:firstLine="520"/>
        <w:jc w:val="center"/>
        <w:rPr>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2847975" cy="476250"/>
            <wp:effectExtent l="0" t="0" r="0" b="0"/>
            <wp:docPr id="8380418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1880" name="图片 40"/>
                    <pic:cNvPicPr>
                      <a:picLocks noChangeAspect="1" noChangeArrowheads="1"/>
                    </pic:cNvPicPr>
                  </pic:nvPicPr>
                  <pic:blipFill>
                    <a:blip r:embed="rId77">
                      <a:extLst>
                        <a:ext uri="{28A0092B-C50C-407E-A947-70E740481C1C}">
                          <a14:useLocalDpi xmlns:a14="http://schemas.microsoft.com/office/drawing/2010/main" val="0"/>
                        </a:ext>
                      </a:extLst>
                    </a:blip>
                    <a:srcRect t="58502"/>
                    <a:stretch>
                      <a:fillRect/>
                    </a:stretch>
                  </pic:blipFill>
                  <pic:spPr>
                    <a:xfrm>
                      <a:off x="0" y="0"/>
                      <a:ext cx="2847975" cy="476250"/>
                    </a:xfrm>
                    <a:prstGeom prst="rect">
                      <a:avLst/>
                    </a:prstGeom>
                    <a:noFill/>
                    <a:ln>
                      <a:noFill/>
                    </a:ln>
                  </pic:spPr>
                </pic:pic>
              </a:graphicData>
            </a:graphic>
          </wp:inline>
        </w:drawing>
      </w:r>
    </w:p>
    <w:p w14:paraId="7FD4CC18">
      <w:pPr>
        <w:spacing w:before="32"/>
        <w:ind w:firstLine="5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生活污水处理工艺流程</w:t>
      </w:r>
    </w:p>
    <w:p w14:paraId="21A6A2DE">
      <w:pPr>
        <w:pStyle w:val="5"/>
        <w:rPr>
          <w:bCs/>
          <w:color w:val="000000" w:themeColor="text1"/>
          <w14:textFill>
            <w14:solidFill>
              <w14:schemeClr w14:val="tx1"/>
            </w14:solidFill>
          </w14:textFill>
        </w:rPr>
      </w:pPr>
      <w:bookmarkStart w:id="352" w:name="_Toc32620"/>
      <w:r>
        <w:rPr>
          <w:color w:val="000000" w:themeColor="text1"/>
          <w14:textFill>
            <w14:solidFill>
              <w14:schemeClr w14:val="tx1"/>
            </w14:solidFill>
          </w14:textFill>
        </w:rPr>
        <w:t>污水处理厂可依托性分析</w:t>
      </w:r>
    </w:p>
    <w:p w14:paraId="10C2D2BA">
      <w:pPr>
        <w:ind w:firstLine="520"/>
        <w:jc w:val="left"/>
        <w:rPr>
          <w:color w:val="000000" w:themeColor="text1"/>
          <w:szCs w:val="22"/>
          <w:lang w:bidi="ar"/>
          <w14:textFill>
            <w14:solidFill>
              <w14:schemeClr w14:val="tx1"/>
            </w14:solidFill>
          </w14:textFill>
        </w:rPr>
      </w:pPr>
      <w:r>
        <w:rPr>
          <w:color w:val="000000" w:themeColor="text1"/>
          <w14:textFill>
            <w14:solidFill>
              <w14:schemeClr w14:val="tx1"/>
            </w14:solidFill>
          </w14:textFill>
        </w:rPr>
        <w:t>项目周边市政污水管完善，西彭工业园区污水处理厂于2011年建成，</w:t>
      </w:r>
      <w:r>
        <w:rPr>
          <w:rFonts w:hint="eastAsia"/>
          <w:color w:val="000000" w:themeColor="text1"/>
          <w:szCs w:val="22"/>
          <w:lang w:bidi="ar"/>
          <w14:textFill>
            <w14:solidFill>
              <w14:schemeClr w14:val="tx1"/>
            </w14:solidFill>
          </w14:textFill>
        </w:rPr>
        <w:t>目前，</w:t>
      </w:r>
      <w:r>
        <w:rPr>
          <w:color w:val="000000" w:themeColor="text1"/>
          <w:szCs w:val="22"/>
          <w:lang w:bidi="ar"/>
          <w14:textFill>
            <w14:solidFill>
              <w14:schemeClr w14:val="tx1"/>
            </w14:solidFill>
          </w14:textFill>
        </w:rPr>
        <w:t>设计处理规模0.7万m</w:t>
      </w:r>
      <w:r>
        <w:rPr>
          <w:color w:val="000000" w:themeColor="text1"/>
          <w:szCs w:val="22"/>
          <w:vertAlign w:val="superscript"/>
          <w:lang w:bidi="ar"/>
          <w14:textFill>
            <w14:solidFill>
              <w14:schemeClr w14:val="tx1"/>
            </w14:solidFill>
          </w14:textFill>
        </w:rPr>
        <w:t>3</w:t>
      </w:r>
      <w:r>
        <w:rPr>
          <w:color w:val="000000" w:themeColor="text1"/>
          <w:szCs w:val="22"/>
          <w:lang w:bidi="ar"/>
          <w14:textFill>
            <w14:solidFill>
              <w14:schemeClr w14:val="tx1"/>
            </w14:solidFill>
          </w14:textFill>
        </w:rPr>
        <w:t>/d（含2000t/d的应急处理能力）</w:t>
      </w:r>
      <w:r>
        <w:rPr>
          <w:rFonts w:hint="eastAsia"/>
          <w:color w:val="000000" w:themeColor="text1"/>
          <w:szCs w:val="22"/>
          <w:lang w:bidi="ar"/>
          <w14:textFill>
            <w14:solidFill>
              <w14:schemeClr w14:val="tx1"/>
            </w14:solidFill>
          </w14:textFill>
        </w:rPr>
        <w:t>，实际处理规模约0.5</w:t>
      </w:r>
      <w:r>
        <w:rPr>
          <w:color w:val="000000" w:themeColor="text1"/>
          <w:szCs w:val="22"/>
          <w:lang w:bidi="ar"/>
          <w14:textFill>
            <w14:solidFill>
              <w14:schemeClr w14:val="tx1"/>
            </w14:solidFill>
          </w14:textFill>
        </w:rPr>
        <w:t>万m</w:t>
      </w:r>
      <w:r>
        <w:rPr>
          <w:color w:val="000000" w:themeColor="text1"/>
          <w:szCs w:val="22"/>
          <w:vertAlign w:val="superscript"/>
          <w:lang w:bidi="ar"/>
          <w14:textFill>
            <w14:solidFill>
              <w14:schemeClr w14:val="tx1"/>
            </w14:solidFill>
          </w14:textFill>
        </w:rPr>
        <w:t>3</w:t>
      </w:r>
      <w:r>
        <w:rPr>
          <w:color w:val="000000" w:themeColor="text1"/>
          <w:szCs w:val="22"/>
          <w:lang w:bidi="ar"/>
          <w14:textFill>
            <w14:solidFill>
              <w14:schemeClr w14:val="tx1"/>
            </w14:solidFill>
          </w14:textFill>
        </w:rPr>
        <w:t>/d，采用“粗格栅、污水提升泵房+初沉调节池+浅层气浮+水解酸化+生物接触氧化+二沉池+计量渠排水”污水处理工艺，出水水质执行《污水综合排放标准》（GB 8978-1996）一级标准。</w:t>
      </w:r>
    </w:p>
    <w:p w14:paraId="1D1AE644">
      <w:pPr>
        <w:ind w:firstLine="520"/>
        <w:rPr>
          <w:color w:val="000000" w:themeColor="text1"/>
          <w14:textFill>
            <w14:solidFill>
              <w14:schemeClr w14:val="tx1"/>
            </w14:solidFill>
          </w14:textFill>
        </w:rPr>
      </w:pPr>
      <w:r>
        <w:rPr>
          <w:color w:val="000000" w:themeColor="text1"/>
          <w:szCs w:val="22"/>
          <w:lang w:bidi="ar"/>
          <w14:textFill>
            <w14:solidFill>
              <w14:schemeClr w14:val="tx1"/>
            </w14:solidFill>
          </w14:textFill>
        </w:rPr>
        <w:t>根据调查，西彭工业园区污水处理厂正在实施提标扩建工程，目前已基本完成土建工程建设，预计2025年7月投运。提标扩建工程主要建设内容为：（1）在西彭镇污水处理厂南侧预留用地扩建西彭工业污水处理厂新厂区，新厂区预处理段、生化处理段设计规模1.0万m</w:t>
      </w:r>
      <w:r>
        <w:rPr>
          <w:color w:val="000000" w:themeColor="text1"/>
          <w:szCs w:val="22"/>
          <w:vertAlign w:val="superscript"/>
          <w:lang w:bidi="ar"/>
          <w14:textFill>
            <w14:solidFill>
              <w14:schemeClr w14:val="tx1"/>
            </w14:solidFill>
          </w14:textFill>
        </w:rPr>
        <w:t>3</w:t>
      </w:r>
      <w:r>
        <w:rPr>
          <w:color w:val="000000" w:themeColor="text1"/>
          <w:szCs w:val="22"/>
          <w:lang w:bidi="ar"/>
          <w14:textFill>
            <w14:solidFill>
              <w14:schemeClr w14:val="tx1"/>
            </w14:solidFill>
          </w14:textFill>
        </w:rPr>
        <w:t>/d，深度处理段设计规模1.5万m</w:t>
      </w:r>
      <w:r>
        <w:rPr>
          <w:color w:val="000000" w:themeColor="text1"/>
          <w:szCs w:val="22"/>
          <w:vertAlign w:val="superscript"/>
          <w:lang w:bidi="ar"/>
          <w14:textFill>
            <w14:solidFill>
              <w14:schemeClr w14:val="tx1"/>
            </w14:solidFill>
          </w14:textFill>
        </w:rPr>
        <w:t>3</w:t>
      </w:r>
      <w:r>
        <w:rPr>
          <w:color w:val="000000" w:themeColor="text1"/>
          <w:szCs w:val="22"/>
          <w:lang w:bidi="ar"/>
          <w14:textFill>
            <w14:solidFill>
              <w14:schemeClr w14:val="tx1"/>
            </w14:solidFill>
          </w14:textFill>
        </w:rPr>
        <w:t>/d，</w:t>
      </w:r>
      <w:r>
        <w:rPr>
          <w:color w:val="000000" w:themeColor="text1"/>
          <w:szCs w:val="22"/>
          <w:lang w:eastAsia="zh" w:bidi="ar"/>
          <w14:textFill>
            <w14:solidFill>
              <w14:schemeClr w14:val="tx1"/>
            </w14:solidFill>
          </w14:textFill>
        </w:rPr>
        <w:t>污染物</w:t>
      </w:r>
      <w:r>
        <w:rPr>
          <w:color w:val="000000" w:themeColor="text1"/>
          <w:szCs w:val="22"/>
          <w:lang w:bidi="ar"/>
          <w14:textFill>
            <w14:solidFill>
              <w14:schemeClr w14:val="tx1"/>
            </w14:solidFill>
          </w14:textFill>
        </w:rPr>
        <w:t>COD、氨氮、TP达《地表水环境质量标准》（GB 3838-2002）Ⅳ类标准，其他因子达《城镇污水处理厂污染物排放标准》（GB 18918-2002）一级A标准后排入桥头河</w:t>
      </w:r>
      <w:r>
        <w:rPr>
          <w:color w:val="000000" w:themeColor="text1"/>
          <w14:textFill>
            <w14:solidFill>
              <w14:schemeClr w14:val="tx1"/>
            </w14:solidFill>
          </w14:textFill>
        </w:rPr>
        <w:t>。目前</w:t>
      </w:r>
      <w:r>
        <w:rPr>
          <w:rFonts w:hint="eastAsia"/>
          <w:color w:val="000000" w:themeColor="text1"/>
          <w14:textFill>
            <w14:solidFill>
              <w14:schemeClr w14:val="tx1"/>
            </w14:solidFill>
          </w14:textFill>
        </w:rPr>
        <w:t>，</w:t>
      </w:r>
      <w:r>
        <w:rPr>
          <w:color w:val="000000" w:themeColor="text1"/>
          <w:szCs w:val="22"/>
          <w:lang w:bidi="ar"/>
          <w14:textFill>
            <w14:solidFill>
              <w14:schemeClr w14:val="tx1"/>
            </w14:solidFill>
          </w14:textFill>
        </w:rPr>
        <w:t>西彭工业园区污水处理厂</w:t>
      </w:r>
      <w:r>
        <w:rPr>
          <w:color w:val="000000" w:themeColor="text1"/>
          <w14:textFill>
            <w14:solidFill>
              <w14:schemeClr w14:val="tx1"/>
            </w14:solidFill>
          </w14:textFill>
        </w:rPr>
        <w:t>实际进水量约为</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剩余处理能力2000m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/d，扩建项目废水排放量为10.81m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/d，占</w:t>
      </w:r>
      <w:r>
        <w:rPr>
          <w:rFonts w:hint="eastAsia"/>
          <w:color w:val="000000" w:themeColor="text1"/>
          <w:szCs w:val="22"/>
          <w:lang w:bidi="ar"/>
          <w14:textFill>
            <w14:solidFill>
              <w14:schemeClr w14:val="tx1"/>
            </w14:solidFill>
          </w14:textFill>
        </w:rPr>
        <w:t>剩余处理能力的0.5%，对其影响较小，依托可行</w:t>
      </w:r>
      <w:r>
        <w:rPr>
          <w:color w:val="000000" w:themeColor="text1"/>
          <w14:textFill>
            <w14:solidFill>
              <w14:schemeClr w14:val="tx1"/>
            </w14:solidFill>
          </w14:textFill>
        </w:rPr>
        <w:t>。</w:t>
      </w:r>
    </w:p>
    <w:p w14:paraId="2C007720">
      <w:pPr>
        <w:pStyle w:val="4"/>
        <w:rPr>
          <w:color w:val="000000" w:themeColor="text1"/>
          <w14:textFill>
            <w14:solidFill>
              <w14:schemeClr w14:val="tx1"/>
            </w14:solidFill>
          </w14:textFill>
        </w:rPr>
      </w:pPr>
      <w:bookmarkStart w:id="353" w:name="_Toc2879"/>
      <w:r>
        <w:rPr>
          <w:color w:val="000000" w:themeColor="text1"/>
          <w14:textFill>
            <w14:solidFill>
              <w14:schemeClr w14:val="tx1"/>
            </w14:solidFill>
          </w14:textFill>
        </w:rPr>
        <w:t>废气治理措施及技术可行性分析</w:t>
      </w:r>
      <w:bookmarkEnd w:id="352"/>
      <w:bookmarkEnd w:id="353"/>
    </w:p>
    <w:p w14:paraId="28E6D7D9">
      <w:pPr>
        <w:pStyle w:val="5"/>
        <w:rPr>
          <w:bCs/>
          <w:color w:val="000000" w:themeColor="text1"/>
          <w14:textFill>
            <w14:solidFill>
              <w14:schemeClr w14:val="tx1"/>
            </w14:solidFill>
          </w14:textFill>
        </w:rPr>
      </w:pPr>
      <w:r>
        <w:rPr>
          <w:color w:val="000000" w:themeColor="text1"/>
          <w14:textFill>
            <w14:solidFill>
              <w14:schemeClr w14:val="tx1"/>
            </w14:solidFill>
          </w14:textFill>
        </w:rPr>
        <w:t>废气治理措施</w:t>
      </w:r>
    </w:p>
    <w:p w14:paraId="3AF375C7">
      <w:pPr>
        <w:spacing w:before="32" w:line="360" w:lineRule="auto"/>
        <w:ind w:firstLine="520"/>
        <w:rPr>
          <w:color w:val="000000" w:themeColor="text1"/>
          <w14:textFill>
            <w14:solidFill>
              <w14:schemeClr w14:val="tx1"/>
            </w14:solidFill>
          </w14:textFill>
        </w:rPr>
      </w:pPr>
      <w:r>
        <w:rPr>
          <w:color w:val="000000" w:themeColor="text1"/>
          <w14:textFill>
            <w14:solidFill>
              <w14:schemeClr w14:val="tx1"/>
            </w14:solidFill>
          </w14:textFill>
        </w:rPr>
        <w:t>项目主要环境空气污染防治措施见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_Ref160558322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表8.2</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28FA13E2">
      <w:pPr>
        <w:spacing w:before="32"/>
        <w:ind w:firstLine="0" w:firstLineChars="0"/>
        <w:jc w:val="center"/>
        <w:rPr>
          <w:color w:val="000000" w:themeColor="text1"/>
          <w14:textFill>
            <w14:solidFill>
              <w14:schemeClr w14:val="tx1"/>
            </w14:solidFill>
          </w14:textFill>
        </w:rPr>
      </w:pPr>
      <w:bookmarkStart w:id="354" w:name="_Ref160558322"/>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8.2</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354"/>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项目主要环境空气污染防治措施一览表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538"/>
        <w:gridCol w:w="1158"/>
        <w:gridCol w:w="1415"/>
        <w:gridCol w:w="2987"/>
        <w:gridCol w:w="1256"/>
      </w:tblGrid>
      <w:tr w14:paraId="1DC0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84" w:type="pct"/>
            <w:vMerge w:val="restart"/>
            <w:vAlign w:val="center"/>
          </w:tcPr>
          <w:p w14:paraId="1CD98E9C">
            <w:pPr>
              <w:pStyle w:val="1535"/>
            </w:pPr>
            <w:bookmarkStart w:id="355" w:name="_Hlk65009620"/>
            <w:r>
              <w:t>厂房</w:t>
            </w:r>
            <w:bookmarkEnd w:id="355"/>
          </w:p>
        </w:tc>
        <w:tc>
          <w:tcPr>
            <w:tcW w:w="813" w:type="pct"/>
            <w:vMerge w:val="restart"/>
            <w:vAlign w:val="center"/>
          </w:tcPr>
          <w:p w14:paraId="6140B16A">
            <w:pPr>
              <w:pStyle w:val="1535"/>
            </w:pPr>
            <w:r>
              <w:t>污染源</w:t>
            </w:r>
          </w:p>
        </w:tc>
        <w:tc>
          <w:tcPr>
            <w:tcW w:w="612" w:type="pct"/>
            <w:vMerge w:val="restart"/>
            <w:vAlign w:val="center"/>
          </w:tcPr>
          <w:p w14:paraId="09E318EF">
            <w:pPr>
              <w:pStyle w:val="1535"/>
            </w:pPr>
            <w:r>
              <w:t>编号</w:t>
            </w:r>
          </w:p>
        </w:tc>
        <w:tc>
          <w:tcPr>
            <w:tcW w:w="748" w:type="pct"/>
            <w:vMerge w:val="restart"/>
            <w:vAlign w:val="center"/>
          </w:tcPr>
          <w:p w14:paraId="6840521A">
            <w:pPr>
              <w:pStyle w:val="1535"/>
            </w:pPr>
            <w:r>
              <w:t>污染物</w:t>
            </w:r>
          </w:p>
        </w:tc>
        <w:tc>
          <w:tcPr>
            <w:tcW w:w="1579" w:type="pct"/>
            <w:vMerge w:val="restart"/>
            <w:vAlign w:val="center"/>
          </w:tcPr>
          <w:p w14:paraId="069AA204">
            <w:pPr>
              <w:pStyle w:val="1535"/>
            </w:pPr>
            <w:r>
              <w:t>治理措施及效率</w:t>
            </w:r>
          </w:p>
        </w:tc>
        <w:tc>
          <w:tcPr>
            <w:tcW w:w="665" w:type="pct"/>
            <w:vMerge w:val="restart"/>
            <w:vAlign w:val="center"/>
          </w:tcPr>
          <w:p w14:paraId="75461C83">
            <w:pPr>
              <w:pStyle w:val="1535"/>
            </w:pPr>
            <w:r>
              <w:t>排气筒</w:t>
            </w:r>
          </w:p>
        </w:tc>
      </w:tr>
      <w:tr w14:paraId="7B64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84" w:type="pct"/>
            <w:vMerge w:val="continue"/>
            <w:vAlign w:val="center"/>
          </w:tcPr>
          <w:p w14:paraId="05FD5505">
            <w:pPr>
              <w:pStyle w:val="1535"/>
            </w:pPr>
          </w:p>
        </w:tc>
        <w:tc>
          <w:tcPr>
            <w:tcW w:w="813" w:type="pct"/>
            <w:vMerge w:val="continue"/>
            <w:vAlign w:val="center"/>
          </w:tcPr>
          <w:p w14:paraId="62B341EF">
            <w:pPr>
              <w:pStyle w:val="1535"/>
            </w:pPr>
          </w:p>
        </w:tc>
        <w:tc>
          <w:tcPr>
            <w:tcW w:w="612" w:type="pct"/>
            <w:vMerge w:val="continue"/>
            <w:vAlign w:val="center"/>
          </w:tcPr>
          <w:p w14:paraId="11F5529B">
            <w:pPr>
              <w:pStyle w:val="1535"/>
            </w:pPr>
          </w:p>
        </w:tc>
        <w:tc>
          <w:tcPr>
            <w:tcW w:w="748" w:type="pct"/>
            <w:vMerge w:val="continue"/>
            <w:vAlign w:val="center"/>
          </w:tcPr>
          <w:p w14:paraId="0B6EC38D">
            <w:pPr>
              <w:pStyle w:val="1535"/>
            </w:pPr>
          </w:p>
        </w:tc>
        <w:tc>
          <w:tcPr>
            <w:tcW w:w="1579" w:type="pct"/>
            <w:vMerge w:val="continue"/>
            <w:vAlign w:val="center"/>
          </w:tcPr>
          <w:p w14:paraId="3350B763">
            <w:pPr>
              <w:pStyle w:val="1535"/>
            </w:pPr>
          </w:p>
        </w:tc>
        <w:tc>
          <w:tcPr>
            <w:tcW w:w="665" w:type="pct"/>
            <w:vMerge w:val="continue"/>
            <w:vAlign w:val="center"/>
          </w:tcPr>
          <w:p w14:paraId="3A982F86">
            <w:pPr>
              <w:pStyle w:val="1535"/>
            </w:pPr>
          </w:p>
        </w:tc>
      </w:tr>
      <w:tr w14:paraId="27A7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Align w:val="center"/>
          </w:tcPr>
          <w:p w14:paraId="47EE4DBA">
            <w:pPr>
              <w:pStyle w:val="1535"/>
            </w:pPr>
            <w:r>
              <w:rPr>
                <w:rFonts w:hint="eastAsia"/>
              </w:rPr>
              <w:t>现有</w:t>
            </w:r>
            <w:r>
              <w:t>1</w:t>
            </w:r>
            <w:r>
              <w:rPr>
                <w:rFonts w:hint="eastAsia"/>
              </w:rPr>
              <w:t>#</w:t>
            </w:r>
            <w:r>
              <w:t>厂房</w:t>
            </w:r>
          </w:p>
        </w:tc>
        <w:tc>
          <w:tcPr>
            <w:tcW w:w="813" w:type="pct"/>
            <w:vAlign w:val="center"/>
          </w:tcPr>
          <w:p w14:paraId="1C28BE66">
            <w:pPr>
              <w:pStyle w:val="1535"/>
            </w:pPr>
            <w:r>
              <w:rPr>
                <w:rFonts w:hint="eastAsia"/>
              </w:rPr>
              <w:t>现有</w:t>
            </w:r>
            <w:r>
              <w:t>碳化硅生产线废气</w:t>
            </w:r>
            <w:r>
              <w:rPr>
                <w:rFonts w:hint="eastAsia"/>
                <w:snapToGrid/>
              </w:rPr>
              <w:t>+本次石墨纯化+碳化硅涂层废气</w:t>
            </w:r>
          </w:p>
        </w:tc>
        <w:tc>
          <w:tcPr>
            <w:tcW w:w="612" w:type="pct"/>
            <w:vAlign w:val="center"/>
          </w:tcPr>
          <w:p w14:paraId="621D231F">
            <w:pPr>
              <w:pStyle w:val="1535"/>
            </w:pPr>
            <w:r>
              <w:t>DA00</w:t>
            </w:r>
            <w:r>
              <w:rPr>
                <w:rFonts w:hint="eastAsia"/>
              </w:rPr>
              <w:t>4</w:t>
            </w:r>
          </w:p>
        </w:tc>
        <w:tc>
          <w:tcPr>
            <w:tcW w:w="748" w:type="pct"/>
            <w:vAlign w:val="center"/>
          </w:tcPr>
          <w:p w14:paraId="12D954D3">
            <w:pPr>
              <w:pStyle w:val="1535"/>
            </w:pPr>
            <w:r>
              <w:t>氯化氢</w:t>
            </w:r>
          </w:p>
          <w:p w14:paraId="3697E018">
            <w:pPr>
              <w:pStyle w:val="1535"/>
            </w:pPr>
            <w:r>
              <w:rPr>
                <w:rFonts w:hint="eastAsia"/>
              </w:rPr>
              <w:t>碳黑尘</w:t>
            </w:r>
          </w:p>
          <w:p w14:paraId="7B7CD075">
            <w:pPr>
              <w:pStyle w:val="1535"/>
            </w:pPr>
            <w:r>
              <w:rPr>
                <w:rFonts w:hint="eastAsia"/>
                <w:snapToGrid/>
              </w:rPr>
              <w:t>未反应MTS（以非甲烷总烃计）</w:t>
            </w:r>
          </w:p>
        </w:tc>
        <w:tc>
          <w:tcPr>
            <w:tcW w:w="1579" w:type="pct"/>
            <w:vAlign w:val="center"/>
          </w:tcPr>
          <w:p w14:paraId="7E560D3D">
            <w:pPr>
              <w:pStyle w:val="1535"/>
            </w:pPr>
            <w:r>
              <w:t>炉内排气口接入酸雾喷淋塔，废气负压抽风全部进入四级酸雾喷淋塔处理后经25m排气筒排放。收集效率100%，单级处理效率为95%，前三级处理效率保守取值为99.8%，第四级作为保险装置，防止处理效率出现波动后超标排放。</w:t>
            </w:r>
          </w:p>
        </w:tc>
        <w:tc>
          <w:tcPr>
            <w:tcW w:w="665" w:type="pct"/>
            <w:vAlign w:val="center"/>
          </w:tcPr>
          <w:p w14:paraId="4646DD5D">
            <w:pPr>
              <w:pStyle w:val="1535"/>
            </w:pPr>
            <w:r>
              <w:t>排气筒25×0.8m；25℃</w:t>
            </w:r>
          </w:p>
        </w:tc>
      </w:tr>
      <w:tr w14:paraId="6EC7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Align w:val="center"/>
          </w:tcPr>
          <w:p w14:paraId="4E4BE3C3">
            <w:pPr>
              <w:pStyle w:val="1535"/>
            </w:pPr>
            <w:r>
              <w:rPr>
                <w:rFonts w:hint="eastAsia"/>
              </w:rPr>
              <w:t>现有2#</w:t>
            </w:r>
            <w:r>
              <w:t>厂房</w:t>
            </w:r>
          </w:p>
        </w:tc>
        <w:tc>
          <w:tcPr>
            <w:tcW w:w="813" w:type="pct"/>
            <w:vAlign w:val="center"/>
          </w:tcPr>
          <w:p w14:paraId="506DA04E">
            <w:pPr>
              <w:pStyle w:val="1535"/>
            </w:pPr>
            <w:r>
              <w:rPr>
                <w:rFonts w:hint="eastAsia"/>
              </w:rPr>
              <w:t>GASKET</w:t>
            </w:r>
            <w:r>
              <w:rPr>
                <w:snapToGrid/>
              </w:rPr>
              <w:t>产品清洗废气</w:t>
            </w:r>
          </w:p>
        </w:tc>
        <w:tc>
          <w:tcPr>
            <w:tcW w:w="612" w:type="pct"/>
            <w:vAlign w:val="center"/>
          </w:tcPr>
          <w:p w14:paraId="18ABC2D4">
            <w:pPr>
              <w:pStyle w:val="1535"/>
            </w:pPr>
            <w:r>
              <w:t>DA00</w:t>
            </w:r>
            <w:r>
              <w:rPr>
                <w:rFonts w:hint="eastAsia"/>
              </w:rPr>
              <w:t>5</w:t>
            </w:r>
          </w:p>
        </w:tc>
        <w:tc>
          <w:tcPr>
            <w:tcW w:w="748" w:type="pct"/>
            <w:vAlign w:val="center"/>
          </w:tcPr>
          <w:p w14:paraId="105E0779">
            <w:pPr>
              <w:pStyle w:val="1535"/>
            </w:pPr>
            <w:r>
              <w:t>氟化物</w:t>
            </w:r>
          </w:p>
        </w:tc>
        <w:tc>
          <w:tcPr>
            <w:tcW w:w="1579" w:type="pct"/>
            <w:vAlign w:val="center"/>
          </w:tcPr>
          <w:p w14:paraId="0251793D">
            <w:pPr>
              <w:pStyle w:val="1535"/>
            </w:pPr>
            <w:r>
              <w:rPr>
                <w:snapToGrid/>
              </w:rPr>
              <w:t>通风柜内密闭抽风收集率</w:t>
            </w:r>
            <w:r>
              <w:rPr>
                <w:rFonts w:hint="eastAsia"/>
                <w:snapToGrid/>
              </w:rPr>
              <w:t>80</w:t>
            </w:r>
            <w:r>
              <w:rPr>
                <w:snapToGrid/>
              </w:rPr>
              <w:t>%，酸碱雾净化塔处理，经</w:t>
            </w:r>
            <w:r>
              <w:rPr>
                <w:rFonts w:hint="eastAsia"/>
                <w:snapToGrid/>
              </w:rPr>
              <w:t>1</w:t>
            </w:r>
            <w:r>
              <w:rPr>
                <w:snapToGrid/>
              </w:rPr>
              <w:t>5m排气筒排放，酸雾处理效率为95%。</w:t>
            </w:r>
          </w:p>
        </w:tc>
        <w:tc>
          <w:tcPr>
            <w:tcW w:w="665" w:type="pct"/>
            <w:vAlign w:val="center"/>
          </w:tcPr>
          <w:p w14:paraId="0AA4C931">
            <w:pPr>
              <w:pStyle w:val="1535"/>
            </w:pPr>
            <w:r>
              <w:rPr>
                <w:snapToGrid/>
              </w:rPr>
              <w:t>排气筒</w:t>
            </w:r>
            <w:r>
              <w:rPr>
                <w:rFonts w:hint="eastAsia"/>
                <w:snapToGrid/>
              </w:rPr>
              <w:t>1</w:t>
            </w:r>
            <w:r>
              <w:rPr>
                <w:snapToGrid/>
              </w:rPr>
              <w:t>5×0.2m；25℃</w:t>
            </w:r>
          </w:p>
        </w:tc>
      </w:tr>
      <w:tr w14:paraId="0D78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Align w:val="center"/>
          </w:tcPr>
          <w:p w14:paraId="68439FE0">
            <w:pPr>
              <w:pStyle w:val="1535"/>
            </w:pPr>
            <w:r>
              <w:rPr>
                <w:rFonts w:hint="eastAsia"/>
              </w:rPr>
              <w:t>臻宝科技公司附属用房01</w:t>
            </w:r>
          </w:p>
        </w:tc>
        <w:tc>
          <w:tcPr>
            <w:tcW w:w="813" w:type="pct"/>
            <w:vAlign w:val="center"/>
          </w:tcPr>
          <w:p w14:paraId="055945E5">
            <w:pPr>
              <w:pStyle w:val="1535"/>
            </w:pPr>
            <w:r>
              <w:rPr>
                <w:rFonts w:hint="eastAsia"/>
                <w:snapToGrid/>
              </w:rPr>
              <w:t>石墨机加废气</w:t>
            </w:r>
          </w:p>
        </w:tc>
        <w:tc>
          <w:tcPr>
            <w:tcW w:w="612" w:type="pct"/>
            <w:vAlign w:val="center"/>
          </w:tcPr>
          <w:p w14:paraId="4CDB1CC9">
            <w:pPr>
              <w:pStyle w:val="1535"/>
            </w:pPr>
            <w:r>
              <w:t>DA0</w:t>
            </w:r>
            <w:r>
              <w:rPr>
                <w:rFonts w:hint="eastAsia"/>
              </w:rPr>
              <w:t>16</w:t>
            </w:r>
          </w:p>
        </w:tc>
        <w:tc>
          <w:tcPr>
            <w:tcW w:w="748" w:type="pct"/>
            <w:vAlign w:val="center"/>
          </w:tcPr>
          <w:p w14:paraId="0CEC2683">
            <w:pPr>
              <w:pStyle w:val="1535"/>
            </w:pPr>
            <w:r>
              <w:rPr>
                <w:rFonts w:hint="eastAsia"/>
                <w:snapToGrid/>
              </w:rPr>
              <w:t>碳黑尘</w:t>
            </w:r>
          </w:p>
        </w:tc>
        <w:tc>
          <w:tcPr>
            <w:tcW w:w="1579" w:type="pct"/>
            <w:vAlign w:val="center"/>
          </w:tcPr>
          <w:p w14:paraId="5A8E1ABF">
            <w:pPr>
              <w:pStyle w:val="1535"/>
              <w:rPr>
                <w:snapToGrid/>
              </w:rPr>
            </w:pPr>
            <w:r>
              <w:rPr>
                <w:rFonts w:hint="eastAsia"/>
                <w:snapToGrid/>
              </w:rPr>
              <w:t>石墨加工粉尘集气罩收集，经布袋除尘器处理后进入经DA016排气筒排放，收集效率为80%，布袋除尘器除尘效率为90%</w:t>
            </w:r>
          </w:p>
        </w:tc>
        <w:tc>
          <w:tcPr>
            <w:tcW w:w="665" w:type="pct"/>
            <w:vAlign w:val="center"/>
          </w:tcPr>
          <w:p w14:paraId="18A50335">
            <w:pPr>
              <w:pStyle w:val="1535"/>
              <w:rPr>
                <w:snapToGrid/>
              </w:rPr>
            </w:pPr>
            <w:r>
              <w:rPr>
                <w:rFonts w:hint="eastAsia"/>
                <w:snapToGrid/>
              </w:rPr>
              <w:t>排气筒</w:t>
            </w:r>
            <w:r>
              <w:rPr>
                <w:snapToGrid/>
              </w:rPr>
              <w:t>15×0.</w:t>
            </w:r>
            <w:r>
              <w:rPr>
                <w:rFonts w:hint="eastAsia"/>
                <w:snapToGrid/>
              </w:rPr>
              <w:t>2</w:t>
            </w:r>
            <w:r>
              <w:rPr>
                <w:snapToGrid/>
              </w:rPr>
              <w:t>m；25℃</w:t>
            </w:r>
          </w:p>
        </w:tc>
      </w:tr>
    </w:tbl>
    <w:p w14:paraId="6B456C6C">
      <w:pPr>
        <w:pStyle w:val="5"/>
        <w:rPr>
          <w:bCs/>
          <w:color w:val="000000" w:themeColor="text1"/>
          <w14:textFill>
            <w14:solidFill>
              <w14:schemeClr w14:val="tx1"/>
            </w14:solidFill>
          </w14:textFill>
        </w:rPr>
      </w:pPr>
      <w:r>
        <w:rPr>
          <w:color w:val="000000" w:themeColor="text1"/>
          <w14:textFill>
            <w14:solidFill>
              <w14:schemeClr w14:val="tx1"/>
            </w14:solidFill>
          </w14:textFill>
        </w:rPr>
        <w:t>酸雾治理措施可行性分析</w:t>
      </w:r>
    </w:p>
    <w:p w14:paraId="615D649E">
      <w:pPr>
        <w:ind w:firstLine="520"/>
        <w:rPr>
          <w:color w:val="000000" w:themeColor="text1"/>
          <w14:textFill>
            <w14:solidFill>
              <w14:schemeClr w14:val="tx1"/>
            </w14:solidFill>
          </w14:textFill>
        </w:rPr>
      </w:pPr>
      <w:r>
        <w:rPr>
          <w:color w:val="000000" w:themeColor="text1"/>
          <w14:textFill>
            <w14:solidFill>
              <w14:schemeClr w14:val="tx1"/>
            </w14:solidFill>
          </w14:textFill>
        </w:rPr>
        <w:t>清洗线产生酸雾（氟化物、氯化氢）。为减少酸雾的逸散，扩建项目设计了以下控制措施：</w:t>
      </w:r>
    </w:p>
    <w:p w14:paraId="56E9E520">
      <w:pPr>
        <w:ind w:firstLine="520"/>
        <w:rPr>
          <w:color w:val="000000" w:themeColor="text1"/>
          <w14:textFill>
            <w14:solidFill>
              <w14:schemeClr w14:val="tx1"/>
            </w14:solidFill>
          </w14:textFill>
        </w:rPr>
      </w:pPr>
      <w:r>
        <w:rPr>
          <w:color w:val="000000" w:themeColor="text1"/>
          <w14:textFill>
            <w14:solidFill>
              <w14:schemeClr w14:val="tx1"/>
            </w14:solidFill>
          </w14:textFill>
        </w:rPr>
        <w:t>（1）清洗车间内采用集气罩抽风，对挥发的酸雾和氟化物进行收集，并经酸雾净化塔对废气进行处理由15m高排气筒排放。</w:t>
      </w:r>
    </w:p>
    <w:p w14:paraId="6607F3C2">
      <w:pPr>
        <w:ind w:firstLine="520"/>
        <w:rPr>
          <w:color w:val="000000" w:themeColor="text1"/>
          <w14:textFill>
            <w14:solidFill>
              <w14:schemeClr w14:val="tx1"/>
            </w14:solidFill>
          </w14:textFill>
        </w:rPr>
      </w:pPr>
      <w:r>
        <w:rPr>
          <w:color w:val="000000" w:themeColor="text1"/>
          <w14:textFill>
            <w14:solidFill>
              <w14:schemeClr w14:val="tx1"/>
            </w14:solidFill>
          </w14:textFill>
        </w:rPr>
        <w:t>净化装置的原理为：含有的氟化物、氯化氢的废气由风机引入酸雾净化塔内，该塔内装有氢氧化钠碱性溶液，此溶液经雾化的雾粒由上至下地与由下至上的酸雾雾粒充分接触、碰撞，在稀释、扩散、中和等作用下，氟化物、氯化氢、硫酸雾溶于碱液后电离为F</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、Cl</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4</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3</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、H</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，H</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被碱液中的OH</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中和，从而达到吸收、净化酸雾的效果。</w:t>
      </w:r>
    </w:p>
    <w:p w14:paraId="5A1F5256">
      <w:pPr>
        <w:ind w:firstLine="520"/>
        <w:rPr>
          <w:color w:val="000000" w:themeColor="text1"/>
          <w14:textFill>
            <w14:solidFill>
              <w14:schemeClr w14:val="tx1"/>
            </w14:solidFill>
          </w14:textFill>
        </w:rPr>
      </w:pPr>
      <w:r>
        <w:rPr>
          <w:color w:val="000000" w:themeColor="text1"/>
          <w14:textFill>
            <w14:solidFill>
              <w14:schemeClr w14:val="tx1"/>
            </w14:solidFill>
          </w14:textFill>
        </w:rPr>
        <w:t>（2）碳化硅</w:t>
      </w:r>
      <w:r>
        <w:rPr>
          <w:rFonts w:hint="eastAsia"/>
          <w:color w:val="000000" w:themeColor="text1"/>
          <w14:textFill>
            <w14:solidFill>
              <w14:schemeClr w14:val="tx1"/>
            </w14:solidFill>
          </w14:textFill>
        </w:rPr>
        <w:t>涂层</w:t>
      </w:r>
      <w:r>
        <w:rPr>
          <w:color w:val="000000" w:themeColor="text1"/>
          <w14:textFill>
            <w14:solidFill>
              <w14:schemeClr w14:val="tx1"/>
            </w14:solidFill>
          </w14:textFill>
        </w:rPr>
        <w:t>生产线过程产生废气，主要为H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、HCl及MTS，经酸雾塔内的氢氧化钠碱性溶液对废气进行处理由25m高排气筒排放。</w:t>
      </w:r>
    </w:p>
    <w:p w14:paraId="7EA6868E">
      <w:pPr>
        <w:ind w:firstLine="520"/>
        <w:rPr>
          <w:bCs/>
          <w:color w:val="000000" w:themeColor="text1"/>
          <w14:textFill>
            <w14:solidFill>
              <w14:schemeClr w14:val="tx1"/>
            </w14:solidFill>
          </w14:textFill>
        </w:rPr>
      </w:pPr>
      <w:r>
        <w:rPr>
          <w:color w:val="000000" w:themeColor="text1"/>
          <w14:textFill>
            <w14:solidFill>
              <w14:schemeClr w14:val="tx1"/>
            </w14:solidFill>
          </w14:textFill>
        </w:rPr>
        <w:t>吸收原理为：喷淋塔内碱液使用碱性NaOH溶液，采用自动加药系统保持溶液pH不低于12，吸收废气中的HCl及MTS，NaOH吸收HCl生成氯化钠和水，NaOH吸收MTS生成甲基硅酸和氯化钠。由于废气中含有MTS属于毒性物质且易燃，采用湿式吸收可避免其燃烧，MTS被NaOH吸收生成甲基硅酸悬浮物和氯化钠。化学方程式如下：</w:t>
      </w:r>
    </w:p>
    <w:p w14:paraId="5584E334">
      <w:pPr>
        <w:spacing w:before="32"/>
        <w:ind w:firstLine="520"/>
        <w:jc w:val="center"/>
        <w:rPr>
          <w:bCs/>
          <w:color w:val="000000" w:themeColor="text1"/>
          <w14:textFill>
            <w14:solidFill>
              <w14:schemeClr w14:val="tx1"/>
            </w14:solidFill>
          </w14:textFill>
        </w:rPr>
      </w:pPr>
      <w:r>
        <w:rPr>
          <w:color w:val="000000" w:themeColor="text1"/>
          <w14:textFill>
            <w14:solidFill>
              <w14:schemeClr w14:val="tx1"/>
            </w14:solidFill>
          </w14:textFill>
        </w:rPr>
        <w:t>NaOH+HCl=H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O+NaCl</w:t>
      </w:r>
    </w:p>
    <w:p w14:paraId="660D3833">
      <w:pPr>
        <w:spacing w:before="32" w:line="440" w:lineRule="exact"/>
        <w:ind w:firstLine="520"/>
        <w:jc w:val="center"/>
        <w:rPr>
          <w:bCs/>
          <w:color w:val="000000" w:themeColor="text1"/>
          <w14:textFill>
            <w14:solidFill>
              <w14:schemeClr w14:val="tx1"/>
            </w14:solidFill>
          </w14:textFill>
        </w:rPr>
      </w:pP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SiCl</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+3NaOH→CH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Si(OH)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↓+3NaCl</w:t>
      </w:r>
    </w:p>
    <w:p w14:paraId="2431F577">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由于MTS具有刺激性气味，经四级喷淋塔内碱液充分吸收后，臭气浓度可达标排放，日常管理过程对该废气排放口及厂界进行臭气浓度监测，确保臭气浓度达到</w:t>
      </w:r>
      <w:r>
        <w:rPr>
          <w:color w:val="000000" w:themeColor="text1"/>
          <w14:textFill>
            <w14:solidFill>
              <w14:schemeClr w14:val="tx1"/>
            </w14:solidFill>
          </w14:textFill>
        </w:rPr>
        <w:t>《恶臭污染物排放标准》（GB14554-93）管控限值</w:t>
      </w:r>
      <w:r>
        <w:rPr>
          <w:rFonts w:hint="eastAsia"/>
          <w:color w:val="000000" w:themeColor="text1"/>
          <w14:textFill>
            <w14:solidFill>
              <w14:schemeClr w14:val="tx1"/>
            </w14:solidFill>
          </w14:textFill>
        </w:rPr>
        <w:t>。</w:t>
      </w:r>
    </w:p>
    <w:p w14:paraId="2BA29027">
      <w:pPr>
        <w:ind w:firstLine="520"/>
        <w:rPr>
          <w:bCs/>
          <w:color w:val="000000" w:themeColor="text1"/>
          <w14:textFill>
            <w14:solidFill>
              <w14:schemeClr w14:val="tx1"/>
            </w14:solidFill>
          </w14:textFill>
        </w:rPr>
      </w:pPr>
      <w:r>
        <w:rPr>
          <w:color w:val="000000" w:themeColor="text1"/>
          <w14:textFill>
            <w14:solidFill>
              <w14:schemeClr w14:val="tx1"/>
            </w14:solidFill>
          </w14:textFill>
        </w:rPr>
        <w:t>日常管理措施：设置自动加药装置，使pH保持稳定在12以上，保证废气酸碱中和处理效果。</w:t>
      </w:r>
    </w:p>
    <w:p w14:paraId="1680EB4E">
      <w:pPr>
        <w:spacing w:before="32" w:line="360" w:lineRule="auto"/>
        <w:ind w:firstLine="520"/>
        <w:rPr>
          <w:color w:val="000000" w:themeColor="text1"/>
          <w14:textFill>
            <w14:solidFill>
              <w14:schemeClr w14:val="tx1"/>
            </w14:solidFill>
          </w14:textFill>
        </w:rPr>
      </w:pPr>
      <w:r>
        <w:rPr>
          <w:color w:val="000000" w:themeColor="text1"/>
          <w14:textFill>
            <w14:solidFill>
              <w14:schemeClr w14:val="tx1"/>
            </w14:solidFill>
          </w14:textFill>
        </w:rPr>
        <w:t>氟化物、氯化氢→</w:t>
      </w:r>
      <w:r>
        <w:rPr>
          <w:color w:val="000000" w:themeColor="text1"/>
          <w:bdr w:val="single" w:color="auto" w:sz="4" w:space="0"/>
          <w14:textFill>
            <w14:solidFill>
              <w14:schemeClr w14:val="tx1"/>
            </w14:solidFill>
          </w14:textFill>
        </w:rPr>
        <w:t>槽边抽风</w:t>
      </w:r>
      <w:r>
        <w:rPr>
          <w:color w:val="000000" w:themeColor="text1"/>
          <w14:textFill>
            <w14:solidFill>
              <w14:schemeClr w14:val="tx1"/>
            </w14:solidFill>
          </w14:textFill>
        </w:rPr>
        <w:t>→</w:t>
      </w:r>
      <w:r>
        <w:rPr>
          <w:color w:val="000000" w:themeColor="text1"/>
          <w:bdr w:val="single" w:color="auto" w:sz="4" w:space="0"/>
          <w14:textFill>
            <w14:solidFill>
              <w14:schemeClr w14:val="tx1"/>
            </w14:solidFill>
          </w14:textFill>
        </w:rPr>
        <w:t>酸雾净化塔</w:t>
      </w:r>
      <w:r>
        <w:rPr>
          <w:color w:val="000000" w:themeColor="text1"/>
          <w14:textFill>
            <w14:solidFill>
              <w14:schemeClr w14:val="tx1"/>
            </w14:solidFill>
          </w14:textFill>
        </w:rPr>
        <w:t>→DA004排气筒（25m高）排放</w:t>
      </w:r>
    </w:p>
    <w:p w14:paraId="6ACFDF95">
      <w:pPr>
        <w:spacing w:before="32" w:line="360" w:lineRule="auto"/>
        <w:ind w:firstLine="260" w:firstLineChars="100"/>
        <w:rPr>
          <w:color w:val="000000" w:themeColor="text1"/>
          <w14:textFill>
            <w14:solidFill>
              <w14:schemeClr w14:val="tx1"/>
            </w14:solidFill>
          </w14:textFill>
        </w:rPr>
      </w:pPr>
      <w:r>
        <w:rPr>
          <w:color w:val="000000" w:themeColor="text1"/>
          <w14:textFill>
            <w14:solidFill>
              <w14:schemeClr w14:val="tx1"/>
            </w14:solidFill>
          </w14:textFill>
        </w:rPr>
        <w:t>氯化氢、MTS→</w:t>
      </w:r>
      <w:r>
        <w:rPr>
          <w:color w:val="000000" w:themeColor="text1"/>
          <w:bdr w:val="single" w:color="auto" w:sz="4" w:space="0"/>
          <w14:textFill>
            <w14:solidFill>
              <w14:schemeClr w14:val="tx1"/>
            </w14:solidFill>
          </w14:textFill>
        </w:rPr>
        <w:t>负压抽风</w:t>
      </w:r>
      <w:r>
        <w:rPr>
          <w:color w:val="000000" w:themeColor="text1"/>
          <w14:textFill>
            <w14:solidFill>
              <w14:schemeClr w14:val="tx1"/>
            </w14:solidFill>
          </w14:textFill>
        </w:rPr>
        <w:t>→</w:t>
      </w:r>
      <w:r>
        <w:rPr>
          <w:color w:val="000000" w:themeColor="text1"/>
          <w:bdr w:val="single" w:color="auto" w:sz="4" w:space="0"/>
          <w14:textFill>
            <w14:solidFill>
              <w14:schemeClr w14:val="tx1"/>
            </w14:solidFill>
          </w14:textFill>
        </w:rPr>
        <w:t>四级酸雾喷淋塔</w:t>
      </w:r>
      <w:r>
        <w:rPr>
          <w:color w:val="000000" w:themeColor="text1"/>
          <w14:textFill>
            <w14:solidFill>
              <w14:schemeClr w14:val="tx1"/>
            </w14:solidFill>
          </w14:textFill>
        </w:rPr>
        <w:t>→DA004排气筒（25m高）排放</w:t>
      </w:r>
    </w:p>
    <w:p w14:paraId="43C14593">
      <w:pPr>
        <w:spacing w:before="32"/>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酸性废气处理工艺流程图</w:t>
      </w:r>
    </w:p>
    <w:p w14:paraId="6896E85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根据《排污许可证申请与核发技术规范 电子工业》（HJ 1031-2019）“附表B.1 电子工业排污单位废气防治可行技术参考表，清洗产生的氟化物、氯化氢、氨、硫酸雾等，采用酸碱喷淋洗涤吸收法”，项目清洗过程中产生的酸性气体依托现有酸雾净化塔及四级酸雾喷淋塔处理与该规范中推荐的废气防治可行技术相符。</w:t>
      </w:r>
    </w:p>
    <w:p w14:paraId="005C9745">
      <w:pPr>
        <w:pStyle w:val="5"/>
        <w:rPr>
          <w:bCs/>
          <w:color w:val="000000" w:themeColor="text1"/>
          <w14:textFill>
            <w14:solidFill>
              <w14:schemeClr w14:val="tx1"/>
            </w14:solidFill>
          </w14:textFill>
        </w:rPr>
      </w:pPr>
      <w:r>
        <w:rPr>
          <w:color w:val="000000" w:themeColor="text1"/>
          <w14:textFill>
            <w14:solidFill>
              <w14:schemeClr w14:val="tx1"/>
            </w14:solidFill>
          </w14:textFill>
        </w:rPr>
        <w:t>粉尘治理措施</w:t>
      </w:r>
    </w:p>
    <w:p w14:paraId="7B23EBFC">
      <w:pPr>
        <w:ind w:firstLine="520"/>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石墨加工</w:t>
      </w:r>
      <w:r>
        <w:rPr>
          <w:color w:val="000000" w:themeColor="text1"/>
          <w14:textFill>
            <w14:solidFill>
              <w14:schemeClr w14:val="tx1"/>
            </w14:solidFill>
          </w14:textFill>
        </w:rPr>
        <w:t>过程会产生颗粒物采用密闭抽风收集后，进入</w:t>
      </w:r>
      <w:r>
        <w:rPr>
          <w:rFonts w:hint="eastAsia"/>
          <w:color w:val="000000" w:themeColor="text1"/>
          <w14:textFill>
            <w14:solidFill>
              <w14:schemeClr w14:val="tx1"/>
            </w14:solidFill>
          </w14:textFill>
        </w:rPr>
        <w:t>布袋</w:t>
      </w:r>
      <w:r>
        <w:rPr>
          <w:color w:val="000000" w:themeColor="text1"/>
          <w14:textFill>
            <w14:solidFill>
              <w14:schemeClr w14:val="tx1"/>
            </w14:solidFill>
          </w14:textFill>
        </w:rPr>
        <w:t>除尘器处理后在经</w:t>
      </w:r>
      <w:r>
        <w:rPr>
          <w:rFonts w:hint="eastAsia"/>
          <w:color w:val="000000" w:themeColor="text1"/>
          <w14:textFill>
            <w14:solidFill>
              <w14:schemeClr w14:val="tx1"/>
            </w14:solidFill>
          </w14:textFill>
        </w:rPr>
        <w:t>DA016</w:t>
      </w:r>
      <w:r>
        <w:rPr>
          <w:color w:val="000000" w:themeColor="text1"/>
          <w14:textFill>
            <w14:solidFill>
              <w14:schemeClr w14:val="tx1"/>
            </w14:solidFill>
          </w14:textFill>
        </w:rPr>
        <w:t>排气筒排放。</w:t>
      </w:r>
    </w:p>
    <w:p w14:paraId="2C210C0D">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扩建项目颗粒物处理措施采用</w:t>
      </w:r>
      <w:r>
        <w:rPr>
          <w:rFonts w:hint="eastAsia"/>
          <w:color w:val="000000" w:themeColor="text1"/>
          <w14:textFill>
            <w14:solidFill>
              <w14:schemeClr w14:val="tx1"/>
            </w14:solidFill>
          </w14:textFill>
        </w:rPr>
        <w:t>布袋除尘器</w:t>
      </w:r>
      <w:r>
        <w:rPr>
          <w:color w:val="000000" w:themeColor="text1"/>
          <w14:textFill>
            <w14:solidFill>
              <w14:schemeClr w14:val="tx1"/>
            </w14:solidFill>
          </w14:textFill>
        </w:rPr>
        <w:t>，技术成熟，处理效率一般不低于9</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%，能满足扩建项目除尘需求，且属于《排污许可证申请与核发技术规范电子工业（HJ1031—2019）》中推荐的配料粉尘的治理方法，符合要求。</w:t>
      </w:r>
    </w:p>
    <w:p w14:paraId="0AD806FF">
      <w:pPr>
        <w:pStyle w:val="4"/>
        <w:rPr>
          <w:color w:val="000000" w:themeColor="text1"/>
          <w14:textFill>
            <w14:solidFill>
              <w14:schemeClr w14:val="tx1"/>
            </w14:solidFill>
          </w14:textFill>
        </w:rPr>
      </w:pPr>
      <w:bookmarkStart w:id="356" w:name="_Toc21891"/>
      <w:bookmarkStart w:id="357" w:name="_Toc19691"/>
      <w:r>
        <w:rPr>
          <w:color w:val="000000" w:themeColor="text1"/>
          <w14:textFill>
            <w14:solidFill>
              <w14:schemeClr w14:val="tx1"/>
            </w14:solidFill>
          </w14:textFill>
        </w:rPr>
        <w:t>噪声防治措施及技术可行性分析</w:t>
      </w:r>
      <w:bookmarkEnd w:id="356"/>
      <w:bookmarkEnd w:id="357"/>
    </w:p>
    <w:p w14:paraId="1C9127ED">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扩建项目主要噪声源来自车间内的加工中心、风机以及污水处理站水泵等各种高噪声设备产生的噪声。</w:t>
      </w:r>
    </w:p>
    <w:p w14:paraId="07B566EC">
      <w:pPr>
        <w:ind w:firstLine="520"/>
        <w:rPr>
          <w:color w:val="000000" w:themeColor="text1"/>
          <w14:textFill>
            <w14:solidFill>
              <w14:schemeClr w14:val="tx1"/>
            </w14:solidFill>
          </w14:textFill>
        </w:rPr>
      </w:pPr>
      <w:r>
        <w:rPr>
          <w:color w:val="000000" w:themeColor="text1"/>
          <w14:textFill>
            <w14:solidFill>
              <w14:schemeClr w14:val="tx1"/>
            </w14:solidFill>
          </w14:textFill>
        </w:rPr>
        <w:t>加工中心：选用低噪声、振动小的设备，基础安装减振器；</w:t>
      </w:r>
    </w:p>
    <w:p w14:paraId="553A2B93">
      <w:pPr>
        <w:ind w:firstLine="520"/>
        <w:rPr>
          <w:color w:val="000000" w:themeColor="text1"/>
          <w14:textFill>
            <w14:solidFill>
              <w14:schemeClr w14:val="tx1"/>
            </w14:solidFill>
          </w14:textFill>
        </w:rPr>
      </w:pPr>
      <w:r>
        <w:rPr>
          <w:color w:val="000000" w:themeColor="text1"/>
          <w14:textFill>
            <w14:solidFill>
              <w14:schemeClr w14:val="tx1"/>
            </w14:solidFill>
          </w14:textFill>
        </w:rPr>
        <w:t>风机：选用高效低噪声、低转速、高质量的风机，采取隔声及减振措施；</w:t>
      </w:r>
    </w:p>
    <w:p w14:paraId="33A676F4">
      <w:pPr>
        <w:ind w:firstLine="520"/>
        <w:rPr>
          <w:color w:val="000000" w:themeColor="text1"/>
          <w14:textFill>
            <w14:solidFill>
              <w14:schemeClr w14:val="tx1"/>
            </w14:solidFill>
          </w14:textFill>
        </w:rPr>
      </w:pPr>
      <w:r>
        <w:rPr>
          <w:color w:val="000000" w:themeColor="text1"/>
          <w14:textFill>
            <w14:solidFill>
              <w14:schemeClr w14:val="tx1"/>
            </w14:solidFill>
          </w14:textFill>
        </w:rPr>
        <w:t>水泵：通过隔声间可降低。</w:t>
      </w:r>
    </w:p>
    <w:p w14:paraId="142E2C3C">
      <w:pPr>
        <w:ind w:firstLine="520"/>
        <w:rPr>
          <w:color w:val="000000" w:themeColor="text1"/>
          <w14:textFill>
            <w14:solidFill>
              <w14:schemeClr w14:val="tx1"/>
            </w14:solidFill>
          </w14:textFill>
        </w:rPr>
      </w:pPr>
      <w:r>
        <w:rPr>
          <w:color w:val="000000" w:themeColor="text1"/>
          <w14:textFill>
            <w14:solidFill>
              <w14:schemeClr w14:val="tx1"/>
            </w14:solidFill>
          </w14:textFill>
        </w:rPr>
        <w:t>经以上各种措施治理后，再经厂房阻挡和距离衰减，厂界噪声可达到《工业企业厂界环境噪声排放标准》（GB12348-2008）中3类。</w:t>
      </w:r>
    </w:p>
    <w:p w14:paraId="4A63B91C">
      <w:pPr>
        <w:pStyle w:val="4"/>
        <w:rPr>
          <w:color w:val="000000" w:themeColor="text1"/>
          <w14:textFill>
            <w14:solidFill>
              <w14:schemeClr w14:val="tx1"/>
            </w14:solidFill>
          </w14:textFill>
        </w:rPr>
      </w:pPr>
      <w:bookmarkStart w:id="358" w:name="_Toc27805"/>
      <w:bookmarkStart w:id="359" w:name="_Toc31100"/>
      <w:r>
        <w:rPr>
          <w:color w:val="000000" w:themeColor="text1"/>
          <w14:textFill>
            <w14:solidFill>
              <w14:schemeClr w14:val="tx1"/>
            </w14:solidFill>
          </w14:textFill>
        </w:rPr>
        <w:t>固体废物处置技术可行性分析</w:t>
      </w:r>
      <w:bookmarkEnd w:id="358"/>
      <w:bookmarkEnd w:id="359"/>
    </w:p>
    <w:p w14:paraId="6EC153AA">
      <w:pPr>
        <w:pStyle w:val="5"/>
        <w:rPr>
          <w:color w:val="000000" w:themeColor="text1"/>
          <w14:textFill>
            <w14:solidFill>
              <w14:schemeClr w14:val="tx1"/>
            </w14:solidFill>
          </w14:textFill>
        </w:rPr>
      </w:pPr>
      <w:r>
        <w:rPr>
          <w:color w:val="000000" w:themeColor="text1"/>
          <w14:textFill>
            <w14:solidFill>
              <w14:schemeClr w14:val="tx1"/>
            </w14:solidFill>
          </w14:textFill>
        </w:rPr>
        <w:t>一般工业固废</w:t>
      </w:r>
    </w:p>
    <w:p w14:paraId="09B3A190">
      <w:pPr>
        <w:ind w:firstLine="520"/>
        <w:rPr>
          <w:color w:val="000000" w:themeColor="text1"/>
          <w14:textFill>
            <w14:solidFill>
              <w14:schemeClr w14:val="tx1"/>
            </w14:solidFill>
          </w14:textFill>
        </w:rPr>
      </w:pPr>
      <w:r>
        <w:rPr>
          <w:color w:val="000000" w:themeColor="text1"/>
          <w14:textFill>
            <w14:solidFill>
              <w14:schemeClr w14:val="tx1"/>
            </w14:solidFill>
          </w14:textFill>
        </w:rPr>
        <w:t>项目产生的一般工业固废主要包括废包装材料、废遮蔽物、纯水站废RO膜、除尘灰等，暂存于一般工业固废贮存点，纯水站废RO膜由设备供应商回收，除尘灰由一般工业固废处置场处置，其余外卖物资公司回收利用。</w:t>
      </w:r>
    </w:p>
    <w:p w14:paraId="4B49CE14">
      <w:pPr>
        <w:pStyle w:val="5"/>
        <w:rPr>
          <w:color w:val="000000" w:themeColor="text1"/>
          <w14:textFill>
            <w14:solidFill>
              <w14:schemeClr w14:val="tx1"/>
            </w14:solidFill>
          </w14:textFill>
        </w:rPr>
      </w:pPr>
      <w:r>
        <w:rPr>
          <w:color w:val="000000" w:themeColor="text1"/>
          <w14:textFill>
            <w14:solidFill>
              <w14:schemeClr w14:val="tx1"/>
            </w14:solidFill>
          </w14:textFill>
        </w:rPr>
        <w:t>危险废物</w:t>
      </w:r>
    </w:p>
    <w:p w14:paraId="6973BB04">
      <w:pPr>
        <w:ind w:firstLine="520"/>
        <w:rPr>
          <w:color w:val="000000" w:themeColor="text1"/>
          <w14:textFill>
            <w14:solidFill>
              <w14:schemeClr w14:val="tx1"/>
            </w14:solidFill>
          </w14:textFill>
        </w:rPr>
      </w:pPr>
      <w:r>
        <w:rPr>
          <w:color w:val="000000" w:themeColor="text1"/>
          <w14:textFill>
            <w14:solidFill>
              <w14:schemeClr w14:val="tx1"/>
            </w14:solidFill>
          </w14:textFill>
        </w:rPr>
        <w:t>项目产生的危险废物主要包括废切削液、废槽液、设备废机油、危险化学品桶等，其中废切削液收集后在切削液回收间经压滤+三级过滤处理后回用与生产；其他危险废物暂存于危废贮存设施，定期委托有资质单位处置。</w:t>
      </w:r>
    </w:p>
    <w:p w14:paraId="17DA7BEC">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贮存场所污染防治措施</w:t>
      </w:r>
    </w:p>
    <w:p w14:paraId="33D0BCB1">
      <w:pPr>
        <w:ind w:firstLine="520"/>
        <w:rPr>
          <w:color w:val="000000" w:themeColor="text1"/>
          <w14:textFill>
            <w14:solidFill>
              <w14:schemeClr w14:val="tx1"/>
            </w14:solidFill>
          </w14:textFill>
        </w:rPr>
      </w:pPr>
      <w:r>
        <w:rPr>
          <w:color w:val="000000" w:themeColor="text1"/>
          <w14:textFill>
            <w14:solidFill>
              <w14:schemeClr w14:val="tx1"/>
            </w14:solidFill>
          </w14:textFill>
        </w:rPr>
        <w:t>项目新建危险废物贮存库及切削液回收间，防渗等级均达到地下水导则中重点防渗区要求（危险废物贮存间及切削液回收车间基础必须防渗，且防渗层为至少1m厚粘土层（渗透系数≤10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cm/s），或2mm厚高密度聚乙烯，或至少2mm厚的其他人工材料，渗透系数≤10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内设截排水沟及收集池，可能的渗滤液经汇集后交危废处置单位处置，采取防风、防雨、防晒、防渗、防腐、防漏等“六防”措施，设置危险废物标识，危险废物分区分类存放，满足《危险废物贮存污染控制标准》(GB18597-2023)的相关要求。</w:t>
      </w:r>
    </w:p>
    <w:p w14:paraId="69E38F5D">
      <w:pPr>
        <w:ind w:firstLine="520"/>
        <w:rPr>
          <w:color w:val="000000" w:themeColor="text1"/>
          <w14:textFill>
            <w14:solidFill>
              <w14:schemeClr w14:val="tx1"/>
            </w14:solidFill>
          </w14:textFill>
        </w:rPr>
      </w:pPr>
      <w:r>
        <w:rPr>
          <w:color w:val="000000" w:themeColor="text1"/>
          <w14:textFill>
            <w14:solidFill>
              <w14:schemeClr w14:val="tx1"/>
            </w14:solidFill>
          </w14:textFill>
        </w:rPr>
        <w:t>危险废物贮存及处置设施必须按《危险废物识别标志设置技术规范》（HJ1276-2022）的规定设置警示标志，对危险废物的产生和处置情况建立台账制度。危险废物贮存前应进行检查、核对，详细记录危险废物产生日期、种类、产生量、容器等信息，并对容器做好危险废物标签，详细标注危险废物主要成分、危险情况、安全措施等信息；按照危险废物特性分类储存，危险废物采取专用容器收集后置于托盘内。定期对所贮存的危险废物包装容器及贮存设施进行检查，发现破损，即时采取措施清理更换。</w:t>
      </w:r>
    </w:p>
    <w:p w14:paraId="59FFE469">
      <w:pPr>
        <w:ind w:firstLine="520"/>
        <w:rPr>
          <w:color w:val="000000" w:themeColor="text1"/>
          <w14:textFill>
            <w14:solidFill>
              <w14:schemeClr w14:val="tx1"/>
            </w14:solidFill>
          </w14:textFill>
        </w:rPr>
      </w:pPr>
      <w:r>
        <w:rPr>
          <w:color w:val="000000" w:themeColor="text1"/>
          <w14:textFill>
            <w14:solidFill>
              <w14:schemeClr w14:val="tx1"/>
            </w14:solidFill>
          </w14:textFill>
        </w:rPr>
        <w:t>危险废物暂存场配备通讯设备、照明设施、安全防护服装及工具，并设应急防护设施。基础设施防渗防漏，分别按固态危险废物和液态危险废物分区布置，采取隔挡措施，防止废物混杂。液态废物应采用桶装等密闭包装方式，避免产生臭味，液态废物桶应设置托盘暂存。专人看守防遗失，严格按危险固废的管理条例进行登记、交接和转移，定期交由有危废处理资质的单位处置。危险废物需保证清运频率，避免出现危险废物贮存库无法储存的情况，且暂存时间最长不得超过1年。</w:t>
      </w:r>
    </w:p>
    <w:p w14:paraId="48EA7320">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项目危险废物贮存库应设置气体收集装置和气体净化设施；气体净化设施的排气筒高度应符合GB 16297 要求。</w:t>
      </w:r>
    </w:p>
    <w:p w14:paraId="654F6A70">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运输过程的污染防治措施</w:t>
      </w:r>
    </w:p>
    <w:p w14:paraId="32B34665">
      <w:pPr>
        <w:ind w:firstLine="520"/>
        <w:rPr>
          <w:color w:val="000000" w:themeColor="text1"/>
          <w14:textFill>
            <w14:solidFill>
              <w14:schemeClr w14:val="tx1"/>
            </w14:solidFill>
          </w14:textFill>
        </w:rPr>
      </w:pPr>
      <w:r>
        <w:rPr>
          <w:color w:val="000000" w:themeColor="text1"/>
          <w14:textFill>
            <w14:solidFill>
              <w14:schemeClr w14:val="tx1"/>
            </w14:solidFill>
          </w14:textFill>
        </w:rPr>
        <w:t>危险废物的运输包括厂内运输和厂外运输。</w:t>
      </w:r>
    </w:p>
    <w:p w14:paraId="22A06643">
      <w:pPr>
        <w:ind w:firstLine="520"/>
        <w:rPr>
          <w:color w:val="000000" w:themeColor="text1"/>
          <w14:textFill>
            <w14:solidFill>
              <w14:schemeClr w14:val="tx1"/>
            </w14:solidFill>
          </w14:textFill>
        </w:rPr>
      </w:pPr>
      <w:r>
        <w:rPr>
          <w:color w:val="000000" w:themeColor="text1"/>
          <w14:textFill>
            <w14:solidFill>
              <w14:schemeClr w14:val="tx1"/>
            </w14:solidFill>
          </w14:textFill>
        </w:rPr>
        <w:t>厂内运输为废切削液收集后送往切削液回收处理车间，应设置危险废物转移路线，路线应进行防渗设置或转移工具设置防渗漏托盘，运输过程中应严格按要求转移，防止将废切削液滴漏排入环境，对地下水和土壤造成影响。</w:t>
      </w:r>
    </w:p>
    <w:p w14:paraId="7E7FDC72">
      <w:pPr>
        <w:ind w:firstLine="520"/>
        <w:rPr>
          <w:color w:val="000000" w:themeColor="text1"/>
          <w:kern w:val="2"/>
          <w14:textFill>
            <w14:solidFill>
              <w14:schemeClr w14:val="tx1"/>
            </w14:solidFill>
          </w14:textFill>
        </w:rPr>
      </w:pPr>
      <w:r>
        <w:rPr>
          <w:color w:val="000000" w:themeColor="text1"/>
          <w:kern w:val="2"/>
          <w14:textFill>
            <w14:solidFill>
              <w14:schemeClr w14:val="tx1"/>
            </w14:solidFill>
          </w14:textFill>
        </w:rPr>
        <w:t>厂外运输为危险废物委托有资质单位将危险废物从危废贮存设施外运，建设单位不得自行转运或擅自交给无相应资质单位转运。危险废物的处置，按照《危险废物转移联单管理办法》要求定期由有资质的废物处理单位进行处置，危险废物的流向受到有效控制，防止在转移过程中将危险废物排放至环境中。</w:t>
      </w:r>
    </w:p>
    <w:p w14:paraId="0A3905E4">
      <w:pPr>
        <w:pStyle w:val="5"/>
        <w:rPr>
          <w:color w:val="000000" w:themeColor="text1"/>
          <w14:textFill>
            <w14:solidFill>
              <w14:schemeClr w14:val="tx1"/>
            </w14:solidFill>
          </w14:textFill>
        </w:rPr>
      </w:pPr>
      <w:r>
        <w:rPr>
          <w:color w:val="000000" w:themeColor="text1"/>
          <w14:textFill>
            <w14:solidFill>
              <w14:schemeClr w14:val="tx1"/>
            </w14:solidFill>
          </w14:textFill>
        </w:rPr>
        <w:t>生活垃圾</w:t>
      </w:r>
    </w:p>
    <w:p w14:paraId="48A3B4B3">
      <w:pPr>
        <w:ind w:firstLine="520"/>
        <w:rPr>
          <w:color w:val="000000" w:themeColor="text1"/>
          <w14:textFill>
            <w14:solidFill>
              <w14:schemeClr w14:val="tx1"/>
            </w14:solidFill>
          </w14:textFill>
        </w:rPr>
      </w:pPr>
      <w:r>
        <w:rPr>
          <w:color w:val="000000" w:themeColor="text1"/>
          <w14:textFill>
            <w14:solidFill>
              <w14:schemeClr w14:val="tx1"/>
            </w14:solidFill>
          </w14:textFill>
        </w:rPr>
        <w:t>生活垃圾、废水生化污泥定期由环卫部门清运。</w:t>
      </w:r>
    </w:p>
    <w:p w14:paraId="4B580BB2">
      <w:pPr>
        <w:ind w:firstLine="520"/>
        <w:rPr>
          <w:color w:val="000000" w:themeColor="text1"/>
          <w14:textFill>
            <w14:solidFill>
              <w14:schemeClr w14:val="tx1"/>
            </w14:solidFill>
          </w14:textFill>
        </w:rPr>
      </w:pPr>
      <w:r>
        <w:rPr>
          <w:color w:val="000000" w:themeColor="text1"/>
          <w14:textFill>
            <w14:solidFill>
              <w14:schemeClr w14:val="tx1"/>
            </w14:solidFill>
          </w14:textFill>
        </w:rPr>
        <w:t>综上所述，固废回收利用及出售，避免污染环境的同时还产生经济效益。采取相应合法合规处置和有效管理措施后不会造成二次污染，可实现“资源化、无害化”目标。扩建项目产生的固废均得到合理有效的处置，去向明确、合理、安全，固废处置措施经济、技术可行。</w:t>
      </w:r>
    </w:p>
    <w:p w14:paraId="0BC58F3F">
      <w:pPr>
        <w:pStyle w:val="4"/>
        <w:rPr>
          <w:color w:val="000000" w:themeColor="text1"/>
          <w14:textFill>
            <w14:solidFill>
              <w14:schemeClr w14:val="tx1"/>
            </w14:solidFill>
          </w14:textFill>
        </w:rPr>
      </w:pPr>
      <w:bookmarkStart w:id="360" w:name="_Toc5070"/>
      <w:bookmarkStart w:id="361" w:name="_Toc24652"/>
      <w:r>
        <w:rPr>
          <w:color w:val="000000" w:themeColor="text1"/>
          <w14:textFill>
            <w14:solidFill>
              <w14:schemeClr w14:val="tx1"/>
            </w14:solidFill>
          </w14:textFill>
        </w:rPr>
        <w:t>地下水污染防治措施及可行性分析</w:t>
      </w:r>
      <w:bookmarkEnd w:id="360"/>
      <w:bookmarkEnd w:id="361"/>
    </w:p>
    <w:p w14:paraId="351526B9">
      <w:pPr>
        <w:ind w:firstLine="520"/>
        <w:rPr>
          <w:color w:val="000000" w:themeColor="text1"/>
          <w14:textFill>
            <w14:solidFill>
              <w14:schemeClr w14:val="tx1"/>
            </w14:solidFill>
          </w14:textFill>
        </w:rPr>
      </w:pPr>
      <w:r>
        <w:rPr>
          <w:color w:val="000000" w:themeColor="text1"/>
          <w14:textFill>
            <w14:solidFill>
              <w14:schemeClr w14:val="tx1"/>
            </w14:solidFill>
          </w14:textFill>
        </w:rPr>
        <w:t>项目根据厂区构筑物性质、污染物泄漏的途径、生产功能单元所处的位置，可划分为简单防渗区、一般防渗区和重点防渗区。</w:t>
      </w:r>
    </w:p>
    <w:p w14:paraId="077B61F3">
      <w:pPr>
        <w:pStyle w:val="5"/>
        <w:rPr>
          <w:color w:val="000000" w:themeColor="text1"/>
          <w14:textFill>
            <w14:solidFill>
              <w14:schemeClr w14:val="tx1"/>
            </w14:solidFill>
          </w14:textFill>
        </w:rPr>
      </w:pPr>
      <w:r>
        <w:rPr>
          <w:color w:val="000000" w:themeColor="text1"/>
          <w14:textFill>
            <w14:solidFill>
              <w14:schemeClr w14:val="tx1"/>
            </w14:solidFill>
          </w14:textFill>
        </w:rPr>
        <w:t>简单防渗区</w:t>
      </w:r>
    </w:p>
    <w:p w14:paraId="2369597B">
      <w:pPr>
        <w:ind w:firstLine="520"/>
        <w:rPr>
          <w:color w:val="000000" w:themeColor="text1"/>
          <w14:textFill>
            <w14:solidFill>
              <w14:schemeClr w14:val="tx1"/>
            </w14:solidFill>
          </w14:textFill>
        </w:rPr>
      </w:pPr>
      <w:r>
        <w:rPr>
          <w:color w:val="000000" w:themeColor="text1"/>
          <w14:textFill>
            <w14:solidFill>
              <w14:schemeClr w14:val="tx1"/>
            </w14:solidFill>
          </w14:textFill>
        </w:rPr>
        <w:t>简单防渗区为没有废水或物料或污染物泄漏，不会对地下水环境造成污染的区域或部位，如办公和食堂等为简单防渗区。</w:t>
      </w:r>
    </w:p>
    <w:p w14:paraId="1B9A91FC">
      <w:pPr>
        <w:pStyle w:val="5"/>
        <w:rPr>
          <w:color w:val="000000" w:themeColor="text1"/>
          <w14:textFill>
            <w14:solidFill>
              <w14:schemeClr w14:val="tx1"/>
            </w14:solidFill>
          </w14:textFill>
        </w:rPr>
      </w:pPr>
      <w:r>
        <w:rPr>
          <w:color w:val="000000" w:themeColor="text1"/>
          <w14:textFill>
            <w14:solidFill>
              <w14:schemeClr w14:val="tx1"/>
            </w14:solidFill>
          </w14:textFill>
        </w:rPr>
        <w:t>一般防渗区</w:t>
      </w:r>
    </w:p>
    <w:p w14:paraId="13DF4345">
      <w:pPr>
        <w:ind w:firstLine="520"/>
        <w:rPr>
          <w:color w:val="000000" w:themeColor="text1"/>
          <w14:textFill>
            <w14:solidFill>
              <w14:schemeClr w14:val="tx1"/>
            </w14:solidFill>
          </w14:textFill>
        </w:rPr>
      </w:pPr>
      <w:r>
        <w:rPr>
          <w:color w:val="000000" w:themeColor="text1"/>
          <w14:textFill>
            <w14:solidFill>
              <w14:schemeClr w14:val="tx1"/>
            </w14:solidFill>
          </w14:textFill>
        </w:rPr>
        <w:t>一般防渗区为裸露于地面的生产功能单元，污染地下水环境的废水或污染物泄漏后，可及时发现和处理的区域或部位，以及一般固废贮存点、纯水站设为一般污染防治区。一般防渗区的防渗性能应与1.5m厚粘土层（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cm/s）等效，或参照GB18598执行。</w:t>
      </w:r>
    </w:p>
    <w:p w14:paraId="772475EB">
      <w:pPr>
        <w:pStyle w:val="5"/>
        <w:rPr>
          <w:color w:val="000000" w:themeColor="text1"/>
          <w14:textFill>
            <w14:solidFill>
              <w14:schemeClr w14:val="tx1"/>
            </w14:solidFill>
          </w14:textFill>
        </w:rPr>
      </w:pPr>
      <w:r>
        <w:rPr>
          <w:color w:val="000000" w:themeColor="text1"/>
          <w14:textFill>
            <w14:solidFill>
              <w14:schemeClr w14:val="tx1"/>
            </w14:solidFill>
          </w14:textFill>
        </w:rPr>
        <w:t>重点防渗区</w:t>
      </w:r>
    </w:p>
    <w:p w14:paraId="4CCCBFFE">
      <w:pPr>
        <w:ind w:firstLine="520"/>
        <w:rPr>
          <w:color w:val="000000" w:themeColor="text1"/>
          <w14:textFill>
            <w14:solidFill>
              <w14:schemeClr w14:val="tx1"/>
            </w14:solidFill>
          </w14:textFill>
        </w:rPr>
      </w:pPr>
      <w:r>
        <w:rPr>
          <w:color w:val="000000" w:themeColor="text1"/>
          <w14:textFill>
            <w14:solidFill>
              <w14:schemeClr w14:val="tx1"/>
            </w14:solidFill>
          </w14:textFill>
        </w:rPr>
        <w:t>化学品库、MTS贮存点、污水处理站、危废贮存设施、切削液回收车间设置为重点防渗区，重点防渗区的防渗性能应与6.0m厚粘土层（渗透系数1.0×10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cm/s）等效，或参照GB18598执行。</w:t>
      </w:r>
    </w:p>
    <w:p w14:paraId="65EE446B">
      <w:pPr>
        <w:ind w:firstLine="520"/>
        <w:rPr>
          <w:color w:val="000000" w:themeColor="text1"/>
          <w14:textFill>
            <w14:solidFill>
              <w14:schemeClr w14:val="tx1"/>
            </w14:solidFill>
          </w14:textFill>
        </w:rPr>
      </w:pPr>
      <w:r>
        <w:rPr>
          <w:color w:val="000000" w:themeColor="text1"/>
          <w14:textFill>
            <w14:solidFill>
              <w14:schemeClr w14:val="tx1"/>
            </w14:solidFill>
          </w14:textFill>
        </w:rPr>
        <w:t>危废贮存设施及切削液回收车间室内地面与裙角采用耐腐蚀硬化处理，使用专用且具有外在标签的专用容器对危险废物进行分类密封盛装，存储区周边设置收集沟收集渗漏液池。</w:t>
      </w:r>
    </w:p>
    <w:p w14:paraId="00C3B237">
      <w:pPr>
        <w:pStyle w:val="4"/>
        <w:rPr>
          <w:color w:val="000000" w:themeColor="text1"/>
          <w14:textFill>
            <w14:solidFill>
              <w14:schemeClr w14:val="tx1"/>
            </w14:solidFill>
          </w14:textFill>
        </w:rPr>
      </w:pPr>
      <w:bookmarkStart w:id="362" w:name="_Toc19004"/>
      <w:bookmarkStart w:id="363" w:name="_Toc1846"/>
      <w:r>
        <w:rPr>
          <w:color w:val="000000" w:themeColor="text1"/>
          <w14:textFill>
            <w14:solidFill>
              <w14:schemeClr w14:val="tx1"/>
            </w14:solidFill>
          </w14:textFill>
        </w:rPr>
        <w:t>土壤污染防治措施可行性</w:t>
      </w:r>
      <w:bookmarkEnd w:id="362"/>
      <w:bookmarkEnd w:id="363"/>
    </w:p>
    <w:p w14:paraId="6E988653">
      <w:pPr>
        <w:ind w:firstLine="520"/>
        <w:rPr>
          <w:color w:val="000000" w:themeColor="text1"/>
          <w14:textFill>
            <w14:solidFill>
              <w14:schemeClr w14:val="tx1"/>
            </w14:solidFill>
          </w14:textFill>
        </w:rPr>
      </w:pPr>
      <w:r>
        <w:rPr>
          <w:color w:val="000000" w:themeColor="text1"/>
          <w14:textFill>
            <w14:solidFill>
              <w14:schemeClr w14:val="tx1"/>
            </w14:solidFill>
          </w14:textFill>
        </w:rPr>
        <w:t>根据项目土壤环境影响源及影响因子识别，项目废水经厂区废水处理站处理达标后排入园区污水处理厂处理，经污水处理厂处理达到《污水综合排放标准》（GB8978-1996）一级标准后排入长江，正常情况下废水不会对土壤造成明显影响。运营期产生的一般工业固体废物、危险废物和生活垃圾均得到妥善处置，不外排，因此不会受到雨水淋溶或风力作用而进入外环境；同时对固废暂存库及各车间等建构筑物均采取了防腐、防渗措施，可有效的防止废水渗透到地下污染土壤。</w:t>
      </w:r>
    </w:p>
    <w:p w14:paraId="6C660DA5">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化学品库、废水处理站等均采取防渗措施，污水处理设施的各池体均按照《给水排水工程构筑物结构设计规范》（GB50069-2002）和《给水排水工程钢筋混凝土水池结构设计规程》（CECS138-2002）采用地下或半地下的现浇钢筋混凝土结构，内部墙体再抹防水砂浆，防渗层为至少1m厚的粘土层或2mm厚高密度聚乙烯人工材料，渗透系数≤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w:t>
      </w:r>
    </w:p>
    <w:p w14:paraId="2226631C">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扩建项目废水污染物通过地面漫流和垂直入渗对土壤环境的影响可能性较小，通过落实土壤污染防治措施，扩建项目对土壤环境影响可接受。</w:t>
      </w:r>
    </w:p>
    <w:p w14:paraId="35B4FFDD">
      <w:pPr>
        <w:pStyle w:val="4"/>
        <w:rPr>
          <w:color w:val="000000" w:themeColor="text1"/>
          <w14:textFill>
            <w14:solidFill>
              <w14:schemeClr w14:val="tx1"/>
            </w14:solidFill>
          </w14:textFill>
        </w:rPr>
      </w:pPr>
      <w:bookmarkStart w:id="364" w:name="_Toc11683"/>
      <w:bookmarkStart w:id="365" w:name="_Toc16020"/>
      <w:r>
        <w:rPr>
          <w:color w:val="000000" w:themeColor="text1"/>
          <w14:textFill>
            <w14:solidFill>
              <w14:schemeClr w14:val="tx1"/>
            </w14:solidFill>
          </w14:textFill>
        </w:rPr>
        <w:t>环境保护措施责任主体</w:t>
      </w:r>
      <w:bookmarkEnd w:id="364"/>
      <w:bookmarkEnd w:id="365"/>
    </w:p>
    <w:p w14:paraId="7BC8A131">
      <w:pPr>
        <w:ind w:firstLine="520"/>
        <w:rPr>
          <w:color w:val="000000" w:themeColor="text1"/>
          <w14:textFill>
            <w14:solidFill>
              <w14:schemeClr w14:val="tx1"/>
            </w14:solidFill>
          </w14:textFill>
        </w:rPr>
      </w:pPr>
      <w:bookmarkStart w:id="366" w:name="_Toc366684870"/>
      <w:r>
        <w:rPr>
          <w:color w:val="000000" w:themeColor="text1"/>
          <w14:textFill>
            <w14:solidFill>
              <w14:schemeClr w14:val="tx1"/>
            </w14:solidFill>
          </w14:textFill>
        </w:rPr>
        <w:t>重庆臻宝半导体材料有限公司是项目建设单位，也是项目环保责任主体。项目的各项环境保护措施应由项目建设单位负责落实，并应严格执行与主体工程“同时设计、同时施工、同时投入运行”的三同时原则，具体为：</w:t>
      </w:r>
    </w:p>
    <w:p w14:paraId="5ADCC1D2">
      <w:pPr>
        <w:ind w:firstLine="520"/>
        <w:rPr>
          <w:color w:val="000000" w:themeColor="text1"/>
          <w14:textFill>
            <w14:solidFill>
              <w14:schemeClr w14:val="tx1"/>
            </w14:solidFill>
          </w14:textFill>
        </w:rPr>
      </w:pPr>
      <w:r>
        <w:rPr>
          <w:color w:val="000000" w:themeColor="text1"/>
          <w14:textFill>
            <w14:solidFill>
              <w14:schemeClr w14:val="tx1"/>
            </w14:solidFill>
          </w14:textFill>
        </w:rPr>
        <w:t>（1）废水、废气处理设施，危险废物贮存库、一般工业固废贮存点应与主体生产设备同时安装、同时投入使用。</w:t>
      </w:r>
    </w:p>
    <w:p w14:paraId="62047A37">
      <w:pPr>
        <w:ind w:firstLine="520"/>
        <w:rPr>
          <w:color w:val="000000" w:themeColor="text1"/>
          <w14:textFill>
            <w14:solidFill>
              <w14:schemeClr w14:val="tx1"/>
            </w14:solidFill>
          </w14:textFill>
        </w:rPr>
      </w:pPr>
      <w:r>
        <w:rPr>
          <w:color w:val="000000" w:themeColor="text1"/>
          <w14:textFill>
            <w14:solidFill>
              <w14:schemeClr w14:val="tx1"/>
            </w14:solidFill>
          </w14:textFill>
        </w:rPr>
        <w:t>（2）采购设备时应选用高效低噪设备，并采取相应的降噪措施，与设备同时安装、使用。</w:t>
      </w:r>
    </w:p>
    <w:p w14:paraId="60D18385">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租赁臻宝科技公司建设内容产生的废水依托臻宝科技公司综合废水处理站处理，环保责任主体为臻宝科技公司。</w:t>
      </w:r>
    </w:p>
    <w:bookmarkEnd w:id="366"/>
    <w:p w14:paraId="60AF629A">
      <w:pPr>
        <w:spacing w:before="32"/>
        <w:ind w:firstLine="520"/>
        <w:rPr>
          <w:color w:val="000000" w:themeColor="text1"/>
          <w14:textFill>
            <w14:solidFill>
              <w14:schemeClr w14:val="tx1"/>
            </w14:solidFill>
          </w14:textFill>
        </w:rPr>
        <w:sectPr>
          <w:pgSz w:w="11907" w:h="16840"/>
          <w:pgMar w:top="1134" w:right="1134" w:bottom="1134" w:left="1134" w:header="283" w:footer="851" w:gutter="397"/>
          <w:cols w:space="720" w:num="1"/>
          <w:docGrid w:type="linesAndChars" w:linePitch="326" w:charSpace="0"/>
        </w:sectPr>
      </w:pPr>
    </w:p>
    <w:p w14:paraId="43668D41">
      <w:pPr>
        <w:pStyle w:val="3"/>
        <w:spacing w:after="326"/>
        <w:rPr>
          <w:color w:val="000000" w:themeColor="text1"/>
          <w14:textFill>
            <w14:solidFill>
              <w14:schemeClr w14:val="tx1"/>
            </w14:solidFill>
          </w14:textFill>
        </w:rPr>
      </w:pPr>
      <w:bookmarkStart w:id="367" w:name="_Toc3901"/>
      <w:r>
        <w:rPr>
          <w:color w:val="000000" w:themeColor="text1"/>
          <w14:textFill>
            <w14:solidFill>
              <w14:schemeClr w14:val="tx1"/>
            </w14:solidFill>
          </w14:textFill>
        </w:rPr>
        <w:t>环境影响经济损益分析</w:t>
      </w:r>
      <w:bookmarkEnd w:id="367"/>
    </w:p>
    <w:p w14:paraId="5045D240">
      <w:pPr>
        <w:ind w:firstLine="520"/>
        <w:rPr>
          <w:color w:val="000000" w:themeColor="text1"/>
          <w14:textFill>
            <w14:solidFill>
              <w14:schemeClr w14:val="tx1"/>
            </w14:solidFill>
          </w14:textFill>
        </w:rPr>
      </w:pPr>
      <w:r>
        <w:rPr>
          <w:color w:val="000000" w:themeColor="text1"/>
          <w14:textFill>
            <w14:solidFill>
              <w14:schemeClr w14:val="tx1"/>
            </w14:solidFill>
          </w14:textFill>
        </w:rPr>
        <w:t>环境影响经济损益分析的主要任务是衡量建设项目环保投资及所能收到的环境保护效果，通过环保设施技术可行性和经济合理性的论证分析及评价，更合理地选择环保设施，从而促进建设项目更好地实现环境效益、经济效益与社会效益的统一。</w:t>
      </w:r>
    </w:p>
    <w:p w14:paraId="219FC0B6">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选择工程、环境和社会经济等有代表性的指标，从经济效益、社会效益和环境效益等三方面，进行环境影响经济损益分析，给出扩建项目的环保投资。通过分析经济收益水平、环保投资及其运转费用与可能取得效益间的关系，说明扩建项目环保综合效益状况。</w:t>
      </w:r>
    </w:p>
    <w:p w14:paraId="08B0C955">
      <w:pPr>
        <w:pStyle w:val="4"/>
        <w:rPr>
          <w:color w:val="000000" w:themeColor="text1"/>
          <w14:textFill>
            <w14:solidFill>
              <w14:schemeClr w14:val="tx1"/>
            </w14:solidFill>
          </w14:textFill>
        </w:rPr>
      </w:pPr>
      <w:bookmarkStart w:id="368" w:name="_Toc15923"/>
      <w:bookmarkStart w:id="369" w:name="_Toc18386"/>
      <w:bookmarkStart w:id="370" w:name="_Toc14509"/>
      <w:bookmarkStart w:id="371" w:name="_Toc8960"/>
      <w:bookmarkStart w:id="372" w:name="_Toc11942623"/>
      <w:r>
        <w:rPr>
          <w:color w:val="000000" w:themeColor="text1"/>
          <w14:textFill>
            <w14:solidFill>
              <w14:schemeClr w14:val="tx1"/>
            </w14:solidFill>
          </w14:textFill>
        </w:rPr>
        <w:t>环保投资估算</w:t>
      </w:r>
      <w:bookmarkEnd w:id="368"/>
      <w:bookmarkEnd w:id="369"/>
      <w:bookmarkEnd w:id="370"/>
      <w:bookmarkEnd w:id="371"/>
      <w:bookmarkEnd w:id="372"/>
    </w:p>
    <w:p w14:paraId="012872BC">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在营运过程中产生的废水、废气、噪声及固废等污染物对周围环境造成一定的影响，因此必须采取相应的环保措施，并保证其环保投资，以使环境影响降到最小程度。扩建项目环保治理措施及其投资估算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_Ref160558725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表9.1</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07C65A43">
      <w:pPr>
        <w:spacing w:before="32"/>
        <w:ind w:firstLine="0" w:firstLineChars="0"/>
        <w:jc w:val="center"/>
        <w:rPr>
          <w:color w:val="000000" w:themeColor="text1"/>
          <w14:textFill>
            <w14:solidFill>
              <w14:schemeClr w14:val="tx1"/>
            </w14:solidFill>
          </w14:textFill>
        </w:rPr>
      </w:pPr>
      <w:bookmarkStart w:id="373" w:name="_Ref160558725"/>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9.1</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373"/>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项目环保投资一览表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390"/>
        <w:gridCol w:w="3607"/>
        <w:gridCol w:w="2348"/>
        <w:gridCol w:w="1476"/>
      </w:tblGrid>
      <w:tr w14:paraId="41F6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pct"/>
            <w:gridSpan w:val="2"/>
            <w:vAlign w:val="center"/>
          </w:tcPr>
          <w:p w14:paraId="5F816626">
            <w:pPr>
              <w:pStyle w:val="1535"/>
            </w:pPr>
            <w:r>
              <w:t>项目名称</w:t>
            </w:r>
          </w:p>
        </w:tc>
        <w:tc>
          <w:tcPr>
            <w:tcW w:w="1907" w:type="pct"/>
            <w:vAlign w:val="center"/>
          </w:tcPr>
          <w:p w14:paraId="0238B2C9">
            <w:pPr>
              <w:pStyle w:val="1535"/>
            </w:pPr>
            <w:r>
              <w:t>治理措施</w:t>
            </w:r>
          </w:p>
        </w:tc>
        <w:tc>
          <w:tcPr>
            <w:tcW w:w="1241" w:type="pct"/>
            <w:vAlign w:val="center"/>
          </w:tcPr>
          <w:p w14:paraId="542F8543">
            <w:pPr>
              <w:pStyle w:val="1535"/>
            </w:pPr>
            <w:r>
              <w:t>治理效果</w:t>
            </w:r>
          </w:p>
        </w:tc>
        <w:tc>
          <w:tcPr>
            <w:tcW w:w="780" w:type="pct"/>
            <w:vAlign w:val="center"/>
          </w:tcPr>
          <w:p w14:paraId="3E1836AE">
            <w:pPr>
              <w:pStyle w:val="1535"/>
            </w:pPr>
            <w:r>
              <w:t>环保投资（万元）</w:t>
            </w:r>
          </w:p>
        </w:tc>
      </w:tr>
      <w:tr w14:paraId="68C7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7" w:type="pct"/>
            <w:vMerge w:val="restart"/>
            <w:vAlign w:val="center"/>
          </w:tcPr>
          <w:p w14:paraId="2A5E021A">
            <w:pPr>
              <w:pStyle w:val="1535"/>
            </w:pPr>
            <w:r>
              <w:t>废气</w:t>
            </w:r>
          </w:p>
          <w:p w14:paraId="738375FC">
            <w:pPr>
              <w:pStyle w:val="1535"/>
            </w:pPr>
            <w:r>
              <w:t>治理</w:t>
            </w:r>
          </w:p>
        </w:tc>
        <w:tc>
          <w:tcPr>
            <w:tcW w:w="735" w:type="pct"/>
            <w:vAlign w:val="center"/>
          </w:tcPr>
          <w:p w14:paraId="15523CE2">
            <w:pPr>
              <w:pStyle w:val="1535"/>
            </w:pPr>
            <w:r>
              <w:t>清洗废气</w:t>
            </w:r>
          </w:p>
        </w:tc>
        <w:tc>
          <w:tcPr>
            <w:tcW w:w="1907" w:type="pct"/>
            <w:vAlign w:val="center"/>
          </w:tcPr>
          <w:p w14:paraId="0EF67927">
            <w:pPr>
              <w:pStyle w:val="1535"/>
            </w:pPr>
            <w:r>
              <w:rPr>
                <w:rFonts w:hint="eastAsia"/>
              </w:rPr>
              <w:t>依托现有</w:t>
            </w:r>
            <w:r>
              <w:t>酸碱雾净化塔处理，经</w:t>
            </w:r>
            <w:r>
              <w:rPr>
                <w:rFonts w:hint="eastAsia"/>
              </w:rPr>
              <w:t>1</w:t>
            </w:r>
            <w:r>
              <w:t>5m</w:t>
            </w:r>
            <w:r>
              <w:rPr>
                <w:rFonts w:hint="eastAsia"/>
              </w:rPr>
              <w:t>高DA005</w:t>
            </w:r>
            <w:r>
              <w:t>排气筒排放</w:t>
            </w:r>
            <w:r>
              <w:rPr>
                <w:rFonts w:hint="eastAsia"/>
              </w:rPr>
              <w:t>。</w:t>
            </w:r>
          </w:p>
        </w:tc>
        <w:tc>
          <w:tcPr>
            <w:tcW w:w="1241" w:type="pct"/>
            <w:vMerge w:val="restart"/>
            <w:vAlign w:val="center"/>
          </w:tcPr>
          <w:p w14:paraId="209298D9">
            <w:pPr>
              <w:pStyle w:val="1535"/>
            </w:pPr>
            <w:r>
              <w:t>重庆市《大气污染物综合排放标准》（DB50/418-2016）；《恶臭污染物排放标准》（GB14554-93）</w:t>
            </w:r>
          </w:p>
        </w:tc>
        <w:tc>
          <w:tcPr>
            <w:tcW w:w="780" w:type="pct"/>
            <w:vAlign w:val="center"/>
          </w:tcPr>
          <w:p w14:paraId="32FE81D8">
            <w:pPr>
              <w:pStyle w:val="1535"/>
            </w:pPr>
            <w:r>
              <w:rPr>
                <w:rFonts w:hint="eastAsia"/>
              </w:rPr>
              <w:t>1</w:t>
            </w:r>
            <w:r>
              <w:t>0</w:t>
            </w:r>
          </w:p>
        </w:tc>
      </w:tr>
      <w:tr w14:paraId="784B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Merge w:val="continue"/>
            <w:vAlign w:val="center"/>
          </w:tcPr>
          <w:p w14:paraId="5AD2D851">
            <w:pPr>
              <w:pStyle w:val="1535"/>
            </w:pPr>
          </w:p>
        </w:tc>
        <w:tc>
          <w:tcPr>
            <w:tcW w:w="735" w:type="pct"/>
            <w:vAlign w:val="center"/>
          </w:tcPr>
          <w:p w14:paraId="65C17497">
            <w:pPr>
              <w:pStyle w:val="1535"/>
            </w:pPr>
            <w:r>
              <w:rPr>
                <w:rFonts w:hint="eastAsia"/>
                <w:snapToGrid/>
              </w:rPr>
              <w:t>石墨生产线废气</w:t>
            </w:r>
          </w:p>
        </w:tc>
        <w:tc>
          <w:tcPr>
            <w:tcW w:w="1907" w:type="pct"/>
            <w:vAlign w:val="center"/>
          </w:tcPr>
          <w:p w14:paraId="49A2A48A">
            <w:pPr>
              <w:pStyle w:val="1535"/>
            </w:pPr>
            <w:r>
              <w:rPr>
                <w:rFonts w:hint="eastAsia"/>
                <w:snapToGrid/>
              </w:rPr>
              <w:t>石墨加工粉尘密闭收集，经布袋除尘器处理后进入经DA016排气筒排放。</w:t>
            </w:r>
          </w:p>
        </w:tc>
        <w:tc>
          <w:tcPr>
            <w:tcW w:w="1241" w:type="pct"/>
            <w:vMerge w:val="continue"/>
            <w:vAlign w:val="center"/>
          </w:tcPr>
          <w:p w14:paraId="7F8F1A3F">
            <w:pPr>
              <w:pStyle w:val="1535"/>
            </w:pPr>
          </w:p>
        </w:tc>
        <w:tc>
          <w:tcPr>
            <w:tcW w:w="780" w:type="pct"/>
            <w:vAlign w:val="center"/>
          </w:tcPr>
          <w:p w14:paraId="2FEED41B">
            <w:pPr>
              <w:pStyle w:val="1535"/>
            </w:pPr>
            <w:r>
              <w:rPr>
                <w:rFonts w:hint="eastAsia"/>
              </w:rPr>
              <w:t>40</w:t>
            </w:r>
          </w:p>
        </w:tc>
      </w:tr>
      <w:tr w14:paraId="22A6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37" w:type="pct"/>
            <w:vMerge w:val="continue"/>
            <w:vAlign w:val="center"/>
          </w:tcPr>
          <w:p w14:paraId="1035FAAC">
            <w:pPr>
              <w:pStyle w:val="1535"/>
            </w:pPr>
          </w:p>
        </w:tc>
        <w:tc>
          <w:tcPr>
            <w:tcW w:w="735" w:type="pct"/>
            <w:vAlign w:val="center"/>
          </w:tcPr>
          <w:p w14:paraId="01DE648A">
            <w:pPr>
              <w:pStyle w:val="1535"/>
            </w:pPr>
            <w:r>
              <w:rPr>
                <w:rFonts w:hint="eastAsia"/>
                <w:snapToGrid/>
              </w:rPr>
              <w:t>石墨纯化废气及碳化硅涂层废气</w:t>
            </w:r>
          </w:p>
        </w:tc>
        <w:tc>
          <w:tcPr>
            <w:tcW w:w="1907" w:type="pct"/>
            <w:vAlign w:val="center"/>
          </w:tcPr>
          <w:p w14:paraId="4BC3C39F">
            <w:pPr>
              <w:pStyle w:val="1535"/>
            </w:pPr>
            <w:r>
              <w:rPr>
                <w:rFonts w:hint="eastAsia"/>
                <w:snapToGrid/>
              </w:rPr>
              <w:t>依托现有1#四级酸碱雾净化塔处理，经25m排气筒排放。</w:t>
            </w:r>
          </w:p>
        </w:tc>
        <w:tc>
          <w:tcPr>
            <w:tcW w:w="1241" w:type="pct"/>
            <w:vMerge w:val="continue"/>
            <w:vAlign w:val="center"/>
          </w:tcPr>
          <w:p w14:paraId="30347B2A">
            <w:pPr>
              <w:pStyle w:val="1535"/>
            </w:pPr>
          </w:p>
        </w:tc>
        <w:tc>
          <w:tcPr>
            <w:tcW w:w="780" w:type="pct"/>
            <w:vAlign w:val="center"/>
          </w:tcPr>
          <w:p w14:paraId="6865C0EA">
            <w:pPr>
              <w:pStyle w:val="1535"/>
            </w:pPr>
            <w:r>
              <w:rPr>
                <w:rFonts w:hint="eastAsia"/>
              </w:rPr>
              <w:t>10</w:t>
            </w:r>
          </w:p>
        </w:tc>
      </w:tr>
      <w:tr w14:paraId="5491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337" w:type="pct"/>
            <w:vMerge w:val="restart"/>
            <w:vAlign w:val="center"/>
          </w:tcPr>
          <w:p w14:paraId="709BA57E">
            <w:pPr>
              <w:pStyle w:val="1535"/>
            </w:pPr>
            <w:r>
              <w:t>废水治理</w:t>
            </w:r>
          </w:p>
        </w:tc>
        <w:tc>
          <w:tcPr>
            <w:tcW w:w="735" w:type="pct"/>
            <w:vAlign w:val="center"/>
          </w:tcPr>
          <w:p w14:paraId="1E28B42F">
            <w:pPr>
              <w:pStyle w:val="1535"/>
            </w:pPr>
            <w:r>
              <w:t>生产废水</w:t>
            </w:r>
          </w:p>
        </w:tc>
        <w:tc>
          <w:tcPr>
            <w:tcW w:w="1907" w:type="pct"/>
            <w:vAlign w:val="center"/>
          </w:tcPr>
          <w:p w14:paraId="1A9527A6">
            <w:pPr>
              <w:pStyle w:val="1535"/>
            </w:pPr>
            <w:r>
              <w:rPr>
                <w:rFonts w:hint="eastAsia"/>
              </w:rPr>
              <w:t>依托各自</w:t>
            </w:r>
            <w:r>
              <w:t>厂区综合污水处理站处理后经总排口接园区市政管网，进园区污水处理厂。</w:t>
            </w:r>
          </w:p>
        </w:tc>
        <w:tc>
          <w:tcPr>
            <w:tcW w:w="1241" w:type="pct"/>
            <w:vMerge w:val="restart"/>
            <w:vAlign w:val="center"/>
          </w:tcPr>
          <w:p w14:paraId="671EC419">
            <w:pPr>
              <w:pStyle w:val="1535"/>
            </w:pPr>
            <w:r>
              <w:t>《电子工业水污染物排放标准》（GB39731-2020）间接排放标准（动植物油执行《污水综合排放标准》（GB8978-1996）三级标准）</w:t>
            </w:r>
          </w:p>
        </w:tc>
        <w:tc>
          <w:tcPr>
            <w:tcW w:w="780" w:type="pct"/>
            <w:vAlign w:val="center"/>
          </w:tcPr>
          <w:p w14:paraId="2255E726">
            <w:pPr>
              <w:pStyle w:val="1535"/>
            </w:pPr>
            <w:r>
              <w:rPr>
                <w:rFonts w:hint="eastAsia"/>
              </w:rPr>
              <w:t>5</w:t>
            </w:r>
          </w:p>
        </w:tc>
      </w:tr>
      <w:tr w14:paraId="0A1A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Merge w:val="continue"/>
            <w:vAlign w:val="center"/>
          </w:tcPr>
          <w:p w14:paraId="67D573E7">
            <w:pPr>
              <w:pStyle w:val="1535"/>
            </w:pPr>
          </w:p>
        </w:tc>
        <w:tc>
          <w:tcPr>
            <w:tcW w:w="735" w:type="pct"/>
            <w:vAlign w:val="center"/>
          </w:tcPr>
          <w:p w14:paraId="02CC432F">
            <w:pPr>
              <w:pStyle w:val="1535"/>
            </w:pPr>
            <w:r>
              <w:t>生活污水</w:t>
            </w:r>
          </w:p>
        </w:tc>
        <w:tc>
          <w:tcPr>
            <w:tcW w:w="1907" w:type="pct"/>
            <w:vAlign w:val="center"/>
          </w:tcPr>
          <w:p w14:paraId="713A0284">
            <w:pPr>
              <w:pStyle w:val="1535"/>
            </w:pPr>
            <w:r>
              <w:t>生活污水</w:t>
            </w:r>
            <w:r>
              <w:rPr>
                <w:rFonts w:hint="eastAsia"/>
              </w:rPr>
              <w:t>依托现有</w:t>
            </w:r>
            <w:r>
              <w:t>生化池处理后经总排口接园区市政管网，进园区污水处理厂。</w:t>
            </w:r>
          </w:p>
        </w:tc>
        <w:tc>
          <w:tcPr>
            <w:tcW w:w="1241" w:type="pct"/>
            <w:vMerge w:val="continue"/>
            <w:vAlign w:val="center"/>
          </w:tcPr>
          <w:p w14:paraId="597F74BF">
            <w:pPr>
              <w:pStyle w:val="1535"/>
            </w:pPr>
          </w:p>
        </w:tc>
        <w:tc>
          <w:tcPr>
            <w:tcW w:w="780" w:type="pct"/>
            <w:vAlign w:val="center"/>
          </w:tcPr>
          <w:p w14:paraId="09AE986F">
            <w:pPr>
              <w:pStyle w:val="1535"/>
            </w:pPr>
            <w:r>
              <w:rPr>
                <w:rFonts w:hint="eastAsia"/>
              </w:rPr>
              <w:t>5</w:t>
            </w:r>
          </w:p>
        </w:tc>
      </w:tr>
      <w:tr w14:paraId="74C1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Merge w:val="restart"/>
            <w:vAlign w:val="center"/>
          </w:tcPr>
          <w:p w14:paraId="38AD5869">
            <w:pPr>
              <w:pStyle w:val="1535"/>
            </w:pPr>
            <w:r>
              <w:t>噪声</w:t>
            </w:r>
          </w:p>
          <w:p w14:paraId="6D2590C1">
            <w:pPr>
              <w:pStyle w:val="1535"/>
            </w:pPr>
            <w:r>
              <w:t>治理</w:t>
            </w:r>
          </w:p>
        </w:tc>
        <w:tc>
          <w:tcPr>
            <w:tcW w:w="735" w:type="pct"/>
            <w:vAlign w:val="center"/>
          </w:tcPr>
          <w:p w14:paraId="552F296F">
            <w:pPr>
              <w:pStyle w:val="1535"/>
            </w:pPr>
            <w:r>
              <w:t>设备噪声</w:t>
            </w:r>
          </w:p>
        </w:tc>
        <w:tc>
          <w:tcPr>
            <w:tcW w:w="1907" w:type="pct"/>
            <w:vAlign w:val="center"/>
          </w:tcPr>
          <w:p w14:paraId="0D5561C4">
            <w:pPr>
              <w:pStyle w:val="1535"/>
            </w:pPr>
            <w:r>
              <w:t>选用低噪声、振动小的设备，基础安装减振器。</w:t>
            </w:r>
          </w:p>
        </w:tc>
        <w:tc>
          <w:tcPr>
            <w:tcW w:w="1241" w:type="pct"/>
            <w:vMerge w:val="restart"/>
            <w:vAlign w:val="center"/>
          </w:tcPr>
          <w:p w14:paraId="1F9458E6">
            <w:pPr>
              <w:pStyle w:val="1535"/>
            </w:pPr>
            <w:r>
              <w:t>《工业企业厂界环境噪声排放标准》（GB12348-2008）中3类标准</w:t>
            </w:r>
          </w:p>
        </w:tc>
        <w:tc>
          <w:tcPr>
            <w:tcW w:w="780" w:type="pct"/>
            <w:vAlign w:val="center"/>
          </w:tcPr>
          <w:p w14:paraId="192327FA">
            <w:pPr>
              <w:pStyle w:val="1535"/>
            </w:pPr>
            <w:r>
              <w:rPr>
                <w:rFonts w:hint="eastAsia"/>
              </w:rPr>
              <w:t>20</w:t>
            </w:r>
          </w:p>
        </w:tc>
      </w:tr>
      <w:tr w14:paraId="6E4C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Merge w:val="continue"/>
            <w:vAlign w:val="center"/>
          </w:tcPr>
          <w:p w14:paraId="3C6742F0">
            <w:pPr>
              <w:pStyle w:val="1535"/>
            </w:pPr>
          </w:p>
        </w:tc>
        <w:tc>
          <w:tcPr>
            <w:tcW w:w="735" w:type="pct"/>
            <w:vAlign w:val="center"/>
          </w:tcPr>
          <w:p w14:paraId="607FD836">
            <w:pPr>
              <w:pStyle w:val="1535"/>
            </w:pPr>
            <w:r>
              <w:t>空调送风机及通风机、增压风机设备噪声</w:t>
            </w:r>
          </w:p>
        </w:tc>
        <w:tc>
          <w:tcPr>
            <w:tcW w:w="1907" w:type="pct"/>
            <w:vAlign w:val="center"/>
          </w:tcPr>
          <w:p w14:paraId="23968675">
            <w:pPr>
              <w:pStyle w:val="1535"/>
            </w:pPr>
            <w:r>
              <w:t>选用高效低噪声、低转速、高质量的风机，设置单独风机间，车间采取全封闭方式。</w:t>
            </w:r>
          </w:p>
        </w:tc>
        <w:tc>
          <w:tcPr>
            <w:tcW w:w="1241" w:type="pct"/>
            <w:vMerge w:val="continue"/>
            <w:vAlign w:val="center"/>
          </w:tcPr>
          <w:p w14:paraId="60B0ED20">
            <w:pPr>
              <w:pStyle w:val="1535"/>
            </w:pPr>
          </w:p>
        </w:tc>
        <w:tc>
          <w:tcPr>
            <w:tcW w:w="780" w:type="pct"/>
            <w:vMerge w:val="restart"/>
            <w:vAlign w:val="center"/>
          </w:tcPr>
          <w:p w14:paraId="7E85CE6C">
            <w:pPr>
              <w:pStyle w:val="1535"/>
            </w:pPr>
            <w:r>
              <w:rPr>
                <w:rFonts w:hint="eastAsia"/>
              </w:rPr>
              <w:t>计入现有工程</w:t>
            </w:r>
          </w:p>
        </w:tc>
      </w:tr>
      <w:tr w14:paraId="0E41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Merge w:val="continue"/>
            <w:vAlign w:val="center"/>
          </w:tcPr>
          <w:p w14:paraId="18D40E19">
            <w:pPr>
              <w:pStyle w:val="1535"/>
            </w:pPr>
          </w:p>
        </w:tc>
        <w:tc>
          <w:tcPr>
            <w:tcW w:w="735" w:type="pct"/>
            <w:vAlign w:val="center"/>
          </w:tcPr>
          <w:p w14:paraId="1A2D8710">
            <w:pPr>
              <w:pStyle w:val="1535"/>
            </w:pPr>
            <w:r>
              <w:t>空压站空压机设备噪声</w:t>
            </w:r>
          </w:p>
        </w:tc>
        <w:tc>
          <w:tcPr>
            <w:tcW w:w="1907" w:type="pct"/>
            <w:vAlign w:val="center"/>
          </w:tcPr>
          <w:p w14:paraId="5FA32A35">
            <w:pPr>
              <w:pStyle w:val="1535"/>
            </w:pPr>
            <w:r>
              <w:t>选用低噪声设备、主体采用减振基础、进口装消声器。</w:t>
            </w:r>
          </w:p>
        </w:tc>
        <w:tc>
          <w:tcPr>
            <w:tcW w:w="1241" w:type="pct"/>
            <w:vMerge w:val="continue"/>
            <w:vAlign w:val="center"/>
          </w:tcPr>
          <w:p w14:paraId="11971257">
            <w:pPr>
              <w:pStyle w:val="1535"/>
            </w:pPr>
          </w:p>
        </w:tc>
        <w:tc>
          <w:tcPr>
            <w:tcW w:w="780" w:type="pct"/>
            <w:vMerge w:val="continue"/>
            <w:vAlign w:val="center"/>
          </w:tcPr>
          <w:p w14:paraId="6BA75A56">
            <w:pPr>
              <w:pStyle w:val="1535"/>
            </w:pPr>
          </w:p>
        </w:tc>
      </w:tr>
      <w:tr w14:paraId="0FC7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37" w:type="pct"/>
            <w:vMerge w:val="continue"/>
            <w:vAlign w:val="center"/>
          </w:tcPr>
          <w:p w14:paraId="02012B57">
            <w:pPr>
              <w:pStyle w:val="1535"/>
            </w:pPr>
          </w:p>
        </w:tc>
        <w:tc>
          <w:tcPr>
            <w:tcW w:w="735" w:type="pct"/>
            <w:vAlign w:val="center"/>
          </w:tcPr>
          <w:p w14:paraId="01E86AFF">
            <w:pPr>
              <w:pStyle w:val="1535"/>
            </w:pPr>
            <w:r>
              <w:t>水处理站罗茨风机设备噪声</w:t>
            </w:r>
          </w:p>
        </w:tc>
        <w:tc>
          <w:tcPr>
            <w:tcW w:w="1907" w:type="pct"/>
            <w:vAlign w:val="center"/>
          </w:tcPr>
          <w:p w14:paraId="4C5D6991">
            <w:pPr>
              <w:pStyle w:val="1535"/>
            </w:pPr>
            <w:r>
              <w:t>采用基础减振、建筑隔声方式。</w:t>
            </w:r>
          </w:p>
        </w:tc>
        <w:tc>
          <w:tcPr>
            <w:tcW w:w="1241" w:type="pct"/>
            <w:vMerge w:val="continue"/>
            <w:vAlign w:val="center"/>
          </w:tcPr>
          <w:p w14:paraId="36A7C19A">
            <w:pPr>
              <w:pStyle w:val="1535"/>
            </w:pPr>
          </w:p>
        </w:tc>
        <w:tc>
          <w:tcPr>
            <w:tcW w:w="780" w:type="pct"/>
            <w:vMerge w:val="continue"/>
            <w:vAlign w:val="center"/>
          </w:tcPr>
          <w:p w14:paraId="5CBB12A6">
            <w:pPr>
              <w:pStyle w:val="1535"/>
            </w:pPr>
          </w:p>
        </w:tc>
      </w:tr>
      <w:tr w14:paraId="7E1C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Merge w:val="restart"/>
            <w:vAlign w:val="center"/>
          </w:tcPr>
          <w:p w14:paraId="6F7ED835">
            <w:pPr>
              <w:pStyle w:val="1535"/>
            </w:pPr>
            <w:r>
              <w:t>固体废物</w:t>
            </w:r>
          </w:p>
        </w:tc>
        <w:tc>
          <w:tcPr>
            <w:tcW w:w="735" w:type="pct"/>
            <w:vAlign w:val="center"/>
          </w:tcPr>
          <w:p w14:paraId="70395ED0">
            <w:pPr>
              <w:pStyle w:val="1535"/>
            </w:pPr>
            <w:r>
              <w:t>生活垃圾</w:t>
            </w:r>
          </w:p>
        </w:tc>
        <w:tc>
          <w:tcPr>
            <w:tcW w:w="1907" w:type="pct"/>
            <w:vAlign w:val="center"/>
          </w:tcPr>
          <w:p w14:paraId="63F7519D">
            <w:pPr>
              <w:pStyle w:val="1535"/>
            </w:pPr>
            <w:r>
              <w:t>分类袋装化收集，由环卫部门送城市垃圾处理场卫生填埋。</w:t>
            </w:r>
          </w:p>
        </w:tc>
        <w:tc>
          <w:tcPr>
            <w:tcW w:w="1241" w:type="pct"/>
            <w:vAlign w:val="center"/>
          </w:tcPr>
          <w:p w14:paraId="2202DE36">
            <w:pPr>
              <w:pStyle w:val="1535"/>
            </w:pPr>
            <w:r>
              <w:t>/</w:t>
            </w:r>
          </w:p>
        </w:tc>
        <w:tc>
          <w:tcPr>
            <w:tcW w:w="780" w:type="pct"/>
            <w:vMerge w:val="restart"/>
            <w:vAlign w:val="center"/>
          </w:tcPr>
          <w:p w14:paraId="63137FDA">
            <w:pPr>
              <w:pStyle w:val="1535"/>
            </w:pPr>
            <w:r>
              <w:rPr>
                <w:rFonts w:hint="eastAsia"/>
              </w:rPr>
              <w:t>计入现有工程</w:t>
            </w:r>
          </w:p>
        </w:tc>
      </w:tr>
      <w:tr w14:paraId="2EC0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Merge w:val="continue"/>
            <w:vAlign w:val="center"/>
          </w:tcPr>
          <w:p w14:paraId="2FAE8D2E">
            <w:pPr>
              <w:pStyle w:val="1535"/>
            </w:pPr>
          </w:p>
        </w:tc>
        <w:tc>
          <w:tcPr>
            <w:tcW w:w="735" w:type="pct"/>
            <w:vAlign w:val="center"/>
          </w:tcPr>
          <w:p w14:paraId="566AE92A">
            <w:pPr>
              <w:pStyle w:val="1535"/>
            </w:pPr>
            <w:r>
              <w:t>一般工业固废</w:t>
            </w:r>
          </w:p>
        </w:tc>
        <w:tc>
          <w:tcPr>
            <w:tcW w:w="1907" w:type="pct"/>
            <w:vAlign w:val="center"/>
          </w:tcPr>
          <w:p w14:paraId="5E7FC6B9">
            <w:pPr>
              <w:pStyle w:val="1535"/>
            </w:pPr>
            <w:r>
              <w:t>暂存于一般工业固废临时储存间，满足三防（防扬散、防流失、防渗漏）要求，废包材外卖物资公司回收，</w:t>
            </w:r>
            <w:r>
              <w:rPr>
                <w:lang w:val="zh-CN"/>
              </w:rPr>
              <w:t>废砂、废蜡、除尘灰等定期送一般工业固废处理场处置。</w:t>
            </w:r>
          </w:p>
        </w:tc>
        <w:tc>
          <w:tcPr>
            <w:tcW w:w="1241" w:type="pct"/>
            <w:vAlign w:val="center"/>
          </w:tcPr>
          <w:p w14:paraId="66F79892">
            <w:pPr>
              <w:pStyle w:val="1535"/>
            </w:pPr>
            <w:r>
              <w:t>符合《一般工业固体废物贮存和填埋污染控制标准》（GB18599-2020）</w:t>
            </w:r>
          </w:p>
        </w:tc>
        <w:tc>
          <w:tcPr>
            <w:tcW w:w="780" w:type="pct"/>
            <w:vMerge w:val="continue"/>
            <w:vAlign w:val="center"/>
          </w:tcPr>
          <w:p w14:paraId="43A5126C">
            <w:pPr>
              <w:pStyle w:val="1535"/>
            </w:pPr>
          </w:p>
        </w:tc>
      </w:tr>
      <w:tr w14:paraId="37B3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Merge w:val="continue"/>
            <w:vAlign w:val="center"/>
          </w:tcPr>
          <w:p w14:paraId="2E528081">
            <w:pPr>
              <w:pStyle w:val="1535"/>
            </w:pPr>
          </w:p>
        </w:tc>
        <w:tc>
          <w:tcPr>
            <w:tcW w:w="735" w:type="pct"/>
            <w:vMerge w:val="restart"/>
            <w:vAlign w:val="center"/>
          </w:tcPr>
          <w:p w14:paraId="2E18A75C">
            <w:pPr>
              <w:pStyle w:val="1535"/>
            </w:pPr>
            <w:r>
              <w:t>危险废物</w:t>
            </w:r>
          </w:p>
        </w:tc>
        <w:tc>
          <w:tcPr>
            <w:tcW w:w="1907" w:type="pct"/>
            <w:vAlign w:val="center"/>
          </w:tcPr>
          <w:p w14:paraId="02D94DBE">
            <w:pPr>
              <w:pStyle w:val="1535"/>
            </w:pPr>
            <w:r>
              <w:t>切削液回收车间设置危险废物利用标志标识，严格落实“六防”（防风、防雨、防晒、防渗、防漏、防腐）措施，</w:t>
            </w:r>
          </w:p>
        </w:tc>
        <w:tc>
          <w:tcPr>
            <w:tcW w:w="1241" w:type="pct"/>
            <w:vMerge w:val="restart"/>
            <w:vAlign w:val="center"/>
          </w:tcPr>
          <w:p w14:paraId="658812EA">
            <w:pPr>
              <w:pStyle w:val="1535"/>
            </w:pPr>
            <w:r>
              <w:t>符合《危险废物贮存污染控制标准》(GB18597-2023)及《危险废物识别标志设置技术规范》（HJ1276-2022）</w:t>
            </w:r>
          </w:p>
        </w:tc>
        <w:tc>
          <w:tcPr>
            <w:tcW w:w="780" w:type="pct"/>
            <w:vMerge w:val="restart"/>
            <w:vAlign w:val="center"/>
          </w:tcPr>
          <w:p w14:paraId="304A9140">
            <w:pPr>
              <w:pStyle w:val="1535"/>
            </w:pPr>
            <w:r>
              <w:rPr>
                <w:rFonts w:hint="eastAsia"/>
              </w:rPr>
              <w:t>10</w:t>
            </w:r>
          </w:p>
        </w:tc>
      </w:tr>
      <w:tr w14:paraId="31B2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Merge w:val="continue"/>
            <w:vAlign w:val="center"/>
          </w:tcPr>
          <w:p w14:paraId="6926BD1C">
            <w:pPr>
              <w:pStyle w:val="1535"/>
            </w:pPr>
          </w:p>
        </w:tc>
        <w:tc>
          <w:tcPr>
            <w:tcW w:w="735" w:type="pct"/>
            <w:vMerge w:val="continue"/>
            <w:vAlign w:val="center"/>
          </w:tcPr>
          <w:p w14:paraId="0E31C520">
            <w:pPr>
              <w:pStyle w:val="1535"/>
            </w:pPr>
          </w:p>
        </w:tc>
        <w:tc>
          <w:tcPr>
            <w:tcW w:w="1907" w:type="pct"/>
            <w:vAlign w:val="center"/>
          </w:tcPr>
          <w:p w14:paraId="266409F5">
            <w:pPr>
              <w:pStyle w:val="1535"/>
            </w:pPr>
            <w:r>
              <w:t>按危险废物名录分类管理；危险废物暂存点设置危险废物贮存标识，严格落实“六防”（防风、防雨、防晒、防渗、防漏、防腐）措施，做好收集、利用、贮存和转运中的二次污染防治，最终交有处置资质的单位统一处理并实行联单制管理，处理率达到100%。</w:t>
            </w:r>
          </w:p>
        </w:tc>
        <w:tc>
          <w:tcPr>
            <w:tcW w:w="1241" w:type="pct"/>
            <w:vMerge w:val="continue"/>
            <w:vAlign w:val="center"/>
          </w:tcPr>
          <w:p w14:paraId="66DED1B8">
            <w:pPr>
              <w:pStyle w:val="1535"/>
            </w:pPr>
          </w:p>
        </w:tc>
        <w:tc>
          <w:tcPr>
            <w:tcW w:w="780" w:type="pct"/>
            <w:vMerge w:val="continue"/>
            <w:vAlign w:val="center"/>
          </w:tcPr>
          <w:p w14:paraId="0D207842">
            <w:pPr>
              <w:pStyle w:val="1535"/>
            </w:pPr>
          </w:p>
        </w:tc>
      </w:tr>
      <w:tr w14:paraId="618A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0" w:type="pct"/>
            <w:gridSpan w:val="4"/>
            <w:vAlign w:val="center"/>
          </w:tcPr>
          <w:p w14:paraId="1B3AEDAB">
            <w:pPr>
              <w:pStyle w:val="1535"/>
            </w:pPr>
            <w:r>
              <w:t>合计</w:t>
            </w:r>
          </w:p>
        </w:tc>
        <w:tc>
          <w:tcPr>
            <w:tcW w:w="780" w:type="pct"/>
            <w:vAlign w:val="center"/>
          </w:tcPr>
          <w:p w14:paraId="3EBC86BF">
            <w:pPr>
              <w:pStyle w:val="1535"/>
            </w:pPr>
            <w:r>
              <w:rPr>
                <w:rFonts w:hint="eastAsia"/>
              </w:rPr>
              <w:t>100</w:t>
            </w:r>
          </w:p>
        </w:tc>
      </w:tr>
    </w:tbl>
    <w:p w14:paraId="0D1821D9">
      <w:pPr>
        <w:ind w:firstLine="520"/>
        <w:rPr>
          <w:color w:val="000000" w:themeColor="text1"/>
          <w14:textFill>
            <w14:solidFill>
              <w14:schemeClr w14:val="tx1"/>
            </w14:solidFill>
          </w14:textFill>
        </w:rPr>
      </w:pPr>
      <w:r>
        <w:rPr>
          <w:color w:val="000000" w:themeColor="text1"/>
          <w14:textFill>
            <w14:solidFill>
              <w14:schemeClr w14:val="tx1"/>
            </w14:solidFill>
          </w14:textFill>
        </w:rPr>
        <w:t>由上表分析可知，扩建项目总投资</w:t>
      </w:r>
      <w:r>
        <w:rPr>
          <w:rFonts w:hint="eastAsia"/>
          <w:color w:val="000000" w:themeColor="text1"/>
          <w14:textFill>
            <w14:solidFill>
              <w14:schemeClr w14:val="tx1"/>
            </w14:solidFill>
          </w14:textFill>
        </w:rPr>
        <w:t>5000</w:t>
      </w:r>
      <w:r>
        <w:rPr>
          <w:color w:val="000000" w:themeColor="text1"/>
          <w14:textFill>
            <w14:solidFill>
              <w14:schemeClr w14:val="tx1"/>
            </w14:solidFill>
          </w14:textFill>
        </w:rPr>
        <w:t>万元，其中环保投资</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00万元，占总投资2.</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%。评价认为，建设单位在认真落实评价提出的各项环保措施，确保资金投入的前提下，可以使扩建项目对环境的影响减小到最低限度。</w:t>
      </w:r>
    </w:p>
    <w:p w14:paraId="71D7395A">
      <w:pPr>
        <w:ind w:firstLine="520"/>
        <w:rPr>
          <w:color w:val="000000" w:themeColor="text1"/>
          <w14:textFill>
            <w14:solidFill>
              <w14:schemeClr w14:val="tx1"/>
            </w14:solidFill>
          </w14:textFill>
        </w:rPr>
      </w:pPr>
      <w:r>
        <w:rPr>
          <w:color w:val="000000" w:themeColor="text1"/>
          <w14:textFill>
            <w14:solidFill>
              <w14:schemeClr w14:val="tx1"/>
            </w14:solidFill>
          </w14:textFill>
        </w:rPr>
        <w:t>年环保费用（Hi）</w:t>
      </w:r>
      <w:bookmarkStart w:id="374" w:name="_Hlk19012621"/>
      <w:r>
        <w:rPr>
          <w:color w:val="000000" w:themeColor="text1"/>
          <w14:textFill>
            <w14:solidFill>
              <w14:schemeClr w14:val="tx1"/>
            </w14:solidFill>
          </w14:textFill>
        </w:rPr>
        <w:t>=投资费用×固定资产形成率/设备折旧年限+运行费。</w:t>
      </w:r>
    </w:p>
    <w:p w14:paraId="68C02263">
      <w:pPr>
        <w:ind w:firstLine="520"/>
        <w:rPr>
          <w:color w:val="000000" w:themeColor="text1"/>
          <w14:textFill>
            <w14:solidFill>
              <w14:schemeClr w14:val="tx1"/>
            </w14:solidFill>
          </w14:textFill>
        </w:rPr>
      </w:pPr>
      <w:r>
        <w:rPr>
          <w:color w:val="000000" w:themeColor="text1"/>
          <w14:textFill>
            <w14:solidFill>
              <w14:schemeClr w14:val="tx1"/>
            </w14:solidFill>
          </w14:textFill>
        </w:rPr>
        <w:t>其中运行费用是为充分发挥治理设施的效率，维持其正常运行而发生的费用，包括人工费、水电费、药剂费、维护保养费等。经估算，废气、噪声、固废、废水治理设施运行费用约为10万元/年。</w:t>
      </w:r>
    </w:p>
    <w:p w14:paraId="2DF41100">
      <w:pPr>
        <w:ind w:firstLine="520"/>
        <w:rPr>
          <w:color w:val="000000" w:themeColor="text1"/>
          <w14:textFill>
            <w14:solidFill>
              <w14:schemeClr w14:val="tx1"/>
            </w14:solidFill>
          </w14:textFill>
        </w:rPr>
      </w:pPr>
      <w:r>
        <w:rPr>
          <w:color w:val="000000" w:themeColor="text1"/>
          <w14:textFill>
            <w14:solidFill>
              <w14:schemeClr w14:val="tx1"/>
            </w14:solidFill>
          </w14:textFill>
        </w:rPr>
        <w:t>计算式中各项参数取值均与工程经济分析数据一致，投资费用为环境保护设施的一次性费用即：</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0万元，固定资产形成率按90%考虑，设备折旧年限为10年。经计算，拟建工程年环保治理费用为</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0×0.9÷10+10=1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万元。</w:t>
      </w:r>
    </w:p>
    <w:bookmarkEnd w:id="374"/>
    <w:p w14:paraId="073CE919">
      <w:pPr>
        <w:pStyle w:val="4"/>
        <w:rPr>
          <w:color w:val="000000" w:themeColor="text1"/>
          <w14:textFill>
            <w14:solidFill>
              <w14:schemeClr w14:val="tx1"/>
            </w14:solidFill>
          </w14:textFill>
        </w:rPr>
      </w:pPr>
      <w:bookmarkStart w:id="375" w:name="_Toc11942624"/>
      <w:bookmarkStart w:id="376" w:name="_Toc31134"/>
      <w:bookmarkStart w:id="377" w:name="_Toc19277"/>
      <w:bookmarkStart w:id="378" w:name="_Toc15508"/>
      <w:bookmarkStart w:id="379" w:name="_Toc7330"/>
      <w:r>
        <w:rPr>
          <w:color w:val="000000" w:themeColor="text1"/>
          <w14:textFill>
            <w14:solidFill>
              <w14:schemeClr w14:val="tx1"/>
            </w14:solidFill>
          </w14:textFill>
        </w:rPr>
        <w:t>经济损益分析</w:t>
      </w:r>
      <w:bookmarkEnd w:id="375"/>
      <w:bookmarkEnd w:id="376"/>
      <w:bookmarkEnd w:id="377"/>
      <w:bookmarkEnd w:id="378"/>
      <w:bookmarkEnd w:id="379"/>
    </w:p>
    <w:p w14:paraId="46C70B1F">
      <w:pPr>
        <w:ind w:firstLine="520"/>
        <w:rPr>
          <w:color w:val="000000" w:themeColor="text1"/>
          <w14:textFill>
            <w14:solidFill>
              <w14:schemeClr w14:val="tx1"/>
            </w14:solidFill>
          </w14:textFill>
        </w:rPr>
      </w:pPr>
      <w:r>
        <w:rPr>
          <w:color w:val="000000" w:themeColor="text1"/>
          <w14:textFill>
            <w14:solidFill>
              <w14:schemeClr w14:val="tx1"/>
            </w14:solidFill>
          </w14:textFill>
        </w:rPr>
        <w:t>环保效益即环保设施的环境经济效益，包括直接经济效益和间接经济效益。对扩建项目而言，环保治理没有直接经济效益产生。间接经济效益主要指环保设施带来的社会效益，包括环境污染损失的减少，人体健康的保护费用的减少，控制污染物达标排放免交或少交的排污费、罚款和赔偿费等。</w:t>
      </w:r>
    </w:p>
    <w:p w14:paraId="5D027016">
      <w:pPr>
        <w:spacing w:line="420" w:lineRule="exact"/>
        <w:ind w:firstLine="520"/>
        <w:rPr>
          <w:color w:val="000000" w:themeColor="text1"/>
          <w14:textFill>
            <w14:solidFill>
              <w14:schemeClr w14:val="tx1"/>
            </w14:solidFill>
          </w14:textFill>
        </w:rPr>
      </w:pPr>
      <w:r>
        <w:rPr>
          <w:color w:val="000000" w:themeColor="text1"/>
          <w14:textFill>
            <w14:solidFill>
              <w14:schemeClr w14:val="tx1"/>
            </w14:solidFill>
          </w14:textFill>
        </w:rPr>
        <w:t>可量化的间接效益表现为因污染治理达标而免交的环保税。根据2018年1月实施的《中华人民共和国环境保护税法》（国务院令字第369号）：应税大气污染物、水污染物的污染当量数，以该污染物的排放量除以该污染物的污染当量值计算。每一排放口或者没有排放口的应税大气污染物，按照污染当量数从大到小排序，对前三项污染物征收环境保护税。项目固废处置符合国家有关规定，不收取环保税，而且不涉及噪声污染征收超标环保税，因此只进行废气、废水环保税的计算。</w:t>
      </w:r>
    </w:p>
    <w:p w14:paraId="4192F54D">
      <w:pPr>
        <w:spacing w:line="420" w:lineRule="exact"/>
        <w:ind w:firstLine="520"/>
        <w:rPr>
          <w:color w:val="000000" w:themeColor="text1"/>
          <w14:textFill>
            <w14:solidFill>
              <w14:schemeClr w14:val="tx1"/>
            </w14:solidFill>
          </w14:textFill>
        </w:rPr>
      </w:pPr>
      <w:r>
        <w:rPr>
          <w:color w:val="000000" w:themeColor="text1"/>
          <w14:textFill>
            <w14:solidFill>
              <w14:schemeClr w14:val="tx1"/>
            </w14:solidFill>
          </w14:textFill>
        </w:rPr>
        <w:t>扩建项目因污染治理达标而免交的环保税主要表现在废水污染物排放、废气污染物排放和危险废物方面。根据污染物排放统计可知：扩建项目在废水排放口排放的计税污染物总类有COD、SS、石油类、氟化物、氨氮。若没有处理直接排放，需要缴纳的环保税=15278.5×1.4元/污染当量=22789.9元/年。治理后环保税=13238.5×1.4元/污染当量=18533.9元/年。扩建项目计税大气污染物总类有颗粒物、氟化物、氯化氢，若没有处理直接排放，需要缴纳的环保税=23380×1.2元/污染当量=28056元/年。环保设施治理后环保税=217×1.2元/污染当量=261元/年。扩建项目污染物治理全部达标排放后，可少交环保税32051.71元/年。</w:t>
      </w:r>
    </w:p>
    <w:p w14:paraId="3DD967BC">
      <w:pPr>
        <w:spacing w:line="420" w:lineRule="exact"/>
        <w:ind w:firstLine="520"/>
        <w:rPr>
          <w:color w:val="000000" w:themeColor="text1"/>
          <w14:textFill>
            <w14:solidFill>
              <w14:schemeClr w14:val="tx1"/>
            </w14:solidFill>
          </w14:textFill>
        </w:rPr>
      </w:pPr>
      <w:r>
        <w:rPr>
          <w:color w:val="000000" w:themeColor="text1"/>
          <w14:textFill>
            <w14:solidFill>
              <w14:schemeClr w14:val="tx1"/>
            </w14:solidFill>
          </w14:textFill>
        </w:rPr>
        <w:t>经济损益（Zj）值的计算采用因采取有效的环保措施而挽回的经济损失（产生的效益）与年环保费用之比的方法来确定，即：</w:t>
      </w:r>
    </w:p>
    <w:p w14:paraId="586D6C31">
      <w:pPr>
        <w:spacing w:line="240" w:lineRule="auto"/>
        <w:ind w:firstLine="480"/>
        <w:jc w:val="center"/>
        <w:rPr>
          <w:color w:val="000000" w:themeColor="text1"/>
          <w14:textFill>
            <w14:solidFill>
              <w14:schemeClr w14:val="tx1"/>
            </w14:solidFill>
          </w14:textFill>
        </w:rPr>
      </w:pPr>
      <w:r>
        <w:rPr>
          <w:color w:val="000000" w:themeColor="text1"/>
          <w:sz w:val="24"/>
          <w14:textFill>
            <w14:solidFill>
              <w14:schemeClr w14:val="tx1"/>
            </w14:solidFill>
          </w14:textFill>
        </w:rPr>
        <w:drawing>
          <wp:inline distT="0" distB="0" distL="0" distR="0">
            <wp:extent cx="733425" cy="638175"/>
            <wp:effectExtent l="0" t="0" r="9525" b="9525"/>
            <wp:docPr id="6534501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50181" name="图片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733425" cy="638175"/>
                    </a:xfrm>
                    <a:prstGeom prst="rect">
                      <a:avLst/>
                    </a:prstGeom>
                    <a:noFill/>
                    <a:ln>
                      <a:noFill/>
                    </a:ln>
                  </pic:spPr>
                </pic:pic>
              </a:graphicData>
            </a:graphic>
          </wp:inline>
        </w:drawing>
      </w:r>
    </w:p>
    <w:p w14:paraId="78DC65EB">
      <w:pPr>
        <w:spacing w:line="420" w:lineRule="exact"/>
        <w:ind w:firstLine="520"/>
        <w:rPr>
          <w:color w:val="000000" w:themeColor="text1"/>
          <w14:textFill>
            <w14:solidFill>
              <w14:schemeClr w14:val="tx1"/>
            </w14:solidFill>
          </w14:textFill>
        </w:rPr>
      </w:pPr>
      <w:r>
        <w:rPr>
          <w:color w:val="000000" w:themeColor="text1"/>
          <w14:textFill>
            <w14:solidFill>
              <w14:schemeClr w14:val="tx1"/>
            </w14:solidFill>
          </w14:textFill>
        </w:rPr>
        <w:t>式中：</w:t>
      </w:r>
      <w:r>
        <w:rPr>
          <w:rFonts w:hint="eastAsia"/>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i</w:t>
      </w:r>
      <w:r>
        <w:rPr>
          <w:color w:val="000000" w:themeColor="text1"/>
          <w14:textFill>
            <w14:solidFill>
              <w14:schemeClr w14:val="tx1"/>
            </w14:solidFill>
          </w14:textFill>
        </w:rPr>
        <w:t>—由于防止（或减少）损失而挽回的经济价值。</w:t>
      </w:r>
    </w:p>
    <w:p w14:paraId="3A3EEB92">
      <w:pPr>
        <w:pStyle w:val="2005"/>
        <w:spacing w:line="420" w:lineRule="exact"/>
        <w:ind w:left="440" w:firstLine="720" w:firstLineChars="300"/>
        <w:rPr>
          <w:color w:val="000000" w:themeColor="text1"/>
          <w14:textFill>
            <w14:solidFill>
              <w14:schemeClr w14:val="tx1"/>
            </w14:solidFill>
          </w14:textFill>
        </w:rPr>
      </w:pPr>
      <w:bookmarkStart w:id="380" w:name="_Hlk162815579"/>
      <w:r>
        <w:rPr>
          <w:snapToGrid/>
          <w:color w:val="000000" w:themeColor="text1"/>
          <w:sz w:val="24"/>
          <w14:textFill>
            <w14:solidFill>
              <w14:schemeClr w14:val="tx1"/>
            </w14:solidFill>
          </w14:textFill>
        </w:rPr>
        <w:drawing>
          <wp:inline distT="0" distB="0" distL="0" distR="0">
            <wp:extent cx="260985" cy="178435"/>
            <wp:effectExtent l="0" t="0" r="0" b="0"/>
            <wp:docPr id="77991227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12270" name="图片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60985" cy="178435"/>
                    </a:xfrm>
                    <a:prstGeom prst="rect">
                      <a:avLst/>
                    </a:prstGeom>
                    <a:noFill/>
                    <a:ln>
                      <a:noFill/>
                    </a:ln>
                  </pic:spPr>
                </pic:pic>
              </a:graphicData>
            </a:graphic>
          </wp:inline>
        </w:drawing>
      </w:r>
      <w:bookmarkEnd w:id="380"/>
      <w:r>
        <w:rPr>
          <w:color w:val="000000" w:themeColor="text1"/>
          <w14:textFill>
            <w14:solidFill>
              <w14:schemeClr w14:val="tx1"/>
            </w14:solidFill>
          </w14:textFill>
        </w:rPr>
        <w:t>—年环保费用。</w:t>
      </w:r>
    </w:p>
    <w:p w14:paraId="1AE01BFB">
      <w:pPr>
        <w:spacing w:line="420" w:lineRule="exact"/>
        <w:ind w:firstLine="520"/>
        <w:rPr>
          <w:color w:val="000000" w:themeColor="text1"/>
          <w14:textFill>
            <w14:solidFill>
              <w14:schemeClr w14:val="tx1"/>
            </w14:solidFill>
          </w14:textFill>
        </w:rPr>
      </w:pPr>
      <w:r>
        <w:rPr>
          <w:color w:val="000000" w:themeColor="text1"/>
          <w14:textFill>
            <w14:solidFill>
              <w14:schemeClr w14:val="tx1"/>
            </w14:solidFill>
          </w14:textFill>
        </w:rPr>
        <w:t>根据以上分析，扩建项目效益与费用之比Z</w:t>
      </w:r>
      <w:r>
        <w:rPr>
          <w:color w:val="000000" w:themeColor="text1"/>
          <w:vertAlign w:val="subscript"/>
          <w14:textFill>
            <w14:solidFill>
              <w14:schemeClr w14:val="tx1"/>
            </w14:solidFill>
          </w14:textFill>
        </w:rPr>
        <w:t>j</w:t>
      </w:r>
      <w:r>
        <w:rPr>
          <w:color w:val="000000" w:themeColor="text1"/>
          <w14:textFill>
            <w14:solidFill>
              <w14:schemeClr w14:val="tx1"/>
            </w14:solidFill>
          </w14:textFill>
        </w:rPr>
        <w:t>为0.63，表明扩建项目经济效益可接受，可有效促进经济可持续发展，环保投入时必须的。</w:t>
      </w:r>
    </w:p>
    <w:p w14:paraId="229E1ACB">
      <w:pPr>
        <w:pStyle w:val="4"/>
        <w:spacing w:line="420" w:lineRule="exact"/>
        <w:rPr>
          <w:color w:val="000000" w:themeColor="text1"/>
          <w14:textFill>
            <w14:solidFill>
              <w14:schemeClr w14:val="tx1"/>
            </w14:solidFill>
          </w14:textFill>
        </w:rPr>
      </w:pPr>
      <w:bookmarkStart w:id="381" w:name="_Toc384373805"/>
      <w:bookmarkStart w:id="382" w:name="_Toc384374886"/>
      <w:bookmarkStart w:id="383" w:name="_Toc389569757"/>
      <w:bookmarkStart w:id="384" w:name="_Toc11942625"/>
      <w:bookmarkStart w:id="385" w:name="_Toc32395"/>
      <w:bookmarkStart w:id="386" w:name="_Toc17078"/>
      <w:bookmarkStart w:id="387" w:name="_Toc24206"/>
      <w:bookmarkStart w:id="388" w:name="_Toc12140"/>
      <w:r>
        <w:rPr>
          <w:color w:val="000000" w:themeColor="text1"/>
          <w14:textFill>
            <w14:solidFill>
              <w14:schemeClr w14:val="tx1"/>
            </w14:solidFill>
          </w14:textFill>
        </w:rPr>
        <w:t>社会效益</w:t>
      </w:r>
      <w:bookmarkEnd w:id="381"/>
      <w:bookmarkEnd w:id="382"/>
      <w:bookmarkEnd w:id="383"/>
      <w:r>
        <w:rPr>
          <w:color w:val="000000" w:themeColor="text1"/>
          <w14:textFill>
            <w14:solidFill>
              <w14:schemeClr w14:val="tx1"/>
            </w14:solidFill>
          </w14:textFill>
        </w:rPr>
        <w:t>分析</w:t>
      </w:r>
      <w:bookmarkEnd w:id="384"/>
      <w:bookmarkEnd w:id="385"/>
      <w:bookmarkEnd w:id="386"/>
      <w:bookmarkEnd w:id="387"/>
      <w:bookmarkEnd w:id="388"/>
    </w:p>
    <w:p w14:paraId="26769079">
      <w:pPr>
        <w:spacing w:line="420" w:lineRule="exact"/>
        <w:ind w:firstLine="520"/>
        <w:rPr>
          <w:color w:val="000000" w:themeColor="text1"/>
          <w14:textFill>
            <w14:solidFill>
              <w14:schemeClr w14:val="tx1"/>
            </w14:solidFill>
          </w14:textFill>
        </w:rPr>
      </w:pPr>
      <w:r>
        <w:rPr>
          <w:color w:val="000000" w:themeColor="text1"/>
          <w14:textFill>
            <w14:solidFill>
              <w14:schemeClr w14:val="tx1"/>
            </w14:solidFill>
          </w14:textFill>
        </w:rPr>
        <w:t>扩建项目建设符合国家有关产业政策，顺应国内外市场发展的需要，符合当地国民经济发展和产业规划，项目将带来多方面的社会综合效益，具体体现在：</w:t>
      </w:r>
    </w:p>
    <w:p w14:paraId="2D914AAC">
      <w:pPr>
        <w:spacing w:line="420" w:lineRule="exact"/>
        <w:ind w:firstLine="520"/>
        <w:rPr>
          <w:color w:val="000000" w:themeColor="text1"/>
          <w14:textFill>
            <w14:solidFill>
              <w14:schemeClr w14:val="tx1"/>
            </w14:solidFill>
          </w14:textFill>
        </w:rPr>
      </w:pPr>
      <w:r>
        <w:rPr>
          <w:color w:val="000000" w:themeColor="text1"/>
          <w14:textFill>
            <w14:solidFill>
              <w14:schemeClr w14:val="tx1"/>
            </w14:solidFill>
          </w14:textFill>
        </w:rPr>
        <w:t>（1）项目的建设投产可完善园区产业布局，基础设施可改善投资环境，吸引更多外来资金。</w:t>
      </w:r>
    </w:p>
    <w:p w14:paraId="39EA84B9">
      <w:pPr>
        <w:spacing w:line="420" w:lineRule="exact"/>
        <w:ind w:firstLine="520"/>
        <w:rPr>
          <w:color w:val="000000" w:themeColor="text1"/>
          <w14:textFill>
            <w14:solidFill>
              <w14:schemeClr w14:val="tx1"/>
            </w14:solidFill>
          </w14:textFill>
        </w:rPr>
      </w:pPr>
      <w:r>
        <w:rPr>
          <w:color w:val="000000" w:themeColor="text1"/>
          <w14:textFill>
            <w14:solidFill>
              <w14:schemeClr w14:val="tx1"/>
            </w14:solidFill>
          </w14:textFill>
        </w:rPr>
        <w:t>（2）扩建项目实施后可增加当地政府财政收入，有利于产业链上下游劳动就业，增加当地居民收入，促进提高就业率。</w:t>
      </w:r>
    </w:p>
    <w:p w14:paraId="74F277AF">
      <w:pPr>
        <w:spacing w:line="420" w:lineRule="exact"/>
        <w:ind w:firstLine="520"/>
        <w:rPr>
          <w:color w:val="000000" w:themeColor="text1"/>
          <w14:textFill>
            <w14:solidFill>
              <w14:schemeClr w14:val="tx1"/>
            </w14:solidFill>
          </w14:textFill>
        </w:rPr>
      </w:pPr>
      <w:r>
        <w:rPr>
          <w:color w:val="000000" w:themeColor="text1"/>
          <w14:textFill>
            <w14:solidFill>
              <w14:schemeClr w14:val="tx1"/>
            </w14:solidFill>
          </w14:textFill>
        </w:rPr>
        <w:t>（3）扩建项目的实施将刺激当地的经济需求，扩大内需，带动当地经济发展，有利于完善当地芯片和液晶显示核心设备和材料的上游产业链发展。</w:t>
      </w:r>
    </w:p>
    <w:p w14:paraId="14E6638C">
      <w:pPr>
        <w:spacing w:before="32"/>
        <w:ind w:firstLine="520"/>
        <w:rPr>
          <w:color w:val="000000" w:themeColor="text1"/>
          <w14:textFill>
            <w14:solidFill>
              <w14:schemeClr w14:val="tx1"/>
            </w14:solidFill>
          </w14:textFill>
        </w:rPr>
      </w:pPr>
    </w:p>
    <w:p w14:paraId="6585A5C8">
      <w:pPr>
        <w:spacing w:before="32"/>
        <w:ind w:firstLine="520"/>
        <w:rPr>
          <w:color w:val="000000" w:themeColor="text1"/>
          <w14:textFill>
            <w14:solidFill>
              <w14:schemeClr w14:val="tx1"/>
            </w14:solidFill>
          </w14:textFill>
        </w:rPr>
      </w:pPr>
    </w:p>
    <w:p w14:paraId="5335E523">
      <w:pPr>
        <w:spacing w:before="32"/>
        <w:ind w:firstLine="522"/>
        <w:rPr>
          <w:b/>
          <w:bCs/>
          <w:color w:val="000000" w:themeColor="text1"/>
          <w14:textFill>
            <w14:solidFill>
              <w14:schemeClr w14:val="tx1"/>
            </w14:solidFill>
          </w14:textFill>
        </w:rPr>
        <w:sectPr>
          <w:pgSz w:w="11907" w:h="16840"/>
          <w:pgMar w:top="1134" w:right="1134" w:bottom="1134" w:left="1134" w:header="283" w:footer="851" w:gutter="397"/>
          <w:cols w:space="720" w:num="1"/>
          <w:docGrid w:type="linesAndChars" w:linePitch="326" w:charSpace="0"/>
        </w:sectPr>
      </w:pPr>
    </w:p>
    <w:p w14:paraId="55A456BE">
      <w:pPr>
        <w:pStyle w:val="3"/>
        <w:spacing w:after="240"/>
        <w:rPr>
          <w:color w:val="000000" w:themeColor="text1"/>
          <w14:textFill>
            <w14:solidFill>
              <w14:schemeClr w14:val="tx1"/>
            </w14:solidFill>
          </w14:textFill>
        </w:rPr>
      </w:pPr>
      <w:bookmarkStart w:id="389" w:name="_Toc7594"/>
      <w:r>
        <w:rPr>
          <w:color w:val="000000" w:themeColor="text1"/>
          <w14:textFill>
            <w14:solidFill>
              <w14:schemeClr w14:val="tx1"/>
            </w14:solidFill>
          </w14:textFill>
        </w:rPr>
        <w:t>环境管理与监测计划</w:t>
      </w:r>
      <w:bookmarkEnd w:id="389"/>
    </w:p>
    <w:p w14:paraId="1CA08780">
      <w:pPr>
        <w:pStyle w:val="4"/>
        <w:rPr>
          <w:color w:val="000000" w:themeColor="text1"/>
          <w14:textFill>
            <w14:solidFill>
              <w14:schemeClr w14:val="tx1"/>
            </w14:solidFill>
          </w14:textFill>
        </w:rPr>
      </w:pPr>
      <w:bookmarkStart w:id="390" w:name="_Toc30542"/>
      <w:bookmarkStart w:id="391" w:name="_Toc8363"/>
      <w:bookmarkStart w:id="392" w:name="_Toc46946036"/>
      <w:bookmarkStart w:id="393" w:name="_Toc46325166"/>
      <w:bookmarkStart w:id="394" w:name="_Toc36156469"/>
      <w:r>
        <w:rPr>
          <w:color w:val="000000" w:themeColor="text1"/>
          <w14:textFill>
            <w14:solidFill>
              <w14:schemeClr w14:val="tx1"/>
            </w14:solidFill>
          </w14:textFill>
        </w:rPr>
        <w:t>环境管理</w:t>
      </w:r>
      <w:bookmarkEnd w:id="390"/>
      <w:bookmarkEnd w:id="391"/>
      <w:bookmarkEnd w:id="392"/>
      <w:bookmarkEnd w:id="393"/>
      <w:bookmarkEnd w:id="394"/>
    </w:p>
    <w:p w14:paraId="557AF01F">
      <w:pPr>
        <w:ind w:firstLine="520"/>
        <w:rPr>
          <w:color w:val="000000" w:themeColor="text1"/>
          <w14:textFill>
            <w14:solidFill>
              <w14:schemeClr w14:val="tx1"/>
            </w14:solidFill>
          </w14:textFill>
        </w:rPr>
      </w:pPr>
      <w:r>
        <w:rPr>
          <w:color w:val="000000" w:themeColor="text1"/>
          <w14:textFill>
            <w14:solidFill>
              <w14:schemeClr w14:val="tx1"/>
            </w14:solidFill>
          </w14:textFill>
        </w:rPr>
        <w:t>为加强厂区的环境保护管理工作，企业环境保护管理机构的主要职责为：</w:t>
      </w:r>
    </w:p>
    <w:p w14:paraId="685ABF0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贯彻落实建设项目的“三同时”，切实按照设计要求予以实施，以确保环保设施的建设，使工程达到预期的效果。</w:t>
      </w:r>
    </w:p>
    <w:p w14:paraId="7C608E91">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建立完善的环境保护规章制度（岗位责任制度、操作规程、安全生产制度、绿化、卫生管理规程等）并实施，落实环境监测制度。</w:t>
      </w:r>
    </w:p>
    <w:p w14:paraId="1F4A5500">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对工程的各种运营设备、器具的正常工作进行监督管理，确保设备正常并高效运营。</w:t>
      </w:r>
    </w:p>
    <w:p w14:paraId="01ABB274">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根据污染物监测结果、设备运营指标等，做好统计工作，并建立环境档案库；</w:t>
      </w:r>
    </w:p>
    <w:p w14:paraId="32E9AA43">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编制环境保护年度计划和环境保护统计报表。</w:t>
      </w:r>
    </w:p>
    <w:p w14:paraId="4935A6EE">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定期向环境监测单位和生态环境局报送有关数据（监测统计、设备运营指标等）。</w:t>
      </w:r>
    </w:p>
    <w:p w14:paraId="2A51DA18">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⑦</w:t>
      </w:r>
      <w:r>
        <w:rPr>
          <w:color w:val="000000" w:themeColor="text1"/>
          <w14:textFill>
            <w14:solidFill>
              <w14:schemeClr w14:val="tx1"/>
            </w14:solidFill>
          </w14:textFill>
        </w:rPr>
        <w:t>搞好环境保护宣传和职工环保意识教育及技术培训等工作。</w:t>
      </w:r>
    </w:p>
    <w:p w14:paraId="2128983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⑧</w:t>
      </w:r>
      <w:r>
        <w:rPr>
          <w:color w:val="000000" w:themeColor="text1"/>
          <w14:textFill>
            <w14:solidFill>
              <w14:schemeClr w14:val="tx1"/>
            </w14:solidFill>
          </w14:textFill>
        </w:rPr>
        <w:t>负责组织突发事故的应急处理和善后事宜，维护好公众的利益。</w:t>
      </w:r>
    </w:p>
    <w:p w14:paraId="2D6388F6">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⑨</w:t>
      </w:r>
      <w:r>
        <w:rPr>
          <w:color w:val="000000" w:themeColor="text1"/>
          <w14:textFill>
            <w14:solidFill>
              <w14:schemeClr w14:val="tx1"/>
            </w14:solidFill>
          </w14:textFill>
        </w:rPr>
        <w:t>推广应用环境保护先进技术。</w:t>
      </w:r>
    </w:p>
    <w:p w14:paraId="5E8A1431">
      <w:pPr>
        <w:pStyle w:val="5"/>
        <w:rPr>
          <w:color w:val="000000" w:themeColor="text1"/>
          <w14:textFill>
            <w14:solidFill>
              <w14:schemeClr w14:val="tx1"/>
            </w14:solidFill>
          </w14:textFill>
        </w:rPr>
      </w:pPr>
      <w:r>
        <w:rPr>
          <w:color w:val="000000" w:themeColor="text1"/>
          <w14:textFill>
            <w14:solidFill>
              <w14:schemeClr w14:val="tx1"/>
            </w14:solidFill>
          </w14:textFill>
        </w:rPr>
        <w:t>主管负责人</w:t>
      </w:r>
    </w:p>
    <w:p w14:paraId="723578EF">
      <w:pPr>
        <w:ind w:firstLine="520"/>
        <w:rPr>
          <w:color w:val="000000" w:themeColor="text1"/>
          <w14:textFill>
            <w14:solidFill>
              <w14:schemeClr w14:val="tx1"/>
            </w14:solidFill>
          </w14:textFill>
        </w:rPr>
      </w:pPr>
      <w:r>
        <w:rPr>
          <w:color w:val="000000" w:themeColor="text1"/>
          <w14:textFill>
            <w14:solidFill>
              <w14:schemeClr w14:val="tx1"/>
            </w14:solidFill>
          </w14:textFill>
        </w:rPr>
        <w:t>应掌握生产和环保工作全面动态情况；负责审批全公司环保岗位制度、工作和年度计划；指挥全公司环保工作的实施；协调公司内外各有关部门和组织间的关系。</w:t>
      </w:r>
    </w:p>
    <w:p w14:paraId="086D6090">
      <w:pPr>
        <w:pStyle w:val="5"/>
        <w:rPr>
          <w:color w:val="000000" w:themeColor="text1"/>
          <w14:textFill>
            <w14:solidFill>
              <w14:schemeClr w14:val="tx1"/>
            </w14:solidFill>
          </w14:textFill>
        </w:rPr>
      </w:pPr>
      <w:r>
        <w:rPr>
          <w:color w:val="000000" w:themeColor="text1"/>
          <w14:textFill>
            <w14:solidFill>
              <w14:schemeClr w14:val="tx1"/>
            </w14:solidFill>
          </w14:textFill>
        </w:rPr>
        <w:t>公司环保科</w:t>
      </w:r>
    </w:p>
    <w:p w14:paraId="671E31FA">
      <w:pPr>
        <w:ind w:firstLine="520"/>
        <w:rPr>
          <w:color w:val="000000" w:themeColor="text1"/>
          <w14:textFill>
            <w14:solidFill>
              <w14:schemeClr w14:val="tx1"/>
            </w14:solidFill>
          </w14:textFill>
        </w:rPr>
      </w:pPr>
      <w:r>
        <w:rPr>
          <w:color w:val="000000" w:themeColor="text1"/>
          <w14:textFill>
            <w14:solidFill>
              <w14:schemeClr w14:val="tx1"/>
            </w14:solidFill>
          </w14:textFill>
        </w:rPr>
        <w:t>专职环保管理机构，应由熟悉生产工艺和污染防治措施系统的管理、技术人员组成，其主要职责是：</w:t>
      </w:r>
    </w:p>
    <w:p w14:paraId="0C703078">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制订全公司及岗位环保规章制度，检查制度落实情况；</w:t>
      </w:r>
    </w:p>
    <w:p w14:paraId="47002D9B">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制订环保工作年度计划，负责组织实施；</w:t>
      </w:r>
    </w:p>
    <w:p w14:paraId="6CE26E1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领导公司内环保监测工作，汇总各产污环节排污、环保设施运营状态及环境质量情况；</w:t>
      </w:r>
    </w:p>
    <w:p w14:paraId="45A77ACC">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提出环保设施运营管理计划及改进建议。</w:t>
      </w:r>
    </w:p>
    <w:p w14:paraId="451EAE5D">
      <w:pPr>
        <w:ind w:firstLine="520"/>
        <w:rPr>
          <w:color w:val="000000" w:themeColor="text1"/>
          <w14:textFill>
            <w14:solidFill>
              <w14:schemeClr w14:val="tx1"/>
            </w14:solidFill>
          </w14:textFill>
        </w:rPr>
      </w:pPr>
      <w:r>
        <w:rPr>
          <w:color w:val="000000" w:themeColor="text1"/>
          <w14:textFill>
            <w14:solidFill>
              <w14:schemeClr w14:val="tx1"/>
            </w14:solidFill>
          </w14:textFill>
        </w:rPr>
        <w:t>该机构除向主管领导及时汇报工作情况外，还有义务配合地方环境保护主管部门开展各项环保工作。</w:t>
      </w:r>
    </w:p>
    <w:p w14:paraId="4513FFD9">
      <w:pPr>
        <w:pStyle w:val="5"/>
        <w:rPr>
          <w:color w:val="000000" w:themeColor="text1"/>
          <w14:textFill>
            <w14:solidFill>
              <w14:schemeClr w14:val="tx1"/>
            </w14:solidFill>
          </w14:textFill>
        </w:rPr>
      </w:pPr>
      <w:r>
        <w:rPr>
          <w:color w:val="000000" w:themeColor="text1"/>
          <w14:textFill>
            <w14:solidFill>
              <w14:schemeClr w14:val="tx1"/>
            </w14:solidFill>
          </w14:textFill>
        </w:rPr>
        <w:t>环保设施运营管理</w:t>
      </w:r>
    </w:p>
    <w:p w14:paraId="2B4B0E69">
      <w:pPr>
        <w:ind w:firstLine="520"/>
        <w:rPr>
          <w:color w:val="000000" w:themeColor="text1"/>
          <w14:textFill>
            <w14:solidFill>
              <w14:schemeClr w14:val="tx1"/>
            </w14:solidFill>
          </w14:textFill>
        </w:rPr>
      </w:pPr>
      <w:r>
        <w:rPr>
          <w:color w:val="000000" w:themeColor="text1"/>
          <w14:textFill>
            <w14:solidFill>
              <w14:schemeClr w14:val="tx1"/>
            </w14:solidFill>
          </w14:textFill>
        </w:rPr>
        <w:t>由涉及环保设施运营的生产操作人员组成，为一兼职组织。每个岗位班次上，至少应有1名人员参与环保工作。其任务除按岗位规范进行操作外，应将当班环保设备运营情况记录在案，及时向检查人员汇报情况。</w:t>
      </w:r>
    </w:p>
    <w:p w14:paraId="79749F2B">
      <w:pPr>
        <w:pStyle w:val="5"/>
        <w:rPr>
          <w:color w:val="000000" w:themeColor="text1"/>
          <w14:textFill>
            <w14:solidFill>
              <w14:schemeClr w14:val="tx1"/>
            </w14:solidFill>
          </w14:textFill>
        </w:rPr>
      </w:pPr>
      <w:r>
        <w:rPr>
          <w:color w:val="000000" w:themeColor="text1"/>
          <w14:textFill>
            <w14:solidFill>
              <w14:schemeClr w14:val="tx1"/>
            </w14:solidFill>
          </w14:textFill>
        </w:rPr>
        <w:t>监督巡查</w:t>
      </w:r>
    </w:p>
    <w:p w14:paraId="0A0B2A56">
      <w:pPr>
        <w:ind w:firstLine="520"/>
        <w:rPr>
          <w:color w:val="000000" w:themeColor="text1"/>
          <w14:textFill>
            <w14:solidFill>
              <w14:schemeClr w14:val="tx1"/>
            </w14:solidFill>
          </w14:textFill>
        </w:rPr>
      </w:pPr>
      <w:r>
        <w:rPr>
          <w:color w:val="000000" w:themeColor="text1"/>
          <w14:textFill>
            <w14:solidFill>
              <w14:schemeClr w14:val="tx1"/>
            </w14:solidFill>
          </w14:textFill>
        </w:rPr>
        <w:t>此部分为兼职组织，可由运营班次负责人、生产调度人员组成，每个班次设1～2人。其主要职责是监督检查各运营岗位工况，汇总生产中存在的各种环保问题，通知维修部门进行检修，经常向公司主管领导反映情况，并提出技术改造的建议。</w:t>
      </w:r>
    </w:p>
    <w:p w14:paraId="6963E681">
      <w:pPr>
        <w:pStyle w:val="5"/>
        <w:rPr>
          <w:color w:val="000000" w:themeColor="text1"/>
          <w14:textFill>
            <w14:solidFill>
              <w14:schemeClr w14:val="tx1"/>
            </w14:solidFill>
          </w14:textFill>
        </w:rPr>
      </w:pPr>
      <w:r>
        <w:rPr>
          <w:color w:val="000000" w:themeColor="text1"/>
          <w14:textFill>
            <w14:solidFill>
              <w14:schemeClr w14:val="tx1"/>
            </w14:solidFill>
          </w14:textFill>
        </w:rPr>
        <w:t>工艺技术改造</w:t>
      </w:r>
    </w:p>
    <w:p w14:paraId="388EC4B8">
      <w:pPr>
        <w:ind w:firstLine="520"/>
        <w:rPr>
          <w:color w:val="000000" w:themeColor="text1"/>
          <w14:textFill>
            <w14:solidFill>
              <w14:schemeClr w14:val="tx1"/>
            </w14:solidFill>
          </w14:textFill>
        </w:rPr>
      </w:pPr>
      <w:r>
        <w:rPr>
          <w:color w:val="000000" w:themeColor="text1"/>
          <w14:textFill>
            <w14:solidFill>
              <w14:schemeClr w14:val="tx1"/>
            </w14:solidFill>
          </w14:textFill>
        </w:rPr>
        <w:t>由生产技术部门和设备管理部门兼职。其职责是在公司负责人部署下，根据各部门反映情况，对环保措施和设备进行拟建措施研究、审定和改造工作。其中包括废气治理技术改进、废水处理工艺改进等。</w:t>
      </w:r>
    </w:p>
    <w:p w14:paraId="581DA939">
      <w:pPr>
        <w:pStyle w:val="4"/>
        <w:rPr>
          <w:color w:val="000000" w:themeColor="text1"/>
          <w14:textFill>
            <w14:solidFill>
              <w14:schemeClr w14:val="tx1"/>
            </w14:solidFill>
          </w14:textFill>
        </w:rPr>
      </w:pPr>
      <w:bookmarkStart w:id="395" w:name="_Toc28683"/>
      <w:bookmarkStart w:id="396" w:name="_Toc46325167"/>
      <w:bookmarkStart w:id="397" w:name="_Toc21308"/>
      <w:bookmarkStart w:id="398" w:name="_Toc46946037"/>
      <w:bookmarkStart w:id="399" w:name="_Toc36156470"/>
      <w:r>
        <w:rPr>
          <w:color w:val="000000" w:themeColor="text1"/>
          <w14:textFill>
            <w14:solidFill>
              <w14:schemeClr w14:val="tx1"/>
            </w14:solidFill>
          </w14:textFill>
        </w:rPr>
        <w:t>排污口设置与规范化管理</w:t>
      </w:r>
      <w:bookmarkEnd w:id="395"/>
      <w:bookmarkEnd w:id="396"/>
      <w:bookmarkEnd w:id="397"/>
      <w:bookmarkEnd w:id="398"/>
      <w:bookmarkEnd w:id="399"/>
    </w:p>
    <w:p w14:paraId="04F1DC82">
      <w:pPr>
        <w:ind w:firstLine="520"/>
        <w:rPr>
          <w:color w:val="000000" w:themeColor="text1"/>
          <w14:textFill>
            <w14:solidFill>
              <w14:schemeClr w14:val="tx1"/>
            </w14:solidFill>
          </w14:textFill>
        </w:rPr>
      </w:pPr>
      <w:r>
        <w:rPr>
          <w:color w:val="000000" w:themeColor="text1"/>
          <w14:textFill>
            <w14:solidFill>
              <w14:schemeClr w14:val="tx1"/>
            </w14:solidFill>
          </w14:textFill>
        </w:rPr>
        <w:t>根据原国家</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总局《关于开展排放口规范化整治工作的通知》（环发[1999]24号）、重庆市</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局《重庆市排放污染物许可证管理办法》（渝环发[2001]559号）中《排污口规范化整治方案》要求以及重庆市规整排污口（源）技术要求，现就项目污水排放口提出如下方案：</w:t>
      </w:r>
    </w:p>
    <w:p w14:paraId="4DA510D0">
      <w:pPr>
        <w:pStyle w:val="5"/>
        <w:rPr>
          <w:color w:val="000000" w:themeColor="text1"/>
          <w14:textFill>
            <w14:solidFill>
              <w14:schemeClr w14:val="tx1"/>
            </w14:solidFill>
          </w14:textFill>
        </w:rPr>
      </w:pPr>
      <w:r>
        <w:rPr>
          <w:color w:val="000000" w:themeColor="text1"/>
          <w14:textFill>
            <w14:solidFill>
              <w14:schemeClr w14:val="tx1"/>
            </w14:solidFill>
          </w14:textFill>
        </w:rPr>
        <w:t>废水</w:t>
      </w:r>
    </w:p>
    <w:p w14:paraId="5082CE2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根据重庆市排污口规范化清理整治的相关要求，排污口必须具备采样和流量测定条件。</w:t>
      </w:r>
    </w:p>
    <w:p w14:paraId="452ACEA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排污口可以矩形、圆管形或梯形，使其水深不低于0.1m，流速不小于0.05m/s。</w:t>
      </w:r>
    </w:p>
    <w:p w14:paraId="1646065A">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设置规范的、便于测量流量、流速的测流段。测流段直线长度应是其水面宽度6倍以下，最小1.5倍以上。</w:t>
      </w:r>
    </w:p>
    <w:p w14:paraId="176E7AF2">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所有排污口必须按照国家颁布有关污染物强制性排放标准的要求，在厂区排放口设置排放口标识牌，设置环境保护图形标志。</w:t>
      </w:r>
    </w:p>
    <w:p w14:paraId="046F5E00">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排污口的布设应符合HJ/T91、HJ/T92、《重庆市排污口设置管理办法》以及重庆市人民政府环境保护行政主管部门的有关规定。</w:t>
      </w:r>
    </w:p>
    <w:p w14:paraId="3F75CF70">
      <w:pPr>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fldChar w:fldCharType="end"/>
      </w:r>
      <w:r>
        <w:rPr>
          <w:color w:val="000000" w:themeColor="text1"/>
          <w14:textFill>
            <w14:solidFill>
              <w14:schemeClr w14:val="tx1"/>
            </w14:solidFill>
          </w14:textFill>
        </w:rPr>
        <w:t>禁止将废水排入地下水系，将未达标废水稀释排放。</w:t>
      </w:r>
    </w:p>
    <w:p w14:paraId="25A3C053">
      <w:pPr>
        <w:pStyle w:val="5"/>
        <w:rPr>
          <w:color w:val="000000" w:themeColor="text1"/>
          <w14:textFill>
            <w14:solidFill>
              <w14:schemeClr w14:val="tx1"/>
            </w14:solidFill>
          </w14:textFill>
        </w:rPr>
      </w:pPr>
      <w:r>
        <w:rPr>
          <w:color w:val="000000" w:themeColor="text1"/>
          <w14:textFill>
            <w14:solidFill>
              <w14:schemeClr w14:val="tx1"/>
            </w14:solidFill>
          </w14:textFill>
        </w:rPr>
        <w:t>废气</w:t>
      </w:r>
    </w:p>
    <w:p w14:paraId="1615F251">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有组织排放的废气。扩建项目对含尘废气、酸碱废气、有机废气排气筒进行编号并设置标志。</w:t>
      </w:r>
    </w:p>
    <w:p w14:paraId="62FDCFCF">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排气筒应设置便于人工采样、监测的采样口，采样口的设置应符合《污染源监测技术规范》要求。根据《固定污染源排气中颗粒物测定与气态污染源采样方法》（GB/T16157-1996），废气排污口采样孔设置的位置应该是“距弯头、阀门、变径下游方向不小于6倍直径，上游方向不小于3倍直径”。如果是矩形烟道的，其当量直径D=2AB/（A+B），式中A、B为边长。采样口位置无法满足规范要求的，其位置由当地环境监测部门确认。</w:t>
      </w:r>
    </w:p>
    <w:p w14:paraId="3E1A35DB">
      <w:pPr>
        <w:ind w:firstLine="52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设置无组织废气排放监测点，监测位置在厂界。</w:t>
      </w:r>
    </w:p>
    <w:p w14:paraId="0E90DD7D">
      <w:pPr>
        <w:pStyle w:val="5"/>
        <w:rPr>
          <w:color w:val="000000" w:themeColor="text1"/>
          <w14:textFill>
            <w14:solidFill>
              <w14:schemeClr w14:val="tx1"/>
            </w14:solidFill>
          </w14:textFill>
        </w:rPr>
      </w:pPr>
      <w:r>
        <w:rPr>
          <w:color w:val="000000" w:themeColor="text1"/>
          <w14:textFill>
            <w14:solidFill>
              <w14:schemeClr w14:val="tx1"/>
            </w14:solidFill>
          </w14:textFill>
        </w:rPr>
        <w:t>固体废物</w:t>
      </w:r>
    </w:p>
    <w:p w14:paraId="668DD076">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一般固体废物设置专用贮存、堆放场地。堆放场应设立标志牌，标志牌立于边界线上。</w:t>
      </w:r>
    </w:p>
    <w:p w14:paraId="698326B7">
      <w:pPr>
        <w:ind w:firstLine="52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各类原料仓库、危险废物应设置专门堆放场地，并必须有防扬散、防流失、防渗漏等防护措施。</w:t>
      </w:r>
    </w:p>
    <w:p w14:paraId="6771313D">
      <w:pPr>
        <w:pStyle w:val="5"/>
        <w:rPr>
          <w:color w:val="000000" w:themeColor="text1"/>
          <w14:textFill>
            <w14:solidFill>
              <w14:schemeClr w14:val="tx1"/>
            </w14:solidFill>
          </w14:textFill>
        </w:rPr>
      </w:pPr>
      <w:r>
        <w:rPr>
          <w:color w:val="000000" w:themeColor="text1"/>
          <w14:textFill>
            <w14:solidFill>
              <w14:schemeClr w14:val="tx1"/>
            </w14:solidFill>
          </w14:textFill>
        </w:rPr>
        <w:t>噪声</w:t>
      </w:r>
    </w:p>
    <w:p w14:paraId="7C7AED8A">
      <w:pPr>
        <w:ind w:firstLine="520"/>
        <w:rPr>
          <w:color w:val="000000" w:themeColor="text1"/>
          <w14:textFill>
            <w14:solidFill>
              <w14:schemeClr w14:val="tx1"/>
            </w14:solidFill>
          </w14:textFill>
        </w:rPr>
      </w:pPr>
      <w:r>
        <w:rPr>
          <w:color w:val="000000" w:themeColor="text1"/>
          <w14:textFill>
            <w14:solidFill>
              <w14:schemeClr w14:val="tx1"/>
            </w14:solidFill>
          </w14:textFill>
        </w:rPr>
        <w:t>工业企业厂界噪声测点应在厂界外1m、高度1.2m以上处。</w:t>
      </w:r>
    </w:p>
    <w:p w14:paraId="12F7B50E">
      <w:pPr>
        <w:pStyle w:val="5"/>
        <w:rPr>
          <w:bCs/>
          <w:color w:val="000000" w:themeColor="text1"/>
          <w14:textFill>
            <w14:solidFill>
              <w14:schemeClr w14:val="tx1"/>
            </w14:solidFill>
          </w14:textFill>
        </w:rPr>
      </w:pPr>
      <w:r>
        <w:rPr>
          <w:color w:val="000000" w:themeColor="text1"/>
          <w14:textFill>
            <w14:solidFill>
              <w14:schemeClr w14:val="tx1"/>
            </w14:solidFill>
          </w14:textFill>
        </w:rPr>
        <w:t>设置标志牌要求</w:t>
      </w:r>
    </w:p>
    <w:p w14:paraId="43E99F8B">
      <w:pPr>
        <w:ind w:firstLine="520"/>
        <w:rPr>
          <w:color w:val="000000" w:themeColor="text1"/>
          <w14:textFill>
            <w14:solidFill>
              <w14:schemeClr w14:val="tx1"/>
            </w14:solidFill>
          </w14:textFill>
        </w:rPr>
      </w:pPr>
      <w:r>
        <w:rPr>
          <w:color w:val="000000" w:themeColor="text1"/>
          <w14:textFill>
            <w14:solidFill>
              <w14:schemeClr w14:val="tx1"/>
            </w14:solidFill>
          </w14:textFill>
        </w:rPr>
        <w:t>一般污染物排放口设置提示标志牌，排放有毒有害等污染物的排放口设置警告式标志牌。</w:t>
      </w:r>
    </w:p>
    <w:p w14:paraId="749A7FF1">
      <w:pPr>
        <w:ind w:firstLine="520"/>
        <w:rPr>
          <w:color w:val="000000" w:themeColor="text1"/>
          <w14:textFill>
            <w14:solidFill>
              <w14:schemeClr w14:val="tx1"/>
            </w14:solidFill>
          </w14:textFill>
        </w:rPr>
      </w:pPr>
      <w:r>
        <w:rPr>
          <w:color w:val="000000" w:themeColor="text1"/>
          <w14:textFill>
            <w14:solidFill>
              <w14:schemeClr w14:val="tx1"/>
            </w14:solidFill>
          </w14:textFill>
        </w:rPr>
        <w:t>标志牌应设置在排污口（采样点）附近且醒目处，高度为标志牌上缘离地面2m，排污口附近1m范围内有建筑物的，设平面式标志牌，无建筑物的设立式标志牌。排污口的有关设置（如方形标志牌、计量装置、监控装置等）属环保设施，排污单位必须负责日常的维护保养，任何单位和个人不得擅自拆除，如需要变更须报当地环境监理部门同意并办理变更手续。</w:t>
      </w:r>
    </w:p>
    <w:p w14:paraId="662B48B2">
      <w:pPr>
        <w:pStyle w:val="4"/>
        <w:rPr>
          <w:color w:val="000000" w:themeColor="text1"/>
          <w14:textFill>
            <w14:solidFill>
              <w14:schemeClr w14:val="tx1"/>
            </w14:solidFill>
          </w14:textFill>
        </w:rPr>
      </w:pPr>
      <w:bookmarkStart w:id="400" w:name="_Toc46325168"/>
      <w:bookmarkStart w:id="401" w:name="_Toc46946038"/>
      <w:bookmarkStart w:id="402" w:name="_Toc36156472"/>
      <w:bookmarkStart w:id="403" w:name="_Toc19536"/>
      <w:bookmarkStart w:id="404" w:name="_Toc17173"/>
      <w:r>
        <w:rPr>
          <w:color w:val="000000" w:themeColor="text1"/>
          <w14:textFill>
            <w14:solidFill>
              <w14:schemeClr w14:val="tx1"/>
            </w14:solidFill>
          </w14:textFill>
        </w:rPr>
        <w:t>环境监测</w:t>
      </w:r>
      <w:bookmarkEnd w:id="400"/>
      <w:bookmarkEnd w:id="401"/>
      <w:bookmarkEnd w:id="402"/>
      <w:r>
        <w:rPr>
          <w:color w:val="000000" w:themeColor="text1"/>
          <w14:textFill>
            <w14:solidFill>
              <w14:schemeClr w14:val="tx1"/>
            </w14:solidFill>
          </w14:textFill>
        </w:rPr>
        <w:t>计划</w:t>
      </w:r>
      <w:bookmarkEnd w:id="403"/>
      <w:bookmarkEnd w:id="404"/>
    </w:p>
    <w:p w14:paraId="2590B027">
      <w:pPr>
        <w:ind w:firstLine="520"/>
        <w:rPr>
          <w:color w:val="000000" w:themeColor="text1"/>
          <w14:textFill>
            <w14:solidFill>
              <w14:schemeClr w14:val="tx1"/>
            </w14:solidFill>
          </w14:textFill>
        </w:rPr>
      </w:pPr>
      <w:r>
        <w:rPr>
          <w:color w:val="000000" w:themeColor="text1"/>
          <w14:textFill>
            <w14:solidFill>
              <w14:schemeClr w14:val="tx1"/>
            </w14:solidFill>
          </w14:textFill>
        </w:rPr>
        <w:t>根据扩建项目工程行业特点、产排污情况及周围环境状况，结合</w:t>
      </w:r>
      <w:r>
        <w:rPr>
          <w:rFonts w:hint="eastAsia"/>
          <w:color w:val="000000" w:themeColor="text1"/>
          <w14:textFill>
            <w14:solidFill>
              <w14:schemeClr w14:val="tx1"/>
            </w14:solidFill>
          </w14:textFill>
        </w:rPr>
        <w:t>《固定污染源排污许可分类管理名录》（2019年版）、</w:t>
      </w:r>
      <w:r>
        <w:rPr>
          <w:color w:val="000000" w:themeColor="text1"/>
          <w14:textFill>
            <w14:solidFill>
              <w14:schemeClr w14:val="tx1"/>
            </w14:solidFill>
          </w14:textFill>
        </w:rPr>
        <w:t>《排污单位自行监测技术指南总则》（HJ819-2017）、《排污单位自行监测技术指南</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电子工业》（HJ1253-2018）</w:t>
      </w:r>
      <w:r>
        <w:rPr>
          <w:rFonts w:hint="eastAsia"/>
          <w:color w:val="000000" w:themeColor="text1"/>
          <w14:textFill>
            <w14:solidFill>
              <w14:schemeClr w14:val="tx1"/>
            </w14:solidFill>
          </w14:textFill>
        </w:rPr>
        <w:t>及《排污许可证申请与核发技术规范 电子工业》（HJ 1031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臻宝半导体公司目前排污许可类别为重点管理，项目产品涉及石墨制品排污许可类别为重点管理，本次扩建完成后臻宝半导体公司的排污许可类别为重点管理，</w:t>
      </w:r>
      <w:r>
        <w:rPr>
          <w:color w:val="000000" w:themeColor="text1"/>
          <w14:textFill>
            <w14:solidFill>
              <w14:schemeClr w14:val="tx1"/>
            </w14:solidFill>
          </w14:textFill>
        </w:rPr>
        <w:t>确定环境监测计划。</w:t>
      </w:r>
    </w:p>
    <w:p w14:paraId="3AC299B1">
      <w:pPr>
        <w:ind w:firstLine="520"/>
        <w:rPr>
          <w:color w:val="000000" w:themeColor="text1"/>
          <w14:textFill>
            <w14:solidFill>
              <w14:schemeClr w14:val="tx1"/>
            </w14:solidFill>
          </w14:textFill>
        </w:rPr>
      </w:pPr>
      <w:r>
        <w:rPr>
          <w:color w:val="000000" w:themeColor="text1"/>
          <w14:textFill>
            <w14:solidFill>
              <w14:schemeClr w14:val="tx1"/>
            </w14:solidFill>
          </w14:textFill>
        </w:rPr>
        <w:t>项目运营期的自行环境监测包括环境质量监测、污染源监测，可以委托有资质的监测单位承担，应定期定点监测，编制监测报告，以备生态环境主管部门监督。若在监测中发现问题应及时报告，以便及时有效的采取措施。</w:t>
      </w:r>
    </w:p>
    <w:p w14:paraId="568EE6C1">
      <w:pPr>
        <w:ind w:firstLine="520"/>
        <w:rPr>
          <w:color w:val="000000" w:themeColor="text1"/>
          <w14:textFill>
            <w14:solidFill>
              <w14:schemeClr w14:val="tx1"/>
            </w14:solidFill>
          </w14:textFill>
        </w:rPr>
      </w:pPr>
      <w:r>
        <w:rPr>
          <w:color w:val="000000" w:themeColor="text1"/>
          <w14:textFill>
            <w14:solidFill>
              <w14:schemeClr w14:val="tx1"/>
            </w14:solidFill>
          </w14:textFill>
        </w:rPr>
        <w:t>根据自行监测要求的一般原则，新建排污单位应当在投入生产或使用并产生实际排污行为之前完成自行监测方案的编制及相关准备工作。《排污单位自行监测技术指南</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电子工业》（HJ1253-2018）</w:t>
      </w:r>
      <w:r>
        <w:rPr>
          <w:rFonts w:hint="eastAsia"/>
          <w:color w:val="000000" w:themeColor="text1"/>
          <w14:textFill>
            <w14:solidFill>
              <w14:schemeClr w14:val="tx1"/>
            </w14:solidFill>
          </w14:textFill>
        </w:rPr>
        <w:t>及《排污许可证申请与核发技术规范 电子工业》（HJ 1031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2019）</w:t>
      </w:r>
      <w:r>
        <w:rPr>
          <w:color w:val="000000" w:themeColor="text1"/>
          <w14:textFill>
            <w14:solidFill>
              <w14:schemeClr w14:val="tx1"/>
            </w14:solidFill>
          </w14:textFill>
        </w:rPr>
        <w:t>未规定的其他监测因子指标按照《排污单位自行监测技术指南总则》（HJ819-2017）等规范执行，应开展自行监测的污染源包括产生有组织废气、无组织废气、生产废水等主要污染源。自行监测点位、指标、频次具体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_Ref160559031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表10.3</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租赁臻宝科技公司建设部分环保责任主体为臻宝科技公司，依托的综合废水处理站废水排放口等纳入臻宝科技公司自行监测计划。</w:t>
      </w:r>
    </w:p>
    <w:p w14:paraId="43375095">
      <w:pPr>
        <w:spacing w:before="24"/>
        <w:ind w:firstLine="0" w:firstLineChars="0"/>
        <w:jc w:val="center"/>
        <w:rPr>
          <w:color w:val="000000" w:themeColor="text1"/>
          <w14:textFill>
            <w14:solidFill>
              <w14:schemeClr w14:val="tx1"/>
            </w14:solidFill>
          </w14:textFill>
        </w:rPr>
      </w:pPr>
      <w:bookmarkStart w:id="405" w:name="_Ref160559031"/>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10.3</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405"/>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企业自行监测项目及监测频率一览表</w:t>
      </w:r>
    </w:p>
    <w:tbl>
      <w:tblPr>
        <w:tblStyle w:val="88"/>
        <w:tblpPr w:leftFromText="180" w:rightFromText="180" w:vertAnchor="text" w:tblpXSpec="center" w:tblpY="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041"/>
        <w:gridCol w:w="2242"/>
        <w:gridCol w:w="3165"/>
        <w:gridCol w:w="1711"/>
      </w:tblGrid>
      <w:tr w14:paraId="09D7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3C1B2F22">
            <w:pPr>
              <w:pStyle w:val="1535"/>
            </w:pPr>
            <w:r>
              <w:t>监测项目</w:t>
            </w:r>
          </w:p>
        </w:tc>
        <w:tc>
          <w:tcPr>
            <w:tcW w:w="578" w:type="pct"/>
            <w:vAlign w:val="center"/>
          </w:tcPr>
          <w:p w14:paraId="79EBFE5E">
            <w:pPr>
              <w:pStyle w:val="1535"/>
            </w:pPr>
            <w:r>
              <w:t>污染源</w:t>
            </w:r>
          </w:p>
        </w:tc>
        <w:tc>
          <w:tcPr>
            <w:tcW w:w="1245" w:type="pct"/>
            <w:vAlign w:val="center"/>
          </w:tcPr>
          <w:p w14:paraId="6D8A663D">
            <w:pPr>
              <w:pStyle w:val="1535"/>
            </w:pPr>
            <w:r>
              <w:t>监测位置</w:t>
            </w:r>
          </w:p>
        </w:tc>
        <w:tc>
          <w:tcPr>
            <w:tcW w:w="1758" w:type="pct"/>
            <w:vAlign w:val="center"/>
          </w:tcPr>
          <w:p w14:paraId="7181295E">
            <w:pPr>
              <w:pStyle w:val="1535"/>
            </w:pPr>
            <w:r>
              <w:t>监测因子</w:t>
            </w:r>
          </w:p>
        </w:tc>
        <w:tc>
          <w:tcPr>
            <w:tcW w:w="950" w:type="pct"/>
            <w:vAlign w:val="center"/>
          </w:tcPr>
          <w:p w14:paraId="031CFB0E">
            <w:pPr>
              <w:pStyle w:val="1535"/>
            </w:pPr>
            <w:r>
              <w:t>监测频率</w:t>
            </w:r>
          </w:p>
        </w:tc>
      </w:tr>
      <w:tr w14:paraId="1389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restart"/>
            <w:vAlign w:val="center"/>
          </w:tcPr>
          <w:p w14:paraId="3E3690D9">
            <w:pPr>
              <w:pStyle w:val="1535"/>
            </w:pPr>
            <w:r>
              <w:t>废气</w:t>
            </w:r>
          </w:p>
        </w:tc>
        <w:tc>
          <w:tcPr>
            <w:tcW w:w="578" w:type="pct"/>
            <w:vMerge w:val="restart"/>
            <w:vAlign w:val="center"/>
          </w:tcPr>
          <w:p w14:paraId="4E5FB46E">
            <w:pPr>
              <w:pStyle w:val="1535"/>
            </w:pPr>
            <w:r>
              <w:t>有组织排放</w:t>
            </w:r>
          </w:p>
        </w:tc>
        <w:tc>
          <w:tcPr>
            <w:tcW w:w="1245" w:type="pct"/>
            <w:vAlign w:val="center"/>
          </w:tcPr>
          <w:p w14:paraId="4899C830">
            <w:pPr>
              <w:pStyle w:val="1535"/>
            </w:pPr>
            <w:r>
              <w:t>DA00</w:t>
            </w:r>
            <w:r>
              <w:rPr>
                <w:rFonts w:hint="eastAsia"/>
              </w:rPr>
              <w:t>4</w:t>
            </w:r>
            <w:r>
              <w:t>排气筒出口</w:t>
            </w:r>
          </w:p>
        </w:tc>
        <w:tc>
          <w:tcPr>
            <w:tcW w:w="1758" w:type="pct"/>
            <w:vAlign w:val="center"/>
          </w:tcPr>
          <w:p w14:paraId="4EA1A650">
            <w:pPr>
              <w:pStyle w:val="1535"/>
            </w:pPr>
            <w:r>
              <w:t>风量、氯化氢</w:t>
            </w:r>
            <w:r>
              <w:rPr>
                <w:rFonts w:hint="eastAsia"/>
              </w:rPr>
              <w:t>、碳黑尘、非甲烷总烃（未反应MTS，以非甲烷总烃计）</w:t>
            </w:r>
          </w:p>
        </w:tc>
        <w:tc>
          <w:tcPr>
            <w:tcW w:w="950" w:type="pct"/>
            <w:vMerge w:val="restart"/>
            <w:vAlign w:val="center"/>
          </w:tcPr>
          <w:p w14:paraId="2A7632D7">
            <w:pPr>
              <w:pStyle w:val="1535"/>
            </w:pPr>
            <w:r>
              <w:t>1次/年</w:t>
            </w:r>
            <w:r>
              <w:rPr>
                <w:rFonts w:hint="eastAsia"/>
              </w:rPr>
              <w:t>，验收监测1次</w:t>
            </w:r>
          </w:p>
        </w:tc>
      </w:tr>
      <w:tr w14:paraId="46E8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vAlign w:val="center"/>
          </w:tcPr>
          <w:p w14:paraId="105800E9">
            <w:pPr>
              <w:pStyle w:val="1535"/>
            </w:pPr>
          </w:p>
        </w:tc>
        <w:tc>
          <w:tcPr>
            <w:tcW w:w="578" w:type="pct"/>
            <w:vMerge w:val="continue"/>
            <w:vAlign w:val="center"/>
          </w:tcPr>
          <w:p w14:paraId="1B27B1D4">
            <w:pPr>
              <w:pStyle w:val="1535"/>
            </w:pPr>
          </w:p>
        </w:tc>
        <w:tc>
          <w:tcPr>
            <w:tcW w:w="1245" w:type="pct"/>
            <w:vAlign w:val="center"/>
          </w:tcPr>
          <w:p w14:paraId="5CDDDAEB">
            <w:pPr>
              <w:pStyle w:val="1535"/>
            </w:pPr>
            <w:r>
              <w:t>DA00</w:t>
            </w:r>
            <w:r>
              <w:rPr>
                <w:rFonts w:hint="eastAsia"/>
              </w:rPr>
              <w:t>5</w:t>
            </w:r>
            <w:r>
              <w:t>排气筒出口</w:t>
            </w:r>
          </w:p>
        </w:tc>
        <w:tc>
          <w:tcPr>
            <w:tcW w:w="1758" w:type="pct"/>
            <w:vAlign w:val="center"/>
          </w:tcPr>
          <w:p w14:paraId="46245F75">
            <w:pPr>
              <w:pStyle w:val="1535"/>
            </w:pPr>
            <w:r>
              <w:t>风量、</w:t>
            </w:r>
            <w:r>
              <w:rPr>
                <w:rFonts w:hint="eastAsia"/>
              </w:rPr>
              <w:t>氟化物</w:t>
            </w:r>
          </w:p>
        </w:tc>
        <w:tc>
          <w:tcPr>
            <w:tcW w:w="950" w:type="pct"/>
            <w:vMerge w:val="continue"/>
            <w:vAlign w:val="center"/>
          </w:tcPr>
          <w:p w14:paraId="7C6EEF88">
            <w:pPr>
              <w:pStyle w:val="1535"/>
            </w:pPr>
          </w:p>
        </w:tc>
      </w:tr>
      <w:tr w14:paraId="7CEF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vAlign w:val="center"/>
          </w:tcPr>
          <w:p w14:paraId="5248D83F">
            <w:pPr>
              <w:pStyle w:val="1535"/>
            </w:pPr>
          </w:p>
        </w:tc>
        <w:tc>
          <w:tcPr>
            <w:tcW w:w="578" w:type="pct"/>
            <w:vMerge w:val="continue"/>
            <w:vAlign w:val="center"/>
          </w:tcPr>
          <w:p w14:paraId="4F9CD1A3">
            <w:pPr>
              <w:pStyle w:val="1535"/>
            </w:pPr>
          </w:p>
        </w:tc>
        <w:tc>
          <w:tcPr>
            <w:tcW w:w="1245" w:type="pct"/>
            <w:vAlign w:val="center"/>
          </w:tcPr>
          <w:p w14:paraId="4E233181">
            <w:pPr>
              <w:pStyle w:val="1535"/>
            </w:pPr>
            <w:r>
              <w:t>DA0</w:t>
            </w:r>
            <w:r>
              <w:rPr>
                <w:rFonts w:hint="eastAsia"/>
              </w:rPr>
              <w:t>16</w:t>
            </w:r>
            <w:r>
              <w:t>排气筒出口</w:t>
            </w:r>
          </w:p>
        </w:tc>
        <w:tc>
          <w:tcPr>
            <w:tcW w:w="1758" w:type="pct"/>
            <w:vAlign w:val="center"/>
          </w:tcPr>
          <w:p w14:paraId="372F1328">
            <w:pPr>
              <w:pStyle w:val="1535"/>
            </w:pPr>
            <w:r>
              <w:t>风量、</w:t>
            </w:r>
            <w:r>
              <w:rPr>
                <w:rFonts w:hint="eastAsia"/>
              </w:rPr>
              <w:t>碳黑尘</w:t>
            </w:r>
          </w:p>
        </w:tc>
        <w:tc>
          <w:tcPr>
            <w:tcW w:w="950" w:type="pct"/>
            <w:vMerge w:val="continue"/>
            <w:vAlign w:val="center"/>
          </w:tcPr>
          <w:p w14:paraId="23FEB196">
            <w:pPr>
              <w:pStyle w:val="1535"/>
            </w:pPr>
          </w:p>
        </w:tc>
      </w:tr>
      <w:tr w14:paraId="64C0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vAlign w:val="center"/>
          </w:tcPr>
          <w:p w14:paraId="0C66D596">
            <w:pPr>
              <w:pStyle w:val="1535"/>
            </w:pPr>
          </w:p>
        </w:tc>
        <w:tc>
          <w:tcPr>
            <w:tcW w:w="578" w:type="pct"/>
            <w:vAlign w:val="center"/>
          </w:tcPr>
          <w:p w14:paraId="601C8B38">
            <w:pPr>
              <w:pStyle w:val="1535"/>
            </w:pPr>
            <w:r>
              <w:t>无组织排放</w:t>
            </w:r>
          </w:p>
        </w:tc>
        <w:tc>
          <w:tcPr>
            <w:tcW w:w="1245" w:type="pct"/>
            <w:vAlign w:val="center"/>
          </w:tcPr>
          <w:p w14:paraId="4215D83B">
            <w:pPr>
              <w:pStyle w:val="1535"/>
            </w:pPr>
            <w:r>
              <w:t>厂界</w:t>
            </w:r>
          </w:p>
        </w:tc>
        <w:tc>
          <w:tcPr>
            <w:tcW w:w="1758" w:type="pct"/>
            <w:vAlign w:val="center"/>
          </w:tcPr>
          <w:p w14:paraId="5B15370F">
            <w:pPr>
              <w:pStyle w:val="1535"/>
            </w:pPr>
            <w:r>
              <w:rPr>
                <w:rFonts w:hint="eastAsia"/>
              </w:rPr>
              <w:t>颗粒物、</w:t>
            </w:r>
            <w:r>
              <w:t>氯化氢、氟化物、非甲烷总烃、臭气浓度</w:t>
            </w:r>
          </w:p>
        </w:tc>
        <w:tc>
          <w:tcPr>
            <w:tcW w:w="950" w:type="pct"/>
            <w:vMerge w:val="continue"/>
            <w:vAlign w:val="center"/>
          </w:tcPr>
          <w:p w14:paraId="57EE1C4E">
            <w:pPr>
              <w:pStyle w:val="1535"/>
            </w:pPr>
          </w:p>
        </w:tc>
      </w:tr>
      <w:tr w14:paraId="6747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469" w:type="pct"/>
            <w:vAlign w:val="center"/>
          </w:tcPr>
          <w:p w14:paraId="51615F47">
            <w:pPr>
              <w:pStyle w:val="1535"/>
            </w:pPr>
            <w:r>
              <w:t>废水</w:t>
            </w:r>
          </w:p>
        </w:tc>
        <w:tc>
          <w:tcPr>
            <w:tcW w:w="578" w:type="pct"/>
            <w:vAlign w:val="center"/>
          </w:tcPr>
          <w:p w14:paraId="1F90F6BE">
            <w:pPr>
              <w:pStyle w:val="1535"/>
            </w:pPr>
            <w:r>
              <w:t>全厂废水</w:t>
            </w:r>
          </w:p>
        </w:tc>
        <w:tc>
          <w:tcPr>
            <w:tcW w:w="1245" w:type="pct"/>
            <w:vAlign w:val="center"/>
          </w:tcPr>
          <w:p w14:paraId="1756A999">
            <w:pPr>
              <w:pStyle w:val="1535"/>
            </w:pPr>
            <w:r>
              <w:t>厂区总排口</w:t>
            </w:r>
          </w:p>
        </w:tc>
        <w:tc>
          <w:tcPr>
            <w:tcW w:w="1758" w:type="pct"/>
            <w:vAlign w:val="center"/>
          </w:tcPr>
          <w:p w14:paraId="72B50C80">
            <w:pPr>
              <w:pStyle w:val="1535"/>
            </w:pPr>
            <w:r>
              <w:rPr>
                <w:rFonts w:hint="eastAsia"/>
              </w:rPr>
              <w:t>流量</w:t>
            </w:r>
            <w:r>
              <w:t>、COD</w:t>
            </w:r>
            <w:r>
              <w:rPr>
                <w:rFonts w:hint="eastAsia"/>
              </w:rPr>
              <w:t>、</w:t>
            </w:r>
            <w:r>
              <w:t>氨氮、氟化物、悬浮物、石油类</w:t>
            </w:r>
            <w:r>
              <w:rPr>
                <w:rFonts w:hint="eastAsia"/>
              </w:rPr>
              <w:t>、</w:t>
            </w:r>
            <w:r>
              <w:t>总铜、总锌、总氰化物、 总磷</w:t>
            </w:r>
          </w:p>
        </w:tc>
        <w:tc>
          <w:tcPr>
            <w:tcW w:w="950" w:type="pct"/>
            <w:vAlign w:val="center"/>
          </w:tcPr>
          <w:p w14:paraId="26AD7400">
            <w:pPr>
              <w:pStyle w:val="1535"/>
            </w:pPr>
            <w:r>
              <w:t>1次/</w:t>
            </w:r>
            <w:r>
              <w:rPr>
                <w:rFonts w:hint="eastAsia"/>
              </w:rPr>
              <w:t>年，验收监测1次</w:t>
            </w:r>
          </w:p>
        </w:tc>
      </w:tr>
      <w:tr w14:paraId="6A6C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4E720355">
            <w:pPr>
              <w:pStyle w:val="1535"/>
            </w:pPr>
            <w:r>
              <w:t>噪声</w:t>
            </w:r>
          </w:p>
        </w:tc>
        <w:tc>
          <w:tcPr>
            <w:tcW w:w="578" w:type="pct"/>
            <w:vAlign w:val="center"/>
          </w:tcPr>
          <w:p w14:paraId="06F6A3AE">
            <w:pPr>
              <w:pStyle w:val="1535"/>
            </w:pPr>
            <w:r>
              <w:t>厂界</w:t>
            </w:r>
          </w:p>
        </w:tc>
        <w:tc>
          <w:tcPr>
            <w:tcW w:w="1245" w:type="pct"/>
            <w:vAlign w:val="center"/>
          </w:tcPr>
          <w:p w14:paraId="3EF20ED8">
            <w:pPr>
              <w:pStyle w:val="1535"/>
            </w:pPr>
            <w:r>
              <w:t>四周厂界各设1个</w:t>
            </w:r>
          </w:p>
        </w:tc>
        <w:tc>
          <w:tcPr>
            <w:tcW w:w="1758" w:type="pct"/>
            <w:vAlign w:val="center"/>
          </w:tcPr>
          <w:p w14:paraId="67305CFE">
            <w:pPr>
              <w:pStyle w:val="1535"/>
            </w:pPr>
            <w:r>
              <w:t>等效连续A声级</w:t>
            </w:r>
          </w:p>
        </w:tc>
        <w:tc>
          <w:tcPr>
            <w:tcW w:w="950" w:type="pct"/>
            <w:vAlign w:val="center"/>
          </w:tcPr>
          <w:p w14:paraId="456C6506">
            <w:pPr>
              <w:pStyle w:val="1535"/>
            </w:pPr>
            <w:r>
              <w:t>1次/季度</w:t>
            </w:r>
          </w:p>
        </w:tc>
      </w:tr>
    </w:tbl>
    <w:p w14:paraId="5CD6E2E2">
      <w:pPr>
        <w:pStyle w:val="4"/>
        <w:rPr>
          <w:color w:val="000000" w:themeColor="text1"/>
          <w14:textFill>
            <w14:solidFill>
              <w14:schemeClr w14:val="tx1"/>
            </w14:solidFill>
          </w14:textFill>
        </w:rPr>
      </w:pPr>
      <w:bookmarkStart w:id="406" w:name="_Toc46325169"/>
      <w:bookmarkStart w:id="407" w:name="_Toc28178"/>
      <w:bookmarkStart w:id="408" w:name="_Toc46946039"/>
      <w:bookmarkStart w:id="409" w:name="_Toc13376"/>
      <w:bookmarkStart w:id="410" w:name="_Toc36156473"/>
      <w:r>
        <w:rPr>
          <w:color w:val="000000" w:themeColor="text1"/>
          <w14:textFill>
            <w14:solidFill>
              <w14:schemeClr w14:val="tx1"/>
            </w14:solidFill>
          </w14:textFill>
        </w:rPr>
        <w:t>竣工环保验收内容及要求</w:t>
      </w:r>
      <w:bookmarkEnd w:id="406"/>
      <w:bookmarkEnd w:id="407"/>
      <w:bookmarkEnd w:id="408"/>
      <w:bookmarkEnd w:id="409"/>
      <w:bookmarkEnd w:id="410"/>
    </w:p>
    <w:p w14:paraId="3ACAEA85">
      <w:pPr>
        <w:ind w:firstLine="520"/>
        <w:rPr>
          <w:color w:val="000000" w:themeColor="text1"/>
          <w14:textFill>
            <w14:solidFill>
              <w14:schemeClr w14:val="tx1"/>
            </w14:solidFill>
          </w14:textFill>
        </w:rPr>
      </w:pPr>
      <w:r>
        <w:rPr>
          <w:color w:val="000000" w:themeColor="text1"/>
          <w14:textFill>
            <w14:solidFill>
              <w14:schemeClr w14:val="tx1"/>
            </w14:solidFill>
          </w14:textFill>
        </w:rPr>
        <w:t>（1）建设单位应严格按照“三同时”制度进行环境管理，工程所有环保设施均应与主体工程同时设计、同时施工、同时投产。项目竣工后，建设单位应按照《建设项目环境保护管理条例》（国务院令第682号）相关要求，开展配套建设的环境保护设施验收，竣工环境保护验收通过后方可正式投运。</w:t>
      </w:r>
    </w:p>
    <w:p w14:paraId="1593B1CF">
      <w:pPr>
        <w:ind w:firstLine="520"/>
        <w:rPr>
          <w:color w:val="000000" w:themeColor="text1"/>
          <w14:textFill>
            <w14:solidFill>
              <w14:schemeClr w14:val="tx1"/>
            </w14:solidFill>
          </w14:textFill>
        </w:rPr>
      </w:pPr>
      <w:r>
        <w:rPr>
          <w:color w:val="000000" w:themeColor="text1"/>
          <w14:textFill>
            <w14:solidFill>
              <w14:schemeClr w14:val="tx1"/>
            </w14:solidFill>
          </w14:textFill>
        </w:rPr>
        <w:t>（2）关于验收公示的相关要求。按照《建设项目竣工环境保护验收暂行办法》（国环规环评[2017]4号），除按照国家需要保密的情形外，建设单位应当通过其网站或其他便于公众知晓的方式，向社会公开下列信息：（一）建设项目配套建设的环境保护设施竣工后，公开竣工日期；（二）对建设项目配套建设的环境保护设施进行调试前，公开调试的起止日期；（三）验收报告编制完成后5个工作日内，公开验收报告，公示的期限不得少于20个工作日。</w:t>
      </w:r>
    </w:p>
    <w:p w14:paraId="5E18FC3C">
      <w:pPr>
        <w:ind w:firstLine="520"/>
        <w:rPr>
          <w:color w:val="000000" w:themeColor="text1"/>
          <w14:textFill>
            <w14:solidFill>
              <w14:schemeClr w14:val="tx1"/>
            </w14:solidFill>
          </w14:textFill>
        </w:rPr>
      </w:pPr>
      <w:r>
        <w:rPr>
          <w:color w:val="000000" w:themeColor="text1"/>
          <w14:textFill>
            <w14:solidFill>
              <w14:schemeClr w14:val="tx1"/>
            </w14:solidFill>
          </w14:textFill>
        </w:rPr>
        <w:t>（3）关于合规办理排污许可手续的要求。结合《排污许可证申请与核发技术规范</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电子工业》（HJ1031-2019），企业固定污染源排污许可类型为简化管理。建设单位取得排污许可手续后，方可实际排污和开展竣工验收监测。</w:t>
      </w:r>
    </w:p>
    <w:p w14:paraId="7F915FD0">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扩建项目竣工环境保护验收内容及要求见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_Ref160559094 \h </w:instrText>
      </w:r>
      <w:r>
        <w:rPr>
          <w:color w:val="000000" w:themeColor="text1"/>
          <w14:textFill>
            <w14:solidFill>
              <w14:schemeClr w14:val="tx1"/>
            </w14:solidFill>
          </w14:textFill>
        </w:rPr>
        <w:fldChar w:fldCharType="separate"/>
      </w:r>
      <w:r>
        <w:rPr>
          <w:color w:val="000000" w:themeColor="text1"/>
          <w:szCs w:val="26"/>
          <w14:textFill>
            <w14:solidFill>
              <w14:schemeClr w14:val="tx1"/>
            </w14:solidFill>
          </w14:textFill>
        </w:rPr>
        <w:t>表10.4</w:t>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租赁臻宝科技公司建设部分排放废水依托臻宝科技公司综合废水处理站处理，其废水排放口竣工验收监测一次，自行监测纳入臻宝科技公司自行监测计划。</w:t>
      </w:r>
    </w:p>
    <w:p w14:paraId="07159C7C">
      <w:pPr>
        <w:spacing w:before="360" w:beforeLines="150"/>
        <w:ind w:firstLine="520"/>
        <w:rPr>
          <w:color w:val="000000" w:themeColor="text1"/>
          <w14:textFill>
            <w14:solidFill>
              <w14:schemeClr w14:val="tx1"/>
            </w14:solidFill>
          </w14:textFill>
        </w:rPr>
        <w:sectPr>
          <w:pgSz w:w="11906" w:h="16838"/>
          <w:pgMar w:top="1701" w:right="1418" w:bottom="1134" w:left="1701" w:header="851" w:footer="964" w:gutter="0"/>
          <w:cols w:space="720" w:num="1"/>
          <w:docGrid w:linePitch="312" w:charSpace="0"/>
        </w:sectPr>
      </w:pPr>
    </w:p>
    <w:p w14:paraId="63210681">
      <w:pPr>
        <w:ind w:firstLine="0" w:firstLineChars="0"/>
        <w:jc w:val="center"/>
        <w:rPr>
          <w:color w:val="000000" w:themeColor="text1"/>
          <w14:textFill>
            <w14:solidFill>
              <w14:schemeClr w14:val="tx1"/>
            </w14:solidFill>
          </w14:textFill>
        </w:rPr>
      </w:pPr>
      <w:bookmarkStart w:id="411" w:name="_Ref160559094"/>
      <w:r>
        <w:rPr>
          <w:color w:val="000000" w:themeColor="text1"/>
          <w:szCs w:val="26"/>
          <w14:textFill>
            <w14:solidFill>
              <w14:schemeClr w14:val="tx1"/>
            </w14:solidFill>
          </w14:textFill>
        </w:rPr>
        <w:t>表</w:t>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STYLEREF 2 \s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10.4</w:t>
      </w:r>
      <w:r>
        <w:rPr>
          <w:color w:val="000000" w:themeColor="text1"/>
          <w:szCs w:val="26"/>
          <w14:textFill>
            <w14:solidFill>
              <w14:schemeClr w14:val="tx1"/>
            </w14:solidFill>
          </w14:textFill>
        </w:rPr>
        <w:fldChar w:fldCharType="end"/>
      </w:r>
      <w:r>
        <w:rPr>
          <w:color w:val="000000" w:themeColor="text1"/>
          <w:szCs w:val="26"/>
          <w14:textFill>
            <w14:solidFill>
              <w14:schemeClr w14:val="tx1"/>
            </w14:solidFill>
          </w14:textFill>
        </w:rPr>
        <w:noBreakHyphen/>
      </w:r>
      <w:r>
        <w:rPr>
          <w:color w:val="000000" w:themeColor="text1"/>
          <w:szCs w:val="26"/>
          <w14:textFill>
            <w14:solidFill>
              <w14:schemeClr w14:val="tx1"/>
            </w14:solidFill>
          </w14:textFill>
        </w:rPr>
        <w:fldChar w:fldCharType="begin"/>
      </w:r>
      <w:r>
        <w:rPr>
          <w:color w:val="000000" w:themeColor="text1"/>
          <w:szCs w:val="26"/>
          <w14:textFill>
            <w14:solidFill>
              <w14:schemeClr w14:val="tx1"/>
            </w14:solidFill>
          </w14:textFill>
        </w:rPr>
        <w:instrText xml:space="preserve"> SEQ 表格 \* ARABIC \s 2 </w:instrText>
      </w:r>
      <w:r>
        <w:rPr>
          <w:color w:val="000000" w:themeColor="text1"/>
          <w:szCs w:val="26"/>
          <w14:textFill>
            <w14:solidFill>
              <w14:schemeClr w14:val="tx1"/>
            </w14:solidFill>
          </w14:textFill>
        </w:rPr>
        <w:fldChar w:fldCharType="separate"/>
      </w:r>
      <w:r>
        <w:rPr>
          <w:color w:val="000000" w:themeColor="text1"/>
          <w:szCs w:val="26"/>
          <w14:textFill>
            <w14:solidFill>
              <w14:schemeClr w14:val="tx1"/>
            </w14:solidFill>
          </w14:textFill>
        </w:rPr>
        <w:t>1</w:t>
      </w:r>
      <w:r>
        <w:rPr>
          <w:color w:val="000000" w:themeColor="text1"/>
          <w:szCs w:val="26"/>
          <w14:textFill>
            <w14:solidFill>
              <w14:schemeClr w14:val="tx1"/>
            </w14:solidFill>
          </w14:textFill>
        </w:rPr>
        <w:fldChar w:fldCharType="end"/>
      </w:r>
      <w:bookmarkEnd w:id="411"/>
      <w:r>
        <w:rPr>
          <w:color w:val="000000" w:themeColor="text1"/>
          <w:szCs w:val="26"/>
          <w14:textFill>
            <w14:solidFill>
              <w14:schemeClr w14:val="tx1"/>
            </w14:solidFill>
          </w14:textFill>
        </w:rPr>
        <w:t xml:space="preserve">   </w:t>
      </w:r>
      <w:r>
        <w:rPr>
          <w:color w:val="000000" w:themeColor="text1"/>
          <w14:textFill>
            <w14:solidFill>
              <w14:schemeClr w14:val="tx1"/>
            </w14:solidFill>
          </w14:textFill>
        </w:rPr>
        <w:t>扩建项目环保设施验收内容一览表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7"/>
        <w:gridCol w:w="3051"/>
        <w:gridCol w:w="4176"/>
        <w:gridCol w:w="4805"/>
      </w:tblGrid>
      <w:tr w14:paraId="6F63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46" w:type="dxa"/>
            <w:vAlign w:val="center"/>
          </w:tcPr>
          <w:p w14:paraId="05036B51">
            <w:pPr>
              <w:pStyle w:val="1535"/>
            </w:pPr>
            <w:r>
              <w:t>名称</w:t>
            </w:r>
          </w:p>
        </w:tc>
        <w:tc>
          <w:tcPr>
            <w:tcW w:w="1884" w:type="dxa"/>
            <w:vAlign w:val="center"/>
          </w:tcPr>
          <w:p w14:paraId="6F38BDD7">
            <w:pPr>
              <w:pStyle w:val="1535"/>
            </w:pPr>
            <w:r>
              <w:t>控制因子</w:t>
            </w:r>
          </w:p>
        </w:tc>
        <w:tc>
          <w:tcPr>
            <w:tcW w:w="2584" w:type="dxa"/>
            <w:vAlign w:val="center"/>
          </w:tcPr>
          <w:p w14:paraId="6ED7E2E1">
            <w:pPr>
              <w:pStyle w:val="1535"/>
            </w:pPr>
            <w:r>
              <w:t>治理措施</w:t>
            </w:r>
          </w:p>
        </w:tc>
        <w:tc>
          <w:tcPr>
            <w:tcW w:w="2963" w:type="dxa"/>
            <w:vAlign w:val="center"/>
          </w:tcPr>
          <w:p w14:paraId="6B27C2A7">
            <w:pPr>
              <w:pStyle w:val="1535"/>
            </w:pPr>
            <w:r>
              <w:t>执行标准</w:t>
            </w:r>
          </w:p>
        </w:tc>
      </w:tr>
      <w:tr w14:paraId="2D14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4"/>
            <w:vAlign w:val="center"/>
          </w:tcPr>
          <w:p w14:paraId="55CCCE59">
            <w:pPr>
              <w:pStyle w:val="1535"/>
            </w:pPr>
            <w:r>
              <w:t>一、废水</w:t>
            </w:r>
          </w:p>
        </w:tc>
      </w:tr>
      <w:tr w14:paraId="3B85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46" w:type="dxa"/>
            <w:vAlign w:val="center"/>
          </w:tcPr>
          <w:p w14:paraId="1958A625">
            <w:pPr>
              <w:pStyle w:val="1535"/>
            </w:pPr>
            <w:r>
              <w:t>生产废水</w:t>
            </w:r>
          </w:p>
        </w:tc>
        <w:tc>
          <w:tcPr>
            <w:tcW w:w="1884" w:type="dxa"/>
            <w:vAlign w:val="center"/>
          </w:tcPr>
          <w:p w14:paraId="78EA8DAA">
            <w:pPr>
              <w:pStyle w:val="1535"/>
            </w:pPr>
            <w:r>
              <w:t>流量、pH、COD、氨氮、SS、石油类、氟化物、TP、Cr</w:t>
            </w:r>
            <w:r>
              <w:rPr>
                <w:vertAlign w:val="superscript"/>
              </w:rPr>
              <w:t>6+</w:t>
            </w:r>
          </w:p>
        </w:tc>
        <w:tc>
          <w:tcPr>
            <w:tcW w:w="2584" w:type="dxa"/>
            <w:vAlign w:val="center"/>
          </w:tcPr>
          <w:p w14:paraId="5949A3C0">
            <w:pPr>
              <w:pStyle w:val="1535"/>
            </w:pPr>
            <w:r>
              <w:t>生产废水经厂区综合污水处理站处理达标接入市政管网。</w:t>
            </w:r>
          </w:p>
        </w:tc>
        <w:tc>
          <w:tcPr>
            <w:tcW w:w="2963" w:type="dxa"/>
            <w:vMerge w:val="restart"/>
            <w:vAlign w:val="center"/>
          </w:tcPr>
          <w:p w14:paraId="791BD34A">
            <w:pPr>
              <w:pStyle w:val="1535"/>
            </w:pPr>
            <w:r>
              <w:t>《电子工业水污染物排放标准》（GB39731-2020）间接排放标准（动植物油执行《污水综合排放标准》（GB8978-1996）三级标准）</w:t>
            </w:r>
          </w:p>
        </w:tc>
      </w:tr>
      <w:tr w14:paraId="5409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46" w:type="dxa"/>
            <w:vAlign w:val="center"/>
          </w:tcPr>
          <w:p w14:paraId="13AC5165">
            <w:pPr>
              <w:pStyle w:val="1535"/>
            </w:pPr>
            <w:r>
              <w:t>生活污水</w:t>
            </w:r>
          </w:p>
        </w:tc>
        <w:tc>
          <w:tcPr>
            <w:tcW w:w="1884" w:type="dxa"/>
            <w:vAlign w:val="center"/>
          </w:tcPr>
          <w:p w14:paraId="54BB5B5E">
            <w:pPr>
              <w:pStyle w:val="1535"/>
            </w:pPr>
            <w:r>
              <w:t>流量、pH、COD、氨氮、SS、动植物油</w:t>
            </w:r>
          </w:p>
        </w:tc>
        <w:tc>
          <w:tcPr>
            <w:tcW w:w="2584" w:type="dxa"/>
            <w:vAlign w:val="center"/>
          </w:tcPr>
          <w:p w14:paraId="32AD1086">
            <w:pPr>
              <w:pStyle w:val="1535"/>
            </w:pPr>
            <w:r>
              <w:t>生化池处理达标接入市政管网</w:t>
            </w:r>
          </w:p>
        </w:tc>
        <w:tc>
          <w:tcPr>
            <w:tcW w:w="2963" w:type="dxa"/>
            <w:vMerge w:val="continue"/>
            <w:vAlign w:val="center"/>
          </w:tcPr>
          <w:p w14:paraId="345FA352">
            <w:pPr>
              <w:pStyle w:val="1535"/>
            </w:pPr>
          </w:p>
        </w:tc>
      </w:tr>
      <w:tr w14:paraId="3F4D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4"/>
            <w:vAlign w:val="center"/>
          </w:tcPr>
          <w:p w14:paraId="050C2DFE">
            <w:pPr>
              <w:pStyle w:val="1535"/>
            </w:pPr>
            <w:r>
              <w:t>二、废气</w:t>
            </w:r>
          </w:p>
        </w:tc>
      </w:tr>
      <w:tr w14:paraId="7284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46" w:type="dxa"/>
            <w:vAlign w:val="center"/>
          </w:tcPr>
          <w:p w14:paraId="0D34F956">
            <w:pPr>
              <w:pStyle w:val="1535"/>
            </w:pPr>
            <w:r>
              <w:rPr>
                <w:rFonts w:hint="eastAsia"/>
                <w:snapToGrid/>
              </w:rPr>
              <w:t>石墨生产线废气</w:t>
            </w:r>
          </w:p>
        </w:tc>
        <w:tc>
          <w:tcPr>
            <w:tcW w:w="1884" w:type="dxa"/>
            <w:vAlign w:val="center"/>
          </w:tcPr>
          <w:p w14:paraId="444E2318">
            <w:pPr>
              <w:pStyle w:val="1535"/>
            </w:pPr>
            <w:r>
              <w:t>风量、</w:t>
            </w:r>
            <w:r>
              <w:rPr>
                <w:rFonts w:hint="eastAsia"/>
              </w:rPr>
              <w:t>碳黑尘</w:t>
            </w:r>
          </w:p>
        </w:tc>
        <w:tc>
          <w:tcPr>
            <w:tcW w:w="2584" w:type="dxa"/>
            <w:vAlign w:val="center"/>
          </w:tcPr>
          <w:p w14:paraId="04A53B2B">
            <w:pPr>
              <w:pStyle w:val="1535"/>
            </w:pPr>
            <w:r>
              <w:rPr>
                <w:rFonts w:hint="eastAsia"/>
              </w:rPr>
              <w:t>石墨加工粉尘密闭收集，经布袋除尘器处理后进入经DA016排气筒排放</w:t>
            </w:r>
          </w:p>
        </w:tc>
        <w:tc>
          <w:tcPr>
            <w:tcW w:w="2963" w:type="dxa"/>
            <w:vMerge w:val="restart"/>
            <w:vAlign w:val="center"/>
          </w:tcPr>
          <w:p w14:paraId="51DBA63B">
            <w:pPr>
              <w:pStyle w:val="1535"/>
            </w:pPr>
            <w:r>
              <w:t>重庆市《大气污染物综合排放标准》（DB50/418-2016）相应排放限值</w:t>
            </w:r>
          </w:p>
        </w:tc>
      </w:tr>
      <w:tr w14:paraId="3AC6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46" w:type="dxa"/>
            <w:vAlign w:val="center"/>
          </w:tcPr>
          <w:p w14:paraId="71C9630A">
            <w:pPr>
              <w:pStyle w:val="1535"/>
              <w:rPr>
                <w:snapToGrid/>
              </w:rPr>
            </w:pPr>
            <w:r>
              <w:rPr>
                <w:rFonts w:hint="eastAsia"/>
                <w:snapToGrid/>
              </w:rPr>
              <w:t>石墨纯化废气+</w:t>
            </w:r>
            <w:r>
              <w:rPr>
                <w:snapToGrid/>
              </w:rPr>
              <w:t>碳化硅涂层废气</w:t>
            </w:r>
          </w:p>
        </w:tc>
        <w:tc>
          <w:tcPr>
            <w:tcW w:w="1884" w:type="dxa"/>
            <w:vAlign w:val="center"/>
          </w:tcPr>
          <w:p w14:paraId="55E9793B">
            <w:pPr>
              <w:pStyle w:val="1535"/>
            </w:pPr>
            <w:r>
              <w:t>风量、</w:t>
            </w:r>
            <w:r>
              <w:rPr>
                <w:rFonts w:hint="eastAsia"/>
              </w:rPr>
              <w:t>碳黑尘、</w:t>
            </w:r>
            <w:r>
              <w:t>氯化氢</w:t>
            </w:r>
            <w:r>
              <w:rPr>
                <w:rFonts w:hint="eastAsia"/>
              </w:rPr>
              <w:t>、未反应MTS（以非甲烷总烃计）</w:t>
            </w:r>
          </w:p>
        </w:tc>
        <w:tc>
          <w:tcPr>
            <w:tcW w:w="2584" w:type="dxa"/>
            <w:vAlign w:val="center"/>
          </w:tcPr>
          <w:p w14:paraId="78DCBD59">
            <w:pPr>
              <w:pStyle w:val="1535"/>
            </w:pPr>
            <w:r>
              <w:t>排入</w:t>
            </w:r>
            <w:r>
              <w:rPr>
                <w:rFonts w:hint="eastAsia"/>
              </w:rPr>
              <w:t>1#</w:t>
            </w:r>
            <w:r>
              <w:t>四级酸雾喷淋塔处理后经25m排气筒DA0</w:t>
            </w:r>
            <w:r>
              <w:rPr>
                <w:rFonts w:hint="eastAsia"/>
              </w:rPr>
              <w:t>04</w:t>
            </w:r>
            <w:r>
              <w:t>排放</w:t>
            </w:r>
          </w:p>
        </w:tc>
        <w:tc>
          <w:tcPr>
            <w:tcW w:w="2963" w:type="dxa"/>
            <w:vMerge w:val="continue"/>
            <w:vAlign w:val="center"/>
          </w:tcPr>
          <w:p w14:paraId="4758F545">
            <w:pPr>
              <w:pStyle w:val="1535"/>
            </w:pPr>
          </w:p>
        </w:tc>
      </w:tr>
      <w:tr w14:paraId="1401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46" w:type="dxa"/>
            <w:vAlign w:val="center"/>
          </w:tcPr>
          <w:p w14:paraId="5FEB6929">
            <w:pPr>
              <w:pStyle w:val="1535"/>
              <w:rPr>
                <w:snapToGrid/>
              </w:rPr>
            </w:pPr>
            <w:r>
              <w:rPr>
                <w:rFonts w:hint="eastAsia"/>
                <w:snapToGrid/>
              </w:rPr>
              <w:t>清洗废气</w:t>
            </w:r>
          </w:p>
        </w:tc>
        <w:tc>
          <w:tcPr>
            <w:tcW w:w="1884" w:type="dxa"/>
            <w:vAlign w:val="center"/>
          </w:tcPr>
          <w:p w14:paraId="652E2947">
            <w:pPr>
              <w:pStyle w:val="1535"/>
            </w:pPr>
            <w:r>
              <w:t>风量、</w:t>
            </w:r>
            <w:r>
              <w:rPr>
                <w:rFonts w:hint="eastAsia"/>
              </w:rPr>
              <w:t>氟化物</w:t>
            </w:r>
          </w:p>
        </w:tc>
        <w:tc>
          <w:tcPr>
            <w:tcW w:w="2584" w:type="dxa"/>
            <w:vAlign w:val="center"/>
          </w:tcPr>
          <w:p w14:paraId="36F26B66">
            <w:pPr>
              <w:pStyle w:val="1535"/>
            </w:pPr>
            <w:r>
              <w:rPr>
                <w:rFonts w:hint="eastAsia"/>
                <w:snapToGrid/>
              </w:rPr>
              <w:t>通风柜内密闭抽风收集后，酸碱雾净化塔处理，经15m高DA005排气筒排放</w:t>
            </w:r>
          </w:p>
        </w:tc>
        <w:tc>
          <w:tcPr>
            <w:tcW w:w="2963" w:type="dxa"/>
            <w:vMerge w:val="continue"/>
            <w:vAlign w:val="center"/>
          </w:tcPr>
          <w:p w14:paraId="0D0F0365">
            <w:pPr>
              <w:pStyle w:val="1535"/>
            </w:pPr>
          </w:p>
        </w:tc>
      </w:tr>
      <w:tr w14:paraId="396C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46" w:type="dxa"/>
            <w:vAlign w:val="center"/>
          </w:tcPr>
          <w:p w14:paraId="2B5E607D">
            <w:pPr>
              <w:pStyle w:val="1535"/>
            </w:pPr>
            <w:r>
              <w:t>无组织排放</w:t>
            </w:r>
          </w:p>
        </w:tc>
        <w:tc>
          <w:tcPr>
            <w:tcW w:w="1884" w:type="dxa"/>
            <w:vAlign w:val="center"/>
          </w:tcPr>
          <w:p w14:paraId="5EA87120">
            <w:pPr>
              <w:pStyle w:val="1535"/>
            </w:pPr>
            <w:r>
              <w:rPr>
                <w:rFonts w:hint="eastAsia"/>
              </w:rPr>
              <w:t>颗粒物、</w:t>
            </w:r>
            <w:r>
              <w:t>非甲烷总烃、氟化物、氯化氢、臭气浓度</w:t>
            </w:r>
          </w:p>
        </w:tc>
        <w:tc>
          <w:tcPr>
            <w:tcW w:w="2584" w:type="dxa"/>
            <w:vAlign w:val="center"/>
          </w:tcPr>
          <w:p w14:paraId="7F08D108">
            <w:pPr>
              <w:pStyle w:val="1535"/>
            </w:pPr>
            <w:r>
              <w:t>/</w:t>
            </w:r>
          </w:p>
        </w:tc>
        <w:tc>
          <w:tcPr>
            <w:tcW w:w="2963" w:type="dxa"/>
            <w:vAlign w:val="center"/>
          </w:tcPr>
          <w:p w14:paraId="10481C24">
            <w:pPr>
              <w:pStyle w:val="1535"/>
            </w:pPr>
            <w:r>
              <w:t>重庆市《大气污染物综合排放标准》（DB50/418-2016），《恶臭污染物排放标准》（GB14554-93），其中厂房外非甲烷总烃的无组织排放执行《挥发性有机物无组织排放控制标准》（GB37822-2019）</w:t>
            </w:r>
          </w:p>
        </w:tc>
      </w:tr>
      <w:tr w14:paraId="757F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4"/>
            <w:vAlign w:val="center"/>
          </w:tcPr>
          <w:p w14:paraId="0A804266">
            <w:pPr>
              <w:pStyle w:val="1535"/>
            </w:pPr>
            <w:r>
              <w:t>三、噪声</w:t>
            </w:r>
          </w:p>
        </w:tc>
      </w:tr>
      <w:tr w14:paraId="1F1E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46" w:type="dxa"/>
            <w:vAlign w:val="center"/>
          </w:tcPr>
          <w:p w14:paraId="48EDD368">
            <w:pPr>
              <w:pStyle w:val="1535"/>
            </w:pPr>
            <w:r>
              <w:t>加工中心、风机、水泵</w:t>
            </w:r>
          </w:p>
        </w:tc>
        <w:tc>
          <w:tcPr>
            <w:tcW w:w="1884" w:type="dxa"/>
            <w:vAlign w:val="center"/>
          </w:tcPr>
          <w:p w14:paraId="66D4139F">
            <w:pPr>
              <w:pStyle w:val="1535"/>
            </w:pPr>
            <w:r>
              <w:t>等效连续A声级</w:t>
            </w:r>
          </w:p>
        </w:tc>
        <w:tc>
          <w:tcPr>
            <w:tcW w:w="2584" w:type="dxa"/>
            <w:vAlign w:val="center"/>
          </w:tcPr>
          <w:p w14:paraId="7101A89B">
            <w:pPr>
              <w:pStyle w:val="1535"/>
            </w:pPr>
            <w:r>
              <w:t>选用低噪声设备、基础安装减振器、设置单独设备间、车间采取封闭、建筑隔声</w:t>
            </w:r>
          </w:p>
        </w:tc>
        <w:tc>
          <w:tcPr>
            <w:tcW w:w="2963" w:type="dxa"/>
            <w:vAlign w:val="center"/>
          </w:tcPr>
          <w:p w14:paraId="67AE2716">
            <w:pPr>
              <w:pStyle w:val="1535"/>
            </w:pPr>
            <w:r>
              <w:t>厂界满足《工业企业厂界环境噪声排放标准》（GB12348-2008）中3类，东北侧住户处满足《工业企业厂界环境噪声排放标准》（GB12348-2008）中2类</w:t>
            </w:r>
          </w:p>
        </w:tc>
      </w:tr>
      <w:tr w14:paraId="2DAF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4"/>
            <w:vAlign w:val="center"/>
          </w:tcPr>
          <w:p w14:paraId="6AD5F89D">
            <w:pPr>
              <w:pStyle w:val="1535"/>
            </w:pPr>
            <w:r>
              <w:t>四、固废</w:t>
            </w:r>
          </w:p>
        </w:tc>
      </w:tr>
      <w:tr w14:paraId="0C39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0" w:type="dxa"/>
            <w:gridSpan w:val="2"/>
            <w:vAlign w:val="center"/>
          </w:tcPr>
          <w:p w14:paraId="4593B7DF">
            <w:pPr>
              <w:pStyle w:val="1535"/>
            </w:pPr>
            <w:r>
              <w:t>一般工业固废储存间</w:t>
            </w:r>
          </w:p>
        </w:tc>
        <w:tc>
          <w:tcPr>
            <w:tcW w:w="2584" w:type="dxa"/>
            <w:vAlign w:val="center"/>
          </w:tcPr>
          <w:p w14:paraId="4F01CBC4">
            <w:pPr>
              <w:pStyle w:val="1535"/>
            </w:pPr>
            <w:r>
              <w:t>防渗漏、防雨淋、防扬尘等环境保护要求进行污染控制和管理。</w:t>
            </w:r>
          </w:p>
        </w:tc>
        <w:tc>
          <w:tcPr>
            <w:tcW w:w="2963" w:type="dxa"/>
            <w:vAlign w:val="center"/>
          </w:tcPr>
          <w:p w14:paraId="12F2EB4F">
            <w:pPr>
              <w:pStyle w:val="1535"/>
            </w:pPr>
            <w:r>
              <w:t>《一般工业固体废物贮存和填埋污染控制标准》（GB18599-2020）</w:t>
            </w:r>
          </w:p>
        </w:tc>
      </w:tr>
      <w:tr w14:paraId="2505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0" w:type="dxa"/>
            <w:gridSpan w:val="2"/>
            <w:vAlign w:val="center"/>
          </w:tcPr>
          <w:p w14:paraId="242C1B1A">
            <w:pPr>
              <w:pStyle w:val="1535"/>
            </w:pPr>
            <w:r>
              <w:t>切削液回收车间、危险废物贮存库</w:t>
            </w:r>
          </w:p>
        </w:tc>
        <w:tc>
          <w:tcPr>
            <w:tcW w:w="2584" w:type="dxa"/>
            <w:vAlign w:val="center"/>
          </w:tcPr>
          <w:p w14:paraId="4B186958">
            <w:pPr>
              <w:pStyle w:val="1535"/>
            </w:pPr>
            <w:r>
              <w:t>用于废切削液过滤回收。按照《危险废物贮存污染控制标准》(GB18597-2023)要求进行污染控制和管理，四周及地面进行防风、防雨、防晒、防渗、防漏、防腐，地面渗透系数≤10-10cm/s，采取围堰或防渗托盘、导流地沟等防渗措施，并设置明显标志。</w:t>
            </w:r>
          </w:p>
        </w:tc>
        <w:tc>
          <w:tcPr>
            <w:tcW w:w="2963" w:type="dxa"/>
            <w:vAlign w:val="center"/>
          </w:tcPr>
          <w:p w14:paraId="028E37F4">
            <w:pPr>
              <w:pStyle w:val="1535"/>
            </w:pPr>
            <w:r>
              <w:t>《危险废物贮存污染控制标准》(GB18597-2023)</w:t>
            </w:r>
          </w:p>
        </w:tc>
      </w:tr>
      <w:tr w14:paraId="443C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0" w:type="dxa"/>
            <w:gridSpan w:val="2"/>
            <w:vAlign w:val="center"/>
          </w:tcPr>
          <w:p w14:paraId="55059710">
            <w:pPr>
              <w:pStyle w:val="1535"/>
            </w:pPr>
            <w:r>
              <w:t>生活垃圾和废水生化污泥</w:t>
            </w:r>
          </w:p>
        </w:tc>
        <w:tc>
          <w:tcPr>
            <w:tcW w:w="2584" w:type="dxa"/>
            <w:vAlign w:val="center"/>
          </w:tcPr>
          <w:p w14:paraId="52812D62">
            <w:pPr>
              <w:pStyle w:val="1535"/>
            </w:pPr>
            <w:r>
              <w:t>环卫部门统一定期送城市垃圾填埋场处置。</w:t>
            </w:r>
          </w:p>
        </w:tc>
        <w:tc>
          <w:tcPr>
            <w:tcW w:w="2963" w:type="dxa"/>
            <w:vAlign w:val="center"/>
          </w:tcPr>
          <w:p w14:paraId="40B6EA02">
            <w:pPr>
              <w:pStyle w:val="1535"/>
            </w:pPr>
            <w:r>
              <w:t>/</w:t>
            </w:r>
          </w:p>
        </w:tc>
      </w:tr>
      <w:tr w14:paraId="36E6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4"/>
            <w:vAlign w:val="center"/>
          </w:tcPr>
          <w:p w14:paraId="53B08B8D">
            <w:pPr>
              <w:pStyle w:val="1535"/>
            </w:pPr>
            <w:r>
              <w:t>六、环境风险</w:t>
            </w:r>
          </w:p>
        </w:tc>
      </w:tr>
      <w:tr w14:paraId="3F1C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4"/>
            <w:vAlign w:val="center"/>
          </w:tcPr>
          <w:p w14:paraId="46D39C38">
            <w:pPr>
              <w:pStyle w:val="1535"/>
            </w:pPr>
            <w:r>
              <w:rPr>
                <w:lang w:val="zh-CN"/>
              </w:rPr>
              <w:t>地坪进行防腐、防渗漏处理，</w:t>
            </w:r>
            <w:r>
              <w:t>收集槽、化学品库、污水处理站、危废间采取重点防渗措施，设置收集沟收集泄漏物料，</w:t>
            </w:r>
            <w:r>
              <w:rPr>
                <w:lang w:val="zh-CN"/>
              </w:rPr>
              <w:t>设置开闭阀门且连接</w:t>
            </w:r>
            <w:r>
              <w:rPr>
                <w:rFonts w:hint="eastAsia"/>
                <w:lang w:val="zh-CN"/>
              </w:rPr>
              <w:t>污水处理站和事故池</w:t>
            </w:r>
            <w:r>
              <w:rPr>
                <w:lang w:val="zh-CN"/>
              </w:rPr>
              <w:t>，</w:t>
            </w:r>
            <w:r>
              <w:t>事故池规模为270</w:t>
            </w:r>
            <w:r>
              <w:rPr>
                <w:rFonts w:hint="eastAsia"/>
              </w:rPr>
              <w:t xml:space="preserve"> m</w:t>
            </w:r>
            <w:r>
              <w:rPr>
                <w:rFonts w:hint="eastAsia"/>
                <w:vertAlign w:val="superscript"/>
              </w:rPr>
              <w:t>3</w:t>
            </w:r>
            <w:r>
              <w:t>。按照区生态环境局要求</w:t>
            </w:r>
            <w:r>
              <w:rPr>
                <w:lang w:val="zh-CN"/>
              </w:rPr>
              <w:t>及时修定环境风险应急预案，</w:t>
            </w:r>
            <w:r>
              <w:t>配备必要的环境应急资源</w:t>
            </w:r>
            <w:r>
              <w:rPr>
                <w:lang w:val="zh-CN"/>
              </w:rPr>
              <w:t>并定期演练。</w:t>
            </w:r>
          </w:p>
        </w:tc>
      </w:tr>
    </w:tbl>
    <w:p w14:paraId="558FC4E1">
      <w:pPr>
        <w:pStyle w:val="4"/>
        <w:rPr>
          <w:color w:val="000000" w:themeColor="text1"/>
          <w14:textFill>
            <w14:solidFill>
              <w14:schemeClr w14:val="tx1"/>
            </w14:solidFill>
          </w14:textFill>
        </w:rPr>
      </w:pPr>
      <w:bookmarkStart w:id="412" w:name="_Toc11568"/>
      <w:r>
        <w:rPr>
          <w:rFonts w:hint="eastAsia"/>
          <w:color w:val="000000" w:themeColor="text1"/>
          <w14:textFill>
            <w14:solidFill>
              <w14:schemeClr w14:val="tx1"/>
            </w14:solidFill>
          </w14:textFill>
        </w:rPr>
        <w:t>污染源排放清单</w:t>
      </w:r>
      <w:bookmarkEnd w:id="412"/>
    </w:p>
    <w:p w14:paraId="0780D8EA">
      <w:pPr>
        <w:spacing w:before="24" w:line="360" w:lineRule="auto"/>
        <w:ind w:firstLine="52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扩建项目污染源排放清单及执行标准分别见</w:t>
      </w:r>
      <w:r>
        <w:rPr>
          <w:color w:val="000000" w:themeColor="text1"/>
          <w:lang w:bidi="ar"/>
          <w14:textFill>
            <w14:solidFill>
              <w14:schemeClr w14:val="tx1"/>
            </w14:solidFill>
          </w14:textFill>
        </w:rPr>
        <w:fldChar w:fldCharType="begin"/>
      </w:r>
      <w:r>
        <w:rPr>
          <w:color w:val="000000" w:themeColor="text1"/>
          <w:lang w:bidi="ar"/>
          <w14:textFill>
            <w14:solidFill>
              <w14:schemeClr w14:val="tx1"/>
            </w14:solidFill>
          </w14:textFill>
        </w:rPr>
        <w:instrText xml:space="preserve"> REF _Ref160559160 \h </w:instrText>
      </w:r>
      <w:r>
        <w:rPr>
          <w:color w:val="000000" w:themeColor="text1"/>
          <w:lang w:bidi="ar"/>
          <w14:textFill>
            <w14:solidFill>
              <w14:schemeClr w14:val="tx1"/>
            </w14:solidFill>
          </w14:textFill>
        </w:rPr>
        <w:fldChar w:fldCharType="separate"/>
      </w:r>
      <w:r>
        <w:rPr>
          <w:rFonts w:hint="eastAsia" w:cs="宋体"/>
          <w:color w:val="000000" w:themeColor="text1"/>
          <w:szCs w:val="26"/>
          <w:lang w:bidi="ar"/>
          <w14:textFill>
            <w14:solidFill>
              <w14:schemeClr w14:val="tx1"/>
            </w14:solidFill>
          </w14:textFill>
        </w:rPr>
        <w:t>表</w:t>
      </w:r>
      <w:r>
        <w:rPr>
          <w:color w:val="000000" w:themeColor="text1"/>
          <w:szCs w:val="26"/>
          <w:lang w:bidi="ar"/>
          <w14:textFill>
            <w14:solidFill>
              <w14:schemeClr w14:val="tx1"/>
            </w14:solidFill>
          </w14:textFill>
        </w:rPr>
        <w:t>10.5</w:t>
      </w:r>
      <w:r>
        <w:rPr>
          <w:color w:val="000000" w:themeColor="text1"/>
          <w:szCs w:val="26"/>
          <w:lang w:bidi="ar"/>
          <w14:textFill>
            <w14:solidFill>
              <w14:schemeClr w14:val="tx1"/>
            </w14:solidFill>
          </w14:textFill>
        </w:rPr>
        <w:noBreakHyphen/>
      </w:r>
      <w:r>
        <w:rPr>
          <w:color w:val="000000" w:themeColor="text1"/>
          <w:szCs w:val="26"/>
          <w:lang w:bidi="ar"/>
          <w14:textFill>
            <w14:solidFill>
              <w14:schemeClr w14:val="tx1"/>
            </w14:solidFill>
          </w14:textFill>
        </w:rPr>
        <w:t>1</w:t>
      </w:r>
      <w:r>
        <w:rPr>
          <w:color w:val="000000" w:themeColor="text1"/>
          <w:lang w:bidi="ar"/>
          <w14:textFill>
            <w14:solidFill>
              <w14:schemeClr w14:val="tx1"/>
            </w14:solidFill>
          </w14:textFill>
        </w:rPr>
        <w:fldChar w:fldCharType="end"/>
      </w:r>
      <w:r>
        <w:rPr>
          <w:color w:val="000000" w:themeColor="text1"/>
          <w:lang w:bidi="ar"/>
          <w14:textFill>
            <w14:solidFill>
              <w14:schemeClr w14:val="tx1"/>
            </w14:solidFill>
          </w14:textFill>
        </w:rPr>
        <w:t>~</w:t>
      </w:r>
      <w:r>
        <w:rPr>
          <w:color w:val="000000" w:themeColor="text1"/>
          <w:lang w:bidi="ar"/>
          <w14:textFill>
            <w14:solidFill>
              <w14:schemeClr w14:val="tx1"/>
            </w14:solidFill>
          </w14:textFill>
        </w:rPr>
        <w:fldChar w:fldCharType="begin"/>
      </w:r>
      <w:r>
        <w:rPr>
          <w:color w:val="000000" w:themeColor="text1"/>
          <w:lang w:bidi="ar"/>
          <w14:textFill>
            <w14:solidFill>
              <w14:schemeClr w14:val="tx1"/>
            </w14:solidFill>
          </w14:textFill>
        </w:rPr>
        <w:instrText xml:space="preserve"> REF _Ref160559232 \h </w:instrText>
      </w:r>
      <w:r>
        <w:rPr>
          <w:color w:val="000000" w:themeColor="text1"/>
          <w:lang w:bidi="ar"/>
          <w14:textFill>
            <w14:solidFill>
              <w14:schemeClr w14:val="tx1"/>
            </w14:solidFill>
          </w14:textFill>
        </w:rPr>
        <w:fldChar w:fldCharType="separate"/>
      </w:r>
      <w:r>
        <w:rPr>
          <w:rFonts w:hint="eastAsia"/>
          <w:b/>
          <w:bCs/>
          <w:color w:val="000000" w:themeColor="text1"/>
          <w:lang w:bidi="ar"/>
          <w14:textFill>
            <w14:solidFill>
              <w14:schemeClr w14:val="tx1"/>
            </w14:solidFill>
          </w14:textFill>
        </w:rPr>
        <w:t>错误!未找到引用源。</w:t>
      </w:r>
      <w:r>
        <w:rPr>
          <w:color w:val="000000" w:themeColor="text1"/>
          <w:lang w:bidi="ar"/>
          <w14:textFill>
            <w14:solidFill>
              <w14:schemeClr w14:val="tx1"/>
            </w14:solidFill>
          </w14:textFill>
        </w:rPr>
        <w:fldChar w:fldCharType="end"/>
      </w:r>
      <w:r>
        <w:rPr>
          <w:rFonts w:hint="eastAsia"/>
          <w:color w:val="000000" w:themeColor="text1"/>
          <w:lang w:bidi="ar"/>
          <w14:textFill>
            <w14:solidFill>
              <w14:schemeClr w14:val="tx1"/>
            </w14:solidFill>
          </w14:textFill>
        </w:rPr>
        <w:t>，竣工环保验收可参照执行。</w:t>
      </w:r>
    </w:p>
    <w:p w14:paraId="750E2F12">
      <w:pPr>
        <w:spacing w:before="24"/>
        <w:ind w:firstLine="0" w:firstLineChars="0"/>
        <w:jc w:val="center"/>
        <w:rPr>
          <w:rFonts w:cs="宋体"/>
          <w:color w:val="000000" w:themeColor="text1"/>
          <w:lang w:bidi="ar"/>
          <w14:textFill>
            <w14:solidFill>
              <w14:schemeClr w14:val="tx1"/>
            </w14:solidFill>
          </w14:textFill>
        </w:rPr>
      </w:pPr>
      <w:bookmarkStart w:id="413" w:name="_Ref160559160"/>
      <w:r>
        <w:rPr>
          <w:rFonts w:hint="eastAsia" w:cs="宋体"/>
          <w:color w:val="000000" w:themeColor="text1"/>
          <w:szCs w:val="26"/>
          <w:lang w:bidi="ar"/>
          <w14:textFill>
            <w14:solidFill>
              <w14:schemeClr w14:val="tx1"/>
            </w14:solidFill>
          </w14:textFill>
        </w:rPr>
        <w:t>表</w:t>
      </w:r>
      <w:r>
        <w:rPr>
          <w:color w:val="000000" w:themeColor="text1"/>
          <w:lang w:bidi="ar"/>
          <w14:textFill>
            <w14:solidFill>
              <w14:schemeClr w14:val="tx1"/>
            </w14:solidFill>
          </w14:textFill>
        </w:rPr>
        <w:fldChar w:fldCharType="begin"/>
      </w:r>
      <w:r>
        <w:rPr>
          <w:color w:val="000000" w:themeColor="text1"/>
          <w:szCs w:val="26"/>
          <w:lang w:bidi="ar"/>
          <w14:textFill>
            <w14:solidFill>
              <w14:schemeClr w14:val="tx1"/>
            </w14:solidFill>
          </w14:textFill>
        </w:rPr>
        <w:instrText xml:space="preserve"> STYLEREF 2 \s </w:instrText>
      </w:r>
      <w:r>
        <w:rPr>
          <w:color w:val="000000" w:themeColor="text1"/>
          <w:szCs w:val="26"/>
          <w:lang w:bidi="ar"/>
          <w14:textFill>
            <w14:solidFill>
              <w14:schemeClr w14:val="tx1"/>
            </w14:solidFill>
          </w14:textFill>
        </w:rPr>
        <w:fldChar w:fldCharType="separate"/>
      </w:r>
      <w:r>
        <w:rPr>
          <w:color w:val="000000" w:themeColor="text1"/>
          <w:szCs w:val="26"/>
          <w:lang w:bidi="ar"/>
          <w14:textFill>
            <w14:solidFill>
              <w14:schemeClr w14:val="tx1"/>
            </w14:solidFill>
          </w14:textFill>
        </w:rPr>
        <w:t>10.5</w:t>
      </w:r>
      <w:r>
        <w:rPr>
          <w:color w:val="000000" w:themeColor="text1"/>
          <w:lang w:bidi="ar"/>
          <w14:textFill>
            <w14:solidFill>
              <w14:schemeClr w14:val="tx1"/>
            </w14:solidFill>
          </w14:textFill>
        </w:rPr>
        <w:fldChar w:fldCharType="end"/>
      </w:r>
      <w:r>
        <w:rPr>
          <w:color w:val="000000" w:themeColor="text1"/>
          <w:szCs w:val="26"/>
          <w:lang w:bidi="ar"/>
          <w14:textFill>
            <w14:solidFill>
              <w14:schemeClr w14:val="tx1"/>
            </w14:solidFill>
          </w14:textFill>
        </w:rPr>
        <w:noBreakHyphen/>
      </w:r>
      <w:r>
        <w:rPr>
          <w:color w:val="000000" w:themeColor="text1"/>
          <w:lang w:bidi="ar"/>
          <w14:textFill>
            <w14:solidFill>
              <w14:schemeClr w14:val="tx1"/>
            </w14:solidFill>
          </w14:textFill>
        </w:rPr>
        <w:fldChar w:fldCharType="begin"/>
      </w:r>
      <w:r>
        <w:rPr>
          <w:color w:val="000000" w:themeColor="text1"/>
          <w:szCs w:val="26"/>
          <w:lang w:bidi="ar"/>
          <w14:textFill>
            <w14:solidFill>
              <w14:schemeClr w14:val="tx1"/>
            </w14:solidFill>
          </w14:textFill>
        </w:rPr>
        <w:instrText xml:space="preserve"> SEQ </w:instrText>
      </w:r>
      <w:r>
        <w:rPr>
          <w:rFonts w:hint="eastAsia" w:cs="宋体"/>
          <w:color w:val="000000" w:themeColor="text1"/>
          <w:szCs w:val="26"/>
          <w:lang w:bidi="ar"/>
          <w14:textFill>
            <w14:solidFill>
              <w14:schemeClr w14:val="tx1"/>
            </w14:solidFill>
          </w14:textFill>
        </w:rPr>
        <w:instrText xml:space="preserve">表格</w:instrText>
      </w:r>
      <w:r>
        <w:rPr>
          <w:color w:val="000000" w:themeColor="text1"/>
          <w:szCs w:val="26"/>
          <w:lang w:bidi="ar"/>
          <w14:textFill>
            <w14:solidFill>
              <w14:schemeClr w14:val="tx1"/>
            </w14:solidFill>
          </w14:textFill>
        </w:rPr>
        <w:instrText xml:space="preserve"> \* ARABIC \s 2 </w:instrText>
      </w:r>
      <w:r>
        <w:rPr>
          <w:color w:val="000000" w:themeColor="text1"/>
          <w:szCs w:val="26"/>
          <w:lang w:bidi="ar"/>
          <w14:textFill>
            <w14:solidFill>
              <w14:schemeClr w14:val="tx1"/>
            </w14:solidFill>
          </w14:textFill>
        </w:rPr>
        <w:fldChar w:fldCharType="separate"/>
      </w:r>
      <w:r>
        <w:rPr>
          <w:color w:val="000000" w:themeColor="text1"/>
          <w:szCs w:val="26"/>
          <w:lang w:bidi="ar"/>
          <w14:textFill>
            <w14:solidFill>
              <w14:schemeClr w14:val="tx1"/>
            </w14:solidFill>
          </w14:textFill>
        </w:rPr>
        <w:t>1</w:t>
      </w:r>
      <w:r>
        <w:rPr>
          <w:color w:val="000000" w:themeColor="text1"/>
          <w:lang w:bidi="ar"/>
          <w14:textFill>
            <w14:solidFill>
              <w14:schemeClr w14:val="tx1"/>
            </w14:solidFill>
          </w14:textFill>
        </w:rPr>
        <w:fldChar w:fldCharType="end"/>
      </w:r>
      <w:bookmarkEnd w:id="413"/>
      <w:r>
        <w:rPr>
          <w:color w:val="000000" w:themeColor="text1"/>
          <w:szCs w:val="26"/>
          <w:lang w:bidi="ar"/>
          <w14:textFill>
            <w14:solidFill>
              <w14:schemeClr w14:val="tx1"/>
            </w14:solidFill>
          </w14:textFill>
        </w:rPr>
        <w:t xml:space="preserve">  </w:t>
      </w:r>
      <w:r>
        <w:rPr>
          <w:rFonts w:hint="eastAsia" w:cs="宋体"/>
          <w:color w:val="000000" w:themeColor="text1"/>
          <w:lang w:bidi="ar"/>
          <w14:textFill>
            <w14:solidFill>
              <w14:schemeClr w14:val="tx1"/>
            </w14:solidFill>
          </w14:textFill>
        </w:rPr>
        <w:t>扩建项目废气污染源排放清单及执行标准</w:t>
      </w:r>
    </w:p>
    <w:tbl>
      <w:tblPr>
        <w:tblStyle w:val="8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687"/>
        <w:gridCol w:w="1763"/>
        <w:gridCol w:w="1131"/>
        <w:gridCol w:w="1096"/>
        <w:gridCol w:w="1246"/>
        <w:gridCol w:w="1005"/>
        <w:gridCol w:w="901"/>
        <w:gridCol w:w="1349"/>
        <w:gridCol w:w="1349"/>
        <w:gridCol w:w="1367"/>
      </w:tblGrid>
      <w:tr w14:paraId="67C6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0" w:type="dxa"/>
            <w:vMerge w:val="restart"/>
            <w:tcBorders>
              <w:top w:val="single" w:color="auto" w:sz="4" w:space="0"/>
              <w:left w:val="single" w:color="auto" w:sz="4" w:space="0"/>
              <w:bottom w:val="single" w:color="auto" w:sz="4" w:space="0"/>
              <w:right w:val="single" w:color="auto" w:sz="4" w:space="0"/>
            </w:tcBorders>
            <w:noWrap/>
            <w:vAlign w:val="center"/>
          </w:tcPr>
          <w:p w14:paraId="3C30A9DE">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排气筒</w:t>
            </w:r>
          </w:p>
        </w:tc>
        <w:tc>
          <w:tcPr>
            <w:tcW w:w="1689" w:type="dxa"/>
            <w:vMerge w:val="restart"/>
            <w:tcBorders>
              <w:top w:val="single" w:color="auto" w:sz="4" w:space="0"/>
              <w:left w:val="single" w:color="auto" w:sz="4" w:space="0"/>
              <w:bottom w:val="single" w:color="auto" w:sz="4" w:space="0"/>
              <w:right w:val="single" w:color="auto" w:sz="4" w:space="0"/>
            </w:tcBorders>
            <w:noWrap/>
            <w:vAlign w:val="center"/>
          </w:tcPr>
          <w:p w14:paraId="31F18BE1">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产污环节</w:t>
            </w:r>
          </w:p>
        </w:tc>
        <w:tc>
          <w:tcPr>
            <w:tcW w:w="1765" w:type="dxa"/>
            <w:vMerge w:val="restart"/>
            <w:tcBorders>
              <w:top w:val="single" w:color="auto" w:sz="4" w:space="0"/>
              <w:left w:val="single" w:color="auto" w:sz="4" w:space="0"/>
              <w:bottom w:val="single" w:color="auto" w:sz="4" w:space="0"/>
              <w:right w:val="single" w:color="auto" w:sz="4" w:space="0"/>
            </w:tcBorders>
            <w:vAlign w:val="center"/>
          </w:tcPr>
          <w:p w14:paraId="1A90159A">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污染物</w:t>
            </w:r>
          </w:p>
        </w:tc>
        <w:tc>
          <w:tcPr>
            <w:tcW w:w="1131" w:type="dxa"/>
            <w:vMerge w:val="restart"/>
            <w:tcBorders>
              <w:top w:val="single" w:color="auto" w:sz="4" w:space="0"/>
              <w:left w:val="single" w:color="auto" w:sz="4" w:space="0"/>
              <w:bottom w:val="single" w:color="auto" w:sz="4" w:space="0"/>
              <w:right w:val="single" w:color="auto" w:sz="4" w:space="0"/>
            </w:tcBorders>
            <w:noWrap/>
            <w:vAlign w:val="center"/>
          </w:tcPr>
          <w:p w14:paraId="249966C6">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排放浓度</w:t>
            </w:r>
            <w:r>
              <w:rPr>
                <w:rFonts w:ascii="Times New Roman" w:hAnsi="Times New Roman"/>
                <w:color w:val="000000" w:themeColor="text1"/>
                <w:kern w:val="2"/>
                <w:sz w:val="22"/>
                <w:lang w:bidi="ar"/>
                <w14:textFill>
                  <w14:solidFill>
                    <w14:schemeClr w14:val="tx1"/>
                  </w14:solidFill>
                </w14:textFill>
              </w:rPr>
              <w:t>(mg/ m</w:t>
            </w:r>
            <w:r>
              <w:rPr>
                <w:rFonts w:ascii="Times New Roman" w:hAnsi="Times New Roman"/>
                <w:color w:val="000000" w:themeColor="text1"/>
                <w:kern w:val="2"/>
                <w:sz w:val="22"/>
                <w:vertAlign w:val="superscript"/>
                <w:lang w:bidi="ar"/>
                <w14:textFill>
                  <w14:solidFill>
                    <w14:schemeClr w14:val="tx1"/>
                  </w14:solidFill>
                </w14:textFill>
              </w:rPr>
              <w:t>3</w:t>
            </w:r>
            <w:r>
              <w:rPr>
                <w:rFonts w:ascii="Times New Roman" w:hAnsi="Times New Roman"/>
                <w:color w:val="000000" w:themeColor="text1"/>
                <w:kern w:val="2"/>
                <w:sz w:val="22"/>
                <w:lang w:bidi="ar"/>
                <w14:textFill>
                  <w14:solidFill>
                    <w14:schemeClr w14:val="tx1"/>
                  </w14:solidFill>
                </w14:textFill>
              </w:rPr>
              <w:t>)</w:t>
            </w:r>
          </w:p>
        </w:tc>
        <w:tc>
          <w:tcPr>
            <w:tcW w:w="1096" w:type="dxa"/>
            <w:vMerge w:val="restart"/>
            <w:tcBorders>
              <w:top w:val="single" w:color="auto" w:sz="4" w:space="0"/>
              <w:left w:val="single" w:color="auto" w:sz="4" w:space="0"/>
              <w:bottom w:val="single" w:color="auto" w:sz="4" w:space="0"/>
              <w:right w:val="single" w:color="auto" w:sz="4" w:space="0"/>
            </w:tcBorders>
            <w:noWrap/>
            <w:vAlign w:val="center"/>
          </w:tcPr>
          <w:p w14:paraId="2C088BC1">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总量指标</w:t>
            </w:r>
          </w:p>
          <w:p w14:paraId="5EE62C13">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w:t>
            </w:r>
            <w:r>
              <w:rPr>
                <w:rFonts w:ascii="Times New Roman" w:hAnsi="Times New Roman"/>
                <w:color w:val="000000" w:themeColor="text1"/>
                <w:kern w:val="2"/>
                <w:sz w:val="22"/>
                <w:lang w:bidi="ar"/>
                <w14:textFill>
                  <w14:solidFill>
                    <w14:schemeClr w14:val="tx1"/>
                  </w14:solidFill>
                </w14:textFill>
              </w:rPr>
              <w:t>t/a</w:t>
            </w:r>
            <w:r>
              <w:rPr>
                <w:rFonts w:hint="eastAsia" w:ascii="Times New Roman" w:hAnsi="Times New Roman" w:cs="宋体"/>
                <w:color w:val="000000" w:themeColor="text1"/>
                <w:kern w:val="2"/>
                <w:sz w:val="22"/>
                <w:lang w:bidi="ar"/>
                <w14:textFill>
                  <w14:solidFill>
                    <w14:schemeClr w14:val="tx1"/>
                  </w14:solidFill>
                </w14:textFill>
              </w:rPr>
              <w:t>）</w:t>
            </w:r>
          </w:p>
        </w:tc>
        <w:tc>
          <w:tcPr>
            <w:tcW w:w="1246" w:type="dxa"/>
            <w:vMerge w:val="restart"/>
            <w:tcBorders>
              <w:top w:val="single" w:color="auto" w:sz="4" w:space="0"/>
              <w:left w:val="single" w:color="auto" w:sz="4" w:space="0"/>
              <w:bottom w:val="single" w:color="auto" w:sz="4" w:space="0"/>
              <w:right w:val="single" w:color="auto" w:sz="4" w:space="0"/>
            </w:tcBorders>
            <w:noWrap/>
            <w:vAlign w:val="center"/>
          </w:tcPr>
          <w:p w14:paraId="3F35C140">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排放速率</w:t>
            </w:r>
          </w:p>
          <w:p w14:paraId="0C4380C1">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(kg/h)</w:t>
            </w:r>
          </w:p>
        </w:tc>
        <w:tc>
          <w:tcPr>
            <w:tcW w:w="1004" w:type="dxa"/>
            <w:vMerge w:val="restart"/>
            <w:tcBorders>
              <w:top w:val="single" w:color="auto" w:sz="4" w:space="0"/>
              <w:left w:val="single" w:color="auto" w:sz="4" w:space="0"/>
              <w:bottom w:val="single" w:color="auto" w:sz="4" w:space="0"/>
              <w:right w:val="single" w:color="auto" w:sz="4" w:space="0"/>
            </w:tcBorders>
            <w:noWrap/>
            <w:vAlign w:val="center"/>
          </w:tcPr>
          <w:p w14:paraId="14AF310D">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排气量</w:t>
            </w:r>
            <w:r>
              <w:rPr>
                <w:rFonts w:ascii="Times New Roman" w:hAnsi="Times New Roman"/>
                <w:color w:val="000000" w:themeColor="text1"/>
                <w:kern w:val="2"/>
                <w:sz w:val="22"/>
                <w:lang w:bidi="ar"/>
                <w14:textFill>
                  <w14:solidFill>
                    <w14:schemeClr w14:val="tx1"/>
                  </w14:solidFill>
                </w14:textFill>
              </w:rPr>
              <w:t>(N m</w:t>
            </w:r>
            <w:r>
              <w:rPr>
                <w:rFonts w:ascii="Times New Roman" w:hAnsi="Times New Roman"/>
                <w:color w:val="000000" w:themeColor="text1"/>
                <w:kern w:val="2"/>
                <w:sz w:val="22"/>
                <w:vertAlign w:val="superscript"/>
                <w:lang w:bidi="ar"/>
                <w14:textFill>
                  <w14:solidFill>
                    <w14:schemeClr w14:val="tx1"/>
                  </w14:solidFill>
                </w14:textFill>
              </w:rPr>
              <w:t>3</w:t>
            </w:r>
            <w:r>
              <w:rPr>
                <w:rFonts w:ascii="Times New Roman" w:hAnsi="Times New Roman"/>
                <w:color w:val="000000" w:themeColor="text1"/>
                <w:kern w:val="2"/>
                <w:sz w:val="22"/>
                <w:lang w:bidi="ar"/>
                <w14:textFill>
                  <w14:solidFill>
                    <w14:schemeClr w14:val="tx1"/>
                  </w14:solidFill>
                </w14:textFill>
              </w:rPr>
              <w:t>/h)</w:t>
            </w:r>
          </w:p>
        </w:tc>
        <w:tc>
          <w:tcPr>
            <w:tcW w:w="900" w:type="dxa"/>
            <w:vMerge w:val="restart"/>
            <w:tcBorders>
              <w:top w:val="single" w:color="auto" w:sz="4" w:space="0"/>
              <w:left w:val="single" w:color="auto" w:sz="4" w:space="0"/>
              <w:bottom w:val="single" w:color="auto" w:sz="4" w:space="0"/>
              <w:right w:val="single" w:color="auto" w:sz="4" w:space="0"/>
            </w:tcBorders>
            <w:noWrap/>
            <w:vAlign w:val="center"/>
          </w:tcPr>
          <w:p w14:paraId="1FF97766">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高度</w:t>
            </w:r>
            <w:r>
              <w:rPr>
                <w:rFonts w:ascii="Times New Roman" w:hAnsi="Times New Roman"/>
                <w:color w:val="000000" w:themeColor="text1"/>
                <w:kern w:val="2"/>
                <w:sz w:val="22"/>
                <w:lang w:bidi="ar"/>
                <w14:textFill>
                  <w14:solidFill>
                    <w14:schemeClr w14:val="tx1"/>
                  </w14:solidFill>
                </w14:textFill>
              </w:rPr>
              <w:t>(m)</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406635F5">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执行标准</w:t>
            </w:r>
          </w:p>
        </w:tc>
        <w:tc>
          <w:tcPr>
            <w:tcW w:w="1367" w:type="dxa"/>
            <w:vMerge w:val="restart"/>
            <w:tcBorders>
              <w:top w:val="single" w:color="auto" w:sz="4" w:space="0"/>
              <w:left w:val="single" w:color="auto" w:sz="4" w:space="0"/>
              <w:bottom w:val="single" w:color="auto" w:sz="4" w:space="0"/>
              <w:right w:val="single" w:color="auto" w:sz="4" w:space="0"/>
            </w:tcBorders>
            <w:noWrap/>
            <w:vAlign w:val="center"/>
          </w:tcPr>
          <w:p w14:paraId="2C30D0CC">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排放标准及标准号</w:t>
            </w:r>
            <w:r>
              <w:rPr>
                <w:rFonts w:ascii="Times New Roman" w:hAnsi="Times New Roman"/>
                <w:color w:val="000000" w:themeColor="text1"/>
                <w:kern w:val="2"/>
                <w:sz w:val="22"/>
                <w:lang w:bidi="ar"/>
                <w14:textFill>
                  <w14:solidFill>
                    <w14:schemeClr w14:val="tx1"/>
                  </w14:solidFill>
                </w14:textFill>
              </w:rPr>
              <w:t>)</w:t>
            </w:r>
          </w:p>
        </w:tc>
      </w:tr>
      <w:tr w14:paraId="0948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0" w:type="dxa"/>
            <w:vMerge w:val="continue"/>
            <w:tcBorders>
              <w:top w:val="single" w:color="auto" w:sz="4" w:space="0"/>
              <w:left w:val="single" w:color="auto" w:sz="4" w:space="0"/>
              <w:bottom w:val="single" w:color="auto" w:sz="4" w:space="0"/>
              <w:right w:val="single" w:color="auto" w:sz="4" w:space="0"/>
            </w:tcBorders>
            <w:noWrap/>
            <w:vAlign w:val="center"/>
          </w:tcPr>
          <w:p w14:paraId="5363FCFF">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689" w:type="dxa"/>
            <w:vMerge w:val="continue"/>
            <w:tcBorders>
              <w:top w:val="single" w:color="auto" w:sz="4" w:space="0"/>
              <w:left w:val="single" w:color="auto" w:sz="4" w:space="0"/>
              <w:bottom w:val="single" w:color="auto" w:sz="4" w:space="0"/>
              <w:right w:val="single" w:color="auto" w:sz="4" w:space="0"/>
            </w:tcBorders>
            <w:noWrap/>
            <w:vAlign w:val="center"/>
          </w:tcPr>
          <w:p w14:paraId="3DEDB1FB">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765" w:type="dxa"/>
            <w:vMerge w:val="continue"/>
            <w:tcBorders>
              <w:top w:val="single" w:color="auto" w:sz="4" w:space="0"/>
              <w:left w:val="single" w:color="auto" w:sz="4" w:space="0"/>
              <w:bottom w:val="single" w:color="auto" w:sz="4" w:space="0"/>
              <w:right w:val="single" w:color="auto" w:sz="4" w:space="0"/>
            </w:tcBorders>
            <w:vAlign w:val="center"/>
          </w:tcPr>
          <w:p w14:paraId="62D1C0E0">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131" w:type="dxa"/>
            <w:vMerge w:val="continue"/>
            <w:tcBorders>
              <w:top w:val="single" w:color="auto" w:sz="4" w:space="0"/>
              <w:left w:val="single" w:color="auto" w:sz="4" w:space="0"/>
              <w:bottom w:val="single" w:color="auto" w:sz="4" w:space="0"/>
              <w:right w:val="single" w:color="auto" w:sz="4" w:space="0"/>
            </w:tcBorders>
            <w:noWrap/>
            <w:vAlign w:val="center"/>
          </w:tcPr>
          <w:p w14:paraId="23E13149">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096" w:type="dxa"/>
            <w:vMerge w:val="continue"/>
            <w:tcBorders>
              <w:top w:val="single" w:color="auto" w:sz="4" w:space="0"/>
              <w:left w:val="single" w:color="auto" w:sz="4" w:space="0"/>
              <w:bottom w:val="single" w:color="auto" w:sz="4" w:space="0"/>
              <w:right w:val="single" w:color="auto" w:sz="4" w:space="0"/>
            </w:tcBorders>
            <w:noWrap/>
            <w:vAlign w:val="center"/>
          </w:tcPr>
          <w:p w14:paraId="112C842E">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246" w:type="dxa"/>
            <w:vMerge w:val="continue"/>
            <w:tcBorders>
              <w:top w:val="single" w:color="auto" w:sz="4" w:space="0"/>
              <w:left w:val="single" w:color="auto" w:sz="4" w:space="0"/>
              <w:bottom w:val="single" w:color="auto" w:sz="4" w:space="0"/>
              <w:right w:val="single" w:color="auto" w:sz="4" w:space="0"/>
            </w:tcBorders>
            <w:noWrap/>
            <w:vAlign w:val="center"/>
          </w:tcPr>
          <w:p w14:paraId="73D79733">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004" w:type="dxa"/>
            <w:vMerge w:val="continue"/>
            <w:tcBorders>
              <w:top w:val="single" w:color="auto" w:sz="4" w:space="0"/>
              <w:left w:val="single" w:color="auto" w:sz="4" w:space="0"/>
              <w:bottom w:val="single" w:color="auto" w:sz="4" w:space="0"/>
              <w:right w:val="single" w:color="auto" w:sz="4" w:space="0"/>
            </w:tcBorders>
            <w:noWrap/>
            <w:vAlign w:val="center"/>
          </w:tcPr>
          <w:p w14:paraId="30D06C1A">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900" w:type="dxa"/>
            <w:vMerge w:val="continue"/>
            <w:tcBorders>
              <w:top w:val="single" w:color="auto" w:sz="4" w:space="0"/>
              <w:left w:val="single" w:color="auto" w:sz="4" w:space="0"/>
              <w:bottom w:val="single" w:color="auto" w:sz="4" w:space="0"/>
              <w:right w:val="single" w:color="auto" w:sz="4" w:space="0"/>
            </w:tcBorders>
            <w:noWrap/>
            <w:vAlign w:val="center"/>
          </w:tcPr>
          <w:p w14:paraId="46CFDC90">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vAlign w:val="center"/>
          </w:tcPr>
          <w:p w14:paraId="2F4D6637">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排放浓度</w:t>
            </w:r>
            <w:r>
              <w:rPr>
                <w:rFonts w:ascii="Times New Roman" w:hAnsi="Times New Roman"/>
                <w:color w:val="000000" w:themeColor="text1"/>
                <w:kern w:val="2"/>
                <w:sz w:val="22"/>
                <w:lang w:bidi="ar"/>
                <w14:textFill>
                  <w14:solidFill>
                    <w14:schemeClr w14:val="tx1"/>
                  </w14:solidFill>
                </w14:textFill>
              </w:rPr>
              <w:t>(mg/ m</w:t>
            </w:r>
            <w:r>
              <w:rPr>
                <w:rFonts w:ascii="Times New Roman" w:hAnsi="Times New Roman"/>
                <w:color w:val="000000" w:themeColor="text1"/>
                <w:kern w:val="2"/>
                <w:sz w:val="22"/>
                <w:vertAlign w:val="superscript"/>
                <w:lang w:bidi="ar"/>
                <w14:textFill>
                  <w14:solidFill>
                    <w14:schemeClr w14:val="tx1"/>
                  </w14:solidFill>
                </w14:textFill>
              </w:rPr>
              <w:t>3</w:t>
            </w:r>
            <w:r>
              <w:rPr>
                <w:rFonts w:ascii="Times New Roman" w:hAnsi="Times New Roman"/>
                <w:color w:val="000000" w:themeColor="text1"/>
                <w:kern w:val="2"/>
                <w:sz w:val="22"/>
                <w:lang w:bidi="ar"/>
                <w14:textFill>
                  <w14:solidFill>
                    <w14:schemeClr w14:val="tx1"/>
                  </w14:solidFill>
                </w14:textFill>
              </w:rPr>
              <w:t>)</w:t>
            </w:r>
          </w:p>
        </w:tc>
        <w:tc>
          <w:tcPr>
            <w:tcW w:w="1350" w:type="dxa"/>
            <w:tcBorders>
              <w:top w:val="single" w:color="auto" w:sz="4" w:space="0"/>
              <w:left w:val="single" w:color="auto" w:sz="4" w:space="0"/>
              <w:bottom w:val="single" w:color="auto" w:sz="4" w:space="0"/>
              <w:right w:val="single" w:color="auto" w:sz="4" w:space="0"/>
            </w:tcBorders>
            <w:vAlign w:val="center"/>
          </w:tcPr>
          <w:p w14:paraId="47572705">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排放速率</w:t>
            </w:r>
          </w:p>
          <w:p w14:paraId="7580B8E4">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(kg/h</w:t>
            </w:r>
          </w:p>
        </w:tc>
        <w:tc>
          <w:tcPr>
            <w:tcW w:w="1367" w:type="dxa"/>
            <w:vMerge w:val="continue"/>
            <w:tcBorders>
              <w:top w:val="single" w:color="auto" w:sz="4" w:space="0"/>
              <w:left w:val="single" w:color="auto" w:sz="4" w:space="0"/>
              <w:bottom w:val="single" w:color="auto" w:sz="4" w:space="0"/>
              <w:right w:val="single" w:color="auto" w:sz="4" w:space="0"/>
            </w:tcBorders>
            <w:noWrap/>
            <w:vAlign w:val="center"/>
          </w:tcPr>
          <w:p w14:paraId="6641E701">
            <w:pPr>
              <w:adjustRightInd/>
              <w:ind w:firstLine="400"/>
              <w:rPr>
                <w:rFonts w:hint="eastAsia" w:ascii="等线" w:hAnsi="等线" w:eastAsia="等线" w:cs="等线"/>
                <w:color w:val="000000" w:themeColor="text1"/>
                <w:sz w:val="20"/>
                <w:szCs w:val="20"/>
                <w14:textFill>
                  <w14:solidFill>
                    <w14:schemeClr w14:val="tx1"/>
                  </w14:solidFill>
                </w14:textFill>
              </w:rPr>
            </w:pPr>
          </w:p>
        </w:tc>
      </w:tr>
      <w:tr w14:paraId="53A1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0" w:type="dxa"/>
            <w:vMerge w:val="restart"/>
            <w:tcBorders>
              <w:top w:val="single" w:color="auto" w:sz="4" w:space="0"/>
              <w:left w:val="single" w:color="auto" w:sz="4" w:space="0"/>
              <w:right w:val="single" w:color="auto" w:sz="4" w:space="0"/>
            </w:tcBorders>
            <w:vAlign w:val="center"/>
          </w:tcPr>
          <w:p w14:paraId="2C0202EB">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DA00</w:t>
            </w:r>
            <w:r>
              <w:rPr>
                <w:rFonts w:hint="eastAsia" w:ascii="Times New Roman" w:hAnsi="Times New Roman"/>
                <w:color w:val="000000" w:themeColor="text1"/>
                <w:kern w:val="2"/>
                <w:sz w:val="22"/>
                <w:lang w:bidi="ar"/>
                <w14:textFill>
                  <w14:solidFill>
                    <w14:schemeClr w14:val="tx1"/>
                  </w14:solidFill>
                </w14:textFill>
              </w:rPr>
              <w:t>4</w:t>
            </w:r>
          </w:p>
        </w:tc>
        <w:tc>
          <w:tcPr>
            <w:tcW w:w="1689" w:type="dxa"/>
            <w:vMerge w:val="restart"/>
            <w:tcBorders>
              <w:top w:val="single" w:color="auto" w:sz="4" w:space="0"/>
              <w:left w:val="single" w:color="auto" w:sz="4" w:space="0"/>
              <w:right w:val="single" w:color="auto" w:sz="4" w:space="0"/>
            </w:tcBorders>
            <w:vAlign w:val="center"/>
          </w:tcPr>
          <w:p w14:paraId="6436C8CF">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石墨纯化+碳化硅涂层废气</w:t>
            </w:r>
          </w:p>
        </w:tc>
        <w:tc>
          <w:tcPr>
            <w:tcW w:w="1765" w:type="dxa"/>
            <w:tcBorders>
              <w:top w:val="single" w:color="auto" w:sz="4" w:space="0"/>
              <w:left w:val="single" w:color="auto" w:sz="4" w:space="0"/>
              <w:bottom w:val="single" w:color="auto" w:sz="4" w:space="0"/>
              <w:right w:val="single" w:color="auto" w:sz="4" w:space="0"/>
            </w:tcBorders>
            <w:vAlign w:val="center"/>
          </w:tcPr>
          <w:p w14:paraId="24C2AC6E">
            <w:pPr>
              <w:pStyle w:val="1535"/>
            </w:pPr>
            <w:r>
              <w:rPr>
                <w:snapToGrid/>
              </w:rPr>
              <w:t>氯化氢</w:t>
            </w:r>
          </w:p>
        </w:tc>
        <w:tc>
          <w:tcPr>
            <w:tcW w:w="1131" w:type="dxa"/>
            <w:tcBorders>
              <w:top w:val="single" w:color="auto" w:sz="4" w:space="0"/>
              <w:left w:val="single" w:color="auto" w:sz="4" w:space="0"/>
              <w:bottom w:val="single" w:color="auto" w:sz="4" w:space="0"/>
              <w:right w:val="single" w:color="auto" w:sz="4" w:space="0"/>
            </w:tcBorders>
            <w:vAlign w:val="center"/>
          </w:tcPr>
          <w:p w14:paraId="5B5DBBC5">
            <w:pPr>
              <w:pStyle w:val="1535"/>
            </w:pPr>
            <w:r>
              <w:rPr>
                <w:rFonts w:hint="eastAsia"/>
                <w:snapToGrid/>
              </w:rPr>
              <w:t>0.04</w:t>
            </w:r>
          </w:p>
        </w:tc>
        <w:tc>
          <w:tcPr>
            <w:tcW w:w="1096" w:type="dxa"/>
            <w:tcBorders>
              <w:top w:val="single" w:color="auto" w:sz="4" w:space="0"/>
              <w:left w:val="single" w:color="auto" w:sz="4" w:space="0"/>
              <w:bottom w:val="single" w:color="auto" w:sz="4" w:space="0"/>
              <w:right w:val="single" w:color="auto" w:sz="4" w:space="0"/>
            </w:tcBorders>
            <w:vAlign w:val="center"/>
          </w:tcPr>
          <w:p w14:paraId="35F95D2B">
            <w:pPr>
              <w:pStyle w:val="1535"/>
            </w:pPr>
            <w:r>
              <w:rPr>
                <w:snapToGrid/>
              </w:rPr>
              <w:t>0.</w:t>
            </w:r>
            <w:r>
              <w:rPr>
                <w:rFonts w:hint="eastAsia"/>
                <w:snapToGrid/>
              </w:rPr>
              <w:t>004</w:t>
            </w:r>
          </w:p>
        </w:tc>
        <w:tc>
          <w:tcPr>
            <w:tcW w:w="1246" w:type="dxa"/>
            <w:tcBorders>
              <w:top w:val="single" w:color="auto" w:sz="4" w:space="0"/>
              <w:left w:val="single" w:color="auto" w:sz="4" w:space="0"/>
              <w:bottom w:val="single" w:color="auto" w:sz="4" w:space="0"/>
              <w:right w:val="single" w:color="auto" w:sz="4" w:space="0"/>
            </w:tcBorders>
            <w:vAlign w:val="center"/>
          </w:tcPr>
          <w:p w14:paraId="3A7803FA">
            <w:pPr>
              <w:pStyle w:val="1535"/>
            </w:pPr>
            <w:r>
              <w:rPr>
                <w:snapToGrid/>
              </w:rPr>
              <w:t>0.0</w:t>
            </w:r>
            <w:r>
              <w:rPr>
                <w:rFonts w:hint="eastAsia"/>
                <w:snapToGrid/>
              </w:rPr>
              <w:t>007</w:t>
            </w:r>
          </w:p>
        </w:tc>
        <w:tc>
          <w:tcPr>
            <w:tcW w:w="1004" w:type="dxa"/>
            <w:vMerge w:val="restart"/>
            <w:tcBorders>
              <w:top w:val="single" w:color="auto" w:sz="4" w:space="0"/>
              <w:left w:val="single" w:color="auto" w:sz="4" w:space="0"/>
              <w:right w:val="single" w:color="auto" w:sz="4" w:space="0"/>
            </w:tcBorders>
            <w:vAlign w:val="center"/>
          </w:tcPr>
          <w:p w14:paraId="293D60FE">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20000</w:t>
            </w:r>
          </w:p>
        </w:tc>
        <w:tc>
          <w:tcPr>
            <w:tcW w:w="900" w:type="dxa"/>
            <w:vMerge w:val="restart"/>
            <w:tcBorders>
              <w:top w:val="single" w:color="auto" w:sz="4" w:space="0"/>
              <w:left w:val="single" w:color="auto" w:sz="4" w:space="0"/>
              <w:right w:val="single" w:color="auto" w:sz="4" w:space="0"/>
            </w:tcBorders>
            <w:vAlign w:val="center"/>
          </w:tcPr>
          <w:p w14:paraId="32BEBB94">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25</w:t>
            </w:r>
          </w:p>
        </w:tc>
        <w:tc>
          <w:tcPr>
            <w:tcW w:w="1350" w:type="dxa"/>
            <w:tcBorders>
              <w:top w:val="single" w:color="auto" w:sz="4" w:space="0"/>
              <w:left w:val="single" w:color="auto" w:sz="4" w:space="0"/>
              <w:bottom w:val="single" w:color="auto" w:sz="4" w:space="0"/>
              <w:right w:val="single" w:color="auto" w:sz="4" w:space="0"/>
            </w:tcBorders>
            <w:vAlign w:val="center"/>
          </w:tcPr>
          <w:p w14:paraId="5A2EE54C">
            <w:pPr>
              <w:pStyle w:val="1535"/>
              <w:rPr>
                <w:snapToGrid/>
              </w:rPr>
            </w:pPr>
            <w:r>
              <w:rPr>
                <w:rFonts w:hint="eastAsia"/>
                <w:snapToGrid/>
              </w:rPr>
              <w:t>100</w:t>
            </w:r>
          </w:p>
        </w:tc>
        <w:tc>
          <w:tcPr>
            <w:tcW w:w="1350" w:type="dxa"/>
            <w:tcBorders>
              <w:top w:val="single" w:color="auto" w:sz="4" w:space="0"/>
              <w:left w:val="single" w:color="auto" w:sz="4" w:space="0"/>
              <w:bottom w:val="single" w:color="auto" w:sz="4" w:space="0"/>
              <w:right w:val="single" w:color="auto" w:sz="4" w:space="0"/>
            </w:tcBorders>
            <w:vAlign w:val="center"/>
          </w:tcPr>
          <w:p w14:paraId="541F67DB">
            <w:pPr>
              <w:pStyle w:val="1535"/>
              <w:rPr>
                <w:snapToGrid/>
              </w:rPr>
            </w:pPr>
            <w:r>
              <w:rPr>
                <w:rFonts w:hint="eastAsia"/>
                <w:snapToGrid/>
              </w:rPr>
              <w:t>0.915</w:t>
            </w:r>
          </w:p>
        </w:tc>
        <w:tc>
          <w:tcPr>
            <w:tcW w:w="1367" w:type="dxa"/>
            <w:vMerge w:val="restart"/>
            <w:tcBorders>
              <w:top w:val="single" w:color="auto" w:sz="4" w:space="0"/>
              <w:left w:val="single" w:color="auto" w:sz="4" w:space="0"/>
              <w:bottom w:val="single" w:color="auto" w:sz="4" w:space="0"/>
              <w:right w:val="single" w:color="auto" w:sz="4" w:space="0"/>
            </w:tcBorders>
            <w:vAlign w:val="center"/>
          </w:tcPr>
          <w:p w14:paraId="53E00ED4">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重庆市《大气污染物综合排放标准》（</w:t>
            </w:r>
            <w:r>
              <w:rPr>
                <w:rFonts w:ascii="Times New Roman" w:hAnsi="Times New Roman"/>
                <w:color w:val="000000" w:themeColor="text1"/>
                <w:kern w:val="2"/>
                <w:sz w:val="22"/>
                <w:lang w:bidi="ar"/>
                <w14:textFill>
                  <w14:solidFill>
                    <w14:schemeClr w14:val="tx1"/>
                  </w14:solidFill>
                </w14:textFill>
              </w:rPr>
              <w:t>DB50/</w:t>
            </w:r>
          </w:p>
          <w:p w14:paraId="55A5C5CA">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418-2016</w:t>
            </w:r>
            <w:r>
              <w:rPr>
                <w:rFonts w:hint="eastAsia" w:ascii="Times New Roman" w:hAnsi="Times New Roman" w:cs="宋体"/>
                <w:color w:val="000000" w:themeColor="text1"/>
                <w:kern w:val="2"/>
                <w:sz w:val="22"/>
                <w:lang w:bidi="ar"/>
                <w14:textFill>
                  <w14:solidFill>
                    <w14:schemeClr w14:val="tx1"/>
                  </w14:solidFill>
                </w14:textFill>
              </w:rPr>
              <w:t>）</w:t>
            </w:r>
          </w:p>
        </w:tc>
      </w:tr>
      <w:tr w14:paraId="4F14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0" w:type="dxa"/>
            <w:vMerge w:val="continue"/>
            <w:tcBorders>
              <w:left w:val="single" w:color="auto" w:sz="4" w:space="0"/>
              <w:right w:val="single" w:color="auto" w:sz="4" w:space="0"/>
            </w:tcBorders>
            <w:vAlign w:val="center"/>
          </w:tcPr>
          <w:p w14:paraId="7C03B71C">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p>
        </w:tc>
        <w:tc>
          <w:tcPr>
            <w:tcW w:w="1689" w:type="dxa"/>
            <w:vMerge w:val="continue"/>
            <w:tcBorders>
              <w:left w:val="single" w:color="auto" w:sz="4" w:space="0"/>
              <w:right w:val="single" w:color="auto" w:sz="4" w:space="0"/>
            </w:tcBorders>
            <w:vAlign w:val="center"/>
          </w:tcPr>
          <w:p w14:paraId="3594A9B4">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p>
        </w:tc>
        <w:tc>
          <w:tcPr>
            <w:tcW w:w="1765" w:type="dxa"/>
            <w:tcBorders>
              <w:top w:val="single" w:color="auto" w:sz="4" w:space="0"/>
              <w:left w:val="single" w:color="auto" w:sz="4" w:space="0"/>
              <w:bottom w:val="single" w:color="auto" w:sz="4" w:space="0"/>
              <w:right w:val="single" w:color="auto" w:sz="4" w:space="0"/>
            </w:tcBorders>
            <w:vAlign w:val="center"/>
          </w:tcPr>
          <w:p w14:paraId="233F3409">
            <w:pPr>
              <w:pStyle w:val="1535"/>
              <w:rPr>
                <w:rFonts w:cs="宋体"/>
                <w:snapToGrid/>
                <w:lang w:bidi="ar"/>
              </w:rPr>
            </w:pPr>
            <w:r>
              <w:rPr>
                <w:snapToGrid/>
              </w:rPr>
              <w:t>碳黑尘</w:t>
            </w:r>
          </w:p>
        </w:tc>
        <w:tc>
          <w:tcPr>
            <w:tcW w:w="1131" w:type="dxa"/>
            <w:tcBorders>
              <w:top w:val="single" w:color="auto" w:sz="4" w:space="0"/>
              <w:left w:val="single" w:color="auto" w:sz="4" w:space="0"/>
              <w:bottom w:val="single" w:color="auto" w:sz="4" w:space="0"/>
              <w:right w:val="single" w:color="auto" w:sz="4" w:space="0"/>
            </w:tcBorders>
            <w:vAlign w:val="center"/>
          </w:tcPr>
          <w:p w14:paraId="4ABC0859">
            <w:pPr>
              <w:pStyle w:val="1535"/>
              <w:rPr>
                <w:snapToGrid/>
                <w:lang w:bidi="ar"/>
              </w:rPr>
            </w:pPr>
            <w:r>
              <w:rPr>
                <w:rFonts w:hint="eastAsia"/>
                <w:snapToGrid/>
              </w:rPr>
              <w:t>0.64</w:t>
            </w:r>
          </w:p>
        </w:tc>
        <w:tc>
          <w:tcPr>
            <w:tcW w:w="1096" w:type="dxa"/>
            <w:tcBorders>
              <w:top w:val="single" w:color="auto" w:sz="4" w:space="0"/>
              <w:left w:val="single" w:color="auto" w:sz="4" w:space="0"/>
              <w:bottom w:val="single" w:color="auto" w:sz="4" w:space="0"/>
              <w:right w:val="single" w:color="auto" w:sz="4" w:space="0"/>
            </w:tcBorders>
            <w:vAlign w:val="center"/>
          </w:tcPr>
          <w:p w14:paraId="2A991853">
            <w:pPr>
              <w:pStyle w:val="1535"/>
              <w:rPr>
                <w:snapToGrid/>
                <w:lang w:bidi="ar"/>
              </w:rPr>
            </w:pPr>
            <w:r>
              <w:rPr>
                <w:rFonts w:hint="eastAsia"/>
                <w:snapToGrid/>
              </w:rPr>
              <w:t>0.062</w:t>
            </w:r>
          </w:p>
        </w:tc>
        <w:tc>
          <w:tcPr>
            <w:tcW w:w="1246" w:type="dxa"/>
            <w:tcBorders>
              <w:top w:val="single" w:color="auto" w:sz="4" w:space="0"/>
              <w:left w:val="single" w:color="auto" w:sz="4" w:space="0"/>
              <w:bottom w:val="single" w:color="auto" w:sz="4" w:space="0"/>
              <w:right w:val="single" w:color="auto" w:sz="4" w:space="0"/>
            </w:tcBorders>
            <w:vAlign w:val="center"/>
          </w:tcPr>
          <w:p w14:paraId="4E46E166">
            <w:pPr>
              <w:pStyle w:val="1535"/>
              <w:rPr>
                <w:snapToGrid/>
                <w:lang w:bidi="ar"/>
              </w:rPr>
            </w:pPr>
            <w:r>
              <w:rPr>
                <w:rFonts w:hint="eastAsia"/>
                <w:snapToGrid/>
              </w:rPr>
              <w:t>0.012</w:t>
            </w:r>
          </w:p>
        </w:tc>
        <w:tc>
          <w:tcPr>
            <w:tcW w:w="1004" w:type="dxa"/>
            <w:vMerge w:val="continue"/>
            <w:tcBorders>
              <w:left w:val="single" w:color="auto" w:sz="4" w:space="0"/>
              <w:right w:val="single" w:color="auto" w:sz="4" w:space="0"/>
            </w:tcBorders>
            <w:vAlign w:val="center"/>
          </w:tcPr>
          <w:p w14:paraId="1041D735">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p>
        </w:tc>
        <w:tc>
          <w:tcPr>
            <w:tcW w:w="900" w:type="dxa"/>
            <w:vMerge w:val="continue"/>
            <w:tcBorders>
              <w:left w:val="single" w:color="auto" w:sz="4" w:space="0"/>
              <w:right w:val="single" w:color="auto" w:sz="4" w:space="0"/>
            </w:tcBorders>
            <w:vAlign w:val="center"/>
          </w:tcPr>
          <w:p w14:paraId="48E9B4DD">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vAlign w:val="center"/>
          </w:tcPr>
          <w:p w14:paraId="48CC6D5C">
            <w:pPr>
              <w:pStyle w:val="1535"/>
              <w:rPr>
                <w:snapToGrid/>
              </w:rPr>
            </w:pPr>
            <w:r>
              <w:rPr>
                <w:rFonts w:hint="eastAsia"/>
                <w:snapToGrid/>
              </w:rPr>
              <w:t>10</w:t>
            </w:r>
          </w:p>
        </w:tc>
        <w:tc>
          <w:tcPr>
            <w:tcW w:w="1350" w:type="dxa"/>
            <w:tcBorders>
              <w:top w:val="single" w:color="auto" w:sz="4" w:space="0"/>
              <w:left w:val="single" w:color="auto" w:sz="4" w:space="0"/>
              <w:bottom w:val="single" w:color="auto" w:sz="4" w:space="0"/>
              <w:right w:val="single" w:color="auto" w:sz="4" w:space="0"/>
            </w:tcBorders>
            <w:vAlign w:val="center"/>
          </w:tcPr>
          <w:p w14:paraId="658C2B8D">
            <w:pPr>
              <w:pStyle w:val="1535"/>
              <w:rPr>
                <w:snapToGrid/>
              </w:rPr>
            </w:pPr>
            <w:r>
              <w:rPr>
                <w:rFonts w:hint="eastAsia"/>
                <w:snapToGrid/>
              </w:rPr>
              <w:t>1.15</w:t>
            </w:r>
          </w:p>
        </w:tc>
        <w:tc>
          <w:tcPr>
            <w:tcW w:w="1367" w:type="dxa"/>
            <w:vMerge w:val="continue"/>
            <w:tcBorders>
              <w:left w:val="single" w:color="auto" w:sz="4" w:space="0"/>
              <w:right w:val="single" w:color="auto" w:sz="4" w:space="0"/>
            </w:tcBorders>
            <w:vAlign w:val="center"/>
          </w:tcPr>
          <w:p w14:paraId="4D6FA4DA">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p>
        </w:tc>
      </w:tr>
      <w:tr w14:paraId="2F1D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0" w:type="dxa"/>
            <w:vMerge w:val="continue"/>
            <w:tcBorders>
              <w:left w:val="single" w:color="auto" w:sz="4" w:space="0"/>
              <w:bottom w:val="single" w:color="auto" w:sz="4" w:space="0"/>
              <w:right w:val="single" w:color="auto" w:sz="4" w:space="0"/>
            </w:tcBorders>
            <w:vAlign w:val="center"/>
          </w:tcPr>
          <w:p w14:paraId="50BDE3B1">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p>
        </w:tc>
        <w:tc>
          <w:tcPr>
            <w:tcW w:w="1689" w:type="dxa"/>
            <w:vMerge w:val="continue"/>
            <w:tcBorders>
              <w:left w:val="single" w:color="auto" w:sz="4" w:space="0"/>
              <w:bottom w:val="single" w:color="auto" w:sz="4" w:space="0"/>
              <w:right w:val="single" w:color="auto" w:sz="4" w:space="0"/>
            </w:tcBorders>
            <w:vAlign w:val="center"/>
          </w:tcPr>
          <w:p w14:paraId="1FD4DB1D">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p>
        </w:tc>
        <w:tc>
          <w:tcPr>
            <w:tcW w:w="1765" w:type="dxa"/>
            <w:tcBorders>
              <w:top w:val="single" w:color="auto" w:sz="4" w:space="0"/>
              <w:left w:val="single" w:color="auto" w:sz="4" w:space="0"/>
              <w:bottom w:val="single" w:color="auto" w:sz="4" w:space="0"/>
              <w:right w:val="single" w:color="auto" w:sz="4" w:space="0"/>
            </w:tcBorders>
            <w:vAlign w:val="center"/>
          </w:tcPr>
          <w:p w14:paraId="43E6AAE5">
            <w:pPr>
              <w:pStyle w:val="1535"/>
              <w:rPr>
                <w:rFonts w:cs="宋体"/>
                <w:snapToGrid/>
                <w:lang w:bidi="ar"/>
              </w:rPr>
            </w:pPr>
            <w:r>
              <w:rPr>
                <w:rFonts w:hint="eastAsia"/>
                <w:snapToGrid/>
              </w:rPr>
              <w:t>非甲烷总烃（未反应MTS以非甲烷总烃计）</w:t>
            </w:r>
          </w:p>
        </w:tc>
        <w:tc>
          <w:tcPr>
            <w:tcW w:w="1131" w:type="dxa"/>
            <w:tcBorders>
              <w:top w:val="single" w:color="auto" w:sz="4" w:space="0"/>
              <w:left w:val="single" w:color="auto" w:sz="4" w:space="0"/>
              <w:bottom w:val="single" w:color="auto" w:sz="4" w:space="0"/>
              <w:right w:val="single" w:color="auto" w:sz="4" w:space="0"/>
            </w:tcBorders>
            <w:vAlign w:val="center"/>
          </w:tcPr>
          <w:p w14:paraId="0336F859">
            <w:pPr>
              <w:pStyle w:val="1535"/>
              <w:rPr>
                <w:snapToGrid/>
                <w:lang w:bidi="ar"/>
              </w:rPr>
            </w:pPr>
            <w:r>
              <w:rPr>
                <w:rFonts w:hint="eastAsia"/>
                <w:snapToGrid/>
              </w:rPr>
              <w:t>0.05</w:t>
            </w:r>
          </w:p>
        </w:tc>
        <w:tc>
          <w:tcPr>
            <w:tcW w:w="1096" w:type="dxa"/>
            <w:tcBorders>
              <w:top w:val="single" w:color="auto" w:sz="4" w:space="0"/>
              <w:left w:val="single" w:color="auto" w:sz="4" w:space="0"/>
              <w:bottom w:val="single" w:color="auto" w:sz="4" w:space="0"/>
              <w:right w:val="single" w:color="auto" w:sz="4" w:space="0"/>
            </w:tcBorders>
            <w:vAlign w:val="center"/>
          </w:tcPr>
          <w:p w14:paraId="6EE22A0C">
            <w:pPr>
              <w:pStyle w:val="1535"/>
              <w:rPr>
                <w:snapToGrid/>
                <w:lang w:bidi="ar"/>
              </w:rPr>
            </w:pPr>
            <w:r>
              <w:rPr>
                <w:rFonts w:hint="eastAsia"/>
                <w:snapToGrid/>
              </w:rPr>
              <w:t>0.005</w:t>
            </w:r>
          </w:p>
        </w:tc>
        <w:tc>
          <w:tcPr>
            <w:tcW w:w="1246" w:type="dxa"/>
            <w:tcBorders>
              <w:top w:val="single" w:color="auto" w:sz="4" w:space="0"/>
              <w:left w:val="single" w:color="auto" w:sz="4" w:space="0"/>
              <w:bottom w:val="single" w:color="auto" w:sz="4" w:space="0"/>
              <w:right w:val="single" w:color="auto" w:sz="4" w:space="0"/>
            </w:tcBorders>
            <w:vAlign w:val="center"/>
          </w:tcPr>
          <w:p w14:paraId="757405A5">
            <w:pPr>
              <w:pStyle w:val="1535"/>
              <w:rPr>
                <w:snapToGrid/>
                <w:lang w:bidi="ar"/>
              </w:rPr>
            </w:pPr>
            <w:r>
              <w:rPr>
                <w:rFonts w:hint="eastAsia"/>
                <w:snapToGrid/>
              </w:rPr>
              <w:t>0.005</w:t>
            </w:r>
          </w:p>
        </w:tc>
        <w:tc>
          <w:tcPr>
            <w:tcW w:w="1004" w:type="dxa"/>
            <w:vMerge w:val="continue"/>
            <w:tcBorders>
              <w:left w:val="single" w:color="auto" w:sz="4" w:space="0"/>
              <w:bottom w:val="single" w:color="auto" w:sz="4" w:space="0"/>
              <w:right w:val="single" w:color="auto" w:sz="4" w:space="0"/>
            </w:tcBorders>
            <w:vAlign w:val="center"/>
          </w:tcPr>
          <w:p w14:paraId="7F098273">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p>
        </w:tc>
        <w:tc>
          <w:tcPr>
            <w:tcW w:w="900" w:type="dxa"/>
            <w:vMerge w:val="continue"/>
            <w:tcBorders>
              <w:left w:val="single" w:color="auto" w:sz="4" w:space="0"/>
              <w:bottom w:val="single" w:color="auto" w:sz="4" w:space="0"/>
              <w:right w:val="single" w:color="auto" w:sz="4" w:space="0"/>
            </w:tcBorders>
            <w:vAlign w:val="center"/>
          </w:tcPr>
          <w:p w14:paraId="2ADE6B31">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vAlign w:val="center"/>
          </w:tcPr>
          <w:p w14:paraId="31C3028E">
            <w:pPr>
              <w:pStyle w:val="1535"/>
              <w:rPr>
                <w:snapToGrid/>
              </w:rPr>
            </w:pPr>
            <w:r>
              <w:rPr>
                <w:rFonts w:hint="eastAsia"/>
                <w:snapToGrid/>
              </w:rPr>
              <w:t>120</w:t>
            </w:r>
          </w:p>
        </w:tc>
        <w:tc>
          <w:tcPr>
            <w:tcW w:w="1350" w:type="dxa"/>
            <w:tcBorders>
              <w:top w:val="single" w:color="auto" w:sz="4" w:space="0"/>
              <w:left w:val="single" w:color="auto" w:sz="4" w:space="0"/>
              <w:bottom w:val="single" w:color="auto" w:sz="4" w:space="0"/>
              <w:right w:val="single" w:color="auto" w:sz="4" w:space="0"/>
            </w:tcBorders>
            <w:vAlign w:val="center"/>
          </w:tcPr>
          <w:p w14:paraId="2145CD91">
            <w:pPr>
              <w:pStyle w:val="1535"/>
              <w:rPr>
                <w:snapToGrid/>
              </w:rPr>
            </w:pPr>
            <w:r>
              <w:rPr>
                <w:rFonts w:hint="eastAsia"/>
                <w:snapToGrid/>
              </w:rPr>
              <w:t>35</w:t>
            </w:r>
          </w:p>
        </w:tc>
        <w:tc>
          <w:tcPr>
            <w:tcW w:w="1367" w:type="dxa"/>
            <w:vMerge w:val="continue"/>
            <w:tcBorders>
              <w:left w:val="single" w:color="auto" w:sz="4" w:space="0"/>
              <w:right w:val="single" w:color="auto" w:sz="4" w:space="0"/>
            </w:tcBorders>
            <w:vAlign w:val="center"/>
          </w:tcPr>
          <w:p w14:paraId="0DEBEE33">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p>
        </w:tc>
      </w:tr>
      <w:tr w14:paraId="64B8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14:paraId="24A8B738">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DA00</w:t>
            </w:r>
            <w:r>
              <w:rPr>
                <w:rFonts w:hint="eastAsia" w:ascii="Times New Roman" w:hAnsi="Times New Roman"/>
                <w:color w:val="000000" w:themeColor="text1"/>
                <w:kern w:val="2"/>
                <w:sz w:val="22"/>
                <w:lang w:bidi="ar"/>
                <w14:textFill>
                  <w14:solidFill>
                    <w14:schemeClr w14:val="tx1"/>
                  </w14:solidFill>
                </w14:textFill>
              </w:rPr>
              <w:t>5</w:t>
            </w:r>
          </w:p>
        </w:tc>
        <w:tc>
          <w:tcPr>
            <w:tcW w:w="1689" w:type="dxa"/>
            <w:tcBorders>
              <w:top w:val="single" w:color="auto" w:sz="4" w:space="0"/>
              <w:left w:val="single" w:color="auto" w:sz="4" w:space="0"/>
              <w:bottom w:val="single" w:color="auto" w:sz="4" w:space="0"/>
              <w:right w:val="single" w:color="auto" w:sz="4" w:space="0"/>
            </w:tcBorders>
            <w:vAlign w:val="center"/>
          </w:tcPr>
          <w:p w14:paraId="7789AA6B">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清洗废气</w:t>
            </w:r>
          </w:p>
        </w:tc>
        <w:tc>
          <w:tcPr>
            <w:tcW w:w="1765" w:type="dxa"/>
            <w:tcBorders>
              <w:top w:val="single" w:color="auto" w:sz="4" w:space="0"/>
              <w:left w:val="single" w:color="auto" w:sz="4" w:space="0"/>
              <w:bottom w:val="single" w:color="auto" w:sz="4" w:space="0"/>
              <w:right w:val="single" w:color="auto" w:sz="4" w:space="0"/>
            </w:tcBorders>
            <w:vAlign w:val="center"/>
          </w:tcPr>
          <w:p w14:paraId="775BCB38">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氟化物</w:t>
            </w:r>
          </w:p>
        </w:tc>
        <w:tc>
          <w:tcPr>
            <w:tcW w:w="1131" w:type="dxa"/>
            <w:tcBorders>
              <w:top w:val="single" w:color="auto" w:sz="4" w:space="0"/>
              <w:left w:val="single" w:color="auto" w:sz="4" w:space="0"/>
              <w:bottom w:val="single" w:color="auto" w:sz="4" w:space="0"/>
              <w:right w:val="single" w:color="auto" w:sz="4" w:space="0"/>
            </w:tcBorders>
            <w:vAlign w:val="center"/>
          </w:tcPr>
          <w:p w14:paraId="17902965">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0.12</w:t>
            </w:r>
          </w:p>
        </w:tc>
        <w:tc>
          <w:tcPr>
            <w:tcW w:w="1096" w:type="dxa"/>
            <w:tcBorders>
              <w:top w:val="single" w:color="auto" w:sz="4" w:space="0"/>
              <w:left w:val="single" w:color="auto" w:sz="4" w:space="0"/>
              <w:bottom w:val="single" w:color="auto" w:sz="4" w:space="0"/>
              <w:right w:val="single" w:color="auto" w:sz="4" w:space="0"/>
            </w:tcBorders>
            <w:vAlign w:val="center"/>
          </w:tcPr>
          <w:p w14:paraId="1090B986">
            <w:pPr>
              <w:pStyle w:val="1535"/>
            </w:pPr>
            <w:r>
              <w:rPr>
                <w:snapToGrid/>
              </w:rPr>
              <w:t>0.0</w:t>
            </w:r>
            <w:r>
              <w:rPr>
                <w:rFonts w:hint="eastAsia"/>
                <w:snapToGrid/>
              </w:rPr>
              <w:t>02</w:t>
            </w:r>
          </w:p>
        </w:tc>
        <w:tc>
          <w:tcPr>
            <w:tcW w:w="1246" w:type="dxa"/>
            <w:tcBorders>
              <w:top w:val="single" w:color="auto" w:sz="4" w:space="0"/>
              <w:left w:val="single" w:color="auto" w:sz="4" w:space="0"/>
              <w:bottom w:val="single" w:color="auto" w:sz="4" w:space="0"/>
              <w:right w:val="single" w:color="auto" w:sz="4" w:space="0"/>
            </w:tcBorders>
            <w:vAlign w:val="center"/>
          </w:tcPr>
          <w:p w14:paraId="1B29F524">
            <w:pPr>
              <w:pStyle w:val="1535"/>
            </w:pPr>
            <w:r>
              <w:rPr>
                <w:snapToGrid/>
              </w:rPr>
              <w:t>0.00</w:t>
            </w:r>
            <w:r>
              <w:rPr>
                <w:rFonts w:hint="eastAsia"/>
                <w:snapToGrid/>
              </w:rPr>
              <w:t>2</w:t>
            </w:r>
          </w:p>
        </w:tc>
        <w:tc>
          <w:tcPr>
            <w:tcW w:w="1004" w:type="dxa"/>
            <w:tcBorders>
              <w:top w:val="single" w:color="auto" w:sz="4" w:space="0"/>
              <w:left w:val="single" w:color="auto" w:sz="4" w:space="0"/>
              <w:bottom w:val="single" w:color="auto" w:sz="4" w:space="0"/>
              <w:right w:val="single" w:color="auto" w:sz="4" w:space="0"/>
            </w:tcBorders>
            <w:vAlign w:val="center"/>
          </w:tcPr>
          <w:p w14:paraId="33AE270B">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2</w:t>
            </w:r>
            <w:r>
              <w:rPr>
                <w:rFonts w:ascii="Times New Roman" w:hAnsi="Times New Roman"/>
                <w:color w:val="000000" w:themeColor="text1"/>
                <w:kern w:val="2"/>
                <w:sz w:val="22"/>
                <w:lang w:bidi="ar"/>
                <w14:textFill>
                  <w14:solidFill>
                    <w14:schemeClr w14:val="tx1"/>
                  </w14:solidFill>
                </w14:textFill>
              </w:rPr>
              <w:t>000</w:t>
            </w:r>
          </w:p>
        </w:tc>
        <w:tc>
          <w:tcPr>
            <w:tcW w:w="900" w:type="dxa"/>
            <w:tcBorders>
              <w:top w:val="single" w:color="auto" w:sz="4" w:space="0"/>
              <w:left w:val="single" w:color="auto" w:sz="4" w:space="0"/>
              <w:bottom w:val="single" w:color="auto" w:sz="4" w:space="0"/>
              <w:right w:val="single" w:color="auto" w:sz="4" w:space="0"/>
            </w:tcBorders>
            <w:vAlign w:val="center"/>
          </w:tcPr>
          <w:p w14:paraId="3B1C96FB">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1</w:t>
            </w:r>
            <w:r>
              <w:rPr>
                <w:rFonts w:ascii="Times New Roman" w:hAnsi="Times New Roman"/>
                <w:color w:val="000000" w:themeColor="text1"/>
                <w:kern w:val="2"/>
                <w:sz w:val="22"/>
                <w:lang w:bidi="ar"/>
                <w14:textFill>
                  <w14:solidFill>
                    <w14:schemeClr w14:val="tx1"/>
                  </w14:solidFill>
                </w14:textFill>
              </w:rPr>
              <w:t>5</w:t>
            </w:r>
          </w:p>
        </w:tc>
        <w:tc>
          <w:tcPr>
            <w:tcW w:w="1350" w:type="dxa"/>
            <w:tcBorders>
              <w:top w:val="single" w:color="auto" w:sz="4" w:space="0"/>
              <w:left w:val="single" w:color="auto" w:sz="4" w:space="0"/>
              <w:bottom w:val="single" w:color="auto" w:sz="4" w:space="0"/>
              <w:right w:val="single" w:color="auto" w:sz="4" w:space="0"/>
            </w:tcBorders>
            <w:vAlign w:val="center"/>
          </w:tcPr>
          <w:p w14:paraId="52D8E7AF">
            <w:pPr>
              <w:pStyle w:val="1535"/>
              <w:rPr>
                <w:snapToGrid/>
              </w:rPr>
            </w:pPr>
            <w:r>
              <w:rPr>
                <w:rFonts w:hint="eastAsia"/>
                <w:snapToGrid/>
              </w:rPr>
              <w:t>9</w:t>
            </w:r>
          </w:p>
        </w:tc>
        <w:tc>
          <w:tcPr>
            <w:tcW w:w="1350" w:type="dxa"/>
            <w:tcBorders>
              <w:top w:val="single" w:color="auto" w:sz="4" w:space="0"/>
              <w:left w:val="single" w:color="auto" w:sz="4" w:space="0"/>
              <w:bottom w:val="single" w:color="auto" w:sz="4" w:space="0"/>
              <w:right w:val="single" w:color="auto" w:sz="4" w:space="0"/>
            </w:tcBorders>
            <w:vAlign w:val="center"/>
          </w:tcPr>
          <w:p w14:paraId="663D0FDF">
            <w:pPr>
              <w:pStyle w:val="1535"/>
              <w:rPr>
                <w:snapToGrid/>
              </w:rPr>
            </w:pPr>
            <w:r>
              <w:rPr>
                <w:rFonts w:hint="eastAsia"/>
                <w:snapToGrid/>
              </w:rPr>
              <w:t>0.1</w:t>
            </w:r>
          </w:p>
        </w:tc>
        <w:tc>
          <w:tcPr>
            <w:tcW w:w="1367" w:type="dxa"/>
            <w:vMerge w:val="continue"/>
            <w:tcBorders>
              <w:top w:val="single" w:color="auto" w:sz="4" w:space="0"/>
              <w:left w:val="single" w:color="auto" w:sz="4" w:space="0"/>
              <w:bottom w:val="single" w:color="auto" w:sz="4" w:space="0"/>
              <w:right w:val="single" w:color="auto" w:sz="4" w:space="0"/>
            </w:tcBorders>
            <w:vAlign w:val="center"/>
          </w:tcPr>
          <w:p w14:paraId="4F96BC0C">
            <w:pPr>
              <w:adjustRightInd/>
              <w:ind w:firstLine="400"/>
              <w:rPr>
                <w:rFonts w:hint="eastAsia" w:ascii="等线" w:hAnsi="等线" w:eastAsia="等线" w:cs="等线"/>
                <w:color w:val="000000" w:themeColor="text1"/>
                <w:sz w:val="20"/>
                <w:szCs w:val="20"/>
                <w14:textFill>
                  <w14:solidFill>
                    <w14:schemeClr w14:val="tx1"/>
                  </w14:solidFill>
                </w14:textFill>
              </w:rPr>
            </w:pPr>
          </w:p>
        </w:tc>
      </w:tr>
      <w:tr w14:paraId="6F6B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14:paraId="25F402EB">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DA0</w:t>
            </w:r>
            <w:r>
              <w:rPr>
                <w:rFonts w:hint="eastAsia" w:ascii="Times New Roman" w:hAnsi="Times New Roman"/>
                <w:color w:val="000000" w:themeColor="text1"/>
                <w:kern w:val="2"/>
                <w:sz w:val="22"/>
                <w:lang w:bidi="ar"/>
                <w14:textFill>
                  <w14:solidFill>
                    <w14:schemeClr w14:val="tx1"/>
                  </w14:solidFill>
                </w14:textFill>
              </w:rPr>
              <w:t>16</w:t>
            </w:r>
          </w:p>
        </w:tc>
        <w:tc>
          <w:tcPr>
            <w:tcW w:w="1689" w:type="dxa"/>
            <w:tcBorders>
              <w:top w:val="single" w:color="auto" w:sz="4" w:space="0"/>
              <w:left w:val="single" w:color="auto" w:sz="4" w:space="0"/>
              <w:bottom w:val="single" w:color="auto" w:sz="4" w:space="0"/>
              <w:right w:val="single" w:color="auto" w:sz="4" w:space="0"/>
            </w:tcBorders>
            <w:vAlign w:val="center"/>
          </w:tcPr>
          <w:p w14:paraId="1D20AE37">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石墨机加废气</w:t>
            </w:r>
          </w:p>
        </w:tc>
        <w:tc>
          <w:tcPr>
            <w:tcW w:w="1765" w:type="dxa"/>
            <w:tcBorders>
              <w:top w:val="single" w:color="auto" w:sz="4" w:space="0"/>
              <w:left w:val="single" w:color="auto" w:sz="4" w:space="0"/>
              <w:bottom w:val="single" w:color="auto" w:sz="4" w:space="0"/>
              <w:right w:val="single" w:color="auto" w:sz="4" w:space="0"/>
            </w:tcBorders>
            <w:vAlign w:val="center"/>
          </w:tcPr>
          <w:p w14:paraId="09C83A57">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碳黑尘</w:t>
            </w:r>
          </w:p>
        </w:tc>
        <w:tc>
          <w:tcPr>
            <w:tcW w:w="1131" w:type="dxa"/>
            <w:tcBorders>
              <w:top w:val="single" w:color="auto" w:sz="4" w:space="0"/>
              <w:left w:val="single" w:color="auto" w:sz="4" w:space="0"/>
              <w:bottom w:val="single" w:color="auto" w:sz="4" w:space="0"/>
              <w:right w:val="single" w:color="auto" w:sz="4" w:space="0"/>
            </w:tcBorders>
            <w:vAlign w:val="center"/>
          </w:tcPr>
          <w:p w14:paraId="6172E495">
            <w:pPr>
              <w:pStyle w:val="1535"/>
            </w:pPr>
            <w:r>
              <w:rPr>
                <w:snapToGrid/>
              </w:rPr>
              <w:t>0.</w:t>
            </w:r>
            <w:r>
              <w:rPr>
                <w:rFonts w:hint="eastAsia"/>
                <w:snapToGrid/>
              </w:rPr>
              <w:t>11</w:t>
            </w:r>
          </w:p>
        </w:tc>
        <w:tc>
          <w:tcPr>
            <w:tcW w:w="1096" w:type="dxa"/>
            <w:tcBorders>
              <w:top w:val="single" w:color="auto" w:sz="4" w:space="0"/>
              <w:left w:val="single" w:color="auto" w:sz="4" w:space="0"/>
              <w:bottom w:val="single" w:color="auto" w:sz="4" w:space="0"/>
              <w:right w:val="single" w:color="auto" w:sz="4" w:space="0"/>
            </w:tcBorders>
            <w:vAlign w:val="center"/>
          </w:tcPr>
          <w:p w14:paraId="0FB82530">
            <w:pPr>
              <w:pStyle w:val="1535"/>
            </w:pPr>
            <w:r>
              <w:rPr>
                <w:snapToGrid/>
              </w:rPr>
              <w:t>0.00</w:t>
            </w:r>
            <w:r>
              <w:rPr>
                <w:rFonts w:hint="eastAsia"/>
                <w:snapToGrid/>
              </w:rPr>
              <w:t>2</w:t>
            </w:r>
          </w:p>
        </w:tc>
        <w:tc>
          <w:tcPr>
            <w:tcW w:w="1246" w:type="dxa"/>
            <w:tcBorders>
              <w:top w:val="single" w:color="auto" w:sz="4" w:space="0"/>
              <w:left w:val="single" w:color="auto" w:sz="4" w:space="0"/>
              <w:bottom w:val="single" w:color="auto" w:sz="4" w:space="0"/>
              <w:right w:val="single" w:color="auto" w:sz="4" w:space="0"/>
            </w:tcBorders>
            <w:vAlign w:val="center"/>
          </w:tcPr>
          <w:p w14:paraId="26775BFC">
            <w:pPr>
              <w:pStyle w:val="1535"/>
            </w:pPr>
            <w:r>
              <w:rPr>
                <w:snapToGrid/>
              </w:rPr>
              <w:t>0.00</w:t>
            </w:r>
            <w:r>
              <w:rPr>
                <w:rFonts w:hint="eastAsia"/>
                <w:snapToGrid/>
              </w:rPr>
              <w:t>03</w:t>
            </w:r>
          </w:p>
        </w:tc>
        <w:tc>
          <w:tcPr>
            <w:tcW w:w="1004" w:type="dxa"/>
            <w:tcBorders>
              <w:top w:val="single" w:color="auto" w:sz="4" w:space="0"/>
              <w:left w:val="single" w:color="auto" w:sz="4" w:space="0"/>
              <w:bottom w:val="single" w:color="auto" w:sz="4" w:space="0"/>
              <w:right w:val="single" w:color="auto" w:sz="4" w:space="0"/>
            </w:tcBorders>
            <w:vAlign w:val="center"/>
          </w:tcPr>
          <w:p w14:paraId="4C109934">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3</w:t>
            </w:r>
            <w:r>
              <w:rPr>
                <w:rFonts w:ascii="Times New Roman" w:hAnsi="Times New Roman"/>
                <w:color w:val="000000" w:themeColor="text1"/>
                <w:kern w:val="2"/>
                <w:sz w:val="22"/>
                <w:lang w:bidi="ar"/>
                <w14:textFill>
                  <w14:solidFill>
                    <w14:schemeClr w14:val="tx1"/>
                  </w14:solidFill>
                </w14:textFill>
              </w:rPr>
              <w:t>000</w:t>
            </w:r>
          </w:p>
        </w:tc>
        <w:tc>
          <w:tcPr>
            <w:tcW w:w="900" w:type="dxa"/>
            <w:tcBorders>
              <w:top w:val="single" w:color="auto" w:sz="4" w:space="0"/>
              <w:left w:val="single" w:color="auto" w:sz="4" w:space="0"/>
              <w:bottom w:val="single" w:color="auto" w:sz="4" w:space="0"/>
              <w:right w:val="single" w:color="auto" w:sz="4" w:space="0"/>
            </w:tcBorders>
            <w:vAlign w:val="center"/>
          </w:tcPr>
          <w:p w14:paraId="33D244BF">
            <w:pPr>
              <w:pStyle w:val="1535"/>
            </w:pPr>
            <w:r>
              <w:rPr>
                <w:rFonts w:hint="eastAsia"/>
                <w:snapToGrid/>
              </w:rPr>
              <w:t>15</w:t>
            </w:r>
          </w:p>
        </w:tc>
        <w:tc>
          <w:tcPr>
            <w:tcW w:w="1350" w:type="dxa"/>
            <w:tcBorders>
              <w:top w:val="single" w:color="auto" w:sz="4" w:space="0"/>
              <w:left w:val="single" w:color="auto" w:sz="4" w:space="0"/>
              <w:bottom w:val="single" w:color="auto" w:sz="4" w:space="0"/>
              <w:right w:val="single" w:color="auto" w:sz="4" w:space="0"/>
            </w:tcBorders>
            <w:vAlign w:val="center"/>
          </w:tcPr>
          <w:p w14:paraId="24A41999">
            <w:pPr>
              <w:pStyle w:val="1535"/>
              <w:rPr>
                <w:snapToGrid/>
              </w:rPr>
            </w:pPr>
            <w:r>
              <w:rPr>
                <w:rFonts w:hint="eastAsia"/>
                <w:snapToGrid/>
              </w:rPr>
              <w:t>10</w:t>
            </w:r>
          </w:p>
        </w:tc>
        <w:tc>
          <w:tcPr>
            <w:tcW w:w="1350" w:type="dxa"/>
            <w:tcBorders>
              <w:top w:val="single" w:color="auto" w:sz="4" w:space="0"/>
              <w:left w:val="single" w:color="auto" w:sz="4" w:space="0"/>
              <w:bottom w:val="single" w:color="auto" w:sz="4" w:space="0"/>
              <w:right w:val="single" w:color="auto" w:sz="4" w:space="0"/>
            </w:tcBorders>
            <w:vAlign w:val="center"/>
          </w:tcPr>
          <w:p w14:paraId="4676BDA0">
            <w:pPr>
              <w:pStyle w:val="1535"/>
              <w:rPr>
                <w:snapToGrid/>
              </w:rPr>
            </w:pPr>
            <w:r>
              <w:rPr>
                <w:rFonts w:hint="eastAsia"/>
                <w:snapToGrid/>
              </w:rPr>
              <w:t>0.3</w:t>
            </w:r>
          </w:p>
        </w:tc>
        <w:tc>
          <w:tcPr>
            <w:tcW w:w="1367" w:type="dxa"/>
            <w:vMerge w:val="continue"/>
            <w:tcBorders>
              <w:top w:val="single" w:color="auto" w:sz="4" w:space="0"/>
              <w:left w:val="single" w:color="auto" w:sz="4" w:space="0"/>
              <w:bottom w:val="single" w:color="auto" w:sz="4" w:space="0"/>
              <w:right w:val="single" w:color="auto" w:sz="4" w:space="0"/>
            </w:tcBorders>
            <w:vAlign w:val="center"/>
          </w:tcPr>
          <w:p w14:paraId="5455820F">
            <w:pPr>
              <w:adjustRightInd/>
              <w:ind w:firstLine="400"/>
              <w:rPr>
                <w:rFonts w:hint="eastAsia" w:ascii="等线" w:hAnsi="等线" w:eastAsia="等线" w:cs="等线"/>
                <w:color w:val="000000" w:themeColor="text1"/>
                <w:sz w:val="20"/>
                <w:szCs w:val="20"/>
                <w14:textFill>
                  <w14:solidFill>
                    <w14:schemeClr w14:val="tx1"/>
                  </w14:solidFill>
                </w14:textFill>
              </w:rPr>
            </w:pPr>
          </w:p>
        </w:tc>
      </w:tr>
    </w:tbl>
    <w:p w14:paraId="04332660">
      <w:pPr>
        <w:spacing w:before="24"/>
        <w:ind w:firstLine="0" w:firstLineChars="0"/>
        <w:jc w:val="center"/>
        <w:rPr>
          <w:rFonts w:cs="宋体"/>
          <w:color w:val="000000" w:themeColor="text1"/>
          <w:lang w:bidi="ar"/>
          <w14:textFill>
            <w14:solidFill>
              <w14:schemeClr w14:val="tx1"/>
            </w14:solidFill>
          </w14:textFill>
        </w:rPr>
      </w:pPr>
      <w:r>
        <w:rPr>
          <w:rFonts w:hint="eastAsia" w:cs="宋体"/>
          <w:color w:val="000000" w:themeColor="text1"/>
          <w:szCs w:val="26"/>
          <w:lang w:bidi="ar"/>
          <w14:textFill>
            <w14:solidFill>
              <w14:schemeClr w14:val="tx1"/>
            </w14:solidFill>
          </w14:textFill>
        </w:rPr>
        <w:t>表</w:t>
      </w:r>
      <w:r>
        <w:rPr>
          <w:color w:val="000000" w:themeColor="text1"/>
          <w:lang w:bidi="ar"/>
          <w14:textFill>
            <w14:solidFill>
              <w14:schemeClr w14:val="tx1"/>
            </w14:solidFill>
          </w14:textFill>
        </w:rPr>
        <w:fldChar w:fldCharType="begin"/>
      </w:r>
      <w:r>
        <w:rPr>
          <w:color w:val="000000" w:themeColor="text1"/>
          <w:szCs w:val="26"/>
          <w:lang w:bidi="ar"/>
          <w14:textFill>
            <w14:solidFill>
              <w14:schemeClr w14:val="tx1"/>
            </w14:solidFill>
          </w14:textFill>
        </w:rPr>
        <w:instrText xml:space="preserve"> STYLEREF 2 \s </w:instrText>
      </w:r>
      <w:r>
        <w:rPr>
          <w:color w:val="000000" w:themeColor="text1"/>
          <w:szCs w:val="26"/>
          <w:lang w:bidi="ar"/>
          <w14:textFill>
            <w14:solidFill>
              <w14:schemeClr w14:val="tx1"/>
            </w14:solidFill>
          </w14:textFill>
        </w:rPr>
        <w:fldChar w:fldCharType="separate"/>
      </w:r>
      <w:r>
        <w:rPr>
          <w:color w:val="000000" w:themeColor="text1"/>
          <w:szCs w:val="26"/>
          <w:lang w:bidi="ar"/>
          <w14:textFill>
            <w14:solidFill>
              <w14:schemeClr w14:val="tx1"/>
            </w14:solidFill>
          </w14:textFill>
        </w:rPr>
        <w:t>10.5</w:t>
      </w:r>
      <w:r>
        <w:rPr>
          <w:color w:val="000000" w:themeColor="text1"/>
          <w:lang w:bidi="ar"/>
          <w14:textFill>
            <w14:solidFill>
              <w14:schemeClr w14:val="tx1"/>
            </w14:solidFill>
          </w14:textFill>
        </w:rPr>
        <w:fldChar w:fldCharType="end"/>
      </w:r>
      <w:r>
        <w:rPr>
          <w:color w:val="000000" w:themeColor="text1"/>
          <w:szCs w:val="26"/>
          <w:lang w:bidi="ar"/>
          <w14:textFill>
            <w14:solidFill>
              <w14:schemeClr w14:val="tx1"/>
            </w14:solidFill>
          </w14:textFill>
        </w:rPr>
        <w:noBreakHyphen/>
      </w:r>
      <w:r>
        <w:rPr>
          <w:rFonts w:hint="eastAsia"/>
          <w:color w:val="000000" w:themeColor="text1"/>
          <w:lang w:bidi="ar"/>
          <w14:textFill>
            <w14:solidFill>
              <w14:schemeClr w14:val="tx1"/>
            </w14:solidFill>
          </w14:textFill>
        </w:rPr>
        <w:t>2</w:t>
      </w:r>
      <w:r>
        <w:rPr>
          <w:color w:val="000000" w:themeColor="text1"/>
          <w:szCs w:val="26"/>
          <w:lang w:bidi="ar"/>
          <w14:textFill>
            <w14:solidFill>
              <w14:schemeClr w14:val="tx1"/>
            </w14:solidFill>
          </w14:textFill>
        </w:rPr>
        <w:t xml:space="preserve">  </w:t>
      </w:r>
      <w:r>
        <w:rPr>
          <w:rFonts w:hint="eastAsia" w:cs="宋体"/>
          <w:color w:val="000000" w:themeColor="text1"/>
          <w:lang w:bidi="ar"/>
          <w14:textFill>
            <w14:solidFill>
              <w14:schemeClr w14:val="tx1"/>
            </w14:solidFill>
          </w14:textFill>
        </w:rPr>
        <w:t>扩建项目废水污染源排放清单及执行标准</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4896"/>
        <w:gridCol w:w="1963"/>
        <w:gridCol w:w="2111"/>
        <w:gridCol w:w="4111"/>
      </w:tblGrid>
      <w:tr w14:paraId="3531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0" w:type="pct"/>
            <w:tcBorders>
              <w:top w:val="single" w:color="auto" w:sz="4" w:space="0"/>
              <w:left w:val="single" w:color="auto" w:sz="4" w:space="0"/>
              <w:bottom w:val="single" w:color="auto" w:sz="4" w:space="0"/>
              <w:right w:val="single" w:color="auto" w:sz="4" w:space="0"/>
            </w:tcBorders>
            <w:vAlign w:val="center"/>
          </w:tcPr>
          <w:p w14:paraId="3953F24A">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污染源</w:t>
            </w:r>
          </w:p>
        </w:tc>
        <w:tc>
          <w:tcPr>
            <w:tcW w:w="1721" w:type="pct"/>
            <w:tcBorders>
              <w:top w:val="single" w:color="auto" w:sz="4" w:space="0"/>
              <w:left w:val="single" w:color="auto" w:sz="4" w:space="0"/>
              <w:bottom w:val="single" w:color="auto" w:sz="4" w:space="0"/>
              <w:right w:val="single" w:color="auto" w:sz="4" w:space="0"/>
            </w:tcBorders>
            <w:vAlign w:val="center"/>
          </w:tcPr>
          <w:p w14:paraId="6482CA50">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排放标准及标准号</w:t>
            </w:r>
          </w:p>
        </w:tc>
        <w:tc>
          <w:tcPr>
            <w:tcW w:w="690" w:type="pct"/>
            <w:tcBorders>
              <w:top w:val="single" w:color="auto" w:sz="4" w:space="0"/>
              <w:left w:val="single" w:color="auto" w:sz="4" w:space="0"/>
              <w:bottom w:val="single" w:color="auto" w:sz="4" w:space="0"/>
              <w:right w:val="single" w:color="auto" w:sz="4" w:space="0"/>
            </w:tcBorders>
            <w:vAlign w:val="center"/>
          </w:tcPr>
          <w:p w14:paraId="08983934">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污染因子</w:t>
            </w:r>
          </w:p>
        </w:tc>
        <w:tc>
          <w:tcPr>
            <w:tcW w:w="742" w:type="pct"/>
            <w:tcBorders>
              <w:top w:val="single" w:color="auto" w:sz="4" w:space="0"/>
              <w:left w:val="single" w:color="auto" w:sz="4" w:space="0"/>
              <w:bottom w:val="single" w:color="auto" w:sz="4" w:space="0"/>
              <w:right w:val="single" w:color="auto" w:sz="4" w:space="0"/>
            </w:tcBorders>
            <w:vAlign w:val="center"/>
          </w:tcPr>
          <w:p w14:paraId="52D74712">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排放浓度限值（</w:t>
            </w:r>
            <w:r>
              <w:rPr>
                <w:rFonts w:ascii="Times New Roman" w:hAnsi="Times New Roman"/>
                <w:color w:val="000000" w:themeColor="text1"/>
                <w:kern w:val="2"/>
                <w:sz w:val="22"/>
                <w:lang w:bidi="ar"/>
                <w14:textFill>
                  <w14:solidFill>
                    <w14:schemeClr w14:val="tx1"/>
                  </w14:solidFill>
                </w14:textFill>
              </w:rPr>
              <w:t>mg/L</w:t>
            </w:r>
            <w:r>
              <w:rPr>
                <w:rFonts w:hint="eastAsia" w:ascii="Times New Roman" w:hAnsi="Times New Roman" w:cs="宋体"/>
                <w:color w:val="000000" w:themeColor="text1"/>
                <w:kern w:val="2"/>
                <w:sz w:val="22"/>
                <w:lang w:bidi="ar"/>
                <w14:textFill>
                  <w14:solidFill>
                    <w14:schemeClr w14:val="tx1"/>
                  </w14:solidFill>
                </w14:textFill>
              </w:rPr>
              <w:t>）</w:t>
            </w:r>
          </w:p>
        </w:tc>
        <w:tc>
          <w:tcPr>
            <w:tcW w:w="1445" w:type="pct"/>
            <w:tcBorders>
              <w:top w:val="single" w:color="auto" w:sz="4" w:space="0"/>
              <w:left w:val="single" w:color="auto" w:sz="4" w:space="0"/>
              <w:bottom w:val="single" w:color="auto" w:sz="4" w:space="0"/>
              <w:right w:val="single" w:color="auto" w:sz="4" w:space="0"/>
            </w:tcBorders>
            <w:vAlign w:val="center"/>
          </w:tcPr>
          <w:p w14:paraId="27CE6CCF">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污染物排放量（</w:t>
            </w:r>
            <w:r>
              <w:rPr>
                <w:rFonts w:ascii="Times New Roman" w:hAnsi="Times New Roman"/>
                <w:color w:val="000000" w:themeColor="text1"/>
                <w:kern w:val="2"/>
                <w:sz w:val="22"/>
                <w:lang w:bidi="ar"/>
                <w14:textFill>
                  <w14:solidFill>
                    <w14:schemeClr w14:val="tx1"/>
                  </w14:solidFill>
                </w14:textFill>
              </w:rPr>
              <w:t>t/a</w:t>
            </w:r>
            <w:r>
              <w:rPr>
                <w:rFonts w:hint="eastAsia" w:ascii="Times New Roman" w:hAnsi="Times New Roman" w:cs="宋体"/>
                <w:color w:val="000000" w:themeColor="text1"/>
                <w:kern w:val="2"/>
                <w:sz w:val="22"/>
                <w:lang w:bidi="ar"/>
                <w14:textFill>
                  <w14:solidFill>
                    <w14:schemeClr w14:val="tx1"/>
                  </w14:solidFill>
                </w14:textFill>
              </w:rPr>
              <w:t>）</w:t>
            </w:r>
          </w:p>
        </w:tc>
      </w:tr>
      <w:tr w14:paraId="5FD7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0" w:type="pct"/>
            <w:vMerge w:val="restart"/>
            <w:tcBorders>
              <w:top w:val="single" w:color="auto" w:sz="4" w:space="0"/>
              <w:left w:val="single" w:color="auto" w:sz="4" w:space="0"/>
              <w:bottom w:val="single" w:color="auto" w:sz="4" w:space="0"/>
              <w:right w:val="single" w:color="auto" w:sz="4" w:space="0"/>
            </w:tcBorders>
            <w:vAlign w:val="center"/>
          </w:tcPr>
          <w:p w14:paraId="366311C4">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进入市政污水管网</w:t>
            </w:r>
          </w:p>
        </w:tc>
        <w:tc>
          <w:tcPr>
            <w:tcW w:w="1721" w:type="pct"/>
            <w:vMerge w:val="restart"/>
            <w:tcBorders>
              <w:top w:val="single" w:color="auto" w:sz="4" w:space="0"/>
              <w:left w:val="single" w:color="auto" w:sz="4" w:space="0"/>
              <w:bottom w:val="single" w:color="auto" w:sz="4" w:space="0"/>
              <w:right w:val="single" w:color="auto" w:sz="4" w:space="0"/>
            </w:tcBorders>
            <w:vAlign w:val="center"/>
          </w:tcPr>
          <w:p w14:paraId="11AD527D">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项目污废水经市政管网排入西彭工业园区污水处理厂，经园区污水处理厂处理满足《污水综合排放标准》（</w:t>
            </w:r>
            <w:r>
              <w:rPr>
                <w:rFonts w:ascii="Times New Roman" w:hAnsi="Times New Roman"/>
                <w:color w:val="000000" w:themeColor="text1"/>
                <w:kern w:val="2"/>
                <w:sz w:val="22"/>
                <w:lang w:bidi="ar"/>
                <w14:textFill>
                  <w14:solidFill>
                    <w14:schemeClr w14:val="tx1"/>
                  </w14:solidFill>
                </w14:textFill>
              </w:rPr>
              <w:t>GB8978-1996</w:t>
            </w:r>
            <w:r>
              <w:rPr>
                <w:rFonts w:hint="eastAsia" w:ascii="Times New Roman" w:hAnsi="Times New Roman" w:cs="宋体"/>
                <w:color w:val="000000" w:themeColor="text1"/>
                <w:kern w:val="2"/>
                <w:sz w:val="22"/>
                <w:lang w:bidi="ar"/>
                <w14:textFill>
                  <w14:solidFill>
                    <w14:schemeClr w14:val="tx1"/>
                  </w14:solidFill>
                </w14:textFill>
              </w:rPr>
              <w:t>）一级标准后排放至长江。</w:t>
            </w:r>
          </w:p>
        </w:tc>
        <w:tc>
          <w:tcPr>
            <w:tcW w:w="690" w:type="pct"/>
            <w:tcBorders>
              <w:top w:val="single" w:color="auto" w:sz="4" w:space="0"/>
              <w:left w:val="single" w:color="auto" w:sz="4" w:space="0"/>
              <w:bottom w:val="single" w:color="auto" w:sz="4" w:space="0"/>
              <w:right w:val="single" w:color="auto" w:sz="4" w:space="0"/>
            </w:tcBorders>
            <w:vAlign w:val="center"/>
          </w:tcPr>
          <w:p w14:paraId="4142476C">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COD</w:t>
            </w:r>
          </w:p>
        </w:tc>
        <w:tc>
          <w:tcPr>
            <w:tcW w:w="742" w:type="pct"/>
            <w:tcBorders>
              <w:top w:val="single" w:color="auto" w:sz="4" w:space="0"/>
              <w:left w:val="single" w:color="auto" w:sz="4" w:space="0"/>
              <w:bottom w:val="single" w:color="auto" w:sz="4" w:space="0"/>
              <w:right w:val="single" w:color="auto" w:sz="4" w:space="0"/>
            </w:tcBorders>
            <w:vAlign w:val="center"/>
          </w:tcPr>
          <w:p w14:paraId="26BAD50D">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100</w:t>
            </w:r>
          </w:p>
        </w:tc>
        <w:tc>
          <w:tcPr>
            <w:tcW w:w="2496" w:type="dxa"/>
            <w:tcBorders>
              <w:top w:val="single" w:color="auto" w:sz="4" w:space="0"/>
              <w:left w:val="single" w:color="auto" w:sz="4" w:space="0"/>
              <w:bottom w:val="single" w:color="auto" w:sz="4" w:space="0"/>
              <w:right w:val="single" w:color="auto" w:sz="4" w:space="0"/>
            </w:tcBorders>
            <w:noWrap/>
            <w:vAlign w:val="center"/>
          </w:tcPr>
          <w:p w14:paraId="688C0CE4">
            <w:pPr>
              <w:widowControl/>
              <w:adjustRightInd/>
              <w:snapToGrid/>
              <w:spacing w:line="240" w:lineRule="auto"/>
              <w:ind w:firstLine="0" w:firstLineChars="0"/>
              <w:jc w:val="center"/>
              <w:rPr>
                <w:color w:val="000000" w:themeColor="text1"/>
                <w14:textFill>
                  <w14:solidFill>
                    <w14:schemeClr w14:val="tx1"/>
                  </w14:solidFill>
                </w14:textFill>
              </w:rPr>
            </w:pPr>
            <w:r>
              <w:rPr>
                <w:snapToGrid/>
                <w:color w:val="000000" w:themeColor="text1"/>
                <w:sz w:val="21"/>
                <w:szCs w:val="21"/>
                <w14:textFill>
                  <w14:solidFill>
                    <w14:schemeClr w14:val="tx1"/>
                  </w14:solidFill>
                </w14:textFill>
              </w:rPr>
              <w:t xml:space="preserve">0.281 </w:t>
            </w:r>
          </w:p>
        </w:tc>
      </w:tr>
      <w:tr w14:paraId="30CC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0" w:type="pct"/>
            <w:vMerge w:val="continue"/>
            <w:tcBorders>
              <w:top w:val="single" w:color="auto" w:sz="4" w:space="0"/>
              <w:left w:val="single" w:color="auto" w:sz="4" w:space="0"/>
              <w:bottom w:val="single" w:color="auto" w:sz="4" w:space="0"/>
              <w:right w:val="single" w:color="auto" w:sz="4" w:space="0"/>
            </w:tcBorders>
            <w:vAlign w:val="center"/>
          </w:tcPr>
          <w:p w14:paraId="680B4A9B">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721" w:type="pct"/>
            <w:vMerge w:val="continue"/>
            <w:tcBorders>
              <w:top w:val="single" w:color="auto" w:sz="4" w:space="0"/>
              <w:left w:val="single" w:color="auto" w:sz="4" w:space="0"/>
              <w:bottom w:val="single" w:color="auto" w:sz="4" w:space="0"/>
              <w:right w:val="single" w:color="auto" w:sz="4" w:space="0"/>
            </w:tcBorders>
            <w:vAlign w:val="center"/>
          </w:tcPr>
          <w:p w14:paraId="143A0702">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690" w:type="pct"/>
            <w:tcBorders>
              <w:top w:val="single" w:color="auto" w:sz="4" w:space="0"/>
              <w:left w:val="single" w:color="auto" w:sz="4" w:space="0"/>
              <w:bottom w:val="single" w:color="auto" w:sz="4" w:space="0"/>
              <w:right w:val="single" w:color="auto" w:sz="4" w:space="0"/>
            </w:tcBorders>
            <w:vAlign w:val="center"/>
          </w:tcPr>
          <w:p w14:paraId="112BA462">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SS</w:t>
            </w:r>
          </w:p>
        </w:tc>
        <w:tc>
          <w:tcPr>
            <w:tcW w:w="742" w:type="pct"/>
            <w:tcBorders>
              <w:top w:val="single" w:color="auto" w:sz="4" w:space="0"/>
              <w:left w:val="single" w:color="auto" w:sz="4" w:space="0"/>
              <w:bottom w:val="single" w:color="auto" w:sz="4" w:space="0"/>
              <w:right w:val="single" w:color="auto" w:sz="4" w:space="0"/>
            </w:tcBorders>
            <w:vAlign w:val="center"/>
          </w:tcPr>
          <w:p w14:paraId="524DF01C">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70</w:t>
            </w:r>
          </w:p>
        </w:tc>
        <w:tc>
          <w:tcPr>
            <w:tcW w:w="2496" w:type="dxa"/>
            <w:tcBorders>
              <w:top w:val="single" w:color="auto" w:sz="4" w:space="0"/>
              <w:left w:val="single" w:color="auto" w:sz="4" w:space="0"/>
              <w:bottom w:val="single" w:color="auto" w:sz="4" w:space="0"/>
              <w:right w:val="single" w:color="auto" w:sz="4" w:space="0"/>
            </w:tcBorders>
            <w:noWrap/>
            <w:vAlign w:val="center"/>
          </w:tcPr>
          <w:p w14:paraId="130137F8">
            <w:pPr>
              <w:widowControl/>
              <w:adjustRightInd/>
              <w:snapToGrid/>
              <w:spacing w:line="240" w:lineRule="auto"/>
              <w:ind w:firstLine="0" w:firstLineChars="0"/>
              <w:jc w:val="center"/>
              <w:rPr>
                <w:color w:val="000000" w:themeColor="text1"/>
                <w14:textFill>
                  <w14:solidFill>
                    <w14:schemeClr w14:val="tx1"/>
                  </w14:solidFill>
                </w14:textFill>
              </w:rPr>
            </w:pPr>
            <w:r>
              <w:rPr>
                <w:snapToGrid/>
                <w:color w:val="000000" w:themeColor="text1"/>
                <w:sz w:val="21"/>
                <w:szCs w:val="21"/>
                <w14:textFill>
                  <w14:solidFill>
                    <w14:schemeClr w14:val="tx1"/>
                  </w14:solidFill>
                </w14:textFill>
              </w:rPr>
              <w:t xml:space="preserve">0.197 </w:t>
            </w:r>
          </w:p>
        </w:tc>
      </w:tr>
      <w:tr w14:paraId="71C0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0" w:type="pct"/>
            <w:vMerge w:val="continue"/>
            <w:tcBorders>
              <w:top w:val="single" w:color="auto" w:sz="4" w:space="0"/>
              <w:left w:val="single" w:color="auto" w:sz="4" w:space="0"/>
              <w:bottom w:val="single" w:color="auto" w:sz="4" w:space="0"/>
              <w:right w:val="single" w:color="auto" w:sz="4" w:space="0"/>
            </w:tcBorders>
            <w:vAlign w:val="center"/>
          </w:tcPr>
          <w:p w14:paraId="3D7D8C22">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721" w:type="pct"/>
            <w:vMerge w:val="continue"/>
            <w:tcBorders>
              <w:top w:val="single" w:color="auto" w:sz="4" w:space="0"/>
              <w:left w:val="single" w:color="auto" w:sz="4" w:space="0"/>
              <w:bottom w:val="single" w:color="auto" w:sz="4" w:space="0"/>
              <w:right w:val="single" w:color="auto" w:sz="4" w:space="0"/>
            </w:tcBorders>
            <w:vAlign w:val="center"/>
          </w:tcPr>
          <w:p w14:paraId="1475D4B6">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690" w:type="pct"/>
            <w:tcBorders>
              <w:top w:val="single" w:color="auto" w:sz="4" w:space="0"/>
              <w:left w:val="single" w:color="auto" w:sz="4" w:space="0"/>
              <w:bottom w:val="single" w:color="auto" w:sz="4" w:space="0"/>
              <w:right w:val="single" w:color="auto" w:sz="4" w:space="0"/>
            </w:tcBorders>
            <w:vAlign w:val="center"/>
          </w:tcPr>
          <w:p w14:paraId="076E143A">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石油类</w:t>
            </w:r>
          </w:p>
        </w:tc>
        <w:tc>
          <w:tcPr>
            <w:tcW w:w="742" w:type="pct"/>
            <w:tcBorders>
              <w:top w:val="single" w:color="auto" w:sz="4" w:space="0"/>
              <w:left w:val="single" w:color="auto" w:sz="4" w:space="0"/>
              <w:bottom w:val="single" w:color="auto" w:sz="4" w:space="0"/>
              <w:right w:val="single" w:color="auto" w:sz="4" w:space="0"/>
            </w:tcBorders>
            <w:vAlign w:val="center"/>
          </w:tcPr>
          <w:p w14:paraId="250A9AD6">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5</w:t>
            </w:r>
          </w:p>
        </w:tc>
        <w:tc>
          <w:tcPr>
            <w:tcW w:w="2496" w:type="dxa"/>
            <w:tcBorders>
              <w:top w:val="single" w:color="auto" w:sz="4" w:space="0"/>
              <w:left w:val="single" w:color="auto" w:sz="4" w:space="0"/>
              <w:bottom w:val="single" w:color="auto" w:sz="4" w:space="0"/>
              <w:right w:val="single" w:color="auto" w:sz="4" w:space="0"/>
            </w:tcBorders>
            <w:noWrap/>
            <w:vAlign w:val="center"/>
          </w:tcPr>
          <w:p w14:paraId="22E2CC33">
            <w:pPr>
              <w:widowControl/>
              <w:adjustRightInd/>
              <w:snapToGrid/>
              <w:spacing w:line="240" w:lineRule="auto"/>
              <w:ind w:firstLine="0" w:firstLineChars="0"/>
              <w:jc w:val="center"/>
              <w:rPr>
                <w:color w:val="000000" w:themeColor="text1"/>
                <w14:textFill>
                  <w14:solidFill>
                    <w14:schemeClr w14:val="tx1"/>
                  </w14:solidFill>
                </w14:textFill>
              </w:rPr>
            </w:pPr>
            <w:r>
              <w:rPr>
                <w:snapToGrid/>
                <w:color w:val="000000" w:themeColor="text1"/>
                <w:sz w:val="21"/>
                <w:szCs w:val="21"/>
                <w14:textFill>
                  <w14:solidFill>
                    <w14:schemeClr w14:val="tx1"/>
                  </w14:solidFill>
                </w14:textFill>
              </w:rPr>
              <w:t xml:space="preserve">0.014 </w:t>
            </w:r>
          </w:p>
        </w:tc>
      </w:tr>
      <w:tr w14:paraId="1F4A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0" w:type="pct"/>
            <w:vMerge w:val="continue"/>
            <w:tcBorders>
              <w:top w:val="single" w:color="auto" w:sz="4" w:space="0"/>
              <w:left w:val="single" w:color="auto" w:sz="4" w:space="0"/>
              <w:bottom w:val="single" w:color="auto" w:sz="4" w:space="0"/>
              <w:right w:val="single" w:color="auto" w:sz="4" w:space="0"/>
            </w:tcBorders>
            <w:vAlign w:val="center"/>
          </w:tcPr>
          <w:p w14:paraId="02E6913B">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721" w:type="pct"/>
            <w:vMerge w:val="continue"/>
            <w:tcBorders>
              <w:top w:val="single" w:color="auto" w:sz="4" w:space="0"/>
              <w:left w:val="single" w:color="auto" w:sz="4" w:space="0"/>
              <w:bottom w:val="single" w:color="auto" w:sz="4" w:space="0"/>
              <w:right w:val="single" w:color="auto" w:sz="4" w:space="0"/>
            </w:tcBorders>
            <w:vAlign w:val="center"/>
          </w:tcPr>
          <w:p w14:paraId="625E488B">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690" w:type="pct"/>
            <w:tcBorders>
              <w:top w:val="single" w:color="auto" w:sz="4" w:space="0"/>
              <w:left w:val="single" w:color="auto" w:sz="4" w:space="0"/>
              <w:bottom w:val="single" w:color="auto" w:sz="4" w:space="0"/>
              <w:right w:val="single" w:color="auto" w:sz="4" w:space="0"/>
            </w:tcBorders>
            <w:vAlign w:val="center"/>
          </w:tcPr>
          <w:p w14:paraId="5611DA9B">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氟化物</w:t>
            </w:r>
          </w:p>
        </w:tc>
        <w:tc>
          <w:tcPr>
            <w:tcW w:w="742" w:type="pct"/>
            <w:tcBorders>
              <w:top w:val="single" w:color="auto" w:sz="4" w:space="0"/>
              <w:left w:val="single" w:color="auto" w:sz="4" w:space="0"/>
              <w:bottom w:val="single" w:color="auto" w:sz="4" w:space="0"/>
              <w:right w:val="single" w:color="auto" w:sz="4" w:space="0"/>
            </w:tcBorders>
            <w:vAlign w:val="center"/>
          </w:tcPr>
          <w:p w14:paraId="05FC628D">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10</w:t>
            </w:r>
          </w:p>
        </w:tc>
        <w:tc>
          <w:tcPr>
            <w:tcW w:w="2496" w:type="dxa"/>
            <w:tcBorders>
              <w:top w:val="single" w:color="auto" w:sz="4" w:space="0"/>
              <w:left w:val="single" w:color="auto" w:sz="4" w:space="0"/>
              <w:bottom w:val="single" w:color="auto" w:sz="4" w:space="0"/>
              <w:right w:val="single" w:color="auto" w:sz="4" w:space="0"/>
            </w:tcBorders>
            <w:noWrap/>
            <w:vAlign w:val="center"/>
          </w:tcPr>
          <w:p w14:paraId="3E5D6076">
            <w:pPr>
              <w:widowControl/>
              <w:adjustRightInd/>
              <w:snapToGrid/>
              <w:spacing w:line="240" w:lineRule="auto"/>
              <w:ind w:firstLine="0" w:firstLineChars="0"/>
              <w:jc w:val="center"/>
              <w:rPr>
                <w:color w:val="000000" w:themeColor="text1"/>
                <w14:textFill>
                  <w14:solidFill>
                    <w14:schemeClr w14:val="tx1"/>
                  </w14:solidFill>
                </w14:textFill>
              </w:rPr>
            </w:pPr>
            <w:r>
              <w:rPr>
                <w:snapToGrid/>
                <w:color w:val="000000" w:themeColor="text1"/>
                <w:sz w:val="21"/>
                <w:szCs w:val="21"/>
                <w14:textFill>
                  <w14:solidFill>
                    <w14:schemeClr w14:val="tx1"/>
                  </w14:solidFill>
                </w14:textFill>
              </w:rPr>
              <w:t xml:space="preserve">0.028 </w:t>
            </w:r>
          </w:p>
        </w:tc>
      </w:tr>
      <w:tr w14:paraId="1BA1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0" w:type="pct"/>
            <w:vMerge w:val="continue"/>
            <w:tcBorders>
              <w:top w:val="single" w:color="auto" w:sz="4" w:space="0"/>
              <w:left w:val="single" w:color="auto" w:sz="4" w:space="0"/>
              <w:bottom w:val="single" w:color="auto" w:sz="4" w:space="0"/>
              <w:right w:val="single" w:color="auto" w:sz="4" w:space="0"/>
            </w:tcBorders>
            <w:vAlign w:val="center"/>
          </w:tcPr>
          <w:p w14:paraId="06350732">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721" w:type="pct"/>
            <w:vMerge w:val="continue"/>
            <w:tcBorders>
              <w:top w:val="single" w:color="auto" w:sz="4" w:space="0"/>
              <w:left w:val="single" w:color="auto" w:sz="4" w:space="0"/>
              <w:bottom w:val="single" w:color="auto" w:sz="4" w:space="0"/>
              <w:right w:val="single" w:color="auto" w:sz="4" w:space="0"/>
            </w:tcBorders>
            <w:vAlign w:val="center"/>
          </w:tcPr>
          <w:p w14:paraId="3B61B692">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690" w:type="pct"/>
            <w:tcBorders>
              <w:top w:val="single" w:color="auto" w:sz="4" w:space="0"/>
              <w:left w:val="single" w:color="auto" w:sz="4" w:space="0"/>
              <w:bottom w:val="single" w:color="auto" w:sz="4" w:space="0"/>
              <w:right w:val="single" w:color="auto" w:sz="4" w:space="0"/>
            </w:tcBorders>
            <w:vAlign w:val="center"/>
          </w:tcPr>
          <w:p w14:paraId="2EA5DBBA">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氨氮</w:t>
            </w:r>
          </w:p>
        </w:tc>
        <w:tc>
          <w:tcPr>
            <w:tcW w:w="742" w:type="pct"/>
            <w:tcBorders>
              <w:top w:val="single" w:color="auto" w:sz="4" w:space="0"/>
              <w:left w:val="single" w:color="auto" w:sz="4" w:space="0"/>
              <w:bottom w:val="single" w:color="auto" w:sz="4" w:space="0"/>
              <w:right w:val="single" w:color="auto" w:sz="4" w:space="0"/>
            </w:tcBorders>
            <w:vAlign w:val="center"/>
          </w:tcPr>
          <w:p w14:paraId="2BEB3C7F">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15</w:t>
            </w:r>
          </w:p>
        </w:tc>
        <w:tc>
          <w:tcPr>
            <w:tcW w:w="2496" w:type="dxa"/>
            <w:tcBorders>
              <w:top w:val="single" w:color="auto" w:sz="4" w:space="0"/>
              <w:left w:val="single" w:color="auto" w:sz="4" w:space="0"/>
              <w:bottom w:val="single" w:color="auto" w:sz="4" w:space="0"/>
              <w:right w:val="single" w:color="auto" w:sz="4" w:space="0"/>
            </w:tcBorders>
            <w:noWrap/>
            <w:vAlign w:val="center"/>
          </w:tcPr>
          <w:p w14:paraId="7A7CAA60">
            <w:pPr>
              <w:widowControl/>
              <w:adjustRightInd/>
              <w:snapToGrid/>
              <w:spacing w:line="240" w:lineRule="auto"/>
              <w:ind w:firstLine="0" w:firstLineChars="0"/>
              <w:jc w:val="center"/>
              <w:rPr>
                <w:color w:val="000000" w:themeColor="text1"/>
                <w14:textFill>
                  <w14:solidFill>
                    <w14:schemeClr w14:val="tx1"/>
                  </w14:solidFill>
                </w14:textFill>
              </w:rPr>
            </w:pPr>
            <w:r>
              <w:rPr>
                <w:snapToGrid/>
                <w:color w:val="000000" w:themeColor="text1"/>
                <w:sz w:val="21"/>
                <w:szCs w:val="21"/>
                <w14:textFill>
                  <w14:solidFill>
                    <w14:schemeClr w14:val="tx1"/>
                  </w14:solidFill>
                </w14:textFill>
              </w:rPr>
              <w:t xml:space="preserve">0.042 </w:t>
            </w:r>
          </w:p>
        </w:tc>
      </w:tr>
      <w:tr w14:paraId="64B6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0" w:type="pct"/>
            <w:vMerge w:val="continue"/>
            <w:tcBorders>
              <w:top w:val="single" w:color="auto" w:sz="4" w:space="0"/>
              <w:left w:val="single" w:color="auto" w:sz="4" w:space="0"/>
              <w:bottom w:val="single" w:color="auto" w:sz="4" w:space="0"/>
              <w:right w:val="single" w:color="auto" w:sz="4" w:space="0"/>
            </w:tcBorders>
            <w:vAlign w:val="center"/>
          </w:tcPr>
          <w:p w14:paraId="107CDD90">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721" w:type="pct"/>
            <w:vMerge w:val="continue"/>
            <w:tcBorders>
              <w:top w:val="single" w:color="auto" w:sz="4" w:space="0"/>
              <w:left w:val="single" w:color="auto" w:sz="4" w:space="0"/>
              <w:bottom w:val="single" w:color="auto" w:sz="4" w:space="0"/>
              <w:right w:val="single" w:color="auto" w:sz="4" w:space="0"/>
            </w:tcBorders>
            <w:vAlign w:val="center"/>
          </w:tcPr>
          <w:p w14:paraId="214CA77E">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690" w:type="pct"/>
            <w:tcBorders>
              <w:top w:val="single" w:color="auto" w:sz="4" w:space="0"/>
              <w:left w:val="single" w:color="auto" w:sz="4" w:space="0"/>
              <w:bottom w:val="single" w:color="auto" w:sz="4" w:space="0"/>
              <w:right w:val="single" w:color="auto" w:sz="4" w:space="0"/>
            </w:tcBorders>
            <w:vAlign w:val="center"/>
          </w:tcPr>
          <w:p w14:paraId="14C25FDF">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动植物油</w:t>
            </w:r>
          </w:p>
        </w:tc>
        <w:tc>
          <w:tcPr>
            <w:tcW w:w="742" w:type="pct"/>
            <w:tcBorders>
              <w:top w:val="single" w:color="auto" w:sz="4" w:space="0"/>
              <w:left w:val="single" w:color="auto" w:sz="4" w:space="0"/>
              <w:bottom w:val="single" w:color="auto" w:sz="4" w:space="0"/>
              <w:right w:val="single" w:color="auto" w:sz="4" w:space="0"/>
            </w:tcBorders>
            <w:vAlign w:val="center"/>
          </w:tcPr>
          <w:p w14:paraId="7FE4B258">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10</w:t>
            </w:r>
          </w:p>
        </w:tc>
        <w:tc>
          <w:tcPr>
            <w:tcW w:w="2496" w:type="dxa"/>
            <w:tcBorders>
              <w:top w:val="single" w:color="auto" w:sz="4" w:space="0"/>
              <w:left w:val="single" w:color="auto" w:sz="4" w:space="0"/>
              <w:bottom w:val="single" w:color="auto" w:sz="4" w:space="0"/>
              <w:right w:val="single" w:color="auto" w:sz="4" w:space="0"/>
            </w:tcBorders>
            <w:noWrap/>
            <w:vAlign w:val="center"/>
          </w:tcPr>
          <w:p w14:paraId="039ACCFD">
            <w:pPr>
              <w:widowControl/>
              <w:adjustRightInd/>
              <w:snapToGrid/>
              <w:spacing w:line="240" w:lineRule="auto"/>
              <w:ind w:firstLine="0" w:firstLineChars="0"/>
              <w:jc w:val="center"/>
              <w:rPr>
                <w:color w:val="000000" w:themeColor="text1"/>
                <w14:textFill>
                  <w14:solidFill>
                    <w14:schemeClr w14:val="tx1"/>
                  </w14:solidFill>
                </w14:textFill>
              </w:rPr>
            </w:pPr>
            <w:r>
              <w:rPr>
                <w:snapToGrid/>
                <w:color w:val="000000" w:themeColor="text1"/>
                <w:sz w:val="21"/>
                <w:szCs w:val="21"/>
                <w14:textFill>
                  <w14:solidFill>
                    <w14:schemeClr w14:val="tx1"/>
                  </w14:solidFill>
                </w14:textFill>
              </w:rPr>
              <w:t xml:space="preserve">0.009 </w:t>
            </w:r>
          </w:p>
        </w:tc>
      </w:tr>
    </w:tbl>
    <w:p w14:paraId="4FEA6889">
      <w:pPr>
        <w:spacing w:before="24"/>
        <w:ind w:firstLine="0" w:firstLineChars="0"/>
        <w:jc w:val="center"/>
        <w:rPr>
          <w:rFonts w:cs="宋体"/>
          <w:color w:val="000000" w:themeColor="text1"/>
          <w:lang w:bidi="ar"/>
          <w14:textFill>
            <w14:solidFill>
              <w14:schemeClr w14:val="tx1"/>
            </w14:solidFill>
          </w14:textFill>
        </w:rPr>
      </w:pPr>
      <w:r>
        <w:rPr>
          <w:rFonts w:hint="eastAsia" w:cs="宋体"/>
          <w:color w:val="000000" w:themeColor="text1"/>
          <w:szCs w:val="26"/>
          <w:lang w:bidi="ar"/>
          <w14:textFill>
            <w14:solidFill>
              <w14:schemeClr w14:val="tx1"/>
            </w14:solidFill>
          </w14:textFill>
        </w:rPr>
        <w:t>表</w:t>
      </w:r>
      <w:r>
        <w:rPr>
          <w:color w:val="000000" w:themeColor="text1"/>
          <w:lang w:bidi="ar"/>
          <w14:textFill>
            <w14:solidFill>
              <w14:schemeClr w14:val="tx1"/>
            </w14:solidFill>
          </w14:textFill>
        </w:rPr>
        <w:fldChar w:fldCharType="begin"/>
      </w:r>
      <w:r>
        <w:rPr>
          <w:color w:val="000000" w:themeColor="text1"/>
          <w:szCs w:val="26"/>
          <w:lang w:bidi="ar"/>
          <w14:textFill>
            <w14:solidFill>
              <w14:schemeClr w14:val="tx1"/>
            </w14:solidFill>
          </w14:textFill>
        </w:rPr>
        <w:instrText xml:space="preserve"> STYLEREF 2 \s </w:instrText>
      </w:r>
      <w:r>
        <w:rPr>
          <w:color w:val="000000" w:themeColor="text1"/>
          <w:szCs w:val="26"/>
          <w:lang w:bidi="ar"/>
          <w14:textFill>
            <w14:solidFill>
              <w14:schemeClr w14:val="tx1"/>
            </w14:solidFill>
          </w14:textFill>
        </w:rPr>
        <w:fldChar w:fldCharType="separate"/>
      </w:r>
      <w:r>
        <w:rPr>
          <w:color w:val="000000" w:themeColor="text1"/>
          <w:szCs w:val="26"/>
          <w:lang w:bidi="ar"/>
          <w14:textFill>
            <w14:solidFill>
              <w14:schemeClr w14:val="tx1"/>
            </w14:solidFill>
          </w14:textFill>
        </w:rPr>
        <w:t>10.5</w:t>
      </w:r>
      <w:r>
        <w:rPr>
          <w:color w:val="000000" w:themeColor="text1"/>
          <w:lang w:bidi="ar"/>
          <w14:textFill>
            <w14:solidFill>
              <w14:schemeClr w14:val="tx1"/>
            </w14:solidFill>
          </w14:textFill>
        </w:rPr>
        <w:fldChar w:fldCharType="end"/>
      </w:r>
      <w:r>
        <w:rPr>
          <w:color w:val="000000" w:themeColor="text1"/>
          <w:szCs w:val="26"/>
          <w:lang w:bidi="ar"/>
          <w14:textFill>
            <w14:solidFill>
              <w14:schemeClr w14:val="tx1"/>
            </w14:solidFill>
          </w14:textFill>
        </w:rPr>
        <w:noBreakHyphen/>
      </w:r>
      <w:r>
        <w:rPr>
          <w:rFonts w:hint="eastAsia"/>
          <w:color w:val="000000" w:themeColor="text1"/>
          <w:lang w:bidi="ar"/>
          <w14:textFill>
            <w14:solidFill>
              <w14:schemeClr w14:val="tx1"/>
            </w14:solidFill>
          </w14:textFill>
        </w:rPr>
        <w:t>3</w:t>
      </w:r>
      <w:r>
        <w:rPr>
          <w:color w:val="000000" w:themeColor="text1"/>
          <w:szCs w:val="26"/>
          <w:lang w:bidi="ar"/>
          <w14:textFill>
            <w14:solidFill>
              <w14:schemeClr w14:val="tx1"/>
            </w14:solidFill>
          </w14:textFill>
        </w:rPr>
        <w:t xml:space="preserve">  </w:t>
      </w:r>
      <w:r>
        <w:rPr>
          <w:rFonts w:hint="eastAsia" w:cs="宋体"/>
          <w:color w:val="000000" w:themeColor="text1"/>
          <w:lang w:bidi="ar"/>
          <w14:textFill>
            <w14:solidFill>
              <w14:schemeClr w14:val="tx1"/>
            </w14:solidFill>
          </w14:textFill>
        </w:rPr>
        <w:t>扩建项目噪声污染源排放清单及执行标准</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4060"/>
        <w:gridCol w:w="3576"/>
        <w:gridCol w:w="1972"/>
        <w:gridCol w:w="1380"/>
        <w:gridCol w:w="1408"/>
      </w:tblGrid>
      <w:tr w14:paraId="1300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restart"/>
            <w:tcBorders>
              <w:top w:val="single" w:color="auto" w:sz="4" w:space="0"/>
              <w:left w:val="single" w:color="auto" w:sz="4" w:space="0"/>
              <w:bottom w:val="single" w:color="auto" w:sz="4" w:space="0"/>
              <w:right w:val="single" w:color="auto" w:sz="4" w:space="0"/>
            </w:tcBorders>
            <w:vAlign w:val="center"/>
          </w:tcPr>
          <w:p w14:paraId="6EB924A9">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车间名称</w:t>
            </w:r>
          </w:p>
        </w:tc>
        <w:tc>
          <w:tcPr>
            <w:tcW w:w="1427" w:type="pct"/>
            <w:vMerge w:val="restart"/>
            <w:tcBorders>
              <w:top w:val="single" w:color="auto" w:sz="4" w:space="0"/>
              <w:left w:val="single" w:color="auto" w:sz="4" w:space="0"/>
              <w:bottom w:val="single" w:color="auto" w:sz="4" w:space="0"/>
              <w:right w:val="single" w:color="auto" w:sz="4" w:space="0"/>
            </w:tcBorders>
            <w:vAlign w:val="center"/>
          </w:tcPr>
          <w:p w14:paraId="4FC05FE1">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主要声源</w:t>
            </w:r>
          </w:p>
        </w:tc>
        <w:tc>
          <w:tcPr>
            <w:tcW w:w="1257" w:type="pct"/>
            <w:vMerge w:val="restart"/>
            <w:tcBorders>
              <w:top w:val="single" w:color="auto" w:sz="4" w:space="0"/>
              <w:left w:val="single" w:color="auto" w:sz="4" w:space="0"/>
              <w:bottom w:val="single" w:color="auto" w:sz="4" w:space="0"/>
              <w:right w:val="single" w:color="auto" w:sz="4" w:space="0"/>
            </w:tcBorders>
            <w:vAlign w:val="center"/>
          </w:tcPr>
          <w:p w14:paraId="222B1794">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排放标准及标准号</w:t>
            </w:r>
          </w:p>
        </w:tc>
        <w:tc>
          <w:tcPr>
            <w:tcW w:w="693" w:type="pct"/>
            <w:vMerge w:val="restart"/>
            <w:tcBorders>
              <w:top w:val="single" w:color="auto" w:sz="4" w:space="0"/>
              <w:left w:val="single" w:color="auto" w:sz="4" w:space="0"/>
              <w:bottom w:val="single" w:color="auto" w:sz="4" w:space="0"/>
              <w:right w:val="single" w:color="auto" w:sz="4" w:space="0"/>
            </w:tcBorders>
            <w:vAlign w:val="center"/>
          </w:tcPr>
          <w:p w14:paraId="6A343E43">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源强（</w:t>
            </w:r>
            <w:r>
              <w:rPr>
                <w:rFonts w:ascii="Times New Roman" w:hAnsi="Times New Roman"/>
                <w:color w:val="000000" w:themeColor="text1"/>
                <w:kern w:val="2"/>
                <w:sz w:val="22"/>
                <w:lang w:bidi="ar"/>
                <w14:textFill>
                  <w14:solidFill>
                    <w14:schemeClr w14:val="tx1"/>
                  </w14:solidFill>
                </w14:textFill>
              </w:rPr>
              <w:t>db(A)</w:t>
            </w:r>
            <w:r>
              <w:rPr>
                <w:rFonts w:hint="eastAsia" w:ascii="Times New Roman" w:hAnsi="Times New Roman" w:cs="宋体"/>
                <w:color w:val="000000" w:themeColor="text1"/>
                <w:kern w:val="2"/>
                <w:sz w:val="22"/>
                <w:lang w:bidi="ar"/>
                <w14:textFill>
                  <w14:solidFill>
                    <w14:schemeClr w14:val="tx1"/>
                  </w14:solidFill>
                </w14:textFill>
              </w:rPr>
              <w:t>）</w:t>
            </w:r>
          </w:p>
        </w:tc>
        <w:tc>
          <w:tcPr>
            <w:tcW w:w="980" w:type="pct"/>
            <w:gridSpan w:val="2"/>
            <w:tcBorders>
              <w:top w:val="single" w:color="auto" w:sz="4" w:space="0"/>
              <w:left w:val="single" w:color="auto" w:sz="4" w:space="0"/>
              <w:bottom w:val="single" w:color="auto" w:sz="4" w:space="0"/>
              <w:right w:val="single" w:color="auto" w:sz="4" w:space="0"/>
            </w:tcBorders>
            <w:vAlign w:val="center"/>
          </w:tcPr>
          <w:p w14:paraId="714584B3">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最大允许排放值</w:t>
            </w:r>
          </w:p>
        </w:tc>
      </w:tr>
      <w:tr w14:paraId="272E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continue"/>
            <w:tcBorders>
              <w:top w:val="single" w:color="auto" w:sz="4" w:space="0"/>
              <w:left w:val="single" w:color="auto" w:sz="4" w:space="0"/>
              <w:bottom w:val="single" w:color="auto" w:sz="4" w:space="0"/>
              <w:right w:val="single" w:color="auto" w:sz="4" w:space="0"/>
            </w:tcBorders>
            <w:vAlign w:val="center"/>
          </w:tcPr>
          <w:p w14:paraId="20694E4A">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427" w:type="pct"/>
            <w:vMerge w:val="continue"/>
            <w:tcBorders>
              <w:top w:val="single" w:color="auto" w:sz="4" w:space="0"/>
              <w:left w:val="single" w:color="auto" w:sz="4" w:space="0"/>
              <w:bottom w:val="single" w:color="auto" w:sz="4" w:space="0"/>
              <w:right w:val="single" w:color="auto" w:sz="4" w:space="0"/>
            </w:tcBorders>
            <w:vAlign w:val="center"/>
          </w:tcPr>
          <w:p w14:paraId="02ED2648">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1257" w:type="pct"/>
            <w:vMerge w:val="continue"/>
            <w:tcBorders>
              <w:top w:val="single" w:color="auto" w:sz="4" w:space="0"/>
              <w:left w:val="single" w:color="auto" w:sz="4" w:space="0"/>
              <w:bottom w:val="single" w:color="auto" w:sz="4" w:space="0"/>
              <w:right w:val="single" w:color="auto" w:sz="4" w:space="0"/>
            </w:tcBorders>
            <w:vAlign w:val="center"/>
          </w:tcPr>
          <w:p w14:paraId="5EE250E0">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693" w:type="pct"/>
            <w:vMerge w:val="continue"/>
            <w:tcBorders>
              <w:top w:val="single" w:color="auto" w:sz="4" w:space="0"/>
              <w:left w:val="single" w:color="auto" w:sz="4" w:space="0"/>
              <w:bottom w:val="single" w:color="auto" w:sz="4" w:space="0"/>
              <w:right w:val="single" w:color="auto" w:sz="4" w:space="0"/>
            </w:tcBorders>
            <w:vAlign w:val="center"/>
          </w:tcPr>
          <w:p w14:paraId="2B458E79">
            <w:pPr>
              <w:adjustRightInd/>
              <w:ind w:firstLine="400"/>
              <w:rPr>
                <w:rFonts w:hint="eastAsia" w:ascii="等线" w:hAnsi="等线" w:eastAsia="等线" w:cs="等线"/>
                <w:color w:val="000000" w:themeColor="text1"/>
                <w:sz w:val="20"/>
                <w:szCs w:val="20"/>
                <w14:textFill>
                  <w14:solidFill>
                    <w14:schemeClr w14:val="tx1"/>
                  </w14:solidFill>
                </w14:textFill>
              </w:rPr>
            </w:pPr>
          </w:p>
        </w:tc>
        <w:tc>
          <w:tcPr>
            <w:tcW w:w="485" w:type="pct"/>
            <w:tcBorders>
              <w:top w:val="single" w:color="auto" w:sz="4" w:space="0"/>
              <w:left w:val="single" w:color="auto" w:sz="4" w:space="0"/>
              <w:bottom w:val="single" w:color="auto" w:sz="4" w:space="0"/>
              <w:right w:val="single" w:color="auto" w:sz="4" w:space="0"/>
            </w:tcBorders>
            <w:vAlign w:val="center"/>
          </w:tcPr>
          <w:p w14:paraId="2677946C">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昼间（</w:t>
            </w:r>
            <w:r>
              <w:rPr>
                <w:rFonts w:ascii="Times New Roman" w:hAnsi="Times New Roman"/>
                <w:color w:val="000000" w:themeColor="text1"/>
                <w:kern w:val="2"/>
                <w:sz w:val="22"/>
                <w:lang w:bidi="ar"/>
                <w14:textFill>
                  <w14:solidFill>
                    <w14:schemeClr w14:val="tx1"/>
                  </w14:solidFill>
                </w14:textFill>
              </w:rPr>
              <w:t>dB</w:t>
            </w:r>
            <w:r>
              <w:rPr>
                <w:rFonts w:hint="eastAsia" w:ascii="Times New Roman" w:hAnsi="Times New Roman" w:cs="宋体"/>
                <w:color w:val="000000" w:themeColor="text1"/>
                <w:kern w:val="2"/>
                <w:sz w:val="22"/>
                <w:lang w:bidi="ar"/>
                <w14:textFill>
                  <w14:solidFill>
                    <w14:schemeClr w14:val="tx1"/>
                  </w14:solidFill>
                </w14:textFill>
              </w:rPr>
              <w:t>）</w:t>
            </w:r>
          </w:p>
        </w:tc>
        <w:tc>
          <w:tcPr>
            <w:tcW w:w="495" w:type="pct"/>
            <w:tcBorders>
              <w:top w:val="single" w:color="auto" w:sz="4" w:space="0"/>
              <w:left w:val="single" w:color="auto" w:sz="4" w:space="0"/>
              <w:bottom w:val="single" w:color="auto" w:sz="4" w:space="0"/>
              <w:right w:val="single" w:color="auto" w:sz="4" w:space="0"/>
            </w:tcBorders>
            <w:vAlign w:val="center"/>
          </w:tcPr>
          <w:p w14:paraId="5485AC41">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夜间（</w:t>
            </w:r>
            <w:r>
              <w:rPr>
                <w:rFonts w:ascii="Times New Roman" w:hAnsi="Times New Roman"/>
                <w:color w:val="000000" w:themeColor="text1"/>
                <w:kern w:val="2"/>
                <w:sz w:val="22"/>
                <w:lang w:bidi="ar"/>
                <w14:textFill>
                  <w14:solidFill>
                    <w14:schemeClr w14:val="tx1"/>
                  </w14:solidFill>
                </w14:textFill>
              </w:rPr>
              <w:t>dB</w:t>
            </w:r>
            <w:r>
              <w:rPr>
                <w:rFonts w:hint="eastAsia" w:ascii="Times New Roman" w:hAnsi="Times New Roman" w:cs="宋体"/>
                <w:color w:val="000000" w:themeColor="text1"/>
                <w:kern w:val="2"/>
                <w:sz w:val="22"/>
                <w:lang w:bidi="ar"/>
                <w14:textFill>
                  <w14:solidFill>
                    <w14:schemeClr w14:val="tx1"/>
                  </w14:solidFill>
                </w14:textFill>
              </w:rPr>
              <w:t>）</w:t>
            </w:r>
          </w:p>
        </w:tc>
      </w:tr>
      <w:tr w14:paraId="64E2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tcBorders>
              <w:top w:val="single" w:color="auto" w:sz="4" w:space="0"/>
              <w:left w:val="single" w:color="auto" w:sz="4" w:space="0"/>
              <w:bottom w:val="single" w:color="auto" w:sz="4" w:space="0"/>
              <w:right w:val="single" w:color="auto" w:sz="4" w:space="0"/>
            </w:tcBorders>
            <w:vAlign w:val="center"/>
          </w:tcPr>
          <w:p w14:paraId="2EFD6BAF">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臻宝半导体公司1#厂房</w:t>
            </w:r>
          </w:p>
        </w:tc>
        <w:tc>
          <w:tcPr>
            <w:tcW w:w="1427" w:type="pct"/>
            <w:tcBorders>
              <w:top w:val="single" w:color="auto" w:sz="4" w:space="0"/>
              <w:left w:val="single" w:color="auto" w:sz="4" w:space="0"/>
              <w:bottom w:val="single" w:color="auto" w:sz="4" w:space="0"/>
              <w:right w:val="single" w:color="auto" w:sz="4" w:space="0"/>
            </w:tcBorders>
            <w:vAlign w:val="center"/>
          </w:tcPr>
          <w:p w14:paraId="4B18DC29">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纯化炉、高温处理炉、CVDSIC炉</w:t>
            </w:r>
          </w:p>
        </w:tc>
        <w:tc>
          <w:tcPr>
            <w:tcW w:w="1257" w:type="pct"/>
            <w:tcBorders>
              <w:top w:val="single" w:color="auto" w:sz="4" w:space="0"/>
              <w:left w:val="single" w:color="auto" w:sz="4" w:space="0"/>
              <w:bottom w:val="single" w:color="auto" w:sz="4" w:space="0"/>
              <w:right w:val="single" w:color="auto" w:sz="4" w:space="0"/>
            </w:tcBorders>
            <w:vAlign w:val="center"/>
          </w:tcPr>
          <w:p w14:paraId="13C2E498">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《工业企业厂界环境噪声排放标准》（</w:t>
            </w:r>
            <w:r>
              <w:rPr>
                <w:rFonts w:ascii="Times New Roman" w:hAnsi="Times New Roman" w:cs="宋体"/>
                <w:color w:val="000000" w:themeColor="text1"/>
                <w:kern w:val="2"/>
                <w:sz w:val="22"/>
                <w:lang w:bidi="ar"/>
                <w14:textFill>
                  <w14:solidFill>
                    <w14:schemeClr w14:val="tx1"/>
                  </w14:solidFill>
                </w14:textFill>
              </w:rPr>
              <w:t>GB12348-2008</w:t>
            </w:r>
            <w:r>
              <w:rPr>
                <w:rFonts w:hint="eastAsia" w:ascii="Times New Roman" w:hAnsi="Times New Roman" w:cs="宋体"/>
                <w:color w:val="000000" w:themeColor="text1"/>
                <w:kern w:val="2"/>
                <w:sz w:val="22"/>
                <w:lang w:bidi="ar"/>
                <w14:textFill>
                  <w14:solidFill>
                    <w14:schemeClr w14:val="tx1"/>
                  </w14:solidFill>
                </w14:textFill>
              </w:rPr>
              <w:t>）</w:t>
            </w:r>
          </w:p>
        </w:tc>
        <w:tc>
          <w:tcPr>
            <w:tcW w:w="693" w:type="pct"/>
            <w:tcBorders>
              <w:top w:val="single" w:color="auto" w:sz="4" w:space="0"/>
              <w:left w:val="single" w:color="auto" w:sz="4" w:space="0"/>
              <w:bottom w:val="single" w:color="auto" w:sz="4" w:space="0"/>
              <w:right w:val="single" w:color="auto" w:sz="4" w:space="0"/>
            </w:tcBorders>
            <w:vAlign w:val="center"/>
          </w:tcPr>
          <w:p w14:paraId="36C84A93">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80</w:t>
            </w:r>
            <w:r>
              <w:rPr>
                <w:rFonts w:ascii="Times New Roman" w:hAnsi="Times New Roman"/>
                <w:color w:val="000000" w:themeColor="text1"/>
                <w:kern w:val="2"/>
                <w:sz w:val="22"/>
                <w:lang w:bidi="ar"/>
                <w14:textFill>
                  <w14:solidFill>
                    <w14:schemeClr w14:val="tx1"/>
                  </w14:solidFill>
                </w14:textFill>
              </w:rPr>
              <w:t>-</w:t>
            </w:r>
            <w:r>
              <w:rPr>
                <w:rFonts w:hint="eastAsia" w:ascii="Times New Roman" w:hAnsi="Times New Roman"/>
                <w:color w:val="000000" w:themeColor="text1"/>
                <w:kern w:val="2"/>
                <w:sz w:val="22"/>
                <w:lang w:bidi="ar"/>
                <w14:textFill>
                  <w14:solidFill>
                    <w14:schemeClr w14:val="tx1"/>
                  </w14:solidFill>
                </w14:textFill>
              </w:rPr>
              <w:t>8</w:t>
            </w:r>
            <w:r>
              <w:rPr>
                <w:rFonts w:ascii="Times New Roman" w:hAnsi="Times New Roman"/>
                <w:color w:val="000000" w:themeColor="text1"/>
                <w:kern w:val="2"/>
                <w:sz w:val="22"/>
                <w:lang w:bidi="ar"/>
                <w14:textFill>
                  <w14:solidFill>
                    <w14:schemeClr w14:val="tx1"/>
                  </w14:solidFill>
                </w14:textFill>
              </w:rPr>
              <w:t>5</w:t>
            </w:r>
          </w:p>
        </w:tc>
        <w:tc>
          <w:tcPr>
            <w:tcW w:w="485" w:type="pct"/>
            <w:tcBorders>
              <w:top w:val="single" w:color="auto" w:sz="4" w:space="0"/>
              <w:left w:val="single" w:color="auto" w:sz="4" w:space="0"/>
              <w:bottom w:val="single" w:color="auto" w:sz="4" w:space="0"/>
              <w:right w:val="single" w:color="auto" w:sz="4" w:space="0"/>
            </w:tcBorders>
            <w:vAlign w:val="center"/>
          </w:tcPr>
          <w:p w14:paraId="3CE1BB73">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65</w:t>
            </w:r>
          </w:p>
        </w:tc>
        <w:tc>
          <w:tcPr>
            <w:tcW w:w="495" w:type="pct"/>
            <w:tcBorders>
              <w:top w:val="single" w:color="auto" w:sz="4" w:space="0"/>
              <w:left w:val="single" w:color="auto" w:sz="4" w:space="0"/>
              <w:bottom w:val="single" w:color="auto" w:sz="4" w:space="0"/>
              <w:right w:val="single" w:color="auto" w:sz="4" w:space="0"/>
            </w:tcBorders>
            <w:vAlign w:val="center"/>
          </w:tcPr>
          <w:p w14:paraId="3AE100A5">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55</w:t>
            </w:r>
          </w:p>
        </w:tc>
      </w:tr>
      <w:tr w14:paraId="0326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restart"/>
            <w:tcBorders>
              <w:top w:val="single" w:color="auto" w:sz="4" w:space="0"/>
              <w:left w:val="single" w:color="auto" w:sz="4" w:space="0"/>
              <w:right w:val="single" w:color="auto" w:sz="4" w:space="0"/>
            </w:tcBorders>
            <w:vAlign w:val="center"/>
          </w:tcPr>
          <w:p w14:paraId="6437E6B9">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臻宝科技公司联合厂房</w:t>
            </w:r>
          </w:p>
        </w:tc>
        <w:tc>
          <w:tcPr>
            <w:tcW w:w="1427" w:type="pct"/>
            <w:vMerge w:val="restart"/>
            <w:tcBorders>
              <w:top w:val="single" w:color="auto" w:sz="4" w:space="0"/>
              <w:left w:val="single" w:color="auto" w:sz="4" w:space="0"/>
              <w:right w:val="single" w:color="auto" w:sz="4" w:space="0"/>
            </w:tcBorders>
            <w:vAlign w:val="center"/>
          </w:tcPr>
          <w:p w14:paraId="4F9B27F0">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纵切型自动车床(走心机)、高速离心式抛光机、自动切断机、伺服模切压力机、薄片清洁机、外抽真空包装机</w:t>
            </w:r>
          </w:p>
        </w:tc>
        <w:tc>
          <w:tcPr>
            <w:tcW w:w="1257" w:type="pct"/>
            <w:vMerge w:val="restart"/>
            <w:tcBorders>
              <w:top w:val="single" w:color="auto" w:sz="4" w:space="0"/>
              <w:left w:val="single" w:color="auto" w:sz="4" w:space="0"/>
              <w:right w:val="single" w:color="auto" w:sz="4" w:space="0"/>
            </w:tcBorders>
            <w:vAlign w:val="center"/>
          </w:tcPr>
          <w:p w14:paraId="0E580F23">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《工业企业厂界环境噪声排放标准》（</w:t>
            </w:r>
            <w:r>
              <w:rPr>
                <w:rFonts w:ascii="Times New Roman" w:hAnsi="Times New Roman" w:cs="宋体"/>
                <w:color w:val="000000" w:themeColor="text1"/>
                <w:kern w:val="2"/>
                <w:sz w:val="22"/>
                <w:lang w:bidi="ar"/>
                <w14:textFill>
                  <w14:solidFill>
                    <w14:schemeClr w14:val="tx1"/>
                  </w14:solidFill>
                </w14:textFill>
              </w:rPr>
              <w:t>GB12348-2008</w:t>
            </w:r>
            <w:r>
              <w:rPr>
                <w:rFonts w:hint="eastAsia" w:ascii="Times New Roman" w:hAnsi="Times New Roman" w:cs="宋体"/>
                <w:color w:val="000000" w:themeColor="text1"/>
                <w:kern w:val="2"/>
                <w:sz w:val="22"/>
                <w:lang w:bidi="ar"/>
                <w14:textFill>
                  <w14:solidFill>
                    <w14:schemeClr w14:val="tx1"/>
                  </w14:solidFill>
                </w14:textFill>
              </w:rPr>
              <w:t>）</w:t>
            </w:r>
          </w:p>
        </w:tc>
        <w:tc>
          <w:tcPr>
            <w:tcW w:w="693" w:type="pct"/>
            <w:vMerge w:val="restart"/>
            <w:tcBorders>
              <w:top w:val="single" w:color="auto" w:sz="4" w:space="0"/>
              <w:left w:val="single" w:color="auto" w:sz="4" w:space="0"/>
              <w:right w:val="single" w:color="auto" w:sz="4" w:space="0"/>
            </w:tcBorders>
            <w:vAlign w:val="center"/>
          </w:tcPr>
          <w:p w14:paraId="6349693C">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70</w:t>
            </w:r>
            <w:r>
              <w:rPr>
                <w:rFonts w:ascii="Times New Roman" w:hAnsi="Times New Roman"/>
                <w:color w:val="000000" w:themeColor="text1"/>
                <w:kern w:val="2"/>
                <w:sz w:val="22"/>
                <w:lang w:bidi="ar"/>
                <w14:textFill>
                  <w14:solidFill>
                    <w14:schemeClr w14:val="tx1"/>
                  </w14:solidFill>
                </w14:textFill>
              </w:rPr>
              <w:t>-</w:t>
            </w:r>
            <w:r>
              <w:rPr>
                <w:rFonts w:hint="eastAsia" w:ascii="Times New Roman" w:hAnsi="Times New Roman"/>
                <w:color w:val="000000" w:themeColor="text1"/>
                <w:kern w:val="2"/>
                <w:sz w:val="22"/>
                <w:lang w:bidi="ar"/>
                <w14:textFill>
                  <w14:solidFill>
                    <w14:schemeClr w14:val="tx1"/>
                  </w14:solidFill>
                </w14:textFill>
              </w:rPr>
              <w:t>7</w:t>
            </w:r>
            <w:r>
              <w:rPr>
                <w:rFonts w:ascii="Times New Roman" w:hAnsi="Times New Roman"/>
                <w:color w:val="000000" w:themeColor="text1"/>
                <w:kern w:val="2"/>
                <w:sz w:val="22"/>
                <w:lang w:bidi="ar"/>
                <w14:textFill>
                  <w14:solidFill>
                    <w14:schemeClr w14:val="tx1"/>
                  </w14:solidFill>
                </w14:textFill>
              </w:rPr>
              <w:t>5</w:t>
            </w:r>
          </w:p>
        </w:tc>
        <w:tc>
          <w:tcPr>
            <w:tcW w:w="485" w:type="pct"/>
            <w:tcBorders>
              <w:top w:val="single" w:color="auto" w:sz="4" w:space="0"/>
              <w:left w:val="single" w:color="auto" w:sz="4" w:space="0"/>
              <w:bottom w:val="single" w:color="auto" w:sz="4" w:space="0"/>
              <w:right w:val="single" w:color="auto" w:sz="4" w:space="0"/>
            </w:tcBorders>
            <w:vAlign w:val="center"/>
          </w:tcPr>
          <w:p w14:paraId="1257137E">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65</w:t>
            </w:r>
          </w:p>
        </w:tc>
        <w:tc>
          <w:tcPr>
            <w:tcW w:w="495" w:type="pct"/>
            <w:tcBorders>
              <w:top w:val="single" w:color="auto" w:sz="4" w:space="0"/>
              <w:left w:val="single" w:color="auto" w:sz="4" w:space="0"/>
              <w:bottom w:val="single" w:color="auto" w:sz="4" w:space="0"/>
              <w:right w:val="single" w:color="auto" w:sz="4" w:space="0"/>
            </w:tcBorders>
            <w:vAlign w:val="center"/>
          </w:tcPr>
          <w:p w14:paraId="31938372">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55</w:t>
            </w:r>
          </w:p>
        </w:tc>
      </w:tr>
      <w:tr w14:paraId="1B3E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continue"/>
            <w:tcBorders>
              <w:left w:val="single" w:color="auto" w:sz="4" w:space="0"/>
              <w:bottom w:val="single" w:color="auto" w:sz="4" w:space="0"/>
              <w:right w:val="single" w:color="auto" w:sz="4" w:space="0"/>
            </w:tcBorders>
            <w:vAlign w:val="center"/>
          </w:tcPr>
          <w:p w14:paraId="738410A0">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p>
        </w:tc>
        <w:tc>
          <w:tcPr>
            <w:tcW w:w="1427" w:type="pct"/>
            <w:vMerge w:val="continue"/>
            <w:tcBorders>
              <w:left w:val="single" w:color="auto" w:sz="4" w:space="0"/>
              <w:bottom w:val="single" w:color="auto" w:sz="4" w:space="0"/>
              <w:right w:val="single" w:color="auto" w:sz="4" w:space="0"/>
            </w:tcBorders>
            <w:vAlign w:val="center"/>
          </w:tcPr>
          <w:p w14:paraId="2C7EBC52">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p>
        </w:tc>
        <w:tc>
          <w:tcPr>
            <w:tcW w:w="1257" w:type="pct"/>
            <w:vMerge w:val="continue"/>
            <w:tcBorders>
              <w:left w:val="single" w:color="auto" w:sz="4" w:space="0"/>
              <w:bottom w:val="single" w:color="auto" w:sz="4" w:space="0"/>
              <w:right w:val="single" w:color="auto" w:sz="4" w:space="0"/>
            </w:tcBorders>
            <w:vAlign w:val="center"/>
          </w:tcPr>
          <w:p w14:paraId="150B5974">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p>
        </w:tc>
        <w:tc>
          <w:tcPr>
            <w:tcW w:w="693" w:type="pct"/>
            <w:vMerge w:val="continue"/>
            <w:tcBorders>
              <w:left w:val="single" w:color="auto" w:sz="4" w:space="0"/>
              <w:bottom w:val="single" w:color="auto" w:sz="4" w:space="0"/>
              <w:right w:val="single" w:color="auto" w:sz="4" w:space="0"/>
            </w:tcBorders>
            <w:vAlign w:val="center"/>
          </w:tcPr>
          <w:p w14:paraId="6F736B70">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p>
        </w:tc>
        <w:tc>
          <w:tcPr>
            <w:tcW w:w="485" w:type="pct"/>
            <w:tcBorders>
              <w:top w:val="single" w:color="auto" w:sz="4" w:space="0"/>
              <w:left w:val="single" w:color="auto" w:sz="4" w:space="0"/>
              <w:bottom w:val="single" w:color="auto" w:sz="4" w:space="0"/>
              <w:right w:val="single" w:color="auto" w:sz="4" w:space="0"/>
            </w:tcBorders>
            <w:vAlign w:val="center"/>
          </w:tcPr>
          <w:p w14:paraId="39ED9FA6">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70</w:t>
            </w:r>
          </w:p>
        </w:tc>
        <w:tc>
          <w:tcPr>
            <w:tcW w:w="495" w:type="pct"/>
            <w:tcBorders>
              <w:top w:val="single" w:color="auto" w:sz="4" w:space="0"/>
              <w:left w:val="single" w:color="auto" w:sz="4" w:space="0"/>
              <w:bottom w:val="single" w:color="auto" w:sz="4" w:space="0"/>
              <w:right w:val="single" w:color="auto" w:sz="4" w:space="0"/>
            </w:tcBorders>
            <w:vAlign w:val="center"/>
          </w:tcPr>
          <w:p w14:paraId="6C1275CC">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65</w:t>
            </w:r>
          </w:p>
        </w:tc>
      </w:tr>
      <w:tr w14:paraId="5547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tcBorders>
              <w:top w:val="single" w:color="auto" w:sz="4" w:space="0"/>
              <w:left w:val="single" w:color="auto" w:sz="4" w:space="0"/>
              <w:bottom w:val="single" w:color="auto" w:sz="4" w:space="0"/>
              <w:right w:val="single" w:color="auto" w:sz="4" w:space="0"/>
            </w:tcBorders>
            <w:vAlign w:val="center"/>
          </w:tcPr>
          <w:p w14:paraId="376396A4">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臻宝科技公司附属用房01</w:t>
            </w:r>
          </w:p>
        </w:tc>
        <w:tc>
          <w:tcPr>
            <w:tcW w:w="1427" w:type="pct"/>
            <w:tcBorders>
              <w:top w:val="single" w:color="auto" w:sz="4" w:space="0"/>
              <w:left w:val="single" w:color="auto" w:sz="4" w:space="0"/>
              <w:bottom w:val="single" w:color="auto" w:sz="4" w:space="0"/>
              <w:right w:val="single" w:color="auto" w:sz="4" w:space="0"/>
            </w:tcBorders>
            <w:vAlign w:val="center"/>
          </w:tcPr>
          <w:p w14:paraId="0296E175">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立式数控砂线切割机、立式带锯床、立式加工中心、高速精雕机、卧式数控车削中心、卧式数控车床、卧式普通车床、立式砂光机、立式炮塔铣床</w:t>
            </w:r>
          </w:p>
        </w:tc>
        <w:tc>
          <w:tcPr>
            <w:tcW w:w="1257" w:type="pct"/>
            <w:tcBorders>
              <w:top w:val="single" w:color="auto" w:sz="4" w:space="0"/>
              <w:left w:val="single" w:color="auto" w:sz="4" w:space="0"/>
              <w:bottom w:val="single" w:color="auto" w:sz="4" w:space="0"/>
              <w:right w:val="single" w:color="auto" w:sz="4" w:space="0"/>
            </w:tcBorders>
            <w:vAlign w:val="center"/>
          </w:tcPr>
          <w:p w14:paraId="7153EABE">
            <w:pPr>
              <w:pStyle w:val="81"/>
              <w:widowControl w:val="0"/>
              <w:snapToGrid w:val="0"/>
              <w:spacing w:beforeAutospacing="0" w:after="0" w:afterAutospacing="0"/>
              <w:jc w:val="center"/>
              <w:rPr>
                <w:rFonts w:ascii="Times New Roman" w:hAnsi="Times New Roman" w:cs="宋体"/>
                <w:color w:val="000000" w:themeColor="text1"/>
                <w:kern w:val="2"/>
                <w:sz w:val="22"/>
                <w:lang w:bidi="ar"/>
                <w14:textFill>
                  <w14:solidFill>
                    <w14:schemeClr w14:val="tx1"/>
                  </w14:solidFill>
                </w14:textFill>
              </w:rPr>
            </w:pPr>
            <w:r>
              <w:rPr>
                <w:rFonts w:hint="eastAsia" w:ascii="Times New Roman" w:hAnsi="Times New Roman" w:cs="宋体"/>
                <w:color w:val="000000" w:themeColor="text1"/>
                <w:kern w:val="2"/>
                <w:sz w:val="22"/>
                <w:lang w:bidi="ar"/>
                <w14:textFill>
                  <w14:solidFill>
                    <w14:schemeClr w14:val="tx1"/>
                  </w14:solidFill>
                </w14:textFill>
              </w:rPr>
              <w:t>《工业企业厂界环境噪声排放标准》（</w:t>
            </w:r>
            <w:r>
              <w:rPr>
                <w:rFonts w:ascii="Times New Roman" w:hAnsi="Times New Roman" w:cs="宋体"/>
                <w:color w:val="000000" w:themeColor="text1"/>
                <w:kern w:val="2"/>
                <w:sz w:val="22"/>
                <w:lang w:bidi="ar"/>
                <w14:textFill>
                  <w14:solidFill>
                    <w14:schemeClr w14:val="tx1"/>
                  </w14:solidFill>
                </w14:textFill>
              </w:rPr>
              <w:t>GB12348-2008</w:t>
            </w:r>
            <w:r>
              <w:rPr>
                <w:rFonts w:hint="eastAsia" w:ascii="Times New Roman" w:hAnsi="Times New Roman" w:cs="宋体"/>
                <w:color w:val="000000" w:themeColor="text1"/>
                <w:kern w:val="2"/>
                <w:sz w:val="22"/>
                <w:lang w:bidi="ar"/>
                <w14:textFill>
                  <w14:solidFill>
                    <w14:schemeClr w14:val="tx1"/>
                  </w14:solidFill>
                </w14:textFill>
              </w:rPr>
              <w:t>）</w:t>
            </w:r>
          </w:p>
        </w:tc>
        <w:tc>
          <w:tcPr>
            <w:tcW w:w="693" w:type="pct"/>
            <w:tcBorders>
              <w:top w:val="single" w:color="auto" w:sz="4" w:space="0"/>
              <w:left w:val="single" w:color="auto" w:sz="4" w:space="0"/>
              <w:bottom w:val="single" w:color="auto" w:sz="4" w:space="0"/>
              <w:right w:val="single" w:color="auto" w:sz="4" w:space="0"/>
            </w:tcBorders>
            <w:vAlign w:val="center"/>
          </w:tcPr>
          <w:p w14:paraId="3B615F6E">
            <w:pPr>
              <w:pStyle w:val="81"/>
              <w:widowControl w:val="0"/>
              <w:snapToGrid w:val="0"/>
              <w:spacing w:beforeAutospacing="0" w:after="0" w:afterAutospacing="0"/>
              <w:jc w:val="center"/>
              <w:rPr>
                <w:rFonts w:ascii="Times New Roman" w:hAnsi="Times New Roman"/>
                <w:color w:val="000000" w:themeColor="text1"/>
                <w:kern w:val="2"/>
                <w:sz w:val="22"/>
                <w:lang w:bidi="ar"/>
                <w14:textFill>
                  <w14:solidFill>
                    <w14:schemeClr w14:val="tx1"/>
                  </w14:solidFill>
                </w14:textFill>
              </w:rPr>
            </w:pPr>
            <w:r>
              <w:rPr>
                <w:rFonts w:hint="eastAsia" w:ascii="Times New Roman" w:hAnsi="Times New Roman"/>
                <w:color w:val="000000" w:themeColor="text1"/>
                <w:kern w:val="2"/>
                <w:sz w:val="22"/>
                <w:lang w:bidi="ar"/>
                <w14:textFill>
                  <w14:solidFill>
                    <w14:schemeClr w14:val="tx1"/>
                  </w14:solidFill>
                </w14:textFill>
              </w:rPr>
              <w:t>65</w:t>
            </w:r>
            <w:r>
              <w:rPr>
                <w:rFonts w:ascii="Times New Roman" w:hAnsi="Times New Roman"/>
                <w:color w:val="000000" w:themeColor="text1"/>
                <w:kern w:val="2"/>
                <w:sz w:val="22"/>
                <w:lang w:bidi="ar"/>
                <w14:textFill>
                  <w14:solidFill>
                    <w14:schemeClr w14:val="tx1"/>
                  </w14:solidFill>
                </w14:textFill>
              </w:rPr>
              <w:t>-</w:t>
            </w:r>
            <w:r>
              <w:rPr>
                <w:rFonts w:hint="eastAsia" w:ascii="Times New Roman" w:hAnsi="Times New Roman"/>
                <w:color w:val="000000" w:themeColor="text1"/>
                <w:kern w:val="2"/>
                <w:sz w:val="22"/>
                <w:lang w:bidi="ar"/>
                <w14:textFill>
                  <w14:solidFill>
                    <w14:schemeClr w14:val="tx1"/>
                  </w14:solidFill>
                </w14:textFill>
              </w:rPr>
              <w:t>7</w:t>
            </w:r>
            <w:r>
              <w:rPr>
                <w:rFonts w:ascii="Times New Roman" w:hAnsi="Times New Roman"/>
                <w:color w:val="000000" w:themeColor="text1"/>
                <w:kern w:val="2"/>
                <w:sz w:val="22"/>
                <w:lang w:bidi="ar"/>
                <w14:textFill>
                  <w14:solidFill>
                    <w14:schemeClr w14:val="tx1"/>
                  </w14:solidFill>
                </w14:textFill>
              </w:rPr>
              <w:t>5</w:t>
            </w:r>
          </w:p>
        </w:tc>
        <w:tc>
          <w:tcPr>
            <w:tcW w:w="485" w:type="pct"/>
            <w:tcBorders>
              <w:top w:val="single" w:color="auto" w:sz="4" w:space="0"/>
              <w:left w:val="single" w:color="auto" w:sz="4" w:space="0"/>
              <w:bottom w:val="single" w:color="auto" w:sz="4" w:space="0"/>
              <w:right w:val="single" w:color="auto" w:sz="4" w:space="0"/>
            </w:tcBorders>
            <w:vAlign w:val="center"/>
          </w:tcPr>
          <w:p w14:paraId="2196D8CD">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65</w:t>
            </w:r>
          </w:p>
        </w:tc>
        <w:tc>
          <w:tcPr>
            <w:tcW w:w="495" w:type="pct"/>
            <w:tcBorders>
              <w:top w:val="single" w:color="auto" w:sz="4" w:space="0"/>
              <w:left w:val="single" w:color="auto" w:sz="4" w:space="0"/>
              <w:bottom w:val="single" w:color="auto" w:sz="4" w:space="0"/>
              <w:right w:val="single" w:color="auto" w:sz="4" w:space="0"/>
            </w:tcBorders>
            <w:vAlign w:val="center"/>
          </w:tcPr>
          <w:p w14:paraId="33080225">
            <w:pPr>
              <w:pStyle w:val="81"/>
              <w:widowControl w:val="0"/>
              <w:snapToGrid w:val="0"/>
              <w:spacing w:beforeAutospacing="0" w:after="0" w:afterAutospacing="0"/>
              <w:jc w:val="center"/>
              <w:rPr>
                <w:rFonts w:hint="eastAsia"/>
                <w:color w:val="000000" w:themeColor="text1"/>
                <w14:textFill>
                  <w14:solidFill>
                    <w14:schemeClr w14:val="tx1"/>
                  </w14:solidFill>
                </w14:textFill>
              </w:rPr>
            </w:pPr>
            <w:r>
              <w:rPr>
                <w:rFonts w:ascii="Times New Roman" w:hAnsi="Times New Roman"/>
                <w:color w:val="000000" w:themeColor="text1"/>
                <w:kern w:val="2"/>
                <w:sz w:val="22"/>
                <w:lang w:bidi="ar"/>
                <w14:textFill>
                  <w14:solidFill>
                    <w14:schemeClr w14:val="tx1"/>
                  </w14:solidFill>
                </w14:textFill>
              </w:rPr>
              <w:t>55</w:t>
            </w:r>
          </w:p>
        </w:tc>
      </w:tr>
    </w:tbl>
    <w:p w14:paraId="24769F9B">
      <w:pPr>
        <w:spacing w:before="24"/>
        <w:ind w:firstLine="0" w:firstLineChars="0"/>
        <w:jc w:val="center"/>
        <w:rPr>
          <w:rFonts w:cs="宋体"/>
          <w:color w:val="000000" w:themeColor="text1"/>
          <w:lang w:bidi="ar"/>
          <w14:textFill>
            <w14:solidFill>
              <w14:schemeClr w14:val="tx1"/>
            </w14:solidFill>
          </w14:textFill>
        </w:rPr>
      </w:pPr>
      <w:r>
        <w:rPr>
          <w:rFonts w:hint="eastAsia" w:cs="宋体"/>
          <w:color w:val="000000" w:themeColor="text1"/>
          <w:szCs w:val="26"/>
          <w:lang w:bidi="ar"/>
          <w14:textFill>
            <w14:solidFill>
              <w14:schemeClr w14:val="tx1"/>
            </w14:solidFill>
          </w14:textFill>
        </w:rPr>
        <w:t>表</w:t>
      </w:r>
      <w:r>
        <w:rPr>
          <w:color w:val="000000" w:themeColor="text1"/>
          <w:lang w:bidi="ar"/>
          <w14:textFill>
            <w14:solidFill>
              <w14:schemeClr w14:val="tx1"/>
            </w14:solidFill>
          </w14:textFill>
        </w:rPr>
        <w:fldChar w:fldCharType="begin"/>
      </w:r>
      <w:r>
        <w:rPr>
          <w:color w:val="000000" w:themeColor="text1"/>
          <w:szCs w:val="26"/>
          <w:lang w:bidi="ar"/>
          <w14:textFill>
            <w14:solidFill>
              <w14:schemeClr w14:val="tx1"/>
            </w14:solidFill>
          </w14:textFill>
        </w:rPr>
        <w:instrText xml:space="preserve"> STYLEREF 2 \s </w:instrText>
      </w:r>
      <w:r>
        <w:rPr>
          <w:color w:val="000000" w:themeColor="text1"/>
          <w:szCs w:val="26"/>
          <w:lang w:bidi="ar"/>
          <w14:textFill>
            <w14:solidFill>
              <w14:schemeClr w14:val="tx1"/>
            </w14:solidFill>
          </w14:textFill>
        </w:rPr>
        <w:fldChar w:fldCharType="separate"/>
      </w:r>
      <w:r>
        <w:rPr>
          <w:color w:val="000000" w:themeColor="text1"/>
          <w:szCs w:val="26"/>
          <w:lang w:bidi="ar"/>
          <w14:textFill>
            <w14:solidFill>
              <w14:schemeClr w14:val="tx1"/>
            </w14:solidFill>
          </w14:textFill>
        </w:rPr>
        <w:t>10.5</w:t>
      </w:r>
      <w:r>
        <w:rPr>
          <w:color w:val="000000" w:themeColor="text1"/>
          <w:lang w:bidi="ar"/>
          <w14:textFill>
            <w14:solidFill>
              <w14:schemeClr w14:val="tx1"/>
            </w14:solidFill>
          </w14:textFill>
        </w:rPr>
        <w:fldChar w:fldCharType="end"/>
      </w:r>
      <w:r>
        <w:rPr>
          <w:color w:val="000000" w:themeColor="text1"/>
          <w:szCs w:val="26"/>
          <w:lang w:bidi="ar"/>
          <w14:textFill>
            <w14:solidFill>
              <w14:schemeClr w14:val="tx1"/>
            </w14:solidFill>
          </w14:textFill>
        </w:rPr>
        <w:noBreakHyphen/>
      </w:r>
      <w:r>
        <w:rPr>
          <w:rFonts w:hint="eastAsia"/>
          <w:color w:val="000000" w:themeColor="text1"/>
          <w:lang w:bidi="ar"/>
          <w14:textFill>
            <w14:solidFill>
              <w14:schemeClr w14:val="tx1"/>
            </w14:solidFill>
          </w14:textFill>
        </w:rPr>
        <w:t>4</w:t>
      </w:r>
      <w:r>
        <w:rPr>
          <w:color w:val="000000" w:themeColor="text1"/>
          <w:szCs w:val="26"/>
          <w:lang w:bidi="ar"/>
          <w14:textFill>
            <w14:solidFill>
              <w14:schemeClr w14:val="tx1"/>
            </w14:solidFill>
          </w14:textFill>
        </w:rPr>
        <w:t xml:space="preserve">  </w:t>
      </w:r>
      <w:r>
        <w:rPr>
          <w:rFonts w:hint="eastAsia" w:cs="宋体"/>
          <w:color w:val="000000" w:themeColor="text1"/>
          <w:lang w:bidi="ar"/>
          <w14:textFill>
            <w14:solidFill>
              <w14:schemeClr w14:val="tx1"/>
            </w14:solidFill>
          </w14:textFill>
        </w:rPr>
        <w:t>扩建项目固体废物排放清单及执行标准</w:t>
      </w:r>
    </w:p>
    <w:tbl>
      <w:tblPr>
        <w:tblStyle w:val="8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944"/>
        <w:gridCol w:w="1274"/>
        <w:gridCol w:w="1114"/>
        <w:gridCol w:w="1861"/>
        <w:gridCol w:w="844"/>
        <w:gridCol w:w="1274"/>
        <w:gridCol w:w="1225"/>
        <w:gridCol w:w="1407"/>
        <w:gridCol w:w="1188"/>
        <w:gridCol w:w="3088"/>
      </w:tblGrid>
      <w:tr w14:paraId="4EC846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75D5C90F">
            <w:pPr>
              <w:pStyle w:val="1535"/>
              <w:rPr>
                <w:snapToGrid/>
              </w:rPr>
            </w:pPr>
            <w:r>
              <w:rPr>
                <w:snapToGrid/>
              </w:rPr>
              <w:t>序号</w:t>
            </w:r>
          </w:p>
        </w:tc>
        <w:tc>
          <w:tcPr>
            <w:tcW w:w="1274" w:type="dxa"/>
            <w:vAlign w:val="center"/>
          </w:tcPr>
          <w:p w14:paraId="258F36CB">
            <w:pPr>
              <w:pStyle w:val="1535"/>
              <w:rPr>
                <w:snapToGrid/>
              </w:rPr>
            </w:pPr>
            <w:r>
              <w:rPr>
                <w:snapToGrid/>
              </w:rPr>
              <w:t>名称</w:t>
            </w:r>
          </w:p>
        </w:tc>
        <w:tc>
          <w:tcPr>
            <w:tcW w:w="1114" w:type="dxa"/>
            <w:vAlign w:val="center"/>
          </w:tcPr>
          <w:p w14:paraId="0235C46B">
            <w:pPr>
              <w:pStyle w:val="1535"/>
              <w:rPr>
                <w:snapToGrid/>
              </w:rPr>
            </w:pPr>
            <w:r>
              <w:rPr>
                <w:snapToGrid/>
              </w:rPr>
              <w:t>属性</w:t>
            </w:r>
          </w:p>
        </w:tc>
        <w:tc>
          <w:tcPr>
            <w:tcW w:w="1861" w:type="dxa"/>
            <w:vAlign w:val="center"/>
          </w:tcPr>
          <w:p w14:paraId="63BCF8F6">
            <w:pPr>
              <w:pStyle w:val="1535"/>
              <w:rPr>
                <w:snapToGrid/>
              </w:rPr>
            </w:pPr>
            <w:r>
              <w:rPr>
                <w:snapToGrid/>
              </w:rPr>
              <w:t>产污节点</w:t>
            </w:r>
          </w:p>
        </w:tc>
        <w:tc>
          <w:tcPr>
            <w:tcW w:w="844" w:type="dxa"/>
            <w:vAlign w:val="center"/>
          </w:tcPr>
          <w:p w14:paraId="63A7E922">
            <w:pPr>
              <w:pStyle w:val="1535"/>
              <w:rPr>
                <w:snapToGrid/>
              </w:rPr>
            </w:pPr>
            <w:r>
              <w:rPr>
                <w:snapToGrid/>
              </w:rPr>
              <w:t>形态</w:t>
            </w:r>
          </w:p>
        </w:tc>
        <w:tc>
          <w:tcPr>
            <w:tcW w:w="1274" w:type="dxa"/>
            <w:vAlign w:val="center"/>
          </w:tcPr>
          <w:p w14:paraId="3BA7A02F">
            <w:pPr>
              <w:pStyle w:val="1535"/>
              <w:rPr>
                <w:snapToGrid/>
              </w:rPr>
            </w:pPr>
            <w:r>
              <w:rPr>
                <w:snapToGrid/>
              </w:rPr>
              <w:t>主要成分</w:t>
            </w:r>
          </w:p>
        </w:tc>
        <w:tc>
          <w:tcPr>
            <w:tcW w:w="1225" w:type="dxa"/>
            <w:vAlign w:val="center"/>
          </w:tcPr>
          <w:p w14:paraId="28B8F4F5">
            <w:pPr>
              <w:pStyle w:val="1535"/>
              <w:rPr>
                <w:snapToGrid/>
              </w:rPr>
            </w:pPr>
            <w:r>
              <w:rPr>
                <w:snapToGrid/>
              </w:rPr>
              <w:t>废物类别</w:t>
            </w:r>
          </w:p>
        </w:tc>
        <w:tc>
          <w:tcPr>
            <w:tcW w:w="1407" w:type="dxa"/>
            <w:vAlign w:val="center"/>
          </w:tcPr>
          <w:p w14:paraId="5A9A123A">
            <w:pPr>
              <w:pStyle w:val="1535"/>
              <w:rPr>
                <w:snapToGrid/>
              </w:rPr>
            </w:pPr>
            <w:r>
              <w:rPr>
                <w:snapToGrid/>
              </w:rPr>
              <w:t>废物代码</w:t>
            </w:r>
          </w:p>
        </w:tc>
        <w:tc>
          <w:tcPr>
            <w:tcW w:w="1188" w:type="dxa"/>
            <w:vAlign w:val="center"/>
          </w:tcPr>
          <w:p w14:paraId="63BA0FE3">
            <w:pPr>
              <w:pStyle w:val="1535"/>
              <w:rPr>
                <w:snapToGrid/>
              </w:rPr>
            </w:pPr>
            <w:r>
              <w:rPr>
                <w:snapToGrid/>
              </w:rPr>
              <w:t>产生量t/a</w:t>
            </w:r>
          </w:p>
        </w:tc>
        <w:tc>
          <w:tcPr>
            <w:tcW w:w="3088" w:type="dxa"/>
            <w:vAlign w:val="center"/>
          </w:tcPr>
          <w:p w14:paraId="740068FA">
            <w:pPr>
              <w:pStyle w:val="1535"/>
              <w:rPr>
                <w:snapToGrid/>
              </w:rPr>
            </w:pPr>
            <w:r>
              <w:rPr>
                <w:rFonts w:hint="eastAsia"/>
                <w:snapToGrid/>
              </w:rPr>
              <w:t>执行标准</w:t>
            </w:r>
          </w:p>
        </w:tc>
      </w:tr>
      <w:tr w14:paraId="35B586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7437AEB6">
            <w:pPr>
              <w:pStyle w:val="1535"/>
              <w:rPr>
                <w:snapToGrid/>
              </w:rPr>
            </w:pPr>
            <w:r>
              <w:rPr>
                <w:snapToGrid/>
              </w:rPr>
              <w:t>1</w:t>
            </w:r>
          </w:p>
        </w:tc>
        <w:tc>
          <w:tcPr>
            <w:tcW w:w="1274" w:type="dxa"/>
            <w:vAlign w:val="center"/>
          </w:tcPr>
          <w:p w14:paraId="173681F1">
            <w:pPr>
              <w:pStyle w:val="1535"/>
              <w:rPr>
                <w:snapToGrid/>
              </w:rPr>
            </w:pPr>
            <w:r>
              <w:rPr>
                <w:rFonts w:hint="eastAsia"/>
                <w:snapToGrid/>
              </w:rPr>
              <w:t>废塑料、废金属</w:t>
            </w:r>
          </w:p>
        </w:tc>
        <w:tc>
          <w:tcPr>
            <w:tcW w:w="1114" w:type="dxa"/>
            <w:vAlign w:val="center"/>
          </w:tcPr>
          <w:p w14:paraId="2123BDEA">
            <w:pPr>
              <w:pStyle w:val="1535"/>
              <w:rPr>
                <w:snapToGrid/>
              </w:rPr>
            </w:pPr>
            <w:r>
              <w:rPr>
                <w:snapToGrid/>
              </w:rPr>
              <w:t>一般工业固废</w:t>
            </w:r>
          </w:p>
        </w:tc>
        <w:tc>
          <w:tcPr>
            <w:tcW w:w="1861" w:type="dxa"/>
            <w:vAlign w:val="center"/>
          </w:tcPr>
          <w:p w14:paraId="733978CC">
            <w:pPr>
              <w:pStyle w:val="1535"/>
              <w:rPr>
                <w:snapToGrid/>
              </w:rPr>
            </w:pPr>
            <w:r>
              <w:rPr>
                <w:rFonts w:hint="eastAsia"/>
                <w:snapToGrid/>
              </w:rPr>
              <w:t>下料、机加</w:t>
            </w:r>
          </w:p>
        </w:tc>
        <w:tc>
          <w:tcPr>
            <w:tcW w:w="844" w:type="dxa"/>
            <w:vAlign w:val="center"/>
          </w:tcPr>
          <w:p w14:paraId="7EDC0C30">
            <w:pPr>
              <w:pStyle w:val="1535"/>
              <w:rPr>
                <w:snapToGrid/>
              </w:rPr>
            </w:pPr>
            <w:r>
              <w:rPr>
                <w:snapToGrid/>
              </w:rPr>
              <w:t>固态</w:t>
            </w:r>
          </w:p>
        </w:tc>
        <w:tc>
          <w:tcPr>
            <w:tcW w:w="1274" w:type="dxa"/>
            <w:vAlign w:val="center"/>
          </w:tcPr>
          <w:p w14:paraId="5ACC84CC">
            <w:pPr>
              <w:pStyle w:val="1535"/>
              <w:rPr>
                <w:snapToGrid/>
              </w:rPr>
            </w:pPr>
            <w:r>
              <w:rPr>
                <w:rFonts w:hint="eastAsia"/>
                <w:snapToGrid/>
              </w:rPr>
              <w:t>塑料、铁</w:t>
            </w:r>
          </w:p>
        </w:tc>
        <w:tc>
          <w:tcPr>
            <w:tcW w:w="1225" w:type="dxa"/>
            <w:vAlign w:val="center"/>
          </w:tcPr>
          <w:p w14:paraId="730F6D95">
            <w:pPr>
              <w:pStyle w:val="1535"/>
              <w:rPr>
                <w:snapToGrid/>
              </w:rPr>
            </w:pPr>
            <w:r>
              <w:rPr>
                <w:snapToGrid/>
              </w:rPr>
              <w:t>/</w:t>
            </w:r>
          </w:p>
        </w:tc>
        <w:tc>
          <w:tcPr>
            <w:tcW w:w="1407" w:type="dxa"/>
            <w:vAlign w:val="center"/>
          </w:tcPr>
          <w:p w14:paraId="31EBE76A">
            <w:pPr>
              <w:pStyle w:val="1535"/>
              <w:rPr>
                <w:snapToGrid/>
              </w:rPr>
            </w:pPr>
            <w:r>
              <w:rPr>
                <w:snapToGrid/>
              </w:rPr>
              <w:t>/</w:t>
            </w:r>
          </w:p>
        </w:tc>
        <w:tc>
          <w:tcPr>
            <w:tcW w:w="1188" w:type="dxa"/>
            <w:vAlign w:val="center"/>
          </w:tcPr>
          <w:p w14:paraId="421991C5">
            <w:pPr>
              <w:pStyle w:val="1535"/>
              <w:rPr>
                <w:snapToGrid/>
              </w:rPr>
            </w:pPr>
            <w:r>
              <w:rPr>
                <w:snapToGrid/>
              </w:rPr>
              <w:t>1</w:t>
            </w:r>
            <w:r>
              <w:rPr>
                <w:rFonts w:hint="eastAsia"/>
                <w:snapToGrid/>
              </w:rPr>
              <w:t>.0</w:t>
            </w:r>
          </w:p>
        </w:tc>
        <w:tc>
          <w:tcPr>
            <w:tcW w:w="3088" w:type="dxa"/>
            <w:vAlign w:val="center"/>
          </w:tcPr>
          <w:p w14:paraId="69F9F83F">
            <w:pPr>
              <w:pStyle w:val="1535"/>
              <w:rPr>
                <w:snapToGrid/>
              </w:rPr>
            </w:pPr>
            <w:r>
              <w:rPr>
                <w:snapToGrid/>
              </w:rPr>
              <w:t>/</w:t>
            </w:r>
          </w:p>
        </w:tc>
      </w:tr>
      <w:tr w14:paraId="166D56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0FEBCDF2">
            <w:pPr>
              <w:pStyle w:val="1535"/>
              <w:rPr>
                <w:snapToGrid/>
              </w:rPr>
            </w:pPr>
            <w:r>
              <w:rPr>
                <w:rFonts w:hint="eastAsia"/>
                <w:snapToGrid/>
              </w:rPr>
              <w:t>2</w:t>
            </w:r>
          </w:p>
        </w:tc>
        <w:tc>
          <w:tcPr>
            <w:tcW w:w="1274" w:type="dxa"/>
            <w:vAlign w:val="center"/>
          </w:tcPr>
          <w:p w14:paraId="64487316">
            <w:pPr>
              <w:pStyle w:val="1535"/>
              <w:rPr>
                <w:snapToGrid/>
              </w:rPr>
            </w:pPr>
            <w:r>
              <w:rPr>
                <w:rFonts w:hint="eastAsia"/>
                <w:snapToGrid/>
              </w:rPr>
              <w:t>废边角料</w:t>
            </w:r>
          </w:p>
        </w:tc>
        <w:tc>
          <w:tcPr>
            <w:tcW w:w="1114" w:type="dxa"/>
            <w:vAlign w:val="center"/>
          </w:tcPr>
          <w:p w14:paraId="4A73F958">
            <w:pPr>
              <w:pStyle w:val="1535"/>
              <w:rPr>
                <w:snapToGrid/>
              </w:rPr>
            </w:pPr>
            <w:r>
              <w:rPr>
                <w:snapToGrid/>
              </w:rPr>
              <w:t>一般工业固废</w:t>
            </w:r>
          </w:p>
        </w:tc>
        <w:tc>
          <w:tcPr>
            <w:tcW w:w="1861" w:type="dxa"/>
            <w:vAlign w:val="center"/>
          </w:tcPr>
          <w:p w14:paraId="5E318374">
            <w:pPr>
              <w:pStyle w:val="1535"/>
              <w:rPr>
                <w:snapToGrid/>
              </w:rPr>
            </w:pPr>
            <w:r>
              <w:rPr>
                <w:rFonts w:hint="eastAsia"/>
                <w:snapToGrid/>
              </w:rPr>
              <w:t>模切</w:t>
            </w:r>
          </w:p>
        </w:tc>
        <w:tc>
          <w:tcPr>
            <w:tcW w:w="844" w:type="dxa"/>
            <w:vAlign w:val="center"/>
          </w:tcPr>
          <w:p w14:paraId="2C8CD4DB">
            <w:pPr>
              <w:pStyle w:val="1535"/>
              <w:rPr>
                <w:snapToGrid/>
              </w:rPr>
            </w:pPr>
            <w:r>
              <w:rPr>
                <w:snapToGrid/>
              </w:rPr>
              <w:t>固态</w:t>
            </w:r>
          </w:p>
        </w:tc>
        <w:tc>
          <w:tcPr>
            <w:tcW w:w="1274" w:type="dxa"/>
            <w:vAlign w:val="center"/>
          </w:tcPr>
          <w:p w14:paraId="31CE95A0">
            <w:pPr>
              <w:pStyle w:val="1535"/>
              <w:rPr>
                <w:snapToGrid/>
              </w:rPr>
            </w:pPr>
            <w:r>
              <w:rPr>
                <w:rFonts w:hint="eastAsia"/>
                <w:snapToGrid/>
              </w:rPr>
              <w:t>塑料、石墨纸</w:t>
            </w:r>
          </w:p>
        </w:tc>
        <w:tc>
          <w:tcPr>
            <w:tcW w:w="1225" w:type="dxa"/>
            <w:vAlign w:val="center"/>
          </w:tcPr>
          <w:p w14:paraId="5D4EDA37">
            <w:pPr>
              <w:pStyle w:val="1535"/>
              <w:rPr>
                <w:snapToGrid/>
              </w:rPr>
            </w:pPr>
            <w:r>
              <w:rPr>
                <w:snapToGrid/>
              </w:rPr>
              <w:t>/</w:t>
            </w:r>
          </w:p>
        </w:tc>
        <w:tc>
          <w:tcPr>
            <w:tcW w:w="1407" w:type="dxa"/>
            <w:vAlign w:val="center"/>
          </w:tcPr>
          <w:p w14:paraId="35164793">
            <w:pPr>
              <w:pStyle w:val="1535"/>
              <w:rPr>
                <w:snapToGrid/>
              </w:rPr>
            </w:pPr>
            <w:r>
              <w:rPr>
                <w:snapToGrid/>
              </w:rPr>
              <w:t>/</w:t>
            </w:r>
          </w:p>
        </w:tc>
        <w:tc>
          <w:tcPr>
            <w:tcW w:w="1188" w:type="dxa"/>
            <w:vAlign w:val="center"/>
          </w:tcPr>
          <w:p w14:paraId="32C492D8">
            <w:pPr>
              <w:pStyle w:val="1535"/>
              <w:rPr>
                <w:snapToGrid/>
              </w:rPr>
            </w:pPr>
            <w:r>
              <w:rPr>
                <w:snapToGrid/>
              </w:rPr>
              <w:t>0.8</w:t>
            </w:r>
          </w:p>
        </w:tc>
        <w:tc>
          <w:tcPr>
            <w:tcW w:w="3088" w:type="dxa"/>
            <w:vAlign w:val="center"/>
          </w:tcPr>
          <w:p w14:paraId="3A42240A">
            <w:pPr>
              <w:pStyle w:val="1535"/>
              <w:rPr>
                <w:snapToGrid/>
              </w:rPr>
            </w:pPr>
            <w:r>
              <w:rPr>
                <w:snapToGrid/>
              </w:rPr>
              <w:t>/</w:t>
            </w:r>
          </w:p>
        </w:tc>
      </w:tr>
      <w:tr w14:paraId="39083F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7BA0D412">
            <w:pPr>
              <w:pStyle w:val="1535"/>
              <w:rPr>
                <w:snapToGrid/>
              </w:rPr>
            </w:pPr>
            <w:r>
              <w:rPr>
                <w:rFonts w:hint="eastAsia"/>
                <w:snapToGrid/>
              </w:rPr>
              <w:t>3</w:t>
            </w:r>
          </w:p>
        </w:tc>
        <w:tc>
          <w:tcPr>
            <w:tcW w:w="1274" w:type="dxa"/>
            <w:vAlign w:val="center"/>
          </w:tcPr>
          <w:p w14:paraId="63F4AD39">
            <w:pPr>
              <w:pStyle w:val="1535"/>
              <w:rPr>
                <w:snapToGrid/>
              </w:rPr>
            </w:pPr>
            <w:r>
              <w:rPr>
                <w:rFonts w:hint="eastAsia"/>
                <w:snapToGrid/>
              </w:rPr>
              <w:t>石墨边角料</w:t>
            </w:r>
          </w:p>
        </w:tc>
        <w:tc>
          <w:tcPr>
            <w:tcW w:w="1114" w:type="dxa"/>
            <w:vAlign w:val="center"/>
          </w:tcPr>
          <w:p w14:paraId="3CA6591F">
            <w:pPr>
              <w:pStyle w:val="1535"/>
              <w:rPr>
                <w:snapToGrid/>
              </w:rPr>
            </w:pPr>
            <w:r>
              <w:rPr>
                <w:snapToGrid/>
              </w:rPr>
              <w:t>一般工业固废</w:t>
            </w:r>
          </w:p>
        </w:tc>
        <w:tc>
          <w:tcPr>
            <w:tcW w:w="1861" w:type="dxa"/>
            <w:vAlign w:val="center"/>
          </w:tcPr>
          <w:p w14:paraId="54B5C5F0">
            <w:pPr>
              <w:pStyle w:val="1535"/>
              <w:rPr>
                <w:snapToGrid/>
              </w:rPr>
            </w:pPr>
            <w:r>
              <w:rPr>
                <w:snapToGrid/>
              </w:rPr>
              <w:t>下料、</w:t>
            </w:r>
            <w:r>
              <w:rPr>
                <w:rFonts w:hint="eastAsia"/>
                <w:snapToGrid/>
              </w:rPr>
              <w:t>机加</w:t>
            </w:r>
          </w:p>
        </w:tc>
        <w:tc>
          <w:tcPr>
            <w:tcW w:w="844" w:type="dxa"/>
            <w:vAlign w:val="center"/>
          </w:tcPr>
          <w:p w14:paraId="5C77738F">
            <w:pPr>
              <w:pStyle w:val="1535"/>
              <w:rPr>
                <w:snapToGrid/>
              </w:rPr>
            </w:pPr>
            <w:r>
              <w:rPr>
                <w:snapToGrid/>
              </w:rPr>
              <w:t>固态</w:t>
            </w:r>
          </w:p>
        </w:tc>
        <w:tc>
          <w:tcPr>
            <w:tcW w:w="1274" w:type="dxa"/>
            <w:vAlign w:val="center"/>
          </w:tcPr>
          <w:p w14:paraId="6D9919F3">
            <w:pPr>
              <w:pStyle w:val="1535"/>
              <w:rPr>
                <w:snapToGrid/>
              </w:rPr>
            </w:pPr>
            <w:r>
              <w:rPr>
                <w:rFonts w:hint="eastAsia"/>
                <w:snapToGrid/>
              </w:rPr>
              <w:t>石墨</w:t>
            </w:r>
          </w:p>
        </w:tc>
        <w:tc>
          <w:tcPr>
            <w:tcW w:w="1225" w:type="dxa"/>
            <w:vAlign w:val="center"/>
          </w:tcPr>
          <w:p w14:paraId="258579C9">
            <w:pPr>
              <w:pStyle w:val="1535"/>
              <w:rPr>
                <w:snapToGrid/>
              </w:rPr>
            </w:pPr>
            <w:r>
              <w:rPr>
                <w:snapToGrid/>
              </w:rPr>
              <w:t>/</w:t>
            </w:r>
          </w:p>
        </w:tc>
        <w:tc>
          <w:tcPr>
            <w:tcW w:w="1407" w:type="dxa"/>
            <w:vAlign w:val="center"/>
          </w:tcPr>
          <w:p w14:paraId="0C9DED43">
            <w:pPr>
              <w:pStyle w:val="1535"/>
              <w:rPr>
                <w:snapToGrid/>
              </w:rPr>
            </w:pPr>
            <w:r>
              <w:rPr>
                <w:snapToGrid/>
              </w:rPr>
              <w:t>/</w:t>
            </w:r>
          </w:p>
        </w:tc>
        <w:tc>
          <w:tcPr>
            <w:tcW w:w="1188" w:type="dxa"/>
            <w:vAlign w:val="center"/>
          </w:tcPr>
          <w:p w14:paraId="21A3E3A1">
            <w:pPr>
              <w:pStyle w:val="1535"/>
              <w:rPr>
                <w:snapToGrid/>
              </w:rPr>
            </w:pPr>
            <w:r>
              <w:rPr>
                <w:rFonts w:hint="eastAsia"/>
                <w:snapToGrid/>
              </w:rPr>
              <w:t>0.6</w:t>
            </w:r>
          </w:p>
        </w:tc>
        <w:tc>
          <w:tcPr>
            <w:tcW w:w="3088" w:type="dxa"/>
            <w:vAlign w:val="center"/>
          </w:tcPr>
          <w:p w14:paraId="27606B7C">
            <w:pPr>
              <w:pStyle w:val="1535"/>
              <w:rPr>
                <w:snapToGrid/>
              </w:rPr>
            </w:pPr>
            <w:r>
              <w:rPr>
                <w:snapToGrid/>
              </w:rPr>
              <w:t>/</w:t>
            </w:r>
          </w:p>
        </w:tc>
      </w:tr>
      <w:tr w14:paraId="7C0E5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0C70485C">
            <w:pPr>
              <w:pStyle w:val="1535"/>
              <w:rPr>
                <w:snapToGrid/>
              </w:rPr>
            </w:pPr>
            <w:r>
              <w:rPr>
                <w:rFonts w:hint="eastAsia"/>
                <w:snapToGrid/>
              </w:rPr>
              <w:t>4</w:t>
            </w:r>
          </w:p>
        </w:tc>
        <w:tc>
          <w:tcPr>
            <w:tcW w:w="1274" w:type="dxa"/>
            <w:vAlign w:val="center"/>
          </w:tcPr>
          <w:p w14:paraId="4A94A26D">
            <w:pPr>
              <w:pStyle w:val="1535"/>
            </w:pPr>
            <w:r>
              <w:rPr>
                <w:rFonts w:hint="eastAsia"/>
              </w:rPr>
              <w:t>废包装</w:t>
            </w:r>
          </w:p>
        </w:tc>
        <w:tc>
          <w:tcPr>
            <w:tcW w:w="1114" w:type="dxa"/>
            <w:vAlign w:val="center"/>
          </w:tcPr>
          <w:p w14:paraId="4328017F">
            <w:pPr>
              <w:pStyle w:val="1535"/>
              <w:rPr>
                <w:snapToGrid/>
              </w:rPr>
            </w:pPr>
            <w:r>
              <w:rPr>
                <w:snapToGrid/>
              </w:rPr>
              <w:t>一般工业固废</w:t>
            </w:r>
          </w:p>
        </w:tc>
        <w:tc>
          <w:tcPr>
            <w:tcW w:w="1861" w:type="dxa"/>
            <w:vAlign w:val="center"/>
          </w:tcPr>
          <w:p w14:paraId="70CE2D11">
            <w:pPr>
              <w:pStyle w:val="1535"/>
              <w:rPr>
                <w:snapToGrid/>
              </w:rPr>
            </w:pPr>
            <w:r>
              <w:rPr>
                <w:rFonts w:hint="eastAsia"/>
                <w:snapToGrid/>
              </w:rPr>
              <w:t>包装</w:t>
            </w:r>
          </w:p>
        </w:tc>
        <w:tc>
          <w:tcPr>
            <w:tcW w:w="844" w:type="dxa"/>
            <w:vAlign w:val="center"/>
          </w:tcPr>
          <w:p w14:paraId="30A3CD67">
            <w:pPr>
              <w:pStyle w:val="1535"/>
              <w:rPr>
                <w:snapToGrid/>
              </w:rPr>
            </w:pPr>
            <w:r>
              <w:rPr>
                <w:rFonts w:hint="eastAsia"/>
                <w:snapToGrid/>
              </w:rPr>
              <w:t>固态</w:t>
            </w:r>
          </w:p>
        </w:tc>
        <w:tc>
          <w:tcPr>
            <w:tcW w:w="1274" w:type="dxa"/>
            <w:vAlign w:val="center"/>
          </w:tcPr>
          <w:p w14:paraId="170BB55F">
            <w:pPr>
              <w:pStyle w:val="1535"/>
              <w:rPr>
                <w:snapToGrid/>
              </w:rPr>
            </w:pPr>
            <w:r>
              <w:rPr>
                <w:rFonts w:hint="eastAsia"/>
                <w:snapToGrid/>
              </w:rPr>
              <w:t>塑料、纸</w:t>
            </w:r>
          </w:p>
        </w:tc>
        <w:tc>
          <w:tcPr>
            <w:tcW w:w="1225" w:type="dxa"/>
            <w:vAlign w:val="center"/>
          </w:tcPr>
          <w:p w14:paraId="3739C5E5">
            <w:pPr>
              <w:pStyle w:val="1535"/>
              <w:rPr>
                <w:snapToGrid/>
              </w:rPr>
            </w:pPr>
            <w:r>
              <w:rPr>
                <w:rFonts w:hint="eastAsia"/>
                <w:snapToGrid/>
              </w:rPr>
              <w:t>/</w:t>
            </w:r>
          </w:p>
        </w:tc>
        <w:tc>
          <w:tcPr>
            <w:tcW w:w="1407" w:type="dxa"/>
            <w:vAlign w:val="center"/>
          </w:tcPr>
          <w:p w14:paraId="3E69A780">
            <w:pPr>
              <w:pStyle w:val="1535"/>
              <w:rPr>
                <w:snapToGrid/>
              </w:rPr>
            </w:pPr>
            <w:r>
              <w:rPr>
                <w:rFonts w:hint="eastAsia"/>
                <w:snapToGrid/>
              </w:rPr>
              <w:t>/</w:t>
            </w:r>
          </w:p>
        </w:tc>
        <w:tc>
          <w:tcPr>
            <w:tcW w:w="1188" w:type="dxa"/>
            <w:vAlign w:val="center"/>
          </w:tcPr>
          <w:p w14:paraId="764BB403">
            <w:pPr>
              <w:pStyle w:val="1535"/>
              <w:rPr>
                <w:snapToGrid/>
              </w:rPr>
            </w:pPr>
            <w:r>
              <w:rPr>
                <w:rFonts w:hint="eastAsia"/>
                <w:snapToGrid/>
              </w:rPr>
              <w:t>5.0</w:t>
            </w:r>
          </w:p>
        </w:tc>
        <w:tc>
          <w:tcPr>
            <w:tcW w:w="3088" w:type="dxa"/>
            <w:vAlign w:val="center"/>
          </w:tcPr>
          <w:p w14:paraId="5145C11D">
            <w:pPr>
              <w:pStyle w:val="1535"/>
              <w:rPr>
                <w:snapToGrid/>
              </w:rPr>
            </w:pPr>
            <w:r>
              <w:rPr>
                <w:rFonts w:hint="eastAsia"/>
                <w:snapToGrid/>
              </w:rPr>
              <w:t>/</w:t>
            </w:r>
          </w:p>
        </w:tc>
      </w:tr>
      <w:tr w14:paraId="3541FC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4C2A65FF">
            <w:pPr>
              <w:pStyle w:val="1535"/>
              <w:rPr>
                <w:snapToGrid/>
              </w:rPr>
            </w:pPr>
            <w:r>
              <w:rPr>
                <w:rFonts w:hint="eastAsia"/>
                <w:snapToGrid/>
              </w:rPr>
              <w:t>5</w:t>
            </w:r>
          </w:p>
        </w:tc>
        <w:tc>
          <w:tcPr>
            <w:tcW w:w="1274" w:type="dxa"/>
            <w:vAlign w:val="center"/>
          </w:tcPr>
          <w:p w14:paraId="1197B617">
            <w:pPr>
              <w:pStyle w:val="1535"/>
              <w:rPr>
                <w:snapToGrid/>
              </w:rPr>
            </w:pPr>
            <w:r>
              <w:rPr>
                <w:snapToGrid/>
              </w:rPr>
              <w:t>废RO膜</w:t>
            </w:r>
          </w:p>
        </w:tc>
        <w:tc>
          <w:tcPr>
            <w:tcW w:w="1114" w:type="dxa"/>
            <w:vAlign w:val="center"/>
          </w:tcPr>
          <w:p w14:paraId="04314AA7">
            <w:pPr>
              <w:pStyle w:val="1535"/>
              <w:rPr>
                <w:snapToGrid/>
              </w:rPr>
            </w:pPr>
            <w:r>
              <w:rPr>
                <w:snapToGrid/>
              </w:rPr>
              <w:t>一般工业固废</w:t>
            </w:r>
          </w:p>
        </w:tc>
        <w:tc>
          <w:tcPr>
            <w:tcW w:w="1861" w:type="dxa"/>
            <w:vAlign w:val="center"/>
          </w:tcPr>
          <w:p w14:paraId="7209A848">
            <w:pPr>
              <w:pStyle w:val="1535"/>
              <w:rPr>
                <w:snapToGrid/>
              </w:rPr>
            </w:pPr>
            <w:r>
              <w:rPr>
                <w:snapToGrid/>
              </w:rPr>
              <w:t>纯水制备</w:t>
            </w:r>
          </w:p>
        </w:tc>
        <w:tc>
          <w:tcPr>
            <w:tcW w:w="844" w:type="dxa"/>
            <w:vAlign w:val="center"/>
          </w:tcPr>
          <w:p w14:paraId="7789B429">
            <w:pPr>
              <w:pStyle w:val="1535"/>
              <w:rPr>
                <w:snapToGrid/>
              </w:rPr>
            </w:pPr>
            <w:r>
              <w:rPr>
                <w:snapToGrid/>
              </w:rPr>
              <w:t>固态</w:t>
            </w:r>
          </w:p>
        </w:tc>
        <w:tc>
          <w:tcPr>
            <w:tcW w:w="1274" w:type="dxa"/>
            <w:vAlign w:val="center"/>
          </w:tcPr>
          <w:p w14:paraId="78D17935">
            <w:pPr>
              <w:pStyle w:val="1535"/>
              <w:rPr>
                <w:snapToGrid/>
              </w:rPr>
            </w:pPr>
            <w:r>
              <w:rPr>
                <w:snapToGrid/>
              </w:rPr>
              <w:t>有机树脂</w:t>
            </w:r>
          </w:p>
        </w:tc>
        <w:tc>
          <w:tcPr>
            <w:tcW w:w="1225" w:type="dxa"/>
            <w:vAlign w:val="center"/>
          </w:tcPr>
          <w:p w14:paraId="1723F140">
            <w:pPr>
              <w:pStyle w:val="1535"/>
              <w:rPr>
                <w:snapToGrid/>
              </w:rPr>
            </w:pPr>
            <w:r>
              <w:rPr>
                <w:snapToGrid/>
              </w:rPr>
              <w:t>/</w:t>
            </w:r>
          </w:p>
        </w:tc>
        <w:tc>
          <w:tcPr>
            <w:tcW w:w="1407" w:type="dxa"/>
            <w:vAlign w:val="center"/>
          </w:tcPr>
          <w:p w14:paraId="58EAD5A0">
            <w:pPr>
              <w:pStyle w:val="1535"/>
              <w:rPr>
                <w:snapToGrid/>
              </w:rPr>
            </w:pPr>
            <w:r>
              <w:rPr>
                <w:snapToGrid/>
              </w:rPr>
              <w:t>/</w:t>
            </w:r>
          </w:p>
        </w:tc>
        <w:tc>
          <w:tcPr>
            <w:tcW w:w="1188" w:type="dxa"/>
            <w:vAlign w:val="center"/>
          </w:tcPr>
          <w:p w14:paraId="44124FDD">
            <w:pPr>
              <w:pStyle w:val="1535"/>
              <w:rPr>
                <w:snapToGrid/>
              </w:rPr>
            </w:pPr>
            <w:r>
              <w:rPr>
                <w:rFonts w:hint="eastAsia"/>
                <w:snapToGrid/>
              </w:rPr>
              <w:t>1.0</w:t>
            </w:r>
          </w:p>
        </w:tc>
        <w:tc>
          <w:tcPr>
            <w:tcW w:w="3088" w:type="dxa"/>
            <w:vAlign w:val="center"/>
          </w:tcPr>
          <w:p w14:paraId="0D8EAAFA">
            <w:pPr>
              <w:pStyle w:val="1535"/>
              <w:rPr>
                <w:snapToGrid/>
              </w:rPr>
            </w:pPr>
            <w:r>
              <w:rPr>
                <w:snapToGrid/>
              </w:rPr>
              <w:t>/</w:t>
            </w:r>
          </w:p>
        </w:tc>
      </w:tr>
      <w:tr w14:paraId="47E128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3F82B538">
            <w:pPr>
              <w:pStyle w:val="1535"/>
              <w:rPr>
                <w:snapToGrid/>
              </w:rPr>
            </w:pPr>
            <w:r>
              <w:rPr>
                <w:rFonts w:hint="eastAsia"/>
                <w:snapToGrid/>
              </w:rPr>
              <w:t>6</w:t>
            </w:r>
          </w:p>
        </w:tc>
        <w:tc>
          <w:tcPr>
            <w:tcW w:w="1274" w:type="dxa"/>
            <w:vAlign w:val="center"/>
          </w:tcPr>
          <w:p w14:paraId="146EF2D3">
            <w:pPr>
              <w:pStyle w:val="1535"/>
              <w:rPr>
                <w:snapToGrid/>
              </w:rPr>
            </w:pPr>
            <w:r>
              <w:rPr>
                <w:snapToGrid/>
              </w:rPr>
              <w:t>除尘灰</w:t>
            </w:r>
          </w:p>
        </w:tc>
        <w:tc>
          <w:tcPr>
            <w:tcW w:w="1114" w:type="dxa"/>
            <w:vAlign w:val="center"/>
          </w:tcPr>
          <w:p w14:paraId="7F663515">
            <w:pPr>
              <w:pStyle w:val="1535"/>
              <w:rPr>
                <w:snapToGrid/>
              </w:rPr>
            </w:pPr>
            <w:r>
              <w:rPr>
                <w:snapToGrid/>
              </w:rPr>
              <w:t>一般工业固废</w:t>
            </w:r>
          </w:p>
        </w:tc>
        <w:tc>
          <w:tcPr>
            <w:tcW w:w="1861" w:type="dxa"/>
            <w:vAlign w:val="center"/>
          </w:tcPr>
          <w:p w14:paraId="0F0F5BD2">
            <w:pPr>
              <w:pStyle w:val="1535"/>
              <w:rPr>
                <w:snapToGrid/>
              </w:rPr>
            </w:pPr>
            <w:r>
              <w:rPr>
                <w:snapToGrid/>
              </w:rPr>
              <w:t>除尘器</w:t>
            </w:r>
          </w:p>
        </w:tc>
        <w:tc>
          <w:tcPr>
            <w:tcW w:w="844" w:type="dxa"/>
            <w:vAlign w:val="center"/>
          </w:tcPr>
          <w:p w14:paraId="5B423E0F">
            <w:pPr>
              <w:pStyle w:val="1535"/>
              <w:rPr>
                <w:snapToGrid/>
              </w:rPr>
            </w:pPr>
            <w:r>
              <w:rPr>
                <w:snapToGrid/>
              </w:rPr>
              <w:t>固态</w:t>
            </w:r>
          </w:p>
        </w:tc>
        <w:tc>
          <w:tcPr>
            <w:tcW w:w="1274" w:type="dxa"/>
            <w:vAlign w:val="center"/>
          </w:tcPr>
          <w:p w14:paraId="1753BD30">
            <w:pPr>
              <w:pStyle w:val="1535"/>
              <w:rPr>
                <w:snapToGrid/>
              </w:rPr>
            </w:pPr>
            <w:r>
              <w:rPr>
                <w:rFonts w:hint="eastAsia"/>
                <w:snapToGrid/>
              </w:rPr>
              <w:t>石墨</w:t>
            </w:r>
          </w:p>
        </w:tc>
        <w:tc>
          <w:tcPr>
            <w:tcW w:w="1225" w:type="dxa"/>
            <w:vAlign w:val="center"/>
          </w:tcPr>
          <w:p w14:paraId="028D97F5">
            <w:pPr>
              <w:pStyle w:val="1535"/>
              <w:rPr>
                <w:snapToGrid/>
              </w:rPr>
            </w:pPr>
            <w:r>
              <w:rPr>
                <w:snapToGrid/>
              </w:rPr>
              <w:t>/</w:t>
            </w:r>
          </w:p>
        </w:tc>
        <w:tc>
          <w:tcPr>
            <w:tcW w:w="1407" w:type="dxa"/>
            <w:vAlign w:val="center"/>
          </w:tcPr>
          <w:p w14:paraId="0D0B4A5A">
            <w:pPr>
              <w:pStyle w:val="1535"/>
              <w:rPr>
                <w:snapToGrid/>
              </w:rPr>
            </w:pPr>
            <w:r>
              <w:rPr>
                <w:snapToGrid/>
              </w:rPr>
              <w:t>/</w:t>
            </w:r>
          </w:p>
        </w:tc>
        <w:tc>
          <w:tcPr>
            <w:tcW w:w="1188" w:type="dxa"/>
            <w:vAlign w:val="center"/>
          </w:tcPr>
          <w:p w14:paraId="053028F5">
            <w:pPr>
              <w:pStyle w:val="1535"/>
              <w:rPr>
                <w:snapToGrid/>
              </w:rPr>
            </w:pPr>
            <w:r>
              <w:rPr>
                <w:rFonts w:hint="eastAsia"/>
                <w:snapToGrid/>
              </w:rPr>
              <w:t>0.02</w:t>
            </w:r>
          </w:p>
        </w:tc>
        <w:tc>
          <w:tcPr>
            <w:tcW w:w="3088" w:type="dxa"/>
            <w:vAlign w:val="center"/>
          </w:tcPr>
          <w:p w14:paraId="239FE356">
            <w:pPr>
              <w:pStyle w:val="1535"/>
              <w:rPr>
                <w:snapToGrid/>
              </w:rPr>
            </w:pPr>
            <w:r>
              <w:rPr>
                <w:snapToGrid/>
              </w:rPr>
              <w:t>/</w:t>
            </w:r>
          </w:p>
        </w:tc>
      </w:tr>
      <w:tr w14:paraId="47196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23DB634F">
            <w:pPr>
              <w:pStyle w:val="1535"/>
              <w:rPr>
                <w:snapToGrid/>
              </w:rPr>
            </w:pPr>
            <w:r>
              <w:rPr>
                <w:rFonts w:hint="eastAsia"/>
                <w:snapToGrid/>
              </w:rPr>
              <w:t>7</w:t>
            </w:r>
          </w:p>
        </w:tc>
        <w:tc>
          <w:tcPr>
            <w:tcW w:w="1274" w:type="dxa"/>
            <w:vAlign w:val="center"/>
          </w:tcPr>
          <w:p w14:paraId="327D9901">
            <w:pPr>
              <w:pStyle w:val="1535"/>
              <w:rPr>
                <w:snapToGrid/>
              </w:rPr>
            </w:pPr>
            <w:r>
              <w:rPr>
                <w:snapToGrid/>
              </w:rPr>
              <w:t>含切削液污泥</w:t>
            </w:r>
          </w:p>
        </w:tc>
        <w:tc>
          <w:tcPr>
            <w:tcW w:w="1114" w:type="dxa"/>
            <w:vAlign w:val="center"/>
          </w:tcPr>
          <w:p w14:paraId="176383E6">
            <w:pPr>
              <w:pStyle w:val="1535"/>
              <w:rPr>
                <w:snapToGrid/>
              </w:rPr>
            </w:pPr>
            <w:r>
              <w:rPr>
                <w:snapToGrid/>
              </w:rPr>
              <w:t>危险废物</w:t>
            </w:r>
          </w:p>
        </w:tc>
        <w:tc>
          <w:tcPr>
            <w:tcW w:w="1861" w:type="dxa"/>
            <w:vAlign w:val="center"/>
          </w:tcPr>
          <w:p w14:paraId="5FC7BB6F">
            <w:pPr>
              <w:pStyle w:val="1535"/>
              <w:rPr>
                <w:snapToGrid/>
              </w:rPr>
            </w:pPr>
            <w:r>
              <w:rPr>
                <w:snapToGrid/>
              </w:rPr>
              <w:t>切削液回收车间</w:t>
            </w:r>
          </w:p>
        </w:tc>
        <w:tc>
          <w:tcPr>
            <w:tcW w:w="844" w:type="dxa"/>
            <w:vAlign w:val="center"/>
          </w:tcPr>
          <w:p w14:paraId="0C6E89F6">
            <w:pPr>
              <w:pStyle w:val="1535"/>
              <w:rPr>
                <w:snapToGrid/>
              </w:rPr>
            </w:pPr>
            <w:r>
              <w:rPr>
                <w:snapToGrid/>
              </w:rPr>
              <w:t>固态</w:t>
            </w:r>
          </w:p>
        </w:tc>
        <w:tc>
          <w:tcPr>
            <w:tcW w:w="1274" w:type="dxa"/>
            <w:vAlign w:val="center"/>
          </w:tcPr>
          <w:p w14:paraId="07AF66C8">
            <w:pPr>
              <w:pStyle w:val="1535"/>
              <w:rPr>
                <w:snapToGrid/>
              </w:rPr>
            </w:pPr>
            <w:r>
              <w:rPr>
                <w:snapToGrid/>
              </w:rPr>
              <w:t>沾染乳化液的污泥</w:t>
            </w:r>
          </w:p>
        </w:tc>
        <w:tc>
          <w:tcPr>
            <w:tcW w:w="1225" w:type="dxa"/>
            <w:vAlign w:val="center"/>
          </w:tcPr>
          <w:p w14:paraId="6F06B3E9">
            <w:pPr>
              <w:pStyle w:val="1535"/>
              <w:rPr>
                <w:snapToGrid/>
              </w:rPr>
            </w:pPr>
            <w:r>
              <w:rPr>
                <w:snapToGrid/>
              </w:rPr>
              <w:t>HW09</w:t>
            </w:r>
          </w:p>
        </w:tc>
        <w:tc>
          <w:tcPr>
            <w:tcW w:w="1407" w:type="dxa"/>
            <w:vAlign w:val="center"/>
          </w:tcPr>
          <w:p w14:paraId="6F30E6C1">
            <w:pPr>
              <w:pStyle w:val="1535"/>
              <w:rPr>
                <w:snapToGrid/>
              </w:rPr>
            </w:pPr>
            <w:r>
              <w:rPr>
                <w:snapToGrid/>
              </w:rPr>
              <w:t>900-006-09</w:t>
            </w:r>
          </w:p>
        </w:tc>
        <w:tc>
          <w:tcPr>
            <w:tcW w:w="1188" w:type="dxa"/>
            <w:vAlign w:val="center"/>
          </w:tcPr>
          <w:p w14:paraId="421176B8">
            <w:pPr>
              <w:pStyle w:val="1535"/>
              <w:rPr>
                <w:snapToGrid/>
              </w:rPr>
            </w:pPr>
            <w:r>
              <w:rPr>
                <w:rFonts w:hint="eastAsia"/>
                <w:snapToGrid/>
              </w:rPr>
              <w:t>1.0</w:t>
            </w:r>
          </w:p>
        </w:tc>
        <w:tc>
          <w:tcPr>
            <w:tcW w:w="3088" w:type="dxa"/>
            <w:vMerge w:val="restart"/>
            <w:vAlign w:val="center"/>
          </w:tcPr>
          <w:p w14:paraId="33044D62">
            <w:pPr>
              <w:pStyle w:val="1535"/>
              <w:rPr>
                <w:snapToGrid/>
              </w:rPr>
            </w:pPr>
            <w:r>
              <w:rPr>
                <w:rFonts w:hint="eastAsia"/>
                <w:snapToGrid/>
              </w:rPr>
              <w:t>按照《危险废物贮存污染控制标准》(GB18597-2023)进行污染控制和管理</w:t>
            </w:r>
          </w:p>
        </w:tc>
      </w:tr>
      <w:tr w14:paraId="24AB2A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34CE4757">
            <w:pPr>
              <w:pStyle w:val="1535"/>
              <w:rPr>
                <w:snapToGrid/>
              </w:rPr>
            </w:pPr>
            <w:r>
              <w:rPr>
                <w:rFonts w:hint="eastAsia"/>
                <w:snapToGrid/>
              </w:rPr>
              <w:t>8</w:t>
            </w:r>
          </w:p>
        </w:tc>
        <w:tc>
          <w:tcPr>
            <w:tcW w:w="1274" w:type="dxa"/>
            <w:vAlign w:val="center"/>
          </w:tcPr>
          <w:p w14:paraId="6893B051">
            <w:pPr>
              <w:pStyle w:val="1535"/>
              <w:rPr>
                <w:snapToGrid/>
              </w:rPr>
            </w:pPr>
            <w:r>
              <w:rPr>
                <w:snapToGrid/>
              </w:rPr>
              <w:t>危险化学品桶</w:t>
            </w:r>
          </w:p>
        </w:tc>
        <w:tc>
          <w:tcPr>
            <w:tcW w:w="1114" w:type="dxa"/>
            <w:vAlign w:val="center"/>
          </w:tcPr>
          <w:p w14:paraId="04DFF9DB">
            <w:pPr>
              <w:pStyle w:val="1535"/>
              <w:rPr>
                <w:snapToGrid/>
              </w:rPr>
            </w:pPr>
            <w:r>
              <w:rPr>
                <w:snapToGrid/>
              </w:rPr>
              <w:t>危险废物</w:t>
            </w:r>
          </w:p>
        </w:tc>
        <w:tc>
          <w:tcPr>
            <w:tcW w:w="1861" w:type="dxa"/>
            <w:vAlign w:val="center"/>
          </w:tcPr>
          <w:p w14:paraId="1F8105A7">
            <w:pPr>
              <w:pStyle w:val="1535"/>
              <w:rPr>
                <w:snapToGrid/>
              </w:rPr>
            </w:pPr>
            <w:r>
              <w:rPr>
                <w:snapToGrid/>
              </w:rPr>
              <w:t>危险化学品使用</w:t>
            </w:r>
          </w:p>
        </w:tc>
        <w:tc>
          <w:tcPr>
            <w:tcW w:w="844" w:type="dxa"/>
            <w:vAlign w:val="center"/>
          </w:tcPr>
          <w:p w14:paraId="33C288E6">
            <w:pPr>
              <w:pStyle w:val="1535"/>
              <w:rPr>
                <w:snapToGrid/>
              </w:rPr>
            </w:pPr>
            <w:r>
              <w:rPr>
                <w:snapToGrid/>
              </w:rPr>
              <w:t>固态</w:t>
            </w:r>
          </w:p>
        </w:tc>
        <w:tc>
          <w:tcPr>
            <w:tcW w:w="1274" w:type="dxa"/>
            <w:vAlign w:val="center"/>
          </w:tcPr>
          <w:p w14:paraId="490A9FFE">
            <w:pPr>
              <w:pStyle w:val="1535"/>
              <w:rPr>
                <w:snapToGrid/>
              </w:rPr>
            </w:pPr>
            <w:r>
              <w:rPr>
                <w:snapToGrid/>
              </w:rPr>
              <w:t>沾染危险化学品容器</w:t>
            </w:r>
          </w:p>
        </w:tc>
        <w:tc>
          <w:tcPr>
            <w:tcW w:w="1225" w:type="dxa"/>
            <w:vAlign w:val="center"/>
          </w:tcPr>
          <w:p w14:paraId="37A8B535">
            <w:pPr>
              <w:pStyle w:val="1535"/>
              <w:rPr>
                <w:snapToGrid/>
              </w:rPr>
            </w:pPr>
            <w:r>
              <w:rPr>
                <w:snapToGrid/>
              </w:rPr>
              <w:t>HW49</w:t>
            </w:r>
          </w:p>
        </w:tc>
        <w:tc>
          <w:tcPr>
            <w:tcW w:w="1407" w:type="dxa"/>
            <w:vAlign w:val="center"/>
          </w:tcPr>
          <w:p w14:paraId="5E3C753D">
            <w:pPr>
              <w:pStyle w:val="1535"/>
              <w:rPr>
                <w:snapToGrid/>
              </w:rPr>
            </w:pPr>
            <w:r>
              <w:rPr>
                <w:snapToGrid/>
              </w:rPr>
              <w:t>900-041-49</w:t>
            </w:r>
          </w:p>
        </w:tc>
        <w:tc>
          <w:tcPr>
            <w:tcW w:w="1188" w:type="dxa"/>
            <w:vAlign w:val="center"/>
          </w:tcPr>
          <w:p w14:paraId="506A8DD6">
            <w:pPr>
              <w:pStyle w:val="1535"/>
              <w:rPr>
                <w:snapToGrid/>
              </w:rPr>
            </w:pPr>
            <w:r>
              <w:rPr>
                <w:rFonts w:hint="eastAsia"/>
                <w:snapToGrid/>
              </w:rPr>
              <w:t>1.0</w:t>
            </w:r>
          </w:p>
        </w:tc>
        <w:tc>
          <w:tcPr>
            <w:tcW w:w="3088" w:type="dxa"/>
            <w:vMerge w:val="continue"/>
            <w:vAlign w:val="center"/>
          </w:tcPr>
          <w:p w14:paraId="22D01B11">
            <w:pPr>
              <w:pStyle w:val="1535"/>
              <w:rPr>
                <w:snapToGrid/>
              </w:rPr>
            </w:pPr>
          </w:p>
        </w:tc>
      </w:tr>
      <w:tr w14:paraId="05FECB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557FBEBF">
            <w:pPr>
              <w:pStyle w:val="1535"/>
              <w:rPr>
                <w:snapToGrid/>
              </w:rPr>
            </w:pPr>
            <w:r>
              <w:rPr>
                <w:rFonts w:hint="eastAsia"/>
                <w:snapToGrid/>
              </w:rPr>
              <w:t>9</w:t>
            </w:r>
          </w:p>
        </w:tc>
        <w:tc>
          <w:tcPr>
            <w:tcW w:w="1274" w:type="dxa"/>
            <w:vAlign w:val="center"/>
          </w:tcPr>
          <w:p w14:paraId="20C590C3">
            <w:pPr>
              <w:pStyle w:val="1535"/>
              <w:rPr>
                <w:snapToGrid/>
              </w:rPr>
            </w:pPr>
            <w:r>
              <w:rPr>
                <w:snapToGrid/>
              </w:rPr>
              <w:t>废切削液</w:t>
            </w:r>
          </w:p>
        </w:tc>
        <w:tc>
          <w:tcPr>
            <w:tcW w:w="1114" w:type="dxa"/>
            <w:vAlign w:val="center"/>
          </w:tcPr>
          <w:p w14:paraId="564F477B">
            <w:pPr>
              <w:pStyle w:val="1535"/>
              <w:rPr>
                <w:snapToGrid/>
              </w:rPr>
            </w:pPr>
            <w:r>
              <w:rPr>
                <w:snapToGrid/>
              </w:rPr>
              <w:t>危险废物</w:t>
            </w:r>
          </w:p>
        </w:tc>
        <w:tc>
          <w:tcPr>
            <w:tcW w:w="1861" w:type="dxa"/>
            <w:vAlign w:val="center"/>
          </w:tcPr>
          <w:p w14:paraId="3A760DD4">
            <w:pPr>
              <w:pStyle w:val="1535"/>
              <w:rPr>
                <w:snapToGrid/>
              </w:rPr>
            </w:pPr>
            <w:r>
              <w:rPr>
                <w:snapToGrid/>
              </w:rPr>
              <w:t>下料、</w:t>
            </w:r>
            <w:r>
              <w:rPr>
                <w:rFonts w:hint="eastAsia"/>
                <w:snapToGrid/>
              </w:rPr>
              <w:t>机加</w:t>
            </w:r>
          </w:p>
        </w:tc>
        <w:tc>
          <w:tcPr>
            <w:tcW w:w="844" w:type="dxa"/>
            <w:vAlign w:val="center"/>
          </w:tcPr>
          <w:p w14:paraId="5DFD572E">
            <w:pPr>
              <w:pStyle w:val="1535"/>
              <w:rPr>
                <w:snapToGrid/>
              </w:rPr>
            </w:pPr>
            <w:r>
              <w:rPr>
                <w:snapToGrid/>
              </w:rPr>
              <w:t>液态</w:t>
            </w:r>
          </w:p>
        </w:tc>
        <w:tc>
          <w:tcPr>
            <w:tcW w:w="1274" w:type="dxa"/>
            <w:vAlign w:val="center"/>
          </w:tcPr>
          <w:p w14:paraId="5B065F65">
            <w:pPr>
              <w:pStyle w:val="1535"/>
              <w:rPr>
                <w:snapToGrid/>
              </w:rPr>
            </w:pPr>
            <w:r>
              <w:rPr>
                <w:snapToGrid/>
              </w:rPr>
              <w:t>乳化液</w:t>
            </w:r>
          </w:p>
        </w:tc>
        <w:tc>
          <w:tcPr>
            <w:tcW w:w="1225" w:type="dxa"/>
            <w:vAlign w:val="center"/>
          </w:tcPr>
          <w:p w14:paraId="1E867DCF">
            <w:pPr>
              <w:pStyle w:val="1535"/>
              <w:rPr>
                <w:snapToGrid/>
              </w:rPr>
            </w:pPr>
            <w:r>
              <w:rPr>
                <w:snapToGrid/>
              </w:rPr>
              <w:t>HW09</w:t>
            </w:r>
          </w:p>
        </w:tc>
        <w:tc>
          <w:tcPr>
            <w:tcW w:w="1407" w:type="dxa"/>
            <w:vAlign w:val="center"/>
          </w:tcPr>
          <w:p w14:paraId="2895390E">
            <w:pPr>
              <w:pStyle w:val="1535"/>
              <w:rPr>
                <w:snapToGrid/>
              </w:rPr>
            </w:pPr>
            <w:r>
              <w:rPr>
                <w:snapToGrid/>
              </w:rPr>
              <w:t>900-006-09</w:t>
            </w:r>
          </w:p>
        </w:tc>
        <w:tc>
          <w:tcPr>
            <w:tcW w:w="1188" w:type="dxa"/>
            <w:vAlign w:val="center"/>
          </w:tcPr>
          <w:p w14:paraId="7FBA932B">
            <w:pPr>
              <w:pStyle w:val="1535"/>
              <w:rPr>
                <w:snapToGrid/>
              </w:rPr>
            </w:pPr>
            <w:r>
              <w:rPr>
                <w:rFonts w:hint="eastAsia"/>
                <w:snapToGrid/>
              </w:rPr>
              <w:t>0.2</w:t>
            </w:r>
          </w:p>
        </w:tc>
        <w:tc>
          <w:tcPr>
            <w:tcW w:w="3088" w:type="dxa"/>
            <w:vMerge w:val="continue"/>
            <w:vAlign w:val="center"/>
          </w:tcPr>
          <w:p w14:paraId="33ACC498">
            <w:pPr>
              <w:pStyle w:val="1535"/>
              <w:rPr>
                <w:snapToGrid/>
              </w:rPr>
            </w:pPr>
          </w:p>
        </w:tc>
      </w:tr>
      <w:tr w14:paraId="65D85A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1ACAC2F0">
            <w:pPr>
              <w:pStyle w:val="1535"/>
              <w:rPr>
                <w:snapToGrid/>
              </w:rPr>
            </w:pPr>
            <w:r>
              <w:rPr>
                <w:rFonts w:hint="eastAsia"/>
                <w:snapToGrid/>
              </w:rPr>
              <w:t>10</w:t>
            </w:r>
          </w:p>
        </w:tc>
        <w:tc>
          <w:tcPr>
            <w:tcW w:w="1274" w:type="dxa"/>
            <w:vAlign w:val="center"/>
          </w:tcPr>
          <w:p w14:paraId="6FA522DD">
            <w:pPr>
              <w:pStyle w:val="1535"/>
              <w:rPr>
                <w:snapToGrid/>
              </w:rPr>
            </w:pPr>
            <w:r>
              <w:rPr>
                <w:rFonts w:hint="eastAsia"/>
              </w:rPr>
              <w:t>沾染乙醇抹布手套</w:t>
            </w:r>
          </w:p>
        </w:tc>
        <w:tc>
          <w:tcPr>
            <w:tcW w:w="1114" w:type="dxa"/>
            <w:vAlign w:val="center"/>
          </w:tcPr>
          <w:p w14:paraId="2D376289">
            <w:pPr>
              <w:pStyle w:val="1535"/>
              <w:rPr>
                <w:snapToGrid/>
              </w:rPr>
            </w:pPr>
            <w:r>
              <w:rPr>
                <w:rFonts w:hint="eastAsia"/>
                <w:snapToGrid/>
              </w:rPr>
              <w:t>危险废物</w:t>
            </w:r>
          </w:p>
        </w:tc>
        <w:tc>
          <w:tcPr>
            <w:tcW w:w="1861" w:type="dxa"/>
            <w:vAlign w:val="center"/>
          </w:tcPr>
          <w:p w14:paraId="40CBEB20">
            <w:pPr>
              <w:pStyle w:val="1535"/>
              <w:rPr>
                <w:snapToGrid/>
              </w:rPr>
            </w:pPr>
            <w:r>
              <w:rPr>
                <w:rFonts w:hint="eastAsia"/>
                <w:snapToGrid/>
              </w:rPr>
              <w:t>清洁</w:t>
            </w:r>
          </w:p>
        </w:tc>
        <w:tc>
          <w:tcPr>
            <w:tcW w:w="844" w:type="dxa"/>
            <w:vAlign w:val="center"/>
          </w:tcPr>
          <w:p w14:paraId="6A07FDCB">
            <w:pPr>
              <w:pStyle w:val="1535"/>
              <w:rPr>
                <w:snapToGrid/>
              </w:rPr>
            </w:pPr>
            <w:r>
              <w:rPr>
                <w:snapToGrid/>
              </w:rPr>
              <w:t>固态</w:t>
            </w:r>
          </w:p>
        </w:tc>
        <w:tc>
          <w:tcPr>
            <w:tcW w:w="1274" w:type="dxa"/>
            <w:vAlign w:val="center"/>
          </w:tcPr>
          <w:p w14:paraId="4FA04669">
            <w:pPr>
              <w:pStyle w:val="1535"/>
              <w:rPr>
                <w:snapToGrid/>
              </w:rPr>
            </w:pPr>
            <w:r>
              <w:rPr>
                <w:rFonts w:hint="eastAsia"/>
                <w:snapToGrid/>
              </w:rPr>
              <w:t>危险废物</w:t>
            </w:r>
          </w:p>
        </w:tc>
        <w:tc>
          <w:tcPr>
            <w:tcW w:w="1225" w:type="dxa"/>
            <w:vAlign w:val="center"/>
          </w:tcPr>
          <w:p w14:paraId="52BA190A">
            <w:pPr>
              <w:pStyle w:val="1535"/>
              <w:rPr>
                <w:snapToGrid/>
              </w:rPr>
            </w:pPr>
            <w:r>
              <w:t>HW49</w:t>
            </w:r>
          </w:p>
        </w:tc>
        <w:tc>
          <w:tcPr>
            <w:tcW w:w="1407" w:type="dxa"/>
            <w:vAlign w:val="center"/>
          </w:tcPr>
          <w:p w14:paraId="485F67E1">
            <w:pPr>
              <w:pStyle w:val="1535"/>
              <w:rPr>
                <w:snapToGrid/>
              </w:rPr>
            </w:pPr>
            <w:r>
              <w:t>900-047-49</w:t>
            </w:r>
          </w:p>
        </w:tc>
        <w:tc>
          <w:tcPr>
            <w:tcW w:w="1188" w:type="dxa"/>
            <w:vAlign w:val="center"/>
          </w:tcPr>
          <w:p w14:paraId="0F20F503">
            <w:pPr>
              <w:pStyle w:val="1535"/>
              <w:rPr>
                <w:snapToGrid/>
              </w:rPr>
            </w:pPr>
            <w:r>
              <w:rPr>
                <w:rFonts w:hint="eastAsia"/>
                <w:snapToGrid/>
              </w:rPr>
              <w:t>0.2</w:t>
            </w:r>
          </w:p>
        </w:tc>
        <w:tc>
          <w:tcPr>
            <w:tcW w:w="3088" w:type="dxa"/>
            <w:vMerge w:val="continue"/>
            <w:vAlign w:val="center"/>
          </w:tcPr>
          <w:p w14:paraId="7E64387F">
            <w:pPr>
              <w:pStyle w:val="1535"/>
              <w:rPr>
                <w:snapToGrid/>
              </w:rPr>
            </w:pPr>
          </w:p>
        </w:tc>
      </w:tr>
      <w:tr w14:paraId="4B89A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944" w:type="dxa"/>
            <w:vAlign w:val="center"/>
          </w:tcPr>
          <w:p w14:paraId="38062603">
            <w:pPr>
              <w:pStyle w:val="1535"/>
              <w:rPr>
                <w:snapToGrid/>
              </w:rPr>
            </w:pPr>
            <w:r>
              <w:rPr>
                <w:rFonts w:hint="eastAsia"/>
                <w:snapToGrid/>
              </w:rPr>
              <w:t>11</w:t>
            </w:r>
          </w:p>
        </w:tc>
        <w:tc>
          <w:tcPr>
            <w:tcW w:w="1274" w:type="dxa"/>
            <w:vAlign w:val="center"/>
          </w:tcPr>
          <w:p w14:paraId="5EED1741">
            <w:pPr>
              <w:pStyle w:val="1535"/>
              <w:rPr>
                <w:snapToGrid/>
              </w:rPr>
            </w:pPr>
            <w:r>
              <w:rPr>
                <w:rFonts w:hint="eastAsia"/>
              </w:rPr>
              <w:t>沾染切削液废石墨屑</w:t>
            </w:r>
          </w:p>
        </w:tc>
        <w:tc>
          <w:tcPr>
            <w:tcW w:w="1114" w:type="dxa"/>
            <w:vAlign w:val="center"/>
          </w:tcPr>
          <w:p w14:paraId="48A21478">
            <w:pPr>
              <w:pStyle w:val="1535"/>
              <w:rPr>
                <w:snapToGrid/>
              </w:rPr>
            </w:pPr>
            <w:r>
              <w:rPr>
                <w:rFonts w:hint="eastAsia"/>
                <w:snapToGrid/>
              </w:rPr>
              <w:t>危险废物</w:t>
            </w:r>
          </w:p>
        </w:tc>
        <w:tc>
          <w:tcPr>
            <w:tcW w:w="1861" w:type="dxa"/>
            <w:vAlign w:val="center"/>
          </w:tcPr>
          <w:p w14:paraId="0CF8231A">
            <w:pPr>
              <w:pStyle w:val="1535"/>
              <w:rPr>
                <w:snapToGrid/>
              </w:rPr>
            </w:pPr>
            <w:r>
              <w:rPr>
                <w:rFonts w:hint="eastAsia"/>
                <w:snapToGrid/>
              </w:rPr>
              <w:t>加工</w:t>
            </w:r>
          </w:p>
        </w:tc>
        <w:tc>
          <w:tcPr>
            <w:tcW w:w="844" w:type="dxa"/>
            <w:vAlign w:val="center"/>
          </w:tcPr>
          <w:p w14:paraId="26675851">
            <w:pPr>
              <w:pStyle w:val="1535"/>
              <w:rPr>
                <w:snapToGrid/>
              </w:rPr>
            </w:pPr>
            <w:r>
              <w:rPr>
                <w:rFonts w:hint="eastAsia"/>
                <w:snapToGrid/>
              </w:rPr>
              <w:t>固态</w:t>
            </w:r>
          </w:p>
        </w:tc>
        <w:tc>
          <w:tcPr>
            <w:tcW w:w="1274" w:type="dxa"/>
            <w:vAlign w:val="center"/>
          </w:tcPr>
          <w:p w14:paraId="65B3D3EB">
            <w:pPr>
              <w:pStyle w:val="1535"/>
              <w:rPr>
                <w:snapToGrid/>
              </w:rPr>
            </w:pPr>
            <w:r>
              <w:rPr>
                <w:rFonts w:hint="eastAsia"/>
                <w:snapToGrid/>
              </w:rPr>
              <w:t>切削液</w:t>
            </w:r>
          </w:p>
        </w:tc>
        <w:tc>
          <w:tcPr>
            <w:tcW w:w="1225" w:type="dxa"/>
            <w:vAlign w:val="center"/>
          </w:tcPr>
          <w:p w14:paraId="3ED5DCED">
            <w:pPr>
              <w:pStyle w:val="1535"/>
              <w:rPr>
                <w:snapToGrid/>
              </w:rPr>
            </w:pPr>
            <w:r>
              <w:rPr>
                <w:snapToGrid/>
              </w:rPr>
              <w:t>HW09</w:t>
            </w:r>
          </w:p>
        </w:tc>
        <w:tc>
          <w:tcPr>
            <w:tcW w:w="1407" w:type="dxa"/>
            <w:vAlign w:val="center"/>
          </w:tcPr>
          <w:p w14:paraId="2D8941EC">
            <w:pPr>
              <w:pStyle w:val="1535"/>
              <w:rPr>
                <w:snapToGrid/>
              </w:rPr>
            </w:pPr>
            <w:r>
              <w:rPr>
                <w:snapToGrid/>
              </w:rPr>
              <w:t>900-006-09</w:t>
            </w:r>
          </w:p>
        </w:tc>
        <w:tc>
          <w:tcPr>
            <w:tcW w:w="1188" w:type="dxa"/>
            <w:vAlign w:val="center"/>
          </w:tcPr>
          <w:p w14:paraId="05B2BBB3">
            <w:pPr>
              <w:pStyle w:val="1535"/>
              <w:rPr>
                <w:snapToGrid/>
              </w:rPr>
            </w:pPr>
            <w:r>
              <w:rPr>
                <w:rFonts w:hint="eastAsia"/>
                <w:snapToGrid/>
              </w:rPr>
              <w:t>1.0</w:t>
            </w:r>
          </w:p>
        </w:tc>
        <w:tc>
          <w:tcPr>
            <w:tcW w:w="3088" w:type="dxa"/>
            <w:vMerge w:val="continue"/>
            <w:vAlign w:val="center"/>
          </w:tcPr>
          <w:p w14:paraId="34D78803">
            <w:pPr>
              <w:pStyle w:val="1535"/>
              <w:rPr>
                <w:snapToGrid/>
              </w:rPr>
            </w:pPr>
          </w:p>
        </w:tc>
      </w:tr>
      <w:tr w14:paraId="7E51B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7AEF3726">
            <w:pPr>
              <w:pStyle w:val="1535"/>
              <w:rPr>
                <w:snapToGrid/>
              </w:rPr>
            </w:pPr>
            <w:r>
              <w:rPr>
                <w:rFonts w:hint="eastAsia"/>
                <w:snapToGrid/>
              </w:rPr>
              <w:t>12</w:t>
            </w:r>
          </w:p>
        </w:tc>
        <w:tc>
          <w:tcPr>
            <w:tcW w:w="1274" w:type="dxa"/>
            <w:vAlign w:val="center"/>
          </w:tcPr>
          <w:p w14:paraId="4623B134">
            <w:pPr>
              <w:pStyle w:val="1535"/>
              <w:rPr>
                <w:snapToGrid/>
              </w:rPr>
            </w:pPr>
            <w:r>
              <w:rPr>
                <w:rFonts w:hint="eastAsia"/>
                <w:snapToGrid/>
              </w:rPr>
              <w:t>含油废液</w:t>
            </w:r>
          </w:p>
        </w:tc>
        <w:tc>
          <w:tcPr>
            <w:tcW w:w="1114" w:type="dxa"/>
            <w:vAlign w:val="center"/>
          </w:tcPr>
          <w:p w14:paraId="6251F03B">
            <w:pPr>
              <w:pStyle w:val="1535"/>
              <w:rPr>
                <w:snapToGrid/>
              </w:rPr>
            </w:pPr>
            <w:r>
              <w:rPr>
                <w:snapToGrid/>
              </w:rPr>
              <w:t>危险废物</w:t>
            </w:r>
          </w:p>
        </w:tc>
        <w:tc>
          <w:tcPr>
            <w:tcW w:w="1861" w:type="dxa"/>
            <w:vAlign w:val="center"/>
          </w:tcPr>
          <w:p w14:paraId="7C79E730">
            <w:pPr>
              <w:pStyle w:val="1535"/>
              <w:rPr>
                <w:snapToGrid/>
              </w:rPr>
            </w:pPr>
            <w:r>
              <w:rPr>
                <w:snapToGrid/>
              </w:rPr>
              <w:t>设备保养</w:t>
            </w:r>
          </w:p>
        </w:tc>
        <w:tc>
          <w:tcPr>
            <w:tcW w:w="844" w:type="dxa"/>
            <w:vAlign w:val="center"/>
          </w:tcPr>
          <w:p w14:paraId="6BA721E2">
            <w:pPr>
              <w:pStyle w:val="1535"/>
              <w:rPr>
                <w:snapToGrid/>
              </w:rPr>
            </w:pPr>
            <w:r>
              <w:rPr>
                <w:snapToGrid/>
              </w:rPr>
              <w:t>液态</w:t>
            </w:r>
          </w:p>
        </w:tc>
        <w:tc>
          <w:tcPr>
            <w:tcW w:w="1274" w:type="dxa"/>
            <w:vAlign w:val="center"/>
          </w:tcPr>
          <w:p w14:paraId="05CBC847">
            <w:pPr>
              <w:pStyle w:val="1535"/>
              <w:rPr>
                <w:snapToGrid/>
              </w:rPr>
            </w:pPr>
            <w:r>
              <w:rPr>
                <w:snapToGrid/>
              </w:rPr>
              <w:t>油类</w:t>
            </w:r>
          </w:p>
        </w:tc>
        <w:tc>
          <w:tcPr>
            <w:tcW w:w="1225" w:type="dxa"/>
            <w:vAlign w:val="center"/>
          </w:tcPr>
          <w:p w14:paraId="75CEF1EE">
            <w:pPr>
              <w:pStyle w:val="1535"/>
              <w:rPr>
                <w:snapToGrid/>
              </w:rPr>
            </w:pPr>
            <w:r>
              <w:rPr>
                <w:snapToGrid/>
              </w:rPr>
              <w:t>HW08</w:t>
            </w:r>
          </w:p>
        </w:tc>
        <w:tc>
          <w:tcPr>
            <w:tcW w:w="1407" w:type="dxa"/>
            <w:vAlign w:val="center"/>
          </w:tcPr>
          <w:p w14:paraId="1F2422C3">
            <w:pPr>
              <w:pStyle w:val="1535"/>
              <w:rPr>
                <w:snapToGrid/>
              </w:rPr>
            </w:pPr>
            <w:r>
              <w:rPr>
                <w:snapToGrid/>
              </w:rPr>
              <w:t>900-214-08</w:t>
            </w:r>
          </w:p>
        </w:tc>
        <w:tc>
          <w:tcPr>
            <w:tcW w:w="1188" w:type="dxa"/>
            <w:vAlign w:val="center"/>
          </w:tcPr>
          <w:p w14:paraId="48564A83">
            <w:pPr>
              <w:pStyle w:val="1535"/>
              <w:rPr>
                <w:snapToGrid/>
              </w:rPr>
            </w:pPr>
            <w:r>
              <w:rPr>
                <w:rFonts w:hint="eastAsia"/>
                <w:snapToGrid/>
              </w:rPr>
              <w:t>0.1</w:t>
            </w:r>
          </w:p>
        </w:tc>
        <w:tc>
          <w:tcPr>
            <w:tcW w:w="3088" w:type="dxa"/>
            <w:vMerge w:val="continue"/>
            <w:vAlign w:val="center"/>
          </w:tcPr>
          <w:p w14:paraId="31755BDB">
            <w:pPr>
              <w:pStyle w:val="1535"/>
              <w:rPr>
                <w:snapToGrid/>
              </w:rPr>
            </w:pPr>
          </w:p>
        </w:tc>
      </w:tr>
      <w:tr w14:paraId="67E8D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20406E8A">
            <w:pPr>
              <w:pStyle w:val="1535"/>
              <w:rPr>
                <w:snapToGrid/>
              </w:rPr>
            </w:pPr>
            <w:r>
              <w:rPr>
                <w:rFonts w:hint="eastAsia"/>
                <w:snapToGrid/>
              </w:rPr>
              <w:t>13</w:t>
            </w:r>
          </w:p>
        </w:tc>
        <w:tc>
          <w:tcPr>
            <w:tcW w:w="1274" w:type="dxa"/>
            <w:vAlign w:val="center"/>
          </w:tcPr>
          <w:p w14:paraId="62DD6A7D">
            <w:pPr>
              <w:pStyle w:val="1535"/>
              <w:rPr>
                <w:snapToGrid/>
              </w:rPr>
            </w:pPr>
            <w:r>
              <w:rPr>
                <w:snapToGrid/>
              </w:rPr>
              <w:t>废水处理站污泥</w:t>
            </w:r>
          </w:p>
        </w:tc>
        <w:tc>
          <w:tcPr>
            <w:tcW w:w="1114" w:type="dxa"/>
            <w:vAlign w:val="center"/>
          </w:tcPr>
          <w:p w14:paraId="634B2CC0">
            <w:pPr>
              <w:pStyle w:val="1535"/>
              <w:rPr>
                <w:snapToGrid/>
              </w:rPr>
            </w:pPr>
            <w:r>
              <w:rPr>
                <w:snapToGrid/>
              </w:rPr>
              <w:t>危险废物</w:t>
            </w:r>
          </w:p>
        </w:tc>
        <w:tc>
          <w:tcPr>
            <w:tcW w:w="1861" w:type="dxa"/>
            <w:vAlign w:val="center"/>
          </w:tcPr>
          <w:p w14:paraId="5600BECE">
            <w:pPr>
              <w:pStyle w:val="1535"/>
              <w:rPr>
                <w:snapToGrid/>
              </w:rPr>
            </w:pPr>
            <w:r>
              <w:rPr>
                <w:snapToGrid/>
              </w:rPr>
              <w:t>综合污水处理站</w:t>
            </w:r>
          </w:p>
        </w:tc>
        <w:tc>
          <w:tcPr>
            <w:tcW w:w="844" w:type="dxa"/>
            <w:vAlign w:val="center"/>
          </w:tcPr>
          <w:p w14:paraId="75A4C4BE">
            <w:pPr>
              <w:pStyle w:val="1535"/>
              <w:rPr>
                <w:snapToGrid/>
              </w:rPr>
            </w:pPr>
            <w:r>
              <w:rPr>
                <w:snapToGrid/>
              </w:rPr>
              <w:t>固态</w:t>
            </w:r>
          </w:p>
        </w:tc>
        <w:tc>
          <w:tcPr>
            <w:tcW w:w="1274" w:type="dxa"/>
            <w:vAlign w:val="center"/>
          </w:tcPr>
          <w:p w14:paraId="4D1C9A0B">
            <w:pPr>
              <w:pStyle w:val="1535"/>
              <w:rPr>
                <w:snapToGrid/>
              </w:rPr>
            </w:pPr>
            <w:r>
              <w:rPr>
                <w:snapToGrid/>
              </w:rPr>
              <w:t>/</w:t>
            </w:r>
          </w:p>
        </w:tc>
        <w:tc>
          <w:tcPr>
            <w:tcW w:w="1225" w:type="dxa"/>
            <w:vAlign w:val="center"/>
          </w:tcPr>
          <w:p w14:paraId="5D4E7CEC">
            <w:pPr>
              <w:pStyle w:val="1535"/>
              <w:rPr>
                <w:snapToGrid/>
              </w:rPr>
            </w:pPr>
            <w:r>
              <w:rPr>
                <w:snapToGrid/>
              </w:rPr>
              <w:t>/</w:t>
            </w:r>
          </w:p>
        </w:tc>
        <w:tc>
          <w:tcPr>
            <w:tcW w:w="1407" w:type="dxa"/>
            <w:vAlign w:val="center"/>
          </w:tcPr>
          <w:p w14:paraId="271B5D47">
            <w:pPr>
              <w:pStyle w:val="1535"/>
              <w:rPr>
                <w:snapToGrid/>
              </w:rPr>
            </w:pPr>
            <w:r>
              <w:rPr>
                <w:snapToGrid/>
              </w:rPr>
              <w:t>/</w:t>
            </w:r>
          </w:p>
        </w:tc>
        <w:tc>
          <w:tcPr>
            <w:tcW w:w="1188" w:type="dxa"/>
            <w:vAlign w:val="center"/>
          </w:tcPr>
          <w:p w14:paraId="5FD623B7">
            <w:pPr>
              <w:pStyle w:val="1535"/>
              <w:rPr>
                <w:snapToGrid/>
              </w:rPr>
            </w:pPr>
            <w:r>
              <w:rPr>
                <w:rFonts w:hint="eastAsia"/>
                <w:snapToGrid/>
              </w:rPr>
              <w:t>0.5</w:t>
            </w:r>
          </w:p>
        </w:tc>
        <w:tc>
          <w:tcPr>
            <w:tcW w:w="3088" w:type="dxa"/>
            <w:vAlign w:val="center"/>
          </w:tcPr>
          <w:p w14:paraId="352502CA">
            <w:pPr>
              <w:pStyle w:val="1535"/>
              <w:rPr>
                <w:snapToGrid/>
              </w:rPr>
            </w:pPr>
            <w:r>
              <w:rPr>
                <w:snapToGrid/>
              </w:rPr>
              <w:t>鉴定为危废则交有资质单位处置，鉴定为一般工业固废则按一般工业固废转运处置</w:t>
            </w:r>
          </w:p>
        </w:tc>
      </w:tr>
      <w:tr w14:paraId="4B7269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6B272E46">
            <w:pPr>
              <w:pStyle w:val="1535"/>
              <w:rPr>
                <w:snapToGrid/>
              </w:rPr>
            </w:pPr>
            <w:r>
              <w:rPr>
                <w:rFonts w:hint="eastAsia"/>
                <w:snapToGrid/>
              </w:rPr>
              <w:t>14</w:t>
            </w:r>
          </w:p>
        </w:tc>
        <w:tc>
          <w:tcPr>
            <w:tcW w:w="1274" w:type="dxa"/>
            <w:vAlign w:val="center"/>
          </w:tcPr>
          <w:p w14:paraId="59271D01">
            <w:pPr>
              <w:pStyle w:val="1535"/>
              <w:rPr>
                <w:snapToGrid/>
              </w:rPr>
            </w:pPr>
            <w:r>
              <w:rPr>
                <w:snapToGrid/>
              </w:rPr>
              <w:t>生化池污泥</w:t>
            </w:r>
          </w:p>
        </w:tc>
        <w:tc>
          <w:tcPr>
            <w:tcW w:w="1114" w:type="dxa"/>
            <w:vAlign w:val="center"/>
          </w:tcPr>
          <w:p w14:paraId="4C9086A8">
            <w:pPr>
              <w:pStyle w:val="1535"/>
              <w:rPr>
                <w:snapToGrid/>
              </w:rPr>
            </w:pPr>
            <w:r>
              <w:rPr>
                <w:snapToGrid/>
              </w:rPr>
              <w:t>生化池污泥</w:t>
            </w:r>
          </w:p>
        </w:tc>
        <w:tc>
          <w:tcPr>
            <w:tcW w:w="1861" w:type="dxa"/>
            <w:vAlign w:val="center"/>
          </w:tcPr>
          <w:p w14:paraId="5F8AA5F5">
            <w:pPr>
              <w:pStyle w:val="1535"/>
              <w:rPr>
                <w:snapToGrid/>
              </w:rPr>
            </w:pPr>
            <w:r>
              <w:rPr>
                <w:snapToGrid/>
              </w:rPr>
              <w:t>生化池</w:t>
            </w:r>
          </w:p>
        </w:tc>
        <w:tc>
          <w:tcPr>
            <w:tcW w:w="844" w:type="dxa"/>
            <w:vAlign w:val="center"/>
          </w:tcPr>
          <w:p w14:paraId="650D9A6B">
            <w:pPr>
              <w:pStyle w:val="1535"/>
              <w:rPr>
                <w:snapToGrid/>
              </w:rPr>
            </w:pPr>
            <w:r>
              <w:rPr>
                <w:snapToGrid/>
              </w:rPr>
              <w:t>固态</w:t>
            </w:r>
          </w:p>
        </w:tc>
        <w:tc>
          <w:tcPr>
            <w:tcW w:w="1274" w:type="dxa"/>
            <w:vAlign w:val="center"/>
          </w:tcPr>
          <w:p w14:paraId="55E9E2B8">
            <w:pPr>
              <w:pStyle w:val="1535"/>
              <w:rPr>
                <w:snapToGrid/>
              </w:rPr>
            </w:pPr>
            <w:r>
              <w:rPr>
                <w:snapToGrid/>
              </w:rPr>
              <w:t>/</w:t>
            </w:r>
          </w:p>
        </w:tc>
        <w:tc>
          <w:tcPr>
            <w:tcW w:w="1225" w:type="dxa"/>
            <w:vAlign w:val="center"/>
          </w:tcPr>
          <w:p w14:paraId="08ABA39C">
            <w:pPr>
              <w:pStyle w:val="1535"/>
              <w:rPr>
                <w:snapToGrid/>
              </w:rPr>
            </w:pPr>
            <w:r>
              <w:rPr>
                <w:snapToGrid/>
              </w:rPr>
              <w:t>/</w:t>
            </w:r>
          </w:p>
        </w:tc>
        <w:tc>
          <w:tcPr>
            <w:tcW w:w="1407" w:type="dxa"/>
            <w:vAlign w:val="center"/>
          </w:tcPr>
          <w:p w14:paraId="3BB04754">
            <w:pPr>
              <w:pStyle w:val="1535"/>
              <w:rPr>
                <w:snapToGrid/>
              </w:rPr>
            </w:pPr>
            <w:r>
              <w:rPr>
                <w:snapToGrid/>
              </w:rPr>
              <w:t>/</w:t>
            </w:r>
          </w:p>
        </w:tc>
        <w:tc>
          <w:tcPr>
            <w:tcW w:w="1188" w:type="dxa"/>
            <w:vAlign w:val="center"/>
          </w:tcPr>
          <w:p w14:paraId="74AD2912">
            <w:pPr>
              <w:pStyle w:val="1535"/>
              <w:rPr>
                <w:snapToGrid/>
              </w:rPr>
            </w:pPr>
            <w:r>
              <w:rPr>
                <w:rFonts w:hint="eastAsia"/>
                <w:snapToGrid/>
              </w:rPr>
              <w:t>0.1</w:t>
            </w:r>
          </w:p>
        </w:tc>
        <w:tc>
          <w:tcPr>
            <w:tcW w:w="3088" w:type="dxa"/>
            <w:vAlign w:val="center"/>
          </w:tcPr>
          <w:p w14:paraId="320D834A">
            <w:pPr>
              <w:pStyle w:val="1535"/>
              <w:rPr>
                <w:snapToGrid/>
              </w:rPr>
            </w:pPr>
            <w:r>
              <w:rPr>
                <w:rFonts w:hint="eastAsia"/>
                <w:snapToGrid/>
              </w:rPr>
              <w:t>/</w:t>
            </w:r>
          </w:p>
        </w:tc>
      </w:tr>
      <w:tr w14:paraId="6A7EE8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944" w:type="dxa"/>
            <w:vAlign w:val="center"/>
          </w:tcPr>
          <w:p w14:paraId="7F38CAA4">
            <w:pPr>
              <w:pStyle w:val="1535"/>
              <w:rPr>
                <w:snapToGrid/>
              </w:rPr>
            </w:pPr>
            <w:r>
              <w:rPr>
                <w:rFonts w:hint="eastAsia"/>
                <w:snapToGrid/>
              </w:rPr>
              <w:t>15</w:t>
            </w:r>
          </w:p>
        </w:tc>
        <w:tc>
          <w:tcPr>
            <w:tcW w:w="1274" w:type="dxa"/>
            <w:vAlign w:val="center"/>
          </w:tcPr>
          <w:p w14:paraId="40C2EEBD">
            <w:pPr>
              <w:pStyle w:val="1535"/>
              <w:rPr>
                <w:snapToGrid/>
              </w:rPr>
            </w:pPr>
            <w:r>
              <w:rPr>
                <w:snapToGrid/>
              </w:rPr>
              <w:t>生活垃圾</w:t>
            </w:r>
          </w:p>
        </w:tc>
        <w:tc>
          <w:tcPr>
            <w:tcW w:w="1114" w:type="dxa"/>
            <w:vAlign w:val="center"/>
          </w:tcPr>
          <w:p w14:paraId="114D9790">
            <w:pPr>
              <w:pStyle w:val="1535"/>
              <w:rPr>
                <w:snapToGrid/>
              </w:rPr>
            </w:pPr>
            <w:r>
              <w:rPr>
                <w:snapToGrid/>
              </w:rPr>
              <w:t>生活垃圾</w:t>
            </w:r>
          </w:p>
        </w:tc>
        <w:tc>
          <w:tcPr>
            <w:tcW w:w="1861" w:type="dxa"/>
            <w:vAlign w:val="center"/>
          </w:tcPr>
          <w:p w14:paraId="68BC2D0D">
            <w:pPr>
              <w:pStyle w:val="1535"/>
              <w:rPr>
                <w:snapToGrid/>
              </w:rPr>
            </w:pPr>
            <w:r>
              <w:rPr>
                <w:snapToGrid/>
              </w:rPr>
              <w:t>职工生活</w:t>
            </w:r>
          </w:p>
        </w:tc>
        <w:tc>
          <w:tcPr>
            <w:tcW w:w="844" w:type="dxa"/>
            <w:vAlign w:val="center"/>
          </w:tcPr>
          <w:p w14:paraId="16193F57">
            <w:pPr>
              <w:pStyle w:val="1535"/>
              <w:rPr>
                <w:snapToGrid/>
              </w:rPr>
            </w:pPr>
            <w:r>
              <w:rPr>
                <w:snapToGrid/>
              </w:rPr>
              <w:t>固态</w:t>
            </w:r>
          </w:p>
        </w:tc>
        <w:tc>
          <w:tcPr>
            <w:tcW w:w="1274" w:type="dxa"/>
            <w:vAlign w:val="center"/>
          </w:tcPr>
          <w:p w14:paraId="619FAA7F">
            <w:pPr>
              <w:pStyle w:val="1535"/>
              <w:rPr>
                <w:snapToGrid/>
              </w:rPr>
            </w:pPr>
            <w:r>
              <w:rPr>
                <w:snapToGrid/>
              </w:rPr>
              <w:t>/</w:t>
            </w:r>
          </w:p>
        </w:tc>
        <w:tc>
          <w:tcPr>
            <w:tcW w:w="1225" w:type="dxa"/>
            <w:vAlign w:val="center"/>
          </w:tcPr>
          <w:p w14:paraId="455CA553">
            <w:pPr>
              <w:pStyle w:val="1535"/>
              <w:rPr>
                <w:snapToGrid/>
              </w:rPr>
            </w:pPr>
            <w:r>
              <w:rPr>
                <w:snapToGrid/>
              </w:rPr>
              <w:t>/</w:t>
            </w:r>
          </w:p>
        </w:tc>
        <w:tc>
          <w:tcPr>
            <w:tcW w:w="1407" w:type="dxa"/>
            <w:vAlign w:val="center"/>
          </w:tcPr>
          <w:p w14:paraId="0E3F3D2B">
            <w:pPr>
              <w:pStyle w:val="1535"/>
              <w:rPr>
                <w:snapToGrid/>
              </w:rPr>
            </w:pPr>
            <w:r>
              <w:rPr>
                <w:snapToGrid/>
              </w:rPr>
              <w:t>/</w:t>
            </w:r>
          </w:p>
        </w:tc>
        <w:tc>
          <w:tcPr>
            <w:tcW w:w="1188" w:type="dxa"/>
            <w:vAlign w:val="center"/>
          </w:tcPr>
          <w:p w14:paraId="2B1A5032">
            <w:pPr>
              <w:pStyle w:val="1535"/>
              <w:rPr>
                <w:snapToGrid/>
              </w:rPr>
            </w:pPr>
            <w:r>
              <w:rPr>
                <w:rFonts w:hint="eastAsia"/>
                <w:snapToGrid/>
              </w:rPr>
              <w:t>2.25</w:t>
            </w:r>
          </w:p>
        </w:tc>
        <w:tc>
          <w:tcPr>
            <w:tcW w:w="3088" w:type="dxa"/>
            <w:vAlign w:val="center"/>
          </w:tcPr>
          <w:p w14:paraId="2B836322">
            <w:pPr>
              <w:pStyle w:val="1535"/>
              <w:rPr>
                <w:snapToGrid/>
              </w:rPr>
            </w:pPr>
            <w:r>
              <w:rPr>
                <w:rFonts w:hint="eastAsia"/>
                <w:snapToGrid/>
              </w:rPr>
              <w:t>/</w:t>
            </w:r>
          </w:p>
        </w:tc>
      </w:tr>
    </w:tbl>
    <w:p w14:paraId="21A80FC5">
      <w:pPr>
        <w:spacing w:before="24" w:line="360" w:lineRule="auto"/>
        <w:ind w:firstLine="520"/>
        <w:rPr>
          <w:color w:val="000000" w:themeColor="text1"/>
          <w:lang w:bidi="ar"/>
          <w14:textFill>
            <w14:solidFill>
              <w14:schemeClr w14:val="tx1"/>
            </w14:solidFill>
          </w14:textFill>
        </w:rPr>
      </w:pPr>
    </w:p>
    <w:p w14:paraId="4771AE71">
      <w:pPr>
        <w:spacing w:before="24" w:line="360" w:lineRule="auto"/>
        <w:ind w:firstLine="520"/>
        <w:rPr>
          <w:color w:val="000000" w:themeColor="text1"/>
          <w14:textFill>
            <w14:solidFill>
              <w14:schemeClr w14:val="tx1"/>
            </w14:solidFill>
          </w14:textFill>
        </w:rPr>
      </w:pPr>
    </w:p>
    <w:p w14:paraId="6F3DEF87">
      <w:pPr>
        <w:spacing w:before="24" w:line="360" w:lineRule="auto"/>
        <w:ind w:firstLine="520"/>
        <w:rPr>
          <w:color w:val="000000" w:themeColor="text1"/>
          <w14:textFill>
            <w14:solidFill>
              <w14:schemeClr w14:val="tx1"/>
            </w14:solidFill>
          </w14:textFill>
        </w:rPr>
        <w:sectPr>
          <w:pgSz w:w="16838" w:h="11906" w:orient="landscape"/>
          <w:pgMar w:top="1701" w:right="1701" w:bottom="1418" w:left="1134" w:header="851" w:footer="964" w:gutter="0"/>
          <w:cols w:space="720" w:num="1"/>
          <w:docGrid w:linePitch="312" w:charSpace="0"/>
        </w:sectPr>
      </w:pPr>
    </w:p>
    <w:p w14:paraId="361AFD03">
      <w:pPr>
        <w:pStyle w:val="3"/>
        <w:spacing w:after="326"/>
        <w:rPr>
          <w:color w:val="000000" w:themeColor="text1"/>
          <w14:textFill>
            <w14:solidFill>
              <w14:schemeClr w14:val="tx1"/>
            </w14:solidFill>
          </w14:textFill>
        </w:rPr>
      </w:pPr>
      <w:bookmarkStart w:id="414" w:name="_Toc534876563"/>
      <w:bookmarkStart w:id="415" w:name="_Toc24704"/>
      <w:r>
        <w:rPr>
          <w:color w:val="000000" w:themeColor="text1"/>
          <w14:textFill>
            <w14:solidFill>
              <w14:schemeClr w14:val="tx1"/>
            </w14:solidFill>
          </w14:textFill>
        </w:rPr>
        <w:t>结论和建议</w:t>
      </w:r>
      <w:bookmarkEnd w:id="414"/>
      <w:bookmarkEnd w:id="415"/>
    </w:p>
    <w:p w14:paraId="44693661">
      <w:pPr>
        <w:pStyle w:val="4"/>
        <w:rPr>
          <w:color w:val="000000" w:themeColor="text1"/>
          <w14:textFill>
            <w14:solidFill>
              <w14:schemeClr w14:val="tx1"/>
            </w14:solidFill>
          </w14:textFill>
        </w:rPr>
      </w:pPr>
      <w:bookmarkStart w:id="416" w:name="_Toc11942637"/>
      <w:bookmarkStart w:id="417" w:name="_Toc13676"/>
      <w:bookmarkStart w:id="418" w:name="_Toc8646"/>
      <w:bookmarkStart w:id="419" w:name="_Toc534876564"/>
      <w:r>
        <w:rPr>
          <w:color w:val="000000" w:themeColor="text1"/>
          <w14:textFill>
            <w14:solidFill>
              <w14:schemeClr w14:val="tx1"/>
            </w14:solidFill>
          </w14:textFill>
        </w:rPr>
        <w:t>项目概况</w:t>
      </w:r>
      <w:bookmarkEnd w:id="416"/>
      <w:bookmarkEnd w:id="417"/>
      <w:bookmarkEnd w:id="418"/>
      <w:bookmarkEnd w:id="419"/>
    </w:p>
    <w:p w14:paraId="1357FC5C">
      <w:pPr>
        <w:ind w:firstLine="520"/>
        <w:rPr>
          <w:color w:val="000000" w:themeColor="text1"/>
          <w14:textFill>
            <w14:solidFill>
              <w14:schemeClr w14:val="tx1"/>
            </w14:solidFill>
          </w14:textFill>
        </w:rPr>
      </w:pPr>
      <w:bookmarkStart w:id="420" w:name="_Hlk44276193"/>
      <w:r>
        <w:rPr>
          <w:rFonts w:hint="eastAsia"/>
          <w:color w:val="000000" w:themeColor="text1"/>
          <w14:textFill>
            <w14:solidFill>
              <w14:schemeClr w14:val="tx1"/>
            </w14:solidFill>
          </w14:textFill>
        </w:rPr>
        <w:t>重庆臻宝半导体材料有限公司</w:t>
      </w:r>
      <w:r>
        <w:rPr>
          <w:color w:val="000000" w:themeColor="text1"/>
          <w14:textFill>
            <w14:solidFill>
              <w14:schemeClr w14:val="tx1"/>
            </w14:solidFill>
          </w14:textFill>
        </w:rPr>
        <w:t>拟</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位于西彭工业园区D22-1/02地块，</w:t>
      </w:r>
      <w:r>
        <w:rPr>
          <w:rFonts w:hint="eastAsia"/>
          <w:color w:val="000000" w:themeColor="text1"/>
          <w14:textFill>
            <w14:solidFill>
              <w14:schemeClr w14:val="tx1"/>
            </w14:solidFill>
          </w14:textFill>
        </w:rPr>
        <w:t>投资约5000万，购置石墨加工中心，高温纯化炉，高温石墨化炉，CVDSIC炉及走心机等先进设备，建设具有国内先进水平的固态碳化硅材料生产基地及石墨，GASKET金属零部件，GASKET塑料件等加工基地；项目建成后将实现年产：GASKET垫片83000个，GASKET塑料件55000个，GASKET金属零部件51000个，石墨部件170000件及碳化硅涂层部件1000套（每套4~20个）的能力</w:t>
      </w:r>
      <w:r>
        <w:rPr>
          <w:color w:val="000000" w:themeColor="text1"/>
          <w14:textFill>
            <w14:solidFill>
              <w14:schemeClr w14:val="tx1"/>
            </w14:solidFill>
          </w14:textFill>
        </w:rPr>
        <w:t>。</w:t>
      </w:r>
    </w:p>
    <w:bookmarkEnd w:id="420"/>
    <w:p w14:paraId="31791616">
      <w:pPr>
        <w:pStyle w:val="4"/>
        <w:rPr>
          <w:color w:val="000000" w:themeColor="text1"/>
          <w14:textFill>
            <w14:solidFill>
              <w14:schemeClr w14:val="tx1"/>
            </w14:solidFill>
          </w14:textFill>
        </w:rPr>
      </w:pPr>
      <w:bookmarkStart w:id="421" w:name="_Toc534876566"/>
      <w:bookmarkStart w:id="422" w:name="_Toc11942639"/>
      <w:bookmarkStart w:id="423" w:name="_Toc23850"/>
      <w:bookmarkStart w:id="424" w:name="_Toc1225"/>
      <w:r>
        <w:rPr>
          <w:color w:val="000000" w:themeColor="text1"/>
          <w14:textFill>
            <w14:solidFill>
              <w14:schemeClr w14:val="tx1"/>
            </w14:solidFill>
          </w14:textFill>
        </w:rPr>
        <w:t>环境质量现状</w:t>
      </w:r>
      <w:bookmarkEnd w:id="421"/>
      <w:bookmarkEnd w:id="422"/>
      <w:bookmarkEnd w:id="423"/>
      <w:bookmarkEnd w:id="424"/>
    </w:p>
    <w:p w14:paraId="0D511A78">
      <w:pPr>
        <w:pStyle w:val="5"/>
        <w:rPr>
          <w:color w:val="000000" w:themeColor="text1"/>
          <w14:textFill>
            <w14:solidFill>
              <w14:schemeClr w14:val="tx1"/>
            </w14:solidFill>
          </w14:textFill>
        </w:rPr>
      </w:pPr>
      <w:bookmarkStart w:id="425" w:name="_Hlk17384041"/>
      <w:r>
        <w:rPr>
          <w:color w:val="000000" w:themeColor="text1"/>
          <w14:textFill>
            <w14:solidFill>
              <w14:schemeClr w14:val="tx1"/>
            </w14:solidFill>
          </w14:textFill>
        </w:rPr>
        <w:t>环境空气</w:t>
      </w:r>
    </w:p>
    <w:p w14:paraId="7B712437">
      <w:pPr>
        <w:ind w:firstLine="520"/>
        <w:rPr>
          <w:color w:val="000000" w:themeColor="text1"/>
          <w14:textFill>
            <w14:solidFill>
              <w14:schemeClr w14:val="tx1"/>
            </w14:solidFill>
          </w14:textFill>
        </w:rPr>
      </w:pPr>
      <w:r>
        <w:rPr>
          <w:color w:val="000000" w:themeColor="text1"/>
          <w14:textFill>
            <w14:solidFill>
              <w14:schemeClr w14:val="tx1"/>
            </w14:solidFill>
          </w14:textFill>
        </w:rPr>
        <w:t>环境空气质量达标区判定引用《202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年重庆市生态环境状况公报》结论，扩建项目所在的九龙坡区202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w:t>
      </w:r>
      <w:r>
        <w:rPr>
          <w:rFonts w:hint="eastAsia"/>
          <w:color w:val="000000" w:themeColor="text1"/>
          <w:szCs w:val="26"/>
          <w14:textFill>
            <w14:solidFill>
              <w14:schemeClr w14:val="tx1"/>
            </w14:solidFill>
          </w14:textFill>
        </w:rPr>
        <w:t>各污染物NO</w:t>
      </w:r>
      <w:r>
        <w:rPr>
          <w:rFonts w:hint="eastAsia"/>
          <w:color w:val="000000" w:themeColor="text1"/>
          <w:szCs w:val="26"/>
          <w:vertAlign w:val="subscript"/>
          <w14:textFill>
            <w14:solidFill>
              <w14:schemeClr w14:val="tx1"/>
            </w14:solidFill>
          </w14:textFill>
        </w:rPr>
        <w:t>2</w:t>
      </w:r>
      <w:r>
        <w:rPr>
          <w:rFonts w:hint="eastAsia"/>
          <w:color w:val="000000" w:themeColor="text1"/>
          <w:szCs w:val="26"/>
          <w14:textFill>
            <w14:solidFill>
              <w14:schemeClr w14:val="tx1"/>
            </w14:solidFill>
          </w14:textFill>
        </w:rPr>
        <w:t>、PM</w:t>
      </w:r>
      <w:r>
        <w:rPr>
          <w:rFonts w:hint="eastAsia"/>
          <w:color w:val="000000" w:themeColor="text1"/>
          <w:szCs w:val="26"/>
          <w:vertAlign w:val="subscript"/>
          <w14:textFill>
            <w14:solidFill>
              <w14:schemeClr w14:val="tx1"/>
            </w14:solidFill>
          </w14:textFill>
        </w:rPr>
        <w:t>2.5</w:t>
      </w:r>
      <w:r>
        <w:rPr>
          <w:rFonts w:hint="eastAsia"/>
          <w:color w:val="000000" w:themeColor="text1"/>
          <w:szCs w:val="26"/>
          <w14:textFill>
            <w14:solidFill>
              <w14:schemeClr w14:val="tx1"/>
            </w14:solidFill>
          </w14:textFill>
        </w:rPr>
        <w:t>、PM</w:t>
      </w:r>
      <w:r>
        <w:rPr>
          <w:rFonts w:hint="eastAsia"/>
          <w:color w:val="000000" w:themeColor="text1"/>
          <w:szCs w:val="26"/>
          <w:vertAlign w:val="subscript"/>
          <w14:textFill>
            <w14:solidFill>
              <w14:schemeClr w14:val="tx1"/>
            </w14:solidFill>
          </w14:textFill>
        </w:rPr>
        <w:t>10</w:t>
      </w:r>
      <w:r>
        <w:rPr>
          <w:rFonts w:hint="eastAsia"/>
          <w:color w:val="000000" w:themeColor="text1"/>
          <w:szCs w:val="26"/>
          <w14:textFill>
            <w14:solidFill>
              <w14:schemeClr w14:val="tx1"/>
            </w14:solidFill>
          </w14:textFill>
        </w:rPr>
        <w:t>、SO</w:t>
      </w:r>
      <w:r>
        <w:rPr>
          <w:rFonts w:hint="eastAsia"/>
          <w:color w:val="000000" w:themeColor="text1"/>
          <w:szCs w:val="26"/>
          <w:vertAlign w:val="subscript"/>
          <w14:textFill>
            <w14:solidFill>
              <w14:schemeClr w14:val="tx1"/>
            </w14:solidFill>
          </w14:textFill>
        </w:rPr>
        <w:t>2</w:t>
      </w:r>
      <w:r>
        <w:rPr>
          <w:rFonts w:hint="eastAsia"/>
          <w:color w:val="000000" w:themeColor="text1"/>
          <w:szCs w:val="26"/>
          <w14:textFill>
            <w14:solidFill>
              <w14:schemeClr w14:val="tx1"/>
            </w14:solidFill>
          </w14:textFill>
        </w:rPr>
        <w:t>、O</w:t>
      </w:r>
      <w:r>
        <w:rPr>
          <w:rFonts w:hint="eastAsia"/>
          <w:color w:val="000000" w:themeColor="text1"/>
          <w:szCs w:val="26"/>
          <w:vertAlign w:val="subscript"/>
          <w14:textFill>
            <w14:solidFill>
              <w14:schemeClr w14:val="tx1"/>
            </w14:solidFill>
          </w14:textFill>
        </w:rPr>
        <w:t>3</w:t>
      </w:r>
      <w:r>
        <w:rPr>
          <w:rFonts w:hint="eastAsia"/>
          <w:color w:val="000000" w:themeColor="text1"/>
          <w:szCs w:val="26"/>
          <w14:textFill>
            <w14:solidFill>
              <w14:schemeClr w14:val="tx1"/>
            </w14:solidFill>
          </w14:textFill>
        </w:rPr>
        <w:t>、CO</w:t>
      </w:r>
      <w:r>
        <w:rPr>
          <w:color w:val="000000" w:themeColor="text1"/>
          <w14:textFill>
            <w14:solidFill>
              <w14:schemeClr w14:val="tx1"/>
            </w14:solidFill>
          </w14:textFill>
        </w:rPr>
        <w:t>年评价指标均达到二级标准，属于环境空气质量达标区。氯化氢满足《环境影响评价技术导则大气环境》（HJ2.2-2018）“附录D其他污染物空气质量浓度参考限值”，非甲烷总烃满足《环境空气质量非甲烷总烃限值》（DB13/1577-2012）表1中二级标准，氟化物满足《环境空气质量标准》（GB3095-2012）附录A二级标准。环境空气现状良好。</w:t>
      </w:r>
    </w:p>
    <w:bookmarkEnd w:id="425"/>
    <w:p w14:paraId="3E873BC8">
      <w:pPr>
        <w:pStyle w:val="5"/>
        <w:rPr>
          <w:color w:val="000000" w:themeColor="text1"/>
          <w14:textFill>
            <w14:solidFill>
              <w14:schemeClr w14:val="tx1"/>
            </w14:solidFill>
          </w14:textFill>
        </w:rPr>
      </w:pPr>
      <w:r>
        <w:rPr>
          <w:color w:val="000000" w:themeColor="text1"/>
          <w14:textFill>
            <w14:solidFill>
              <w14:schemeClr w14:val="tx1"/>
            </w14:solidFill>
          </w14:textFill>
        </w:rPr>
        <w:t>地表水</w:t>
      </w:r>
    </w:p>
    <w:p w14:paraId="650D2D6A">
      <w:pPr>
        <w:ind w:firstLine="520"/>
        <w:rPr>
          <w:color w:val="000000" w:themeColor="text1"/>
          <w14:textFill>
            <w14:solidFill>
              <w14:schemeClr w14:val="tx1"/>
            </w14:solidFill>
          </w14:textFill>
        </w:rPr>
      </w:pPr>
      <w:bookmarkStart w:id="426" w:name="_Hlk516060882"/>
      <w:r>
        <w:rPr>
          <w:color w:val="000000" w:themeColor="text1"/>
          <w14:textFill>
            <w14:solidFill>
              <w14:schemeClr w14:val="tx1"/>
            </w14:solidFill>
          </w14:textFill>
        </w:rPr>
        <w:t>地表水环境质量监测数据表明，长江水体中各污染物均能满足《地表水环境质量标准》（GB3838-2002）III类标准，水质较好，有一定的环境容量。</w:t>
      </w:r>
    </w:p>
    <w:p w14:paraId="45941978">
      <w:pPr>
        <w:pStyle w:val="5"/>
        <w:rPr>
          <w:color w:val="000000" w:themeColor="text1"/>
          <w14:textFill>
            <w14:solidFill>
              <w14:schemeClr w14:val="tx1"/>
            </w14:solidFill>
          </w14:textFill>
        </w:rPr>
      </w:pPr>
      <w:r>
        <w:rPr>
          <w:color w:val="000000" w:themeColor="text1"/>
          <w14:textFill>
            <w14:solidFill>
              <w14:schemeClr w14:val="tx1"/>
            </w14:solidFill>
          </w14:textFill>
        </w:rPr>
        <w:t>声环境</w:t>
      </w:r>
    </w:p>
    <w:p w14:paraId="5DA1E1E4">
      <w:pPr>
        <w:ind w:firstLine="520"/>
        <w:rPr>
          <w:color w:val="000000" w:themeColor="text1"/>
          <w14:textFill>
            <w14:solidFill>
              <w14:schemeClr w14:val="tx1"/>
            </w14:solidFill>
          </w14:textFill>
        </w:rPr>
      </w:pPr>
      <w:bookmarkStart w:id="427" w:name="_Hlk17384318"/>
      <w:r>
        <w:rPr>
          <w:color w:val="000000" w:themeColor="text1"/>
          <w14:textFill>
            <w14:solidFill>
              <w14:schemeClr w14:val="tx1"/>
            </w14:solidFill>
          </w14:textFill>
        </w:rPr>
        <w:t>厂界监测点昼间、夜间的环境噪声值满足《声环境质量标准》（GB3096-2008）中3类声环境功能区标准</w:t>
      </w:r>
      <w:bookmarkEnd w:id="427"/>
      <w:r>
        <w:rPr>
          <w:color w:val="000000" w:themeColor="text1"/>
          <w:kern w:val="33"/>
          <w14:textFill>
            <w14:solidFill>
              <w14:schemeClr w14:val="tx1"/>
            </w14:solidFill>
          </w14:textFill>
        </w:rPr>
        <w:t>。</w:t>
      </w:r>
    </w:p>
    <w:bookmarkEnd w:id="426"/>
    <w:p w14:paraId="2663C4BE">
      <w:pPr>
        <w:pStyle w:val="5"/>
        <w:rPr>
          <w:color w:val="000000" w:themeColor="text1"/>
          <w14:textFill>
            <w14:solidFill>
              <w14:schemeClr w14:val="tx1"/>
            </w14:solidFill>
          </w14:textFill>
        </w:rPr>
      </w:pPr>
      <w:r>
        <w:rPr>
          <w:color w:val="000000" w:themeColor="text1"/>
          <w14:textFill>
            <w14:solidFill>
              <w14:schemeClr w14:val="tx1"/>
            </w14:solidFill>
          </w14:textFill>
        </w:rPr>
        <w:t>土壤环境</w:t>
      </w:r>
    </w:p>
    <w:p w14:paraId="5C7F697D">
      <w:pPr>
        <w:ind w:firstLine="520"/>
        <w:rPr>
          <w:color w:val="000000" w:themeColor="text1"/>
          <w14:textFill>
            <w14:solidFill>
              <w14:schemeClr w14:val="tx1"/>
            </w14:solidFill>
          </w14:textFill>
        </w:rPr>
      </w:pPr>
      <w:bookmarkStart w:id="428" w:name="_Hlk17384347"/>
      <w:r>
        <w:rPr>
          <w:color w:val="000000" w:themeColor="text1"/>
          <w14:textFill>
            <w14:solidFill>
              <w14:schemeClr w14:val="tx1"/>
            </w14:solidFill>
          </w14:textFill>
        </w:rPr>
        <w:t>土壤环境现状满足《土壤环境质量建设用地土壤污染风险管控标准（试行）》（GB36600-2018）第二类用地土壤污染风险筛选值标准要求，土壤环境现状较好。</w:t>
      </w:r>
    </w:p>
    <w:p w14:paraId="1EFED0A8">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r>
        <w:rPr>
          <w:color w:val="000000" w:themeColor="text1"/>
          <w14:textFill>
            <w14:solidFill>
              <w14:schemeClr w14:val="tx1"/>
            </w14:solidFill>
          </w14:textFill>
        </w:rPr>
        <w:t>环境</w:t>
      </w:r>
    </w:p>
    <w:p w14:paraId="30977441">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r>
        <w:rPr>
          <w:color w:val="000000" w:themeColor="text1"/>
          <w14:textFill>
            <w14:solidFill>
              <w14:schemeClr w14:val="tx1"/>
            </w14:solidFill>
          </w14:textFill>
        </w:rPr>
        <w:t>环境现状满足</w:t>
      </w:r>
      <w:r>
        <w:rPr>
          <w:rFonts w:hint="eastAsia"/>
          <w:color w:val="000000" w:themeColor="text1"/>
          <w14:textFill>
            <w14:solidFill>
              <w14:schemeClr w14:val="tx1"/>
            </w14:solidFill>
          </w14:textFill>
        </w:rPr>
        <w:t>《地下水质量标准》（GB/T14848-2017）Ⅲ类</w:t>
      </w:r>
      <w:r>
        <w:rPr>
          <w:color w:val="000000" w:themeColor="text1"/>
          <w14:textFill>
            <w14:solidFill>
              <w14:schemeClr w14:val="tx1"/>
            </w14:solidFill>
          </w14:textFill>
        </w:rPr>
        <w:t>。</w:t>
      </w:r>
    </w:p>
    <w:p w14:paraId="3D53B66F">
      <w:pPr>
        <w:pStyle w:val="4"/>
        <w:rPr>
          <w:color w:val="000000" w:themeColor="text1"/>
          <w14:textFill>
            <w14:solidFill>
              <w14:schemeClr w14:val="tx1"/>
            </w14:solidFill>
          </w14:textFill>
        </w:rPr>
      </w:pPr>
      <w:bookmarkStart w:id="429" w:name="_Toc97908353"/>
      <w:bookmarkStart w:id="430" w:name="_Toc160087600"/>
      <w:bookmarkStart w:id="431" w:name="_Toc32236"/>
      <w:r>
        <w:rPr>
          <w:rFonts w:hint="eastAsia"/>
          <w:color w:val="000000" w:themeColor="text1"/>
          <w14:textFill>
            <w14:solidFill>
              <w14:schemeClr w14:val="tx1"/>
            </w14:solidFill>
          </w14:textFill>
        </w:rPr>
        <w:t>项目相关产业政策、规划符合性</w:t>
      </w:r>
      <w:bookmarkEnd w:id="429"/>
      <w:bookmarkEnd w:id="430"/>
      <w:bookmarkEnd w:id="431"/>
    </w:p>
    <w:p w14:paraId="4F8A8B7A">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项目属于《产业结构调整指导目录（</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24年本）》中鼓励类项目，符合国家产业政策。</w:t>
      </w:r>
    </w:p>
    <w:p w14:paraId="1115A848">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项目位于西彭工业园区，用地符合土地利用规划；项目符合《重庆市产业投资准入工作手册》（渝发改投资〔2022〕1436号）、《关于印发四川省 重庆市 长江经济带发展负面清单实施细则（试行），2022年版的通知》（川长江办[2022]17号）、《中华人民共和国长江保护法》等文件要求；同时符合《西彭工业园区规划》、《西彭工业园区规划环境影响报告书》及其审查意见（渝环函[202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439</w:t>
      </w:r>
      <w:r>
        <w:rPr>
          <w:rFonts w:hint="eastAsia"/>
          <w:color w:val="000000" w:themeColor="text1"/>
          <w14:textFill>
            <w14:solidFill>
              <w14:schemeClr w14:val="tx1"/>
            </w14:solidFill>
          </w14:textFill>
        </w:rPr>
        <w:t>号）的相关要求，满足九龙坡区“三线一单”管控要求。</w:t>
      </w:r>
    </w:p>
    <w:p w14:paraId="06E58749">
      <w:pPr>
        <w:pStyle w:val="4"/>
        <w:rPr>
          <w:color w:val="000000" w:themeColor="text1"/>
          <w14:textFill>
            <w14:solidFill>
              <w14:schemeClr w14:val="tx1"/>
            </w14:solidFill>
          </w14:textFill>
        </w:rPr>
      </w:pPr>
      <w:bookmarkStart w:id="432" w:name="_Toc10218"/>
      <w:bookmarkStart w:id="433" w:name="_Toc160087601"/>
      <w:bookmarkStart w:id="434" w:name="_Toc97908354"/>
      <w:r>
        <w:rPr>
          <w:rFonts w:hint="eastAsia"/>
          <w:color w:val="000000" w:themeColor="text1"/>
          <w14:textFill>
            <w14:solidFill>
              <w14:schemeClr w14:val="tx1"/>
            </w14:solidFill>
          </w14:textFill>
        </w:rPr>
        <w:t>项目选址合理性</w:t>
      </w:r>
      <w:bookmarkEnd w:id="432"/>
      <w:bookmarkEnd w:id="433"/>
      <w:bookmarkEnd w:id="434"/>
    </w:p>
    <w:p w14:paraId="2E83A6AE">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西彭工业园区D标准分区，符合园区用地规划。项目所在地交通方便，基础设施齐全，利于项目建设。项目所在区域环境敏感性较低，不会制约项目建设。项目所在九龙坡区环境空气质量现状为达标区，地表水环境、地下水环境、土壤环境及声环境等质量现状均能满足相应功能区标准要求，区域环境质量现状良好，能够承受项目的建设。在采取有效的环境保护措施后，项目建设和运营对环境的影响能为环境所承受。因此，项目选址合理。</w:t>
      </w:r>
    </w:p>
    <w:bookmarkEnd w:id="428"/>
    <w:p w14:paraId="0B9E2CAB">
      <w:pPr>
        <w:pStyle w:val="4"/>
        <w:rPr>
          <w:color w:val="000000" w:themeColor="text1"/>
          <w14:textFill>
            <w14:solidFill>
              <w14:schemeClr w14:val="tx1"/>
            </w14:solidFill>
          </w14:textFill>
        </w:rPr>
      </w:pPr>
      <w:bookmarkStart w:id="435" w:name="_Toc534876567"/>
      <w:bookmarkStart w:id="436" w:name="_Toc11942640"/>
      <w:bookmarkStart w:id="437" w:name="_Toc26161"/>
      <w:bookmarkStart w:id="438" w:name="_Toc13809"/>
      <w:r>
        <w:rPr>
          <w:color w:val="000000" w:themeColor="text1"/>
          <w14:textFill>
            <w14:solidFill>
              <w14:schemeClr w14:val="tx1"/>
            </w14:solidFill>
          </w14:textFill>
        </w:rPr>
        <w:t>环境影响</w:t>
      </w:r>
      <w:bookmarkEnd w:id="435"/>
      <w:bookmarkEnd w:id="436"/>
      <w:r>
        <w:rPr>
          <w:color w:val="000000" w:themeColor="text1"/>
          <w14:textFill>
            <w14:solidFill>
              <w14:schemeClr w14:val="tx1"/>
            </w14:solidFill>
          </w14:textFill>
        </w:rPr>
        <w:t>及防治措施</w:t>
      </w:r>
      <w:bookmarkEnd w:id="437"/>
      <w:bookmarkEnd w:id="438"/>
    </w:p>
    <w:p w14:paraId="4E244C39">
      <w:pPr>
        <w:pStyle w:val="5"/>
        <w:rPr>
          <w:bCs/>
          <w:color w:val="000000" w:themeColor="text1"/>
          <w14:textFill>
            <w14:solidFill>
              <w14:schemeClr w14:val="tx1"/>
            </w14:solidFill>
          </w14:textFill>
        </w:rPr>
      </w:pPr>
      <w:bookmarkStart w:id="439" w:name="_Hlk17385725"/>
      <w:bookmarkStart w:id="440" w:name="_Toc11942641"/>
      <w:bookmarkStart w:id="441" w:name="_Hlk17385378"/>
      <w:r>
        <w:rPr>
          <w:color w:val="000000" w:themeColor="text1"/>
          <w14:textFill>
            <w14:solidFill>
              <w14:schemeClr w14:val="tx1"/>
            </w14:solidFill>
          </w14:textFill>
        </w:rPr>
        <w:t>废水</w:t>
      </w:r>
      <w:bookmarkEnd w:id="439"/>
      <w:bookmarkEnd w:id="440"/>
    </w:p>
    <w:bookmarkEnd w:id="441"/>
    <w:p w14:paraId="618D1812">
      <w:pPr>
        <w:ind w:firstLine="520"/>
        <w:rPr>
          <w:color w:val="000000" w:themeColor="text1"/>
          <w14:textFill>
            <w14:solidFill>
              <w14:schemeClr w14:val="tx1"/>
            </w14:solidFill>
          </w14:textFill>
        </w:rPr>
      </w:pPr>
      <w:bookmarkStart w:id="442" w:name="_Toc11942642"/>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依托现有工程（臻宝半导体公司）建设部分</w:t>
      </w:r>
      <w:r>
        <w:rPr>
          <w:color w:val="000000" w:themeColor="text1"/>
          <w14:textFill>
            <w14:solidFill>
              <w14:schemeClr w14:val="tx1"/>
            </w14:solidFill>
          </w14:textFill>
        </w:rPr>
        <w:t>废水产生量为</w:t>
      </w:r>
      <w:r>
        <w:rPr>
          <w:rFonts w:hint="eastAsia"/>
          <w:color w:val="000000" w:themeColor="text1"/>
          <w14:textFill>
            <w14:solidFill>
              <w14:schemeClr w14:val="tx1"/>
            </w14:solidFill>
          </w14:textFill>
        </w:rPr>
        <w:t>9.37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/d。其中生产废水产生量为</w:t>
      </w:r>
      <w:r>
        <w:rPr>
          <w:rFonts w:hint="eastAsia"/>
          <w:color w:val="000000" w:themeColor="text1"/>
          <w14:textFill>
            <w14:solidFill>
              <w14:schemeClr w14:val="tx1"/>
            </w14:solidFill>
          </w14:textFill>
        </w:rPr>
        <w:t>8.37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/d；生活污水产生量为</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/d。生产废水</w:t>
      </w:r>
      <w:r>
        <w:rPr>
          <w:rFonts w:hint="eastAsia"/>
          <w:color w:val="000000" w:themeColor="text1"/>
          <w14:textFill>
            <w14:solidFill>
              <w14:schemeClr w14:val="tx1"/>
            </w14:solidFill>
          </w14:textFill>
        </w:rPr>
        <w:t>依托现有</w:t>
      </w:r>
      <w:r>
        <w:rPr>
          <w:color w:val="000000" w:themeColor="text1"/>
          <w14:textFill>
            <w14:solidFill>
              <w14:schemeClr w14:val="tx1"/>
            </w14:solidFill>
          </w14:textFill>
        </w:rPr>
        <w:t>综合废水处理站（</w:t>
      </w:r>
      <w:r>
        <w:rPr>
          <w:rFonts w:hint="eastAsia"/>
          <w:color w:val="000000" w:themeColor="text1"/>
          <w14:textFill>
            <w14:solidFill>
              <w14:schemeClr w14:val="tx1"/>
            </w14:solidFill>
          </w14:textFill>
        </w:rPr>
        <w:t>设计处理规模</w:t>
      </w:r>
      <w:r>
        <w:rPr>
          <w:color w:val="000000" w:themeColor="text1"/>
          <w14:textFill>
            <w14:solidFill>
              <w14:schemeClr w14:val="tx1"/>
            </w14:solidFill>
          </w14:textFill>
        </w:rPr>
        <w:t>150m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，现有工程处理规模为86.5m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/d，剩余处理能力为65.5m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达</w:t>
      </w:r>
      <w:r>
        <w:rPr>
          <w:color w:val="000000" w:themeColor="text1"/>
          <w14:textFill>
            <w14:solidFill>
              <w14:schemeClr w14:val="tx1"/>
            </w14:solidFill>
          </w14:textFill>
        </w:rPr>
        <w:t>《电子工业水污染物排放标准》（GB39731-2020）间接排放标准。生活污水</w:t>
      </w:r>
      <w:r>
        <w:rPr>
          <w:rFonts w:hint="eastAsia"/>
          <w:color w:val="000000" w:themeColor="text1"/>
          <w14:textFill>
            <w14:solidFill>
              <w14:schemeClr w14:val="tx1"/>
            </w14:solidFill>
          </w14:textFill>
        </w:rPr>
        <w:t>依托现有</w:t>
      </w:r>
      <w:r>
        <w:rPr>
          <w:color w:val="000000" w:themeColor="text1"/>
          <w14:textFill>
            <w14:solidFill>
              <w14:schemeClr w14:val="tx1"/>
            </w14:solidFill>
          </w14:textFill>
        </w:rPr>
        <w:t>生化池（</w:t>
      </w:r>
      <w:r>
        <w:rPr>
          <w:rFonts w:hint="eastAsia"/>
          <w:color w:val="000000" w:themeColor="text1"/>
          <w14:textFill>
            <w14:solidFill>
              <w14:schemeClr w14:val="tx1"/>
            </w14:solidFill>
          </w14:textFill>
        </w:rPr>
        <w:t>设计处理规模</w:t>
      </w:r>
      <w:r>
        <w:rPr>
          <w:color w:val="000000" w:themeColor="text1"/>
          <w14:textFill>
            <w14:solidFill>
              <w14:schemeClr w14:val="tx1"/>
            </w14:solidFill>
          </w14:textFill>
        </w:rPr>
        <w:t>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，现有工程处理规模为10.8m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/d，剩余处理能力为9.2m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）处理达《污水综合排放标准》（GB8978-1996）三级排放标准。</w:t>
      </w:r>
    </w:p>
    <w:p w14:paraId="7CE163E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租赁臻宝科技公司建设部分生产</w:t>
      </w:r>
      <w:r>
        <w:rPr>
          <w:color w:val="000000" w:themeColor="text1"/>
          <w14:textFill>
            <w14:solidFill>
              <w14:schemeClr w14:val="tx1"/>
            </w14:solidFill>
          </w14:textFill>
        </w:rPr>
        <w:t>废水产生量为</w:t>
      </w:r>
      <w:r>
        <w:rPr>
          <w:rFonts w:hint="eastAsia"/>
          <w:color w:val="000000" w:themeColor="text1"/>
          <w14:textFill>
            <w14:solidFill>
              <w14:schemeClr w14:val="tx1"/>
            </w14:solidFill>
          </w14:textFill>
        </w:rPr>
        <w:t>0.45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/d。生产废水</w:t>
      </w:r>
      <w:r>
        <w:rPr>
          <w:rFonts w:hint="eastAsia"/>
          <w:color w:val="000000" w:themeColor="text1"/>
          <w14:textFill>
            <w14:solidFill>
              <w14:schemeClr w14:val="tx1"/>
            </w14:solidFill>
          </w14:textFill>
        </w:rPr>
        <w:t>依托臻宝科技公司现有</w:t>
      </w:r>
      <w:r>
        <w:rPr>
          <w:color w:val="000000" w:themeColor="text1"/>
          <w14:textFill>
            <w14:solidFill>
              <w14:schemeClr w14:val="tx1"/>
            </w14:solidFill>
          </w14:textFill>
        </w:rPr>
        <w:t>综合废水处理站（</w:t>
      </w:r>
      <w:r>
        <w:rPr>
          <w:rFonts w:hint="eastAsia"/>
          <w:color w:val="000000" w:themeColor="text1"/>
          <w14:textFill>
            <w14:solidFill>
              <w14:schemeClr w14:val="tx1"/>
            </w14:solidFill>
          </w14:textFill>
        </w:rPr>
        <w:t>设计处理能力为80m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/d，设计处理量为33.46m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/d，剩余处理能力为46.54m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），处理满足《电子工业水污染物排放标准》（GB39731-2020）间接排放标准。</w:t>
      </w:r>
    </w:p>
    <w:p w14:paraId="6DC33876">
      <w:pPr>
        <w:ind w:firstLine="520"/>
        <w:rPr>
          <w:color w:val="000000" w:themeColor="text1"/>
          <w14:textFill>
            <w14:solidFill>
              <w14:schemeClr w14:val="tx1"/>
            </w14:solidFill>
          </w14:textFill>
        </w:rPr>
      </w:pPr>
      <w:r>
        <w:rPr>
          <w:color w:val="000000" w:themeColor="text1"/>
          <w14:textFill>
            <w14:solidFill>
              <w14:schemeClr w14:val="tx1"/>
            </w14:solidFill>
          </w14:textFill>
        </w:rPr>
        <w:t>最终综合生产废水和生活污水在厂区总排口一并排入园区管网，再经市政污水管网排入西彭工业园区污水处理厂，处理达《污水综合排放标准》（GB8978-1996）一级标准后排放至长江，远期处理达《城镇污水处理厂污染物排放标准》（GB18918-2002）一级A标准，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-N、TP处理达《地表水环境质量标准》（GB3838-2002）IV类标准后排放。</w:t>
      </w:r>
      <w:r>
        <w:rPr>
          <w:color w:val="000000" w:themeColor="text1"/>
          <w:lang w:val="zh-CN"/>
          <w14:textFill>
            <w14:solidFill>
              <w14:schemeClr w14:val="tx1"/>
            </w14:solidFill>
          </w14:textFill>
        </w:rPr>
        <w:t>项目产生的废水可得到有效处理，对长江地表水环境影响较小。</w:t>
      </w:r>
    </w:p>
    <w:p w14:paraId="7559FE13">
      <w:pPr>
        <w:pStyle w:val="5"/>
        <w:rPr>
          <w:bCs/>
          <w:color w:val="000000" w:themeColor="text1"/>
          <w14:textFill>
            <w14:solidFill>
              <w14:schemeClr w14:val="tx1"/>
            </w14:solidFill>
          </w14:textFill>
        </w:rPr>
      </w:pPr>
      <w:bookmarkStart w:id="443" w:name="_Hlk17385415"/>
      <w:r>
        <w:rPr>
          <w:color w:val="000000" w:themeColor="text1"/>
          <w14:textFill>
            <w14:solidFill>
              <w14:schemeClr w14:val="tx1"/>
            </w14:solidFill>
          </w14:textFill>
        </w:rPr>
        <w:t>废气</w:t>
      </w:r>
      <w:bookmarkEnd w:id="442"/>
    </w:p>
    <w:bookmarkEnd w:id="443"/>
    <w:p w14:paraId="18751ECF">
      <w:pPr>
        <w:ind w:firstLine="520"/>
        <w:rPr>
          <w:color w:val="000000" w:themeColor="text1"/>
          <w14:textFill>
            <w14:solidFill>
              <w14:schemeClr w14:val="tx1"/>
            </w14:solidFill>
          </w14:textFill>
        </w:rPr>
      </w:pPr>
      <w:bookmarkStart w:id="444" w:name="_Toc11942644"/>
      <w:r>
        <w:rPr>
          <w:rFonts w:hint="eastAsia"/>
          <w:snapToGrid/>
          <w:color w:val="000000" w:themeColor="text1"/>
          <w14:textFill>
            <w14:solidFill>
              <w14:schemeClr w14:val="tx1"/>
            </w14:solidFill>
          </w14:textFill>
        </w:rPr>
        <w:t>项目GASKET产品清洗依托现有清洗线，其产生酸雾经</w:t>
      </w:r>
      <w:r>
        <w:rPr>
          <w:snapToGrid/>
          <w:color w:val="000000" w:themeColor="text1"/>
          <w14:textFill>
            <w14:solidFill>
              <w14:schemeClr w14:val="tx1"/>
            </w14:solidFill>
          </w14:textFill>
        </w:rPr>
        <w:t>通风柜内密闭抽风收集</w:t>
      </w:r>
      <w:r>
        <w:rPr>
          <w:rFonts w:hint="eastAsia"/>
          <w:snapToGrid/>
          <w:color w:val="000000" w:themeColor="text1"/>
          <w14:textFill>
            <w14:solidFill>
              <w14:schemeClr w14:val="tx1"/>
            </w14:solidFill>
          </w14:textFill>
        </w:rPr>
        <w:t>送入</w:t>
      </w:r>
      <w:r>
        <w:rPr>
          <w:snapToGrid/>
          <w:color w:val="000000" w:themeColor="text1"/>
          <w14:textFill>
            <w14:solidFill>
              <w14:schemeClr w14:val="tx1"/>
            </w14:solidFill>
          </w14:textFill>
        </w:rPr>
        <w:t>酸碱雾净化塔处理</w:t>
      </w:r>
      <w:r>
        <w:rPr>
          <w:rFonts w:hint="eastAsia"/>
          <w:snapToGrid/>
          <w:color w:val="000000" w:themeColor="text1"/>
          <w14:textFill>
            <w14:solidFill>
              <w14:schemeClr w14:val="tx1"/>
            </w14:solidFill>
          </w14:textFill>
        </w:rPr>
        <w:t>后</w:t>
      </w:r>
      <w:r>
        <w:rPr>
          <w:snapToGrid/>
          <w:color w:val="000000" w:themeColor="text1"/>
          <w14:textFill>
            <w14:solidFill>
              <w14:schemeClr w14:val="tx1"/>
            </w14:solidFill>
          </w14:textFill>
        </w:rPr>
        <w:t>，经</w:t>
      </w:r>
      <w:r>
        <w:rPr>
          <w:rFonts w:hint="eastAsia"/>
          <w:snapToGrid/>
          <w:color w:val="000000" w:themeColor="text1"/>
          <w14:textFill>
            <w14:solidFill>
              <w14:schemeClr w14:val="tx1"/>
            </w14:solidFill>
          </w14:textFill>
        </w:rPr>
        <w:t>DA005</w:t>
      </w:r>
      <w:r>
        <w:rPr>
          <w:snapToGrid/>
          <w:color w:val="000000" w:themeColor="text1"/>
          <w14:textFill>
            <w14:solidFill>
              <w14:schemeClr w14:val="tx1"/>
            </w14:solidFill>
          </w14:textFill>
        </w:rPr>
        <w:t>排气筒排放</w:t>
      </w:r>
      <w:r>
        <w:rPr>
          <w:rFonts w:hint="eastAsia"/>
          <w:snapToGrid/>
          <w:color w:val="000000" w:themeColor="text1"/>
          <w14:textFill>
            <w14:solidFill>
              <w14:schemeClr w14:val="tx1"/>
            </w14:solidFill>
          </w14:textFill>
        </w:rPr>
        <w:t>；石墨零部件加工废气收集后，送入在臻宝科技厂区新建布袋除尘器处理后，通过的1根15m高排气筒DA016排放；石墨纯化和</w:t>
      </w:r>
      <w:r>
        <w:rPr>
          <w:snapToGrid/>
          <w:color w:val="000000" w:themeColor="text1"/>
          <w14:textFill>
            <w14:solidFill>
              <w14:schemeClr w14:val="tx1"/>
            </w14:solidFill>
          </w14:textFill>
        </w:rPr>
        <w:t>碳化硅涂层</w:t>
      </w:r>
      <w:r>
        <w:rPr>
          <w:rFonts w:hint="eastAsia"/>
          <w:snapToGrid/>
          <w:color w:val="000000" w:themeColor="text1"/>
          <w14:textFill>
            <w14:solidFill>
              <w14:schemeClr w14:val="tx1"/>
            </w14:solidFill>
          </w14:textFill>
        </w:rPr>
        <w:t>废气依托现有</w:t>
      </w:r>
      <w:r>
        <w:rPr>
          <w:rFonts w:hint="eastAsia"/>
          <w:color w:val="000000" w:themeColor="text1"/>
          <w14:textFill>
            <w14:solidFill>
              <w14:schemeClr w14:val="tx1"/>
            </w14:solidFill>
          </w14:textFill>
        </w:rPr>
        <w:t>1#四级酸雾喷淋塔处理后</w:t>
      </w:r>
      <w:r>
        <w:rPr>
          <w:rFonts w:hint="eastAsia"/>
          <w:snapToGrid/>
          <w:color w:val="000000" w:themeColor="text1"/>
          <w14:textFill>
            <w14:solidFill>
              <w14:schemeClr w14:val="tx1"/>
            </w14:solidFill>
          </w14:textFill>
        </w:rPr>
        <w:t>经25m排气筒DA004排放</w:t>
      </w:r>
      <w:r>
        <w:rPr>
          <w:color w:val="000000" w:themeColor="text1"/>
          <w14:textFill>
            <w14:solidFill>
              <w14:schemeClr w14:val="tx1"/>
            </w14:solidFill>
          </w14:textFill>
        </w:rPr>
        <w:t>。废气经处理后满足重庆市《大气污染物综合排放标准》（DB50/418-2016）、《挥发性有机物无组织排放控制标准》（GB37822-2019）排放限值。</w:t>
      </w:r>
    </w:p>
    <w:p w14:paraId="602BA112">
      <w:pPr>
        <w:pStyle w:val="5"/>
        <w:rPr>
          <w:bCs/>
          <w:color w:val="000000" w:themeColor="text1"/>
          <w14:textFill>
            <w14:solidFill>
              <w14:schemeClr w14:val="tx1"/>
            </w14:solidFill>
          </w14:textFill>
        </w:rPr>
      </w:pPr>
      <w:r>
        <w:rPr>
          <w:color w:val="000000" w:themeColor="text1"/>
          <w14:textFill>
            <w14:solidFill>
              <w14:schemeClr w14:val="tx1"/>
            </w14:solidFill>
          </w14:textFill>
        </w:rPr>
        <w:t>固体废物</w:t>
      </w:r>
      <w:bookmarkEnd w:id="444"/>
    </w:p>
    <w:p w14:paraId="04CF2063">
      <w:pPr>
        <w:ind w:firstLine="520"/>
        <w:rPr>
          <w:color w:val="000000" w:themeColor="text1"/>
          <w14:textFill>
            <w14:solidFill>
              <w14:schemeClr w14:val="tx1"/>
            </w14:solidFill>
          </w14:textFill>
        </w:rPr>
      </w:pPr>
      <w:bookmarkStart w:id="445" w:name="_Hlk17385494"/>
      <w:bookmarkStart w:id="446" w:name="_Toc11942643"/>
      <w:r>
        <w:rPr>
          <w:color w:val="000000" w:themeColor="text1"/>
          <w14:textFill>
            <w14:solidFill>
              <w14:schemeClr w14:val="tx1"/>
            </w14:solidFill>
          </w14:textFill>
        </w:rPr>
        <w:t>生活垃圾交环卫部门处置。一般工业固体废物暂存于临时储存间，</w:t>
      </w:r>
      <w:r>
        <w:rPr>
          <w:rFonts w:hint="eastAsia"/>
          <w:color w:val="000000" w:themeColor="text1"/>
          <w14:textFill>
            <w14:solidFill>
              <w14:schemeClr w14:val="tx1"/>
            </w14:solidFill>
          </w14:textFill>
        </w:rPr>
        <w:t>定期交物资回收公司回收</w:t>
      </w:r>
      <w:r>
        <w:rPr>
          <w:color w:val="000000" w:themeColor="text1"/>
          <w14:textFill>
            <w14:solidFill>
              <w14:schemeClr w14:val="tx1"/>
            </w14:solidFill>
          </w14:textFill>
        </w:rPr>
        <w:t>。对于项目产生切削液收集后在切削液回收车间经压滤+过滤处理后回用于生产，产生的切削液污泥作为危险废物，与其他危险废物暂存于危险废物贮存库，定期交有资质危废处置公司转运处置。危险废物贮存库与切削液回收车间按照《危险废物贮存污染控制标准》(GB18597-2023)进行污染控制和管理，四周及地面进行防风、防雨、防晒、防渗、防漏、防腐等“六防”措施，且危废贮存设施地面渗透系数≤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cm/s，采取围堰或防渗托盘、导流地沟等防渗措施，并设置明显标志。通过上述方法处理处置后，扩建项目产生的固体废物对环境的影响较小，不会造成对环境的二次污染。</w:t>
      </w:r>
    </w:p>
    <w:bookmarkEnd w:id="445"/>
    <w:p w14:paraId="191A1836">
      <w:pPr>
        <w:pStyle w:val="5"/>
        <w:rPr>
          <w:bCs/>
          <w:color w:val="000000" w:themeColor="text1"/>
          <w14:textFill>
            <w14:solidFill>
              <w14:schemeClr w14:val="tx1"/>
            </w14:solidFill>
          </w14:textFill>
        </w:rPr>
      </w:pPr>
      <w:r>
        <w:rPr>
          <w:color w:val="000000" w:themeColor="text1"/>
          <w14:textFill>
            <w14:solidFill>
              <w14:schemeClr w14:val="tx1"/>
            </w14:solidFill>
          </w14:textFill>
        </w:rPr>
        <w:t>噪声</w:t>
      </w:r>
      <w:bookmarkEnd w:id="446"/>
    </w:p>
    <w:p w14:paraId="191F8378">
      <w:pPr>
        <w:ind w:firstLine="520"/>
        <w:rPr>
          <w:color w:val="000000" w:themeColor="text1"/>
          <w:lang w:val="zh-CN"/>
          <w14:textFill>
            <w14:solidFill>
              <w14:schemeClr w14:val="tx1"/>
            </w14:solidFill>
          </w14:textFill>
        </w:rPr>
      </w:pPr>
      <w:bookmarkStart w:id="447" w:name="_Hlk15564099"/>
      <w:r>
        <w:rPr>
          <w:color w:val="000000" w:themeColor="text1"/>
          <w:lang w:val="zh-CN"/>
          <w14:textFill>
            <w14:solidFill>
              <w14:schemeClr w14:val="tx1"/>
            </w14:solidFill>
          </w14:textFill>
        </w:rPr>
        <w:t>扩建</w:t>
      </w:r>
      <w:r>
        <w:rPr>
          <w:color w:val="000000" w:themeColor="text1"/>
          <w14:textFill>
            <w14:solidFill>
              <w14:schemeClr w14:val="tx1"/>
            </w14:solidFill>
          </w14:textFill>
        </w:rPr>
        <w:t>项目噪声主要来源于</w:t>
      </w:r>
      <w:r>
        <w:rPr>
          <w:rFonts w:hint="eastAsia"/>
          <w:color w:val="000000" w:themeColor="text1"/>
          <w14:textFill>
            <w14:solidFill>
              <w14:schemeClr w14:val="tx1"/>
            </w14:solidFill>
          </w14:textFill>
        </w:rPr>
        <w:t>走心机、抛光机、切断机、切割机、加工中心</w:t>
      </w:r>
      <w:r>
        <w:rPr>
          <w:color w:val="000000" w:themeColor="text1"/>
          <w14:textFill>
            <w14:solidFill>
              <w14:schemeClr w14:val="tx1"/>
            </w14:solidFill>
          </w14:textFill>
        </w:rPr>
        <w:t>等机械设备</w:t>
      </w:r>
      <w:r>
        <w:rPr>
          <w:rFonts w:hint="eastAsia"/>
          <w:color w:val="000000" w:themeColor="text1"/>
          <w14:textFill>
            <w14:solidFill>
              <w14:schemeClr w14:val="tx1"/>
            </w14:solidFill>
          </w14:textFill>
        </w:rPr>
        <w:t>。采用</w:t>
      </w:r>
      <w:r>
        <w:rPr>
          <w:color w:val="000000" w:themeColor="text1"/>
          <w14:textFill>
            <w14:solidFill>
              <w14:schemeClr w14:val="tx1"/>
            </w14:solidFill>
          </w14:textFill>
        </w:rPr>
        <w:t>选用低噪声设备、基础安装减振器、设置单独设备间、车间采取封闭、建筑隔声、空压机进口装消声器等噪声治理措施后，厂界噪声贡献值满足《工业企业厂界环境噪声排放标准》（GB12348-2008）中3类相应标准要求。扩建项目周边声环境敏感点距离较远，项目建设噪声对周边敏感点环境影响小</w:t>
      </w:r>
      <w:r>
        <w:rPr>
          <w:color w:val="000000" w:themeColor="text1"/>
          <w:lang w:val="zh-CN"/>
          <w14:textFill>
            <w14:solidFill>
              <w14:schemeClr w14:val="tx1"/>
            </w14:solidFill>
          </w14:textFill>
        </w:rPr>
        <w:t>。</w:t>
      </w:r>
    </w:p>
    <w:bookmarkEnd w:id="447"/>
    <w:p w14:paraId="690360BE">
      <w:pPr>
        <w:pStyle w:val="5"/>
        <w:rPr>
          <w:bCs/>
          <w:color w:val="000000" w:themeColor="text1"/>
          <w14:textFill>
            <w14:solidFill>
              <w14:schemeClr w14:val="tx1"/>
            </w14:solidFill>
          </w14:textFill>
        </w:rPr>
      </w:pPr>
      <w:bookmarkStart w:id="448" w:name="_Hlk17385542"/>
      <w:bookmarkStart w:id="449" w:name="_Toc11942645"/>
      <w:r>
        <w:rPr>
          <w:color w:val="000000" w:themeColor="text1"/>
          <w14:textFill>
            <w14:solidFill>
              <w14:schemeClr w14:val="tx1"/>
            </w14:solidFill>
          </w14:textFill>
        </w:rPr>
        <w:t>土壤</w:t>
      </w:r>
      <w:r>
        <w:rPr>
          <w:rFonts w:hint="eastAsia"/>
          <w:color w:val="000000" w:themeColor="text1"/>
          <w14:textFill>
            <w14:solidFill>
              <w14:schemeClr w14:val="tx1"/>
            </w14:solidFill>
          </w14:textFill>
        </w:rPr>
        <w:t>、地下水</w:t>
      </w:r>
    </w:p>
    <w:p w14:paraId="41A3442C">
      <w:pPr>
        <w:ind w:firstLine="520"/>
        <w:rPr>
          <w:color w:val="000000" w:themeColor="text1"/>
          <w:lang w:val="zh-CN"/>
          <w14:textFill>
            <w14:solidFill>
              <w14:schemeClr w14:val="tx1"/>
            </w14:solidFill>
          </w14:textFill>
        </w:rPr>
      </w:pPr>
      <w:r>
        <w:rPr>
          <w:color w:val="000000" w:themeColor="text1"/>
          <w:lang w:val="zh-CN"/>
          <w14:textFill>
            <w14:solidFill>
              <w14:schemeClr w14:val="tx1"/>
            </w14:solidFill>
          </w14:textFill>
        </w:rPr>
        <w:t>非正常状况下厂区污水处理站调节池泄漏对周边地下水</w:t>
      </w:r>
      <w:r>
        <w:rPr>
          <w:rFonts w:hint="eastAsia"/>
          <w:color w:val="000000" w:themeColor="text1"/>
          <w:lang w:val="zh-CN"/>
          <w14:textFill>
            <w14:solidFill>
              <w14:schemeClr w14:val="tx1"/>
            </w14:solidFill>
          </w14:textFill>
        </w:rPr>
        <w:t>和土壤</w:t>
      </w:r>
      <w:r>
        <w:rPr>
          <w:color w:val="000000" w:themeColor="text1"/>
          <w:lang w:val="zh-CN"/>
          <w14:textFill>
            <w14:solidFill>
              <w14:schemeClr w14:val="tx1"/>
            </w14:solidFill>
          </w14:textFill>
        </w:rPr>
        <w:t>环境造成影响有限，环境影响可以接受。针对项目可能发生的地下水</w:t>
      </w:r>
      <w:r>
        <w:rPr>
          <w:rFonts w:hint="eastAsia"/>
          <w:color w:val="000000" w:themeColor="text1"/>
          <w:lang w:val="zh-CN"/>
          <w14:textFill>
            <w14:solidFill>
              <w14:schemeClr w14:val="tx1"/>
            </w14:solidFill>
          </w14:textFill>
        </w:rPr>
        <w:t>、土壤</w:t>
      </w:r>
      <w:r>
        <w:rPr>
          <w:color w:val="000000" w:themeColor="text1"/>
          <w:lang w:val="zh-CN"/>
          <w14:textFill>
            <w14:solidFill>
              <w14:schemeClr w14:val="tx1"/>
            </w14:solidFill>
          </w14:textFill>
        </w:rPr>
        <w:t>污染，项目污染防治措施按照“源头控制、分区防治、污染监控、应急响应”相结合的原则，从污染物的产生、入渗、扩散、应急响应全方位进行控制。地下水污染防治分区防渗，分为重点防渗区、一般防渗区、简单防渗区。重点防渗区：切削液回收车间、污水处理站、危险废物贮存库设置为重点防渗区，重点防渗区的防渗性能应与6.0m厚粘土层（渗透系数1.0×10</w:t>
      </w:r>
      <w:r>
        <w:rPr>
          <w:color w:val="000000" w:themeColor="text1"/>
          <w:vertAlign w:val="superscript"/>
          <w:lang w:val="zh-CN"/>
          <w14:textFill>
            <w14:solidFill>
              <w14:schemeClr w14:val="tx1"/>
            </w14:solidFill>
          </w14:textFill>
        </w:rPr>
        <w:t>-7</w:t>
      </w:r>
      <w:r>
        <w:rPr>
          <w:color w:val="000000" w:themeColor="text1"/>
          <w:lang w:val="zh-CN"/>
          <w14:textFill>
            <w14:solidFill>
              <w14:schemeClr w14:val="tx1"/>
            </w14:solidFill>
          </w14:textFill>
        </w:rPr>
        <w:t>cm/s）等效，或参照GB18598执行。一般防渗区：包括一般固废贮存点、纯水站设为一般污染防治区，一般防渗区的防渗性能应与1.5m厚粘土层（渗透系数1.0×10</w:t>
      </w:r>
      <w:r>
        <w:rPr>
          <w:color w:val="000000" w:themeColor="text1"/>
          <w:vertAlign w:val="superscript"/>
          <w:lang w:val="zh-CN"/>
          <w14:textFill>
            <w14:solidFill>
              <w14:schemeClr w14:val="tx1"/>
            </w14:solidFill>
          </w14:textFill>
        </w:rPr>
        <w:t>-7</w:t>
      </w:r>
      <w:r>
        <w:rPr>
          <w:color w:val="000000" w:themeColor="text1"/>
          <w:lang w:val="zh-CN"/>
          <w14:textFill>
            <w14:solidFill>
              <w14:schemeClr w14:val="tx1"/>
            </w14:solidFill>
          </w14:textFill>
        </w:rPr>
        <w:t>cm/s）等效，或参照GB18598执行。简单防渗区：包括办公和食堂等没有废水或物料泄漏，不会对地下水环境造成污染的区域或部位。工业废水管网可视化，建设单位布设地下水监测井定期监控，及时发现事故泄露并采取有效的应急措施。</w:t>
      </w:r>
    </w:p>
    <w:p w14:paraId="2F7B1C16">
      <w:pPr>
        <w:ind w:firstLine="520"/>
        <w:rPr>
          <w:color w:val="000000" w:themeColor="text1"/>
          <w14:textFill>
            <w14:solidFill>
              <w14:schemeClr w14:val="tx1"/>
            </w14:solidFill>
          </w14:textFill>
        </w:rPr>
      </w:pPr>
      <w:r>
        <w:rPr>
          <w:color w:val="000000" w:themeColor="text1"/>
          <w:lang w:val="zh-CN"/>
          <w14:textFill>
            <w14:solidFill>
              <w14:schemeClr w14:val="tx1"/>
            </w14:solidFill>
          </w14:textFill>
        </w:rPr>
        <w:t>扩建项目所在土壤环境现状满足《土壤环境质量建设用地土壤污染风险管控标准（试行）》（GB36600-2018）第二类用地土壤污染风险筛选值标准要求，现状土壤环境较好。预测表明，项目调节池泄漏3个月后周围表层土壤中石油烃累积量均小于《土壤环境质量建设用地土壤污染风险管控标准（试行）》（GB36600-2018）中第二类用地筛选值，扩建项目污水处理站调节池泄漏对周边土壤的影响较小。在废水处理站周边设置土壤环境跟踪监测点，在严格采取相应的防渗措施后，项目建设不会造成地下水及土壤污染，环境影响可接受。</w:t>
      </w:r>
    </w:p>
    <w:bookmarkEnd w:id="448"/>
    <w:p w14:paraId="20F13224">
      <w:pPr>
        <w:pStyle w:val="5"/>
        <w:rPr>
          <w:bCs/>
          <w:color w:val="000000" w:themeColor="text1"/>
          <w14:textFill>
            <w14:solidFill>
              <w14:schemeClr w14:val="tx1"/>
            </w14:solidFill>
          </w14:textFill>
        </w:rPr>
      </w:pPr>
      <w:bookmarkStart w:id="450" w:name="_Hlk17385558"/>
      <w:r>
        <w:rPr>
          <w:color w:val="000000" w:themeColor="text1"/>
          <w14:textFill>
            <w14:solidFill>
              <w14:schemeClr w14:val="tx1"/>
            </w14:solidFill>
          </w14:textFill>
        </w:rPr>
        <w:t>环境风险</w:t>
      </w:r>
      <w:bookmarkEnd w:id="449"/>
    </w:p>
    <w:bookmarkEnd w:id="450"/>
    <w:p w14:paraId="601D40C1">
      <w:pPr>
        <w:ind w:firstLine="520"/>
        <w:rPr>
          <w:color w:val="000000" w:themeColor="text1"/>
          <w14:textFill>
            <w14:solidFill>
              <w14:schemeClr w14:val="tx1"/>
            </w14:solidFill>
          </w14:textFill>
        </w:rPr>
      </w:pPr>
      <w:bookmarkStart w:id="451" w:name="_Toc534876568"/>
      <w:bookmarkStart w:id="452" w:name="_Toc11942646"/>
      <w:r>
        <w:rPr>
          <w:color w:val="000000" w:themeColor="text1"/>
          <w14:textFill>
            <w14:solidFill>
              <w14:schemeClr w14:val="tx1"/>
            </w14:solidFill>
          </w14:textFill>
        </w:rPr>
        <w:t>扩建项目主要的环境风险物质有硫酸、硝酸、MTS、废切削液等，最大可信环境风险事故主要为氢氟酸、硫酸、盐酸、硝酸储存装置发生泄漏、MTS发生泄漏。切削液回收车间、化学品库、污水处理站、危废间采取重点防渗措施，设置收集沟收集泄漏物料，设置开闭阀门且连接污水处理站</w:t>
      </w:r>
      <w:r>
        <w:rPr>
          <w:rFonts w:hint="eastAsia"/>
          <w:color w:val="000000" w:themeColor="text1"/>
          <w14:textFill>
            <w14:solidFill>
              <w14:schemeClr w14:val="tx1"/>
            </w14:solidFill>
          </w14:textFill>
        </w:rPr>
        <w:t>和事故池。</w:t>
      </w:r>
      <w:r>
        <w:rPr>
          <w:color w:val="000000" w:themeColor="text1"/>
          <w14:textFill>
            <w14:solidFill>
              <w14:schemeClr w14:val="tx1"/>
            </w14:solidFill>
          </w14:textFill>
        </w:rPr>
        <w:t>事故池规模为270m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TS贮存间内设置喷淋设施，预留管道通向酸雾塔，安装自动监控报警装置，储备氧气呼吸器及防护阀，并储备吸油毡和加盖桶用于收集事故状态下泄漏的MTS，可有效防止MTS泄漏产生的危害。加之厂区污水不直接排入外环境，</w:t>
      </w:r>
      <w:r>
        <w:rPr>
          <w:rFonts w:hint="eastAsia"/>
          <w:color w:val="000000" w:themeColor="text1"/>
          <w14:textFill>
            <w14:solidFill>
              <w14:schemeClr w14:val="tx1"/>
            </w14:solidFill>
          </w14:textFill>
        </w:rPr>
        <w:t>经厂区综合污水处理站处理达标后，经市政污水管网送至</w:t>
      </w:r>
      <w:r>
        <w:rPr>
          <w:color w:val="000000" w:themeColor="text1"/>
          <w14:textFill>
            <w14:solidFill>
              <w14:schemeClr w14:val="tx1"/>
            </w14:solidFill>
          </w14:textFill>
        </w:rPr>
        <w:t>西彭工业园区污水处理厂进一步深度处理达标排放后，对桥头河及长江的影响小。及时修定环境风险应急预案，配备必要的环境风险应急资源并定期演练。采取以上措施后，可最大程度减小对环境可能造成的危害，环境风险总体可防可控。</w:t>
      </w:r>
    </w:p>
    <w:p w14:paraId="5D4A165C">
      <w:pPr>
        <w:pStyle w:val="4"/>
        <w:rPr>
          <w:color w:val="000000" w:themeColor="text1"/>
          <w14:textFill>
            <w14:solidFill>
              <w14:schemeClr w14:val="tx1"/>
            </w14:solidFill>
          </w14:textFill>
        </w:rPr>
      </w:pPr>
      <w:bookmarkStart w:id="453" w:name="_Toc17225"/>
      <w:bookmarkStart w:id="454" w:name="_Toc6346"/>
      <w:r>
        <w:rPr>
          <w:color w:val="000000" w:themeColor="text1"/>
          <w14:textFill>
            <w14:solidFill>
              <w14:schemeClr w14:val="tx1"/>
            </w14:solidFill>
          </w14:textFill>
        </w:rPr>
        <w:t>总量控制</w:t>
      </w:r>
      <w:bookmarkEnd w:id="451"/>
      <w:bookmarkEnd w:id="452"/>
      <w:bookmarkEnd w:id="453"/>
      <w:bookmarkEnd w:id="454"/>
    </w:p>
    <w:p w14:paraId="7E48B6FD">
      <w:pPr>
        <w:ind w:firstLine="520"/>
        <w:rPr>
          <w:color w:val="000000" w:themeColor="text1"/>
          <w14:textFill>
            <w14:solidFill>
              <w14:schemeClr w14:val="tx1"/>
            </w14:solidFill>
          </w14:textFill>
        </w:rPr>
      </w:pPr>
      <w:r>
        <w:rPr>
          <w:color w:val="000000" w:themeColor="text1"/>
          <w14:textFill>
            <w14:solidFill>
              <w14:schemeClr w14:val="tx1"/>
            </w14:solidFill>
          </w14:textFill>
        </w:rPr>
        <w:t>扩建项目实施后，企业总量控制建议指标：</w:t>
      </w:r>
      <w:r>
        <w:rPr>
          <w:rFonts w:hint="eastAsia"/>
          <w:color w:val="000000" w:themeColor="text1"/>
          <w14:textFill>
            <w14:solidFill>
              <w14:schemeClr w14:val="tx1"/>
            </w14:solidFill>
          </w14:textFill>
        </w:rPr>
        <w:t>废水：</w:t>
      </w:r>
      <w:r>
        <w:rPr>
          <w:color w:val="000000" w:themeColor="text1"/>
          <w14:textFill>
            <w14:solidFill>
              <w14:schemeClr w14:val="tx1"/>
            </w14:solidFill>
          </w14:textFill>
        </w:rPr>
        <w:t>COD</w:t>
      </w:r>
      <w:r>
        <w:rPr>
          <w:rFonts w:hint="eastAsia"/>
          <w:color w:val="000000" w:themeColor="text1"/>
          <w14:textFill>
            <w14:solidFill>
              <w14:schemeClr w14:val="tx1"/>
            </w14:solidFill>
          </w14:textFill>
        </w:rPr>
        <w:t>：0.105</w:t>
      </w:r>
      <w:r>
        <w:rPr>
          <w:color w:val="000000" w:themeColor="text1"/>
          <w14:textFill>
            <w14:solidFill>
              <w14:schemeClr w14:val="tx1"/>
            </w14:solidFill>
          </w14:textFill>
        </w:rPr>
        <w:t>/a、氨氮</w:t>
      </w:r>
      <w:r>
        <w:rPr>
          <w:rFonts w:hint="eastAsia"/>
          <w:color w:val="000000" w:themeColor="text1"/>
          <w14:textFill>
            <w14:solidFill>
              <w14:schemeClr w14:val="tx1"/>
            </w14:solidFill>
          </w14:textFill>
        </w:rPr>
        <w:t>：0.009</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废气：</w:t>
      </w:r>
      <w:r>
        <w:rPr>
          <w:color w:val="000000" w:themeColor="text1"/>
          <w14:textFill>
            <w14:solidFill>
              <w14:schemeClr w14:val="tx1"/>
            </w14:solidFill>
          </w14:textFill>
        </w:rPr>
        <w:t>颗粒物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064</w:t>
      </w:r>
      <w:r>
        <w:rPr>
          <w:color w:val="000000" w:themeColor="text1"/>
          <w14:textFill>
            <w14:solidFill>
              <w14:schemeClr w14:val="tx1"/>
            </w14:solidFill>
          </w14:textFill>
        </w:rPr>
        <w:t>t/a、非甲烷总烃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05</w:t>
      </w:r>
      <w:r>
        <w:rPr>
          <w:color w:val="000000" w:themeColor="text1"/>
          <w14:textFill>
            <w14:solidFill>
              <w14:schemeClr w14:val="tx1"/>
            </w14:solidFill>
          </w14:textFill>
        </w:rPr>
        <w:t>t/a。</w:t>
      </w:r>
    </w:p>
    <w:p w14:paraId="46A0F382">
      <w:pPr>
        <w:pStyle w:val="4"/>
        <w:rPr>
          <w:color w:val="000000" w:themeColor="text1"/>
          <w14:textFill>
            <w14:solidFill>
              <w14:schemeClr w14:val="tx1"/>
            </w14:solidFill>
          </w14:textFill>
        </w:rPr>
      </w:pPr>
      <w:bookmarkStart w:id="455" w:name="_Toc8866"/>
      <w:r>
        <w:rPr>
          <w:rFonts w:hint="eastAsia"/>
          <w:color w:val="000000" w:themeColor="text1"/>
          <w14:textFill>
            <w14:solidFill>
              <w14:schemeClr w14:val="tx1"/>
            </w14:solidFill>
          </w14:textFill>
        </w:rPr>
        <w:t>公众参与</w:t>
      </w:r>
      <w:bookmarkEnd w:id="455"/>
    </w:p>
    <w:p w14:paraId="27AA95C6">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拟建项目公众参与责任主体为建设单位。根据建设单位提供的《公众参与说明》，建设单位采取网上公示、报纸公示（重庆晚报）相结合等公众参与方式。</w:t>
      </w:r>
    </w:p>
    <w:p w14:paraId="564094B6">
      <w:pPr>
        <w:wordWrap w:val="0"/>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建设单位在确定环境影响报告书编制单位后7个工作日内，于2025年4月30日在臻宝公司网站（</w:t>
      </w:r>
      <w:r>
        <w:rPr>
          <w:color w:val="000000" w:themeColor="text1"/>
          <w14:textFill>
            <w14:solidFill>
              <w14:schemeClr w14:val="tx1"/>
            </w14:solidFill>
          </w14:textFill>
        </w:rPr>
        <w:t>http://www.genori.com.cn/xinwenzhongxin/xinxigongshi/446.html</w:t>
      </w:r>
      <w:r>
        <w:rPr>
          <w:rFonts w:hint="eastAsia"/>
          <w:color w:val="000000" w:themeColor="text1"/>
          <w14:textFill>
            <w14:solidFill>
              <w14:schemeClr w14:val="tx1"/>
            </w14:solidFill>
          </w14:textFill>
        </w:rPr>
        <w:t>）上进行了第一次公众参与信息公示，公示内容包括建设项目概况、建设单位及联系方式、环境影响报告书编制单位及联系方式、公众意见表的网络链接、提交公众意见表的方式和途径。</w:t>
      </w:r>
    </w:p>
    <w:p w14:paraId="0695E469">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于2025年5月16日~5月29日进行了环评征求意见稿公示。项目征求意见稿公示内容为：环境影响报告书征求意见稿全文网络链接及查阅纸质报告书的方式和途径，征求意见的公众范围，公众意见表的网络链接，公众提出意见的方式和途径，公众提出意见的起止时间，公示方式为网络平台（臻宝公司网站）、报纸（重庆晚报）。征求意见稿公示期间，建设单位及环评单位均未收到公众反馈意见。</w:t>
      </w:r>
    </w:p>
    <w:p w14:paraId="3F683EE6">
      <w:pPr>
        <w:ind w:firstLine="520"/>
      </w:pPr>
      <w:r>
        <w:rPr>
          <w:rFonts w:hint="eastAsia"/>
        </w:rPr>
        <w:t>建设单位于2025年8月4日，在报批《集成电路高纯材料及精密零部件生产项目环境影响报告书》（</w:t>
      </w:r>
      <w:r>
        <w:rPr>
          <w:rFonts w:hint="eastAsia"/>
          <w:szCs w:val="26"/>
        </w:rPr>
        <w:t>报批前公示版</w:t>
      </w:r>
      <w:r>
        <w:rPr>
          <w:rFonts w:hint="eastAsia"/>
        </w:rPr>
        <w:t>）前进行了报批前公示，公开主要内容包括拟报批的环境影响报告书全文和公众参与说明。报批前公示期间，建设单位及环评单位均未收到公众反馈意见。</w:t>
      </w:r>
    </w:p>
    <w:p w14:paraId="1D41E495">
      <w:pPr>
        <w:pStyle w:val="4"/>
        <w:rPr>
          <w:color w:val="000000" w:themeColor="text1"/>
          <w14:textFill>
            <w14:solidFill>
              <w14:schemeClr w14:val="tx1"/>
            </w14:solidFill>
          </w14:textFill>
        </w:rPr>
      </w:pPr>
      <w:bookmarkStart w:id="456" w:name="_Toc97908357"/>
      <w:bookmarkStart w:id="457" w:name="_Toc9573"/>
      <w:bookmarkStart w:id="458" w:name="_Toc160087604"/>
      <w:r>
        <w:rPr>
          <w:rFonts w:hint="eastAsia"/>
          <w:color w:val="000000" w:themeColor="text1"/>
          <w14:textFill>
            <w14:solidFill>
              <w14:schemeClr w14:val="tx1"/>
            </w14:solidFill>
          </w14:textFill>
        </w:rPr>
        <w:t>环境管理与监测</w:t>
      </w:r>
      <w:bookmarkEnd w:id="456"/>
      <w:bookmarkEnd w:id="457"/>
      <w:bookmarkEnd w:id="458"/>
    </w:p>
    <w:p w14:paraId="03EAF89B">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做好运营期环境管理工作，对废水、废气、噪声、地下水、土壤等进行定期监测，以便掌握设施运行及处理效果，确保污染治理设施正常运行。验收监测及例行监测均委托有资项目质的环境监测单位承担。</w:t>
      </w:r>
    </w:p>
    <w:p w14:paraId="685008EE">
      <w:pPr>
        <w:pStyle w:val="4"/>
        <w:rPr>
          <w:color w:val="000000" w:themeColor="text1"/>
          <w14:textFill>
            <w14:solidFill>
              <w14:schemeClr w14:val="tx1"/>
            </w14:solidFill>
          </w14:textFill>
        </w:rPr>
      </w:pPr>
      <w:bookmarkStart w:id="459" w:name="_Toc21990"/>
      <w:bookmarkStart w:id="460" w:name="_Toc160087605"/>
      <w:bookmarkStart w:id="461" w:name="_Toc97908358"/>
      <w:r>
        <w:rPr>
          <w:rFonts w:hint="eastAsia"/>
          <w:color w:val="000000" w:themeColor="text1"/>
          <w14:textFill>
            <w14:solidFill>
              <w14:schemeClr w14:val="tx1"/>
            </w14:solidFill>
          </w14:textFill>
        </w:rPr>
        <w:t>环境影响经济损益分析</w:t>
      </w:r>
      <w:bookmarkEnd w:id="459"/>
      <w:bookmarkEnd w:id="460"/>
      <w:bookmarkEnd w:id="461"/>
    </w:p>
    <w:p w14:paraId="61737C42">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项目的环保设施综合经济指标较好，具有较好的经济效益和社会效益。从保护环境的角度出发，项目经济效益、社会效益和环境效益能够得到较好的统一。</w:t>
      </w:r>
    </w:p>
    <w:p w14:paraId="2672DC1A">
      <w:pPr>
        <w:pStyle w:val="4"/>
        <w:rPr>
          <w:color w:val="000000" w:themeColor="text1"/>
          <w14:textFill>
            <w14:solidFill>
              <w14:schemeClr w14:val="tx1"/>
            </w14:solidFill>
          </w14:textFill>
        </w:rPr>
      </w:pPr>
      <w:bookmarkStart w:id="462" w:name="_Toc25384"/>
      <w:bookmarkStart w:id="463" w:name="_Toc2168"/>
      <w:bookmarkStart w:id="464" w:name="_Toc11942650"/>
      <w:bookmarkStart w:id="465" w:name="_Toc366684899"/>
      <w:bookmarkStart w:id="466" w:name="_Toc534876570"/>
      <w:bookmarkStart w:id="467" w:name="_Toc11942648"/>
      <w:bookmarkStart w:id="468" w:name="_Hlk15564260"/>
      <w:bookmarkStart w:id="469" w:name="_Toc432071487"/>
      <w:r>
        <w:rPr>
          <w:color w:val="000000" w:themeColor="text1"/>
          <w14:textFill>
            <w14:solidFill>
              <w14:schemeClr w14:val="tx1"/>
            </w14:solidFill>
          </w14:textFill>
        </w:rPr>
        <w:t>综合评价结论</w:t>
      </w:r>
      <w:bookmarkEnd w:id="462"/>
      <w:bookmarkEnd w:id="463"/>
      <w:bookmarkEnd w:id="464"/>
      <w:bookmarkEnd w:id="465"/>
      <w:bookmarkEnd w:id="466"/>
      <w:bookmarkEnd w:id="467"/>
      <w:bookmarkEnd w:id="468"/>
      <w:bookmarkEnd w:id="469"/>
    </w:p>
    <w:p w14:paraId="1F72890B">
      <w:pPr>
        <w:ind w:firstLine="520"/>
        <w:rPr>
          <w:color w:val="000000" w:themeColor="text1"/>
          <w14:textFill>
            <w14:solidFill>
              <w14:schemeClr w14:val="tx1"/>
            </w14:solidFill>
          </w14:textFill>
        </w:rPr>
        <w:sectPr>
          <w:pgSz w:w="11907" w:h="16840"/>
          <w:pgMar w:top="1134" w:right="1134" w:bottom="1134" w:left="1134" w:header="283" w:footer="851" w:gutter="397"/>
          <w:cols w:space="720" w:num="1"/>
          <w:docGrid w:type="linesAndChars" w:linePitch="326" w:charSpace="0"/>
        </w:sectPr>
      </w:pPr>
      <w:r>
        <w:rPr>
          <w:color w:val="000000" w:themeColor="text1"/>
          <w14:textFill>
            <w14:solidFill>
              <w14:schemeClr w14:val="tx1"/>
            </w14:solidFill>
          </w14:textFill>
        </w:rPr>
        <w:t>重庆臻宝半导体材料有限公司集成电路高纯材料及精密零部件生产项目符合国家和重庆市的产业政策，符合园区规划、规划环评及“三线一单”要求。项目落实评价提出的污染防治措施和风险防范措施后，污染物可实现达标排放，环境风险可控，对周围环境影响小，环境可以接受。从环境保护角度，项目建设可行。</w:t>
      </w:r>
    </w:p>
    <w:p w14:paraId="08003C4C">
      <w:pPr>
        <w:spacing w:line="240" w:lineRule="auto"/>
        <w:ind w:firstLine="0" w:firstLineChars="0"/>
        <w:rPr>
          <w:color w:val="000000" w:themeColor="text1"/>
          <w14:textFill>
            <w14:solidFill>
              <w14:schemeClr w14:val="tx1"/>
            </w14:solidFill>
          </w14:textFill>
        </w:rPr>
      </w:pPr>
      <w:r>
        <w:rPr>
          <w:snapToGrid/>
        </w:rPr>
        <w:drawing>
          <wp:inline distT="0" distB="0" distL="0" distR="0">
            <wp:extent cx="5868670" cy="8298180"/>
            <wp:effectExtent l="0" t="0" r="0" b="7620"/>
            <wp:docPr id="814370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0705" name="图片 1"/>
                    <pic:cNvPicPr>
                      <a:picLocks noChangeAspect="1"/>
                    </pic:cNvPicPr>
                  </pic:nvPicPr>
                  <pic:blipFill>
                    <a:blip r:embed="rId80"/>
                    <a:stretch>
                      <a:fillRect/>
                    </a:stretch>
                  </pic:blipFill>
                  <pic:spPr>
                    <a:xfrm>
                      <a:off x="0" y="0"/>
                      <a:ext cx="5868670" cy="8298180"/>
                    </a:xfrm>
                    <a:prstGeom prst="rect">
                      <a:avLst/>
                    </a:prstGeom>
                  </pic:spPr>
                </pic:pic>
              </a:graphicData>
            </a:graphic>
          </wp:inline>
        </w:drawing>
      </w:r>
    </w:p>
    <w:sectPr>
      <w:pgSz w:w="11907" w:h="16840"/>
      <w:pgMar w:top="1134" w:right="1134" w:bottom="1134" w:left="1134" w:header="283" w:footer="851" w:gutter="397"/>
      <w:cols w:space="720"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20"/>
      </w:pPr>
      <w:r>
        <w:separator/>
      </w:r>
    </w:p>
  </w:endnote>
  <w:endnote w:type="continuationSeparator" w:id="1">
    <w:p>
      <w:pPr>
        <w:spacing w:line="240" w:lineRule="auto"/>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panose1 w:val="02010601030101010101"/>
    <w:charset w:val="86"/>
    <w:family w:val="script"/>
    <w:pitch w:val="default"/>
    <w:sig w:usb0="00000001" w:usb1="080E0000" w:usb2="00000000" w:usb3="00000000" w:csb0="00040000" w:csb1="00000000"/>
  </w:font>
  <w:font w:name="??">
    <w:altName w:val="Arial"/>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Times">
    <w:altName w:val="Times New Roman"/>
    <w:panose1 w:val="02020603050405020304"/>
    <w:charset w:val="00"/>
    <w:family w:val="roman"/>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汉仪仿宋简">
    <w:altName w:val="宋体"/>
    <w:panose1 w:val="00000000000000000000"/>
    <w:charset w:val="86"/>
    <w:family w:val="modern"/>
    <w:pitch w:val="default"/>
    <w:sig w:usb0="00000000" w:usb1="00000000" w:usb2="00000012"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Century Gothic">
    <w:altName w:val="Yu Gothic UI"/>
    <w:panose1 w:val="020B0502020202020204"/>
    <w:charset w:val="00"/>
    <w:family w:val="swiss"/>
    <w:pitch w:val="default"/>
    <w:sig w:usb0="00000000" w:usb1="00000000" w:usb2="00000000" w:usb3="00000000" w:csb0="0000009F" w:csb1="00000000"/>
  </w:font>
  <w:font w:name="华文细黑">
    <w:altName w:val="微软雅黑"/>
    <w:panose1 w:val="02010600040101010101"/>
    <w:charset w:val="86"/>
    <w:family w:val="auto"/>
    <w:pitch w:val="default"/>
    <w:sig w:usb0="00000000" w:usb1="00000000" w:usb2="00000010" w:usb3="00000000" w:csb0="0004009F" w:csb1="00000000"/>
  </w:font>
  <w:font w:name="JKIKGP+CenturyGothic">
    <w:altName w:val="宋体"/>
    <w:panose1 w:val="00000000000000000000"/>
    <w:charset w:val="86"/>
    <w:family w:val="swiss"/>
    <w:pitch w:val="default"/>
    <w:sig w:usb0="00000000" w:usb1="00000000" w:usb2="00000010" w:usb3="00000000" w:csb0="00040000" w:csb1="00000000"/>
  </w:font>
  <w:font w:name="Stylus BT">
    <w:altName w:val="Segoe Print"/>
    <w:panose1 w:val="020E0402020206020304"/>
    <w:charset w:val="00"/>
    <w:family w:val="swiss"/>
    <w:pitch w:val="default"/>
    <w:sig w:usb0="00000000" w:usb1="00000000" w:usb2="00000000" w:usb3="00000000" w:csb0="0000001B" w:csb1="00000000"/>
  </w:font>
  <w:font w:name="华文中宋">
    <w:altName w:val="宋体"/>
    <w:panose1 w:val="02010600040101010101"/>
    <w:charset w:val="86"/>
    <w:family w:val="auto"/>
    <w:pitch w:val="default"/>
    <w:sig w:usb0="00000000" w:usb1="00000000" w:usb2="00000010" w:usb3="00000000" w:csb0="0004009F" w:csb1="00000000"/>
  </w:font>
  <w:font w:name="CG Times (WN)">
    <w:altName w:val="Times New Roman"/>
    <w:panose1 w:val="00000000000000000000"/>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Arial Black">
    <w:panose1 w:val="020B0A04020102020204"/>
    <w:charset w:val="00"/>
    <w:family w:val="swiss"/>
    <w:pitch w:val="default"/>
    <w:sig w:usb0="A00002AF" w:usb1="400078FB" w:usb2="00000000" w:usb3="00000000" w:csb0="6000009F" w:csb1="DFD70000"/>
  </w:font>
  <w:font w:name="汉鼎简书宋">
    <w:altName w:val="宋体"/>
    <w:panose1 w:val="00000000000000000000"/>
    <w:charset w:val="86"/>
    <w:family w:val="roman"/>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方正仿宋简体">
    <w:panose1 w:val="02010601030101010101"/>
    <w:charset w:val="86"/>
    <w:family w:val="auto"/>
    <w:pitch w:val="default"/>
    <w:sig w:usb0="00000001" w:usb1="080E0000" w:usb2="00000000" w:usb3="00000000" w:csb0="00040000" w:csb1="00000000"/>
  </w:font>
  <w:font w:name="Bookman Old Style">
    <w:altName w:val="Segoe Print"/>
    <w:panose1 w:val="02050604050505020204"/>
    <w:charset w:val="00"/>
    <w:family w:val="roman"/>
    <w:pitch w:val="default"/>
    <w:sig w:usb0="00000000" w:usb1="00000000" w:usb2="00000000" w:usb3="00000000" w:csb0="0000009F" w:csb1="00000000"/>
  </w:font>
  <w:font w:name="方正书宋简体">
    <w:panose1 w:val="02010601030101010101"/>
    <w:charset w:val="86"/>
    <w:family w:val="script"/>
    <w:pitch w:val="default"/>
    <w:sig w:usb0="00000001" w:usb1="080E0000" w:usb2="0000000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Swis721 BT">
    <w:altName w:val="Yu Gothic UI"/>
    <w:panose1 w:val="020B0504020202020204"/>
    <w:charset w:val="00"/>
    <w:family w:val="swiss"/>
    <w:pitch w:val="default"/>
    <w:sig w:usb0="00000000" w:usb1="00000000" w:usb2="00000000" w:usb3="00000000" w:csb0="0000001B" w:csb1="00000000"/>
  </w:font>
  <w:font w:name="Swis721 Lt BT">
    <w:altName w:val="Yu Gothic UI Semilight"/>
    <w:panose1 w:val="020B0403020202020204"/>
    <w:charset w:val="00"/>
    <w:family w:val="swiss"/>
    <w:pitch w:val="default"/>
    <w:sig w:usb0="00000000" w:usb1="00000000" w:usb2="00000000" w:usb3="00000000" w:csb0="0000001B" w:csb1="00000000"/>
  </w:font>
  <w:font w:name="方正细黑一简体">
    <w:panose1 w:val="02010601030101010101"/>
    <w:charset w:val="86"/>
    <w:family w:val="auto"/>
    <w:pitch w:val="default"/>
    <w:sig w:usb0="00000001" w:usb1="080E0000" w:usb2="0000000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C9058">
    <w:pPr>
      <w:spacing w:line="240" w:lineRule="auto"/>
      <w:ind w:firstLine="0" w:firstLineChars="0"/>
      <w:rPr>
        <w:sz w:val="22"/>
        <w:szCs w:val="22"/>
      </w:rPr>
    </w:pPr>
    <w:r>
      <mc:AlternateContent>
        <mc:Choice Requires="wps">
          <w:drawing>
            <wp:anchor distT="0" distB="0" distL="114300" distR="114300" simplePos="0" relativeHeight="251660288" behindDoc="0" locked="0" layoutInCell="1" allowOverlap="1">
              <wp:simplePos x="0" y="0"/>
              <wp:positionH relativeFrom="margin">
                <wp:posOffset>2338705</wp:posOffset>
              </wp:positionH>
              <wp:positionV relativeFrom="paragraph">
                <wp:posOffset>-78740</wp:posOffset>
              </wp:positionV>
              <wp:extent cx="390525" cy="131445"/>
              <wp:effectExtent l="0" t="0" r="9525" b="6350"/>
              <wp:wrapNone/>
              <wp:docPr id="2" name="文本框 43"/>
              <wp:cNvGraphicFramePr/>
              <a:graphic xmlns:a="http://schemas.openxmlformats.org/drawingml/2006/main">
                <a:graphicData uri="http://schemas.microsoft.com/office/word/2010/wordprocessingShape">
                  <wps:wsp>
                    <wps:cNvSpPr txBox="1"/>
                    <wps:spPr>
                      <a:xfrm>
                        <a:off x="0" y="0"/>
                        <a:ext cx="390525" cy="131445"/>
                      </a:xfrm>
                      <a:prstGeom prst="rect">
                        <a:avLst/>
                      </a:prstGeom>
                      <a:noFill/>
                      <a:ln w="6350">
                        <a:noFill/>
                      </a:ln>
                      <a:effectLst/>
                    </wps:spPr>
                    <wps:txbx>
                      <w:txbxContent>
                        <w:p w14:paraId="4D90BFE8">
                          <w:pPr>
                            <w:ind w:firstLine="0" w:firstLineChars="0"/>
                            <w:jc w:val="cen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85</w:t>
                          </w:r>
                          <w:r>
                            <w:rPr>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43" o:spid="_x0000_s1026" o:spt="202" type="#_x0000_t202" style="position:absolute;left:0pt;margin-left:184.15pt;margin-top:-6.2pt;height:10.35pt;width:30.75pt;mso-position-horizontal-relative:margin;z-index:251660288;mso-width-relative:page;mso-height-relative:page;" filled="f" stroked="f" coordsize="21600,21600" o:gfxdata="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I6dpNgAAAAJAQAADwAAAAAAAAABACAAAAAiAAAAZHJzL2Rv&#10;d25yZXYueG1sUEsBAhQAFAAAAAgAh07iQFOEFR86AgAAZAQAAA4AAAAAAAAAAQAgAAAAJwEAAGRy&#10;cy9lMm9Eb2MueG1sUEsFBgAAAAAGAAYAWQEAANMFAAAAAA==&#10;">
              <v:fill on="f" focussize="0,0"/>
              <v:stroke on="f" weight="0.5pt"/>
              <v:imagedata o:title=""/>
              <o:lock v:ext="edit" aspectratio="f"/>
              <v:textbox inset="0mm,0mm,0mm,0mm" style="mso-fit-shape-to-text:t;">
                <w:txbxContent>
                  <w:p w14:paraId="4D90BFE8">
                    <w:pPr>
                      <w:ind w:firstLine="0" w:firstLineChars="0"/>
                      <w:jc w:val="cen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85</w:t>
                    </w:r>
                    <w:r>
                      <w:rPr>
                        <w:sz w:val="22"/>
                        <w:szCs w:val="2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6D062">
    <w:pPr>
      <w:spacing w:before="24"/>
      <w:ind w:firstLine="5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6200" cy="131445"/>
              <wp:effectExtent l="0" t="0" r="12700" b="14605"/>
              <wp:wrapNone/>
              <wp:docPr id="7" name="文本框 44"/>
              <wp:cNvGraphicFramePr/>
              <a:graphic xmlns:a="http://schemas.openxmlformats.org/drawingml/2006/main">
                <a:graphicData uri="http://schemas.microsoft.com/office/word/2010/wordprocessingShape">
                  <wps:wsp>
                    <wps:cNvSpPr txBox="1"/>
                    <wps:spPr>
                      <a:xfrm>
                        <a:off x="0" y="0"/>
                        <a:ext cx="76200" cy="131445"/>
                      </a:xfrm>
                      <a:prstGeom prst="rect">
                        <a:avLst/>
                      </a:prstGeom>
                      <a:noFill/>
                      <a:ln w="6350">
                        <a:noFill/>
                      </a:ln>
                      <a:effectLst/>
                    </wps:spPr>
                    <wps:txbx>
                      <w:txbxContent>
                        <w:p w14:paraId="35A47697">
                          <w:pPr>
                            <w:spacing w:before="24"/>
                            <w:ind w:firstLine="520"/>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4" o:spid="_x0000_s1026" o:spt="202" type="#_x0000_t202" style="position:absolute;left:0pt;margin-top:0pt;height:10.35pt;width:6pt;mso-position-horizontal:center;mso-position-horizontal-relative:margin;mso-wrap-style:none;z-index:251661312;mso-width-relative:page;mso-height-relative:page;" filled="f" stroked="f" coordsize="21600,21600" o:gfxdata="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bVKRXQAAAAAwEAAA8AAAAAAAAAAQAgAAAAIgAAAGRycy9kb3ducmV2LnhtbFBL&#10;AQIUABQAAAAIAIdO4kDsgOLyNwIAAGEEAAAOAAAAAAAAAAEAIAAAAB8BAABkcnMvZTJvRG9jLnht&#10;bFBLBQYAAAAABgAGAFkBAADIBQAAAAA=&#10;">
              <v:fill on="f" focussize="0,0"/>
              <v:stroke on="f" weight="0.5pt"/>
              <v:imagedata o:title=""/>
              <o:lock v:ext="edit" aspectratio="f"/>
              <v:textbox inset="0mm,0mm,0mm,0mm" style="mso-fit-shape-to-text:t;">
                <w:txbxContent>
                  <w:p w14:paraId="35A47697">
                    <w:pPr>
                      <w:spacing w:before="24"/>
                      <w:ind w:firstLine="520"/>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5E674">
    <w:pPr>
      <w:pStyle w:val="5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F13B">
    <w:pPr>
      <w:pStyle w:val="5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B0B5A">
    <w:pPr>
      <w:pStyle w:val="5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605DE">
    <w:pPr>
      <w:spacing w:before="24"/>
      <w:ind w:firstLine="520"/>
      <w:jc w:val="center"/>
      <w:rPr>
        <w:sz w:val="21"/>
        <w:szCs w:val="21"/>
      </w:rPr>
    </w:pPr>
    <w:r>
      <mc:AlternateContent>
        <mc:Choice Requires="wps">
          <w:drawing>
            <wp:anchor distT="0" distB="0" distL="114300" distR="114300" simplePos="0" relativeHeight="251662336" behindDoc="0" locked="0" layoutInCell="1" allowOverlap="1">
              <wp:simplePos x="0" y="0"/>
              <wp:positionH relativeFrom="margin">
                <wp:posOffset>2520950</wp:posOffset>
              </wp:positionH>
              <wp:positionV relativeFrom="paragraph">
                <wp:posOffset>13970</wp:posOffset>
              </wp:positionV>
              <wp:extent cx="362585" cy="1828800"/>
              <wp:effectExtent l="0" t="0" r="0" b="6350"/>
              <wp:wrapNone/>
              <wp:docPr id="8" name="文本框 42"/>
              <wp:cNvGraphicFramePr/>
              <a:graphic xmlns:a="http://schemas.openxmlformats.org/drawingml/2006/main">
                <a:graphicData uri="http://schemas.microsoft.com/office/word/2010/wordprocessingShape">
                  <wps:wsp>
                    <wps:cNvSpPr txBox="1"/>
                    <wps:spPr>
                      <a:xfrm>
                        <a:off x="0" y="0"/>
                        <a:ext cx="362309" cy="1828800"/>
                      </a:xfrm>
                      <a:prstGeom prst="rect">
                        <a:avLst/>
                      </a:prstGeom>
                      <a:noFill/>
                      <a:ln w="6350">
                        <a:noFill/>
                      </a:ln>
                      <a:effectLst/>
                    </wps:spPr>
                    <wps:txbx>
                      <w:txbxContent>
                        <w:p w14:paraId="511EE389">
                          <w:pPr>
                            <w:ind w:firstLine="0" w:firstLineChars="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rPr>
                            <w:t>173</w:t>
                          </w:r>
                          <w:r>
                            <w:rPr>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42" o:spid="_x0000_s1026" o:spt="202" type="#_x0000_t202" style="position:absolute;left:0pt;margin-left:198.5pt;margin-top:1.1pt;height:144pt;width:28.55pt;mso-position-horizontal-relative:margin;z-index:251662336;mso-width-relative:page;mso-height-relative:page;" filled="f" stroked="f" coordsize="21600,21600" o:gfxdata="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zk9wvYAAAACQEAAA8AAAAAAAAAAQAgAAAAIgAAAGRycy9k&#10;b3ducmV2LnhtbFBLAQIUABQAAAAIAIdO4kBo4n/uOwIAAGUEAAAOAAAAAAAAAAEAIAAAACcBAABk&#10;cnMvZTJvRG9jLnhtbFBLBQYAAAAABgAGAFkBAADUBQAAAAA=&#10;">
              <v:fill on="f" focussize="0,0"/>
              <v:stroke on="f" weight="0.5pt"/>
              <v:imagedata o:title=""/>
              <o:lock v:ext="edit" aspectratio="f"/>
              <v:textbox inset="0mm,0mm,0mm,0mm" style="mso-fit-shape-to-text:t;">
                <w:txbxContent>
                  <w:p w14:paraId="511EE389">
                    <w:pPr>
                      <w:ind w:firstLine="0" w:firstLineChars="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rPr>
                      <w:t>173</w:t>
                    </w:r>
                    <w:r>
                      <w:rPr>
                        <w:sz w:val="22"/>
                        <w:szCs w:val="22"/>
                      </w:rPr>
                      <w:fldChar w:fldCharType="end"/>
                    </w:r>
                  </w:p>
                </w:txbxContent>
              </v:textbox>
            </v:shape>
          </w:pict>
        </mc:Fallback>
      </mc:AlternateContent>
    </w:r>
    <w:r>
      <w:rPr>
        <w:rFonts w:hint="eastAsia"/>
        <w:sz w:val="22"/>
        <w:szCs w:val="22"/>
      </w:rPr>
      <w:t xml:space="preserve">                                          </w:t>
    </w:r>
    <w:r>
      <w:drawing>
        <wp:anchor distT="0" distB="0" distL="114300" distR="114300" simplePos="0" relativeHeight="251659264" behindDoc="0" locked="0" layoutInCell="1" allowOverlap="1">
          <wp:simplePos x="0" y="0"/>
          <wp:positionH relativeFrom="column">
            <wp:posOffset>1938020</wp:posOffset>
          </wp:positionH>
          <wp:positionV relativeFrom="paragraph">
            <wp:posOffset>8042275</wp:posOffset>
          </wp:positionV>
          <wp:extent cx="699135" cy="490220"/>
          <wp:effectExtent l="0" t="0" r="5715" b="5080"/>
          <wp:wrapNone/>
          <wp:docPr id="127399739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97396" name="图片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99135" cy="490220"/>
                  </a:xfrm>
                  <a:prstGeom prst="rect">
                    <a:avLst/>
                  </a:prstGeom>
                  <a:noFill/>
                  <a:ln>
                    <a:no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DB806">
    <w:pPr>
      <w:spacing w:before="24"/>
      <w:ind w:right="360" w:firstLine="52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1270" b="10160"/>
              <wp:wrapNone/>
              <wp:docPr id="9"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C0BBFD">
                          <w:pPr>
                            <w:spacing w:before="24"/>
                            <w:ind w:firstLine="0" w:firstLineChars="0"/>
                            <w:rPr>
                              <w:rFonts w:hint="eastAsia" w:ascii="宋体" w:hAnsi="宋体"/>
                              <w:sz w:val="22"/>
                              <w:szCs w:val="22"/>
                            </w:rPr>
                          </w:pPr>
                          <w:r>
                            <w:rPr>
                              <w:rFonts w:ascii="宋体" w:hAnsi="宋体"/>
                              <w:sz w:val="22"/>
                              <w:szCs w:val="22"/>
                            </w:rPr>
                            <w:fldChar w:fldCharType="begin"/>
                          </w:r>
                          <w:r>
                            <w:rPr>
                              <w:rFonts w:ascii="宋体" w:hAnsi="宋体"/>
                              <w:sz w:val="22"/>
                              <w:szCs w:val="22"/>
                            </w:rPr>
                            <w:instrText xml:space="preserve">PAGE  </w:instrText>
                          </w:r>
                          <w:r>
                            <w:rPr>
                              <w:rFonts w:ascii="宋体" w:hAnsi="宋体"/>
                              <w:sz w:val="22"/>
                              <w:szCs w:val="22"/>
                            </w:rPr>
                            <w:fldChar w:fldCharType="separate"/>
                          </w:r>
                          <w:r>
                            <w:rPr>
                              <w:rFonts w:ascii="宋体" w:hAnsi="宋体"/>
                              <w:sz w:val="22"/>
                              <w:szCs w:val="22"/>
                            </w:rPr>
                            <w:t>184</w:t>
                          </w:r>
                          <w:r>
                            <w:rPr>
                              <w:rFonts w:ascii="宋体" w:hAnsi="宋体"/>
                              <w:sz w:val="22"/>
                              <w:szCs w:val="22"/>
                            </w:rPr>
                            <w:fldChar w:fldCharType="end"/>
                          </w:r>
                          <w:r>
                            <w:rPr>
                              <w:rFonts w:hint="eastAsia" w:ascii="宋体" w:hAnsi="宋体"/>
                              <w:sz w:val="22"/>
                              <w:szCs w:val="2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kdrKDICAABkBAAADgAAAAAAAAABACAAAAAfAQAAZHJzL2Uyb0RvYy54bWxQSwUG&#10;AAAAAAYABgBZAQAAwwUAAAAA&#10;">
              <v:fill on="f" focussize="0,0"/>
              <v:stroke on="f" weight="0.5pt"/>
              <v:imagedata o:title=""/>
              <o:lock v:ext="edit" aspectratio="f"/>
              <v:textbox inset="0mm,0mm,0mm,0mm" style="mso-fit-shape-to-text:t;">
                <w:txbxContent>
                  <w:p w14:paraId="47C0BBFD">
                    <w:pPr>
                      <w:spacing w:before="24"/>
                      <w:ind w:firstLine="0" w:firstLineChars="0"/>
                      <w:rPr>
                        <w:rFonts w:hint="eastAsia" w:ascii="宋体" w:hAnsi="宋体"/>
                        <w:sz w:val="22"/>
                        <w:szCs w:val="22"/>
                      </w:rPr>
                    </w:pPr>
                    <w:r>
                      <w:rPr>
                        <w:rFonts w:ascii="宋体" w:hAnsi="宋体"/>
                        <w:sz w:val="22"/>
                        <w:szCs w:val="22"/>
                      </w:rPr>
                      <w:fldChar w:fldCharType="begin"/>
                    </w:r>
                    <w:r>
                      <w:rPr>
                        <w:rFonts w:ascii="宋体" w:hAnsi="宋体"/>
                        <w:sz w:val="22"/>
                        <w:szCs w:val="22"/>
                      </w:rPr>
                      <w:instrText xml:space="preserve">PAGE  </w:instrText>
                    </w:r>
                    <w:r>
                      <w:rPr>
                        <w:rFonts w:ascii="宋体" w:hAnsi="宋体"/>
                        <w:sz w:val="22"/>
                        <w:szCs w:val="22"/>
                      </w:rPr>
                      <w:fldChar w:fldCharType="separate"/>
                    </w:r>
                    <w:r>
                      <w:rPr>
                        <w:rFonts w:ascii="宋体" w:hAnsi="宋体"/>
                        <w:sz w:val="22"/>
                        <w:szCs w:val="22"/>
                      </w:rPr>
                      <w:t>184</w:t>
                    </w:r>
                    <w:r>
                      <w:rPr>
                        <w:rFonts w:ascii="宋体" w:hAnsi="宋体"/>
                        <w:sz w:val="22"/>
                        <w:szCs w:val="22"/>
                      </w:rPr>
                      <w:fldChar w:fldCharType="end"/>
                    </w:r>
                    <w:r>
                      <w:rPr>
                        <w:rFonts w:hint="eastAsia" w:ascii="宋体" w:hAnsi="宋体"/>
                        <w:sz w:val="22"/>
                        <w:szCs w:val="22"/>
                      </w:rPr>
                      <w:t xml:space="preserve"> </w:t>
                    </w:r>
                  </w:p>
                </w:txbxContent>
              </v:textbox>
            </v:shape>
          </w:pict>
        </mc:Fallback>
      </mc:AlternateContent>
    </w:r>
    <w:r>
      <w:rPr>
        <w:rFonts w:hint="eastAsia"/>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20"/>
      </w:pPr>
      <w:r>
        <w:separator/>
      </w:r>
    </w:p>
  </w:footnote>
  <w:footnote w:type="continuationSeparator" w:id="1">
    <w:p>
      <w:pPr>
        <w:spacing w:line="240" w:lineRule="auto"/>
        <w:ind w:firstLine="5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B1983">
    <w:pPr>
      <w:pStyle w:val="57"/>
      <w:rPr>
        <w:sz w:val="22"/>
        <w:szCs w:val="22"/>
      </w:rPr>
    </w:pPr>
    <w:r>
      <w:rPr>
        <w:rFonts w:hint="eastAsia"/>
        <w:sz w:val="22"/>
        <w:szCs w:val="22"/>
      </w:rPr>
      <w:t>集成电路高纯材料及精密零部件生产项目环境影响报告书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043AA">
    <w:pPr>
      <w:pStyle w:val="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08D68">
    <w:pPr>
      <w:pStyle w:val="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3A9A7">
    <w:pPr>
      <w:pStyle w:val="5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CF730">
    <w:pPr>
      <w:pStyle w:val="5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128" w:type="dxa"/>
      <w:jc w:val="center"/>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8"/>
    </w:tblGrid>
    <w:tr w14:paraId="75AC6E27">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128" w:type="dxa"/>
        </w:tcPr>
        <w:p w14:paraId="0CAD769F">
          <w:pPr>
            <w:spacing w:beforeLines="0" w:line="240" w:lineRule="auto"/>
            <w:ind w:firstLine="0" w:firstLineChars="0"/>
            <w:jc w:val="center"/>
            <w:rPr>
              <w:sz w:val="22"/>
              <w:szCs w:val="22"/>
            </w:rPr>
          </w:pPr>
          <w:r>
            <w:rPr>
              <w:rFonts w:hint="eastAsia"/>
              <w:sz w:val="22"/>
              <w:szCs w:val="22"/>
            </w:rPr>
            <w:t>集成电路高纯材料及精密零部件生产项目环境影响报告书</w:t>
          </w:r>
        </w:p>
      </w:tc>
    </w:tr>
  </w:tbl>
  <w:p w14:paraId="730AB770">
    <w:pPr>
      <w:ind w:firstLine="0" w:firstLineChars="0"/>
      <w:jc w:val="left"/>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32"/>
    </w:tblGrid>
    <w:tr w14:paraId="1F745F0C">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32" w:type="dxa"/>
        </w:tcPr>
        <w:p w14:paraId="4DE32E4F">
          <w:pPr>
            <w:spacing w:before="24" w:beforeLines="10"/>
            <w:ind w:firstLine="0" w:firstLineChars="0"/>
            <w:jc w:val="center"/>
            <w:rPr>
              <w:sz w:val="22"/>
              <w:szCs w:val="22"/>
            </w:rPr>
          </w:pPr>
          <w:r>
            <w:rPr>
              <w:rFonts w:hint="eastAsia"/>
              <w:sz w:val="22"/>
              <w:szCs w:val="22"/>
            </w:rPr>
            <w:t>集成电路高纯材料及精密零部件生产项目环境影响报告书</w:t>
          </w:r>
        </w:p>
      </w:tc>
    </w:tr>
  </w:tbl>
  <w:p w14:paraId="4E6F1ABD">
    <w:pPr>
      <w:spacing w:before="24"/>
      <w:ind w:firstLine="0" w:firstLineChars="0"/>
      <w:jc w:val="cent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03993DB7"/>
    <w:multiLevelType w:val="multilevel"/>
    <w:tmpl w:val="03993DB7"/>
    <w:lvl w:ilvl="0" w:tentative="0">
      <w:start w:val="1"/>
      <w:numFmt w:val="upperLetter"/>
      <w:lvlText w:val="%1."/>
      <w:lvlJc w:val="left"/>
      <w:pPr>
        <w:tabs>
          <w:tab w:val="left" w:pos="360"/>
        </w:tabs>
        <w:ind w:left="0" w:firstLine="0"/>
      </w:pPr>
      <w:rPr>
        <w:rFonts w:hint="eastAsia"/>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3F9184C"/>
    <w:multiLevelType w:val="multilevel"/>
    <w:tmpl w:val="03F9184C"/>
    <w:lvl w:ilvl="0" w:tentative="0">
      <w:start w:val="1"/>
      <w:numFmt w:val="chineseCountingThousand"/>
      <w:pStyle w:val="3000"/>
      <w:lvlText w:val="第%1条"/>
      <w:lvlJc w:val="left"/>
      <w:pPr>
        <w:tabs>
          <w:tab w:val="left" w:pos="1134"/>
        </w:tabs>
        <w:ind w:left="0" w:firstLine="567"/>
      </w:pPr>
      <w:rPr>
        <w:rFonts w:hint="eastAsia" w:eastAsia="黑体"/>
      </w:rPr>
    </w:lvl>
    <w:lvl w:ilvl="1" w:tentative="0">
      <w:start w:val="1"/>
      <w:numFmt w:val="lowerLetter"/>
      <w:lvlText w:val="%2)"/>
      <w:lvlJc w:val="left"/>
      <w:pPr>
        <w:tabs>
          <w:tab w:val="left" w:pos="1505"/>
        </w:tabs>
        <w:ind w:left="1505" w:hanging="420"/>
      </w:pPr>
    </w:lvl>
    <w:lvl w:ilvl="2" w:tentative="0">
      <w:start w:val="1"/>
      <w:numFmt w:val="lowerRoman"/>
      <w:lvlText w:val="%3."/>
      <w:lvlJc w:val="right"/>
      <w:pPr>
        <w:tabs>
          <w:tab w:val="left" w:pos="1925"/>
        </w:tabs>
        <w:ind w:left="1925" w:hanging="420"/>
      </w:pPr>
    </w:lvl>
    <w:lvl w:ilvl="3" w:tentative="0">
      <w:start w:val="1"/>
      <w:numFmt w:val="decimal"/>
      <w:lvlText w:val="%4."/>
      <w:lvlJc w:val="left"/>
      <w:pPr>
        <w:tabs>
          <w:tab w:val="left" w:pos="2345"/>
        </w:tabs>
        <w:ind w:left="2345" w:hanging="420"/>
      </w:pPr>
    </w:lvl>
    <w:lvl w:ilvl="4" w:tentative="0">
      <w:start w:val="1"/>
      <w:numFmt w:val="lowerLetter"/>
      <w:lvlText w:val="%5)"/>
      <w:lvlJc w:val="left"/>
      <w:pPr>
        <w:tabs>
          <w:tab w:val="left" w:pos="2765"/>
        </w:tabs>
        <w:ind w:left="2765" w:hanging="420"/>
      </w:pPr>
    </w:lvl>
    <w:lvl w:ilvl="5" w:tentative="0">
      <w:start w:val="1"/>
      <w:numFmt w:val="lowerRoman"/>
      <w:lvlText w:val="%6."/>
      <w:lvlJc w:val="right"/>
      <w:pPr>
        <w:tabs>
          <w:tab w:val="left" w:pos="3185"/>
        </w:tabs>
        <w:ind w:left="3185" w:hanging="420"/>
      </w:pPr>
    </w:lvl>
    <w:lvl w:ilvl="6" w:tentative="0">
      <w:start w:val="1"/>
      <w:numFmt w:val="decimal"/>
      <w:lvlText w:val="%7."/>
      <w:lvlJc w:val="left"/>
      <w:pPr>
        <w:tabs>
          <w:tab w:val="left" w:pos="3605"/>
        </w:tabs>
        <w:ind w:left="3605" w:hanging="420"/>
      </w:pPr>
    </w:lvl>
    <w:lvl w:ilvl="7" w:tentative="0">
      <w:start w:val="1"/>
      <w:numFmt w:val="lowerLetter"/>
      <w:lvlText w:val="%8)"/>
      <w:lvlJc w:val="left"/>
      <w:pPr>
        <w:tabs>
          <w:tab w:val="left" w:pos="4025"/>
        </w:tabs>
        <w:ind w:left="4025" w:hanging="420"/>
      </w:pPr>
    </w:lvl>
    <w:lvl w:ilvl="8" w:tentative="0">
      <w:start w:val="1"/>
      <w:numFmt w:val="lowerRoman"/>
      <w:lvlText w:val="%9."/>
      <w:lvlJc w:val="right"/>
      <w:pPr>
        <w:tabs>
          <w:tab w:val="left" w:pos="4445"/>
        </w:tabs>
        <w:ind w:left="4445" w:hanging="420"/>
      </w:pPr>
    </w:lvl>
  </w:abstractNum>
  <w:abstractNum w:abstractNumId="12">
    <w:nsid w:val="13E31BE2"/>
    <w:multiLevelType w:val="multilevel"/>
    <w:tmpl w:val="13E31BE2"/>
    <w:lvl w:ilvl="0" w:tentative="0">
      <w:start w:val="1"/>
      <w:numFmt w:val="decimalEnclosedCircle"/>
      <w:lvlText w:val="%1"/>
      <w:lvlJc w:val="left"/>
      <w:pPr>
        <w:ind w:left="880" w:hanging="360"/>
      </w:pPr>
      <w:rPr>
        <w:rFonts w:hint="default" w:ascii="宋体" w:hAnsi="宋体"/>
      </w:rPr>
    </w:lvl>
    <w:lvl w:ilvl="1" w:tentative="0">
      <w:start w:val="1"/>
      <w:numFmt w:val="lowerLetter"/>
      <w:lvlText w:val="%2)"/>
      <w:lvlJc w:val="left"/>
      <w:pPr>
        <w:ind w:left="1400" w:hanging="440"/>
      </w:pPr>
    </w:lvl>
    <w:lvl w:ilvl="2" w:tentative="0">
      <w:start w:val="1"/>
      <w:numFmt w:val="lowerRoman"/>
      <w:lvlText w:val="%3."/>
      <w:lvlJc w:val="right"/>
      <w:pPr>
        <w:ind w:left="1840" w:hanging="440"/>
      </w:pPr>
    </w:lvl>
    <w:lvl w:ilvl="3" w:tentative="0">
      <w:start w:val="1"/>
      <w:numFmt w:val="decimal"/>
      <w:lvlText w:val="%4."/>
      <w:lvlJc w:val="left"/>
      <w:pPr>
        <w:ind w:left="2280" w:hanging="440"/>
      </w:pPr>
    </w:lvl>
    <w:lvl w:ilvl="4" w:tentative="0">
      <w:start w:val="1"/>
      <w:numFmt w:val="lowerLetter"/>
      <w:lvlText w:val="%5)"/>
      <w:lvlJc w:val="left"/>
      <w:pPr>
        <w:ind w:left="2720" w:hanging="440"/>
      </w:pPr>
    </w:lvl>
    <w:lvl w:ilvl="5" w:tentative="0">
      <w:start w:val="1"/>
      <w:numFmt w:val="lowerRoman"/>
      <w:lvlText w:val="%6."/>
      <w:lvlJc w:val="right"/>
      <w:pPr>
        <w:ind w:left="3160" w:hanging="440"/>
      </w:pPr>
    </w:lvl>
    <w:lvl w:ilvl="6" w:tentative="0">
      <w:start w:val="1"/>
      <w:numFmt w:val="decimal"/>
      <w:lvlText w:val="%7."/>
      <w:lvlJc w:val="left"/>
      <w:pPr>
        <w:ind w:left="3600" w:hanging="440"/>
      </w:pPr>
    </w:lvl>
    <w:lvl w:ilvl="7" w:tentative="0">
      <w:start w:val="1"/>
      <w:numFmt w:val="lowerLetter"/>
      <w:lvlText w:val="%8)"/>
      <w:lvlJc w:val="left"/>
      <w:pPr>
        <w:ind w:left="4040" w:hanging="440"/>
      </w:pPr>
    </w:lvl>
    <w:lvl w:ilvl="8" w:tentative="0">
      <w:start w:val="1"/>
      <w:numFmt w:val="lowerRoman"/>
      <w:lvlText w:val="%9."/>
      <w:lvlJc w:val="right"/>
      <w:pPr>
        <w:ind w:left="4480" w:hanging="440"/>
      </w:pPr>
    </w:lvl>
  </w:abstractNum>
  <w:abstractNum w:abstractNumId="13">
    <w:nsid w:val="1D5C03D2"/>
    <w:multiLevelType w:val="multilevel"/>
    <w:tmpl w:val="1D5C03D2"/>
    <w:lvl w:ilvl="0" w:tentative="0">
      <w:start w:val="1"/>
      <w:numFmt w:val="decimal"/>
      <w:pStyle w:val="1302"/>
      <w:lvlText w:val="（%1）"/>
      <w:lvlJc w:val="left"/>
      <w:pPr>
        <w:tabs>
          <w:tab w:val="left" w:pos="2404"/>
        </w:tabs>
        <w:ind w:left="2404" w:firstLine="400"/>
      </w:pPr>
      <w:rPr>
        <w:rFonts w:hint="eastAsia"/>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tabs>
          <w:tab w:val="left" w:pos="3244"/>
        </w:tabs>
        <w:ind w:left="3244" w:hanging="420"/>
      </w:pPr>
    </w:lvl>
    <w:lvl w:ilvl="2" w:tentative="0">
      <w:start w:val="1"/>
      <w:numFmt w:val="lowerRoman"/>
      <w:lvlText w:val="%3."/>
      <w:lvlJc w:val="right"/>
      <w:pPr>
        <w:tabs>
          <w:tab w:val="left" w:pos="3664"/>
        </w:tabs>
        <w:ind w:left="3664" w:hanging="420"/>
      </w:pPr>
    </w:lvl>
    <w:lvl w:ilvl="3" w:tentative="0">
      <w:start w:val="1"/>
      <w:numFmt w:val="decimal"/>
      <w:lvlText w:val="%4."/>
      <w:lvlJc w:val="left"/>
      <w:pPr>
        <w:tabs>
          <w:tab w:val="left" w:pos="4084"/>
        </w:tabs>
        <w:ind w:left="4084" w:hanging="420"/>
      </w:pPr>
    </w:lvl>
    <w:lvl w:ilvl="4" w:tentative="0">
      <w:start w:val="1"/>
      <w:numFmt w:val="lowerLetter"/>
      <w:lvlText w:val="%5)"/>
      <w:lvlJc w:val="left"/>
      <w:pPr>
        <w:tabs>
          <w:tab w:val="left" w:pos="4504"/>
        </w:tabs>
        <w:ind w:left="4504" w:hanging="420"/>
      </w:pPr>
    </w:lvl>
    <w:lvl w:ilvl="5" w:tentative="0">
      <w:start w:val="1"/>
      <w:numFmt w:val="lowerRoman"/>
      <w:lvlText w:val="%6."/>
      <w:lvlJc w:val="right"/>
      <w:pPr>
        <w:tabs>
          <w:tab w:val="left" w:pos="4924"/>
        </w:tabs>
        <w:ind w:left="4924" w:hanging="420"/>
      </w:pPr>
    </w:lvl>
    <w:lvl w:ilvl="6" w:tentative="0">
      <w:start w:val="1"/>
      <w:numFmt w:val="decimal"/>
      <w:lvlText w:val="%7."/>
      <w:lvlJc w:val="left"/>
      <w:pPr>
        <w:tabs>
          <w:tab w:val="left" w:pos="5344"/>
        </w:tabs>
        <w:ind w:left="5344" w:hanging="420"/>
      </w:pPr>
    </w:lvl>
    <w:lvl w:ilvl="7" w:tentative="0">
      <w:start w:val="1"/>
      <w:numFmt w:val="lowerLetter"/>
      <w:lvlText w:val="%8)"/>
      <w:lvlJc w:val="left"/>
      <w:pPr>
        <w:tabs>
          <w:tab w:val="left" w:pos="5764"/>
        </w:tabs>
        <w:ind w:left="5764" w:hanging="420"/>
      </w:pPr>
    </w:lvl>
    <w:lvl w:ilvl="8" w:tentative="0">
      <w:start w:val="1"/>
      <w:numFmt w:val="lowerRoman"/>
      <w:lvlText w:val="%9."/>
      <w:lvlJc w:val="right"/>
      <w:pPr>
        <w:tabs>
          <w:tab w:val="left" w:pos="6184"/>
        </w:tabs>
        <w:ind w:left="6184" w:hanging="420"/>
      </w:pPr>
    </w:lvl>
  </w:abstractNum>
  <w:abstractNum w:abstractNumId="14">
    <w:nsid w:val="40A24AB4"/>
    <w:multiLevelType w:val="multilevel"/>
    <w:tmpl w:val="40A24AB4"/>
    <w:lvl w:ilvl="0" w:tentative="0">
      <w:start w:val="1"/>
      <w:numFmt w:val="decimalEnclosedCircle"/>
      <w:lvlText w:val="%1"/>
      <w:lvlJc w:val="left"/>
      <w:pPr>
        <w:ind w:left="880" w:hanging="360"/>
      </w:pPr>
      <w:rPr>
        <w:rFonts w:hint="default" w:ascii="宋体" w:hAnsi="宋体"/>
      </w:rPr>
    </w:lvl>
    <w:lvl w:ilvl="1" w:tentative="0">
      <w:start w:val="1"/>
      <w:numFmt w:val="lowerLetter"/>
      <w:lvlText w:val="%2)"/>
      <w:lvlJc w:val="left"/>
      <w:pPr>
        <w:ind w:left="1400" w:hanging="440"/>
      </w:pPr>
    </w:lvl>
    <w:lvl w:ilvl="2" w:tentative="0">
      <w:start w:val="1"/>
      <w:numFmt w:val="lowerRoman"/>
      <w:lvlText w:val="%3."/>
      <w:lvlJc w:val="right"/>
      <w:pPr>
        <w:ind w:left="1840" w:hanging="440"/>
      </w:pPr>
    </w:lvl>
    <w:lvl w:ilvl="3" w:tentative="0">
      <w:start w:val="1"/>
      <w:numFmt w:val="decimal"/>
      <w:lvlText w:val="%4."/>
      <w:lvlJc w:val="left"/>
      <w:pPr>
        <w:ind w:left="2280" w:hanging="440"/>
      </w:pPr>
    </w:lvl>
    <w:lvl w:ilvl="4" w:tentative="0">
      <w:start w:val="1"/>
      <w:numFmt w:val="lowerLetter"/>
      <w:lvlText w:val="%5)"/>
      <w:lvlJc w:val="left"/>
      <w:pPr>
        <w:ind w:left="2720" w:hanging="440"/>
      </w:pPr>
    </w:lvl>
    <w:lvl w:ilvl="5" w:tentative="0">
      <w:start w:val="1"/>
      <w:numFmt w:val="lowerRoman"/>
      <w:lvlText w:val="%6."/>
      <w:lvlJc w:val="right"/>
      <w:pPr>
        <w:ind w:left="3160" w:hanging="440"/>
      </w:pPr>
    </w:lvl>
    <w:lvl w:ilvl="6" w:tentative="0">
      <w:start w:val="1"/>
      <w:numFmt w:val="decimal"/>
      <w:lvlText w:val="%7."/>
      <w:lvlJc w:val="left"/>
      <w:pPr>
        <w:ind w:left="3600" w:hanging="440"/>
      </w:pPr>
    </w:lvl>
    <w:lvl w:ilvl="7" w:tentative="0">
      <w:start w:val="1"/>
      <w:numFmt w:val="lowerLetter"/>
      <w:lvlText w:val="%8)"/>
      <w:lvlJc w:val="left"/>
      <w:pPr>
        <w:ind w:left="4040" w:hanging="440"/>
      </w:pPr>
    </w:lvl>
    <w:lvl w:ilvl="8" w:tentative="0">
      <w:start w:val="1"/>
      <w:numFmt w:val="lowerRoman"/>
      <w:lvlText w:val="%9."/>
      <w:lvlJc w:val="right"/>
      <w:pPr>
        <w:ind w:left="4480" w:hanging="440"/>
      </w:pPr>
    </w:lvl>
  </w:abstractNum>
  <w:abstractNum w:abstractNumId="15">
    <w:nsid w:val="45DA014B"/>
    <w:multiLevelType w:val="multilevel"/>
    <w:tmpl w:val="45DA014B"/>
    <w:lvl w:ilvl="0" w:tentative="0">
      <w:start w:val="1"/>
      <w:numFmt w:val="decimal"/>
      <w:pStyle w:val="3476"/>
      <w:lvlText w:val="（%1）"/>
      <w:lvlJc w:val="left"/>
      <w:pPr>
        <w:ind w:left="620" w:hanging="420"/>
      </w:pPr>
      <w:rPr>
        <w:rFonts w:hint="eastAsia"/>
        <w:snapToGrid w:val="0"/>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F302902"/>
    <w:multiLevelType w:val="multilevel"/>
    <w:tmpl w:val="4F302902"/>
    <w:lvl w:ilvl="0" w:tentative="0">
      <w:start w:val="1"/>
      <w:numFmt w:val="none"/>
      <w:pStyle w:val="1854"/>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2653CAF"/>
    <w:multiLevelType w:val="multilevel"/>
    <w:tmpl w:val="52653CAF"/>
    <w:lvl w:ilvl="0" w:tentative="0">
      <w:start w:val="1"/>
      <w:numFmt w:val="decimal"/>
      <w:suff w:val="space"/>
      <w:lvlText w:val="%1、"/>
      <w:lvlJc w:val="left"/>
      <w:pPr>
        <w:ind w:left="425" w:hanging="425"/>
      </w:pPr>
      <w:rPr>
        <w:rFonts w:hint="eastAsia" w:eastAsia="黑体"/>
        <w:b/>
        <w:i w:val="0"/>
        <w:sz w:val="48"/>
        <w:szCs w:val="48"/>
      </w:rPr>
    </w:lvl>
    <w:lvl w:ilvl="1" w:tentative="0">
      <w:start w:val="1"/>
      <w:numFmt w:val="decimal"/>
      <w:suff w:val="space"/>
      <w:lvlText w:val="%1.%2"/>
      <w:lvlJc w:val="left"/>
      <w:pPr>
        <w:ind w:left="927" w:hanging="567"/>
      </w:pPr>
      <w:rPr>
        <w:rFonts w:hint="eastAsia"/>
        <w:b/>
        <w:i w:val="0"/>
        <w:sz w:val="30"/>
        <w:szCs w:val="30"/>
      </w:rPr>
    </w:lvl>
    <w:lvl w:ilvl="2" w:tentative="0">
      <w:start w:val="1"/>
      <w:numFmt w:val="decimal"/>
      <w:pStyle w:val="1985"/>
      <w:suff w:val="space"/>
      <w:lvlText w:val="%1.%2.%3"/>
      <w:lvlJc w:val="left"/>
      <w:pPr>
        <w:ind w:left="-311" w:firstLine="851"/>
      </w:pPr>
      <w:rPr>
        <w:rFonts w:hint="eastAsia"/>
        <w:sz w:val="28"/>
        <w:szCs w:val="28"/>
      </w:rPr>
    </w:lvl>
    <w:lvl w:ilvl="3" w:tentative="0">
      <w:start w:val="1"/>
      <w:numFmt w:val="decimal"/>
      <w:lvlText w:val="%1.%2.%3.%4"/>
      <w:lvlJc w:val="left"/>
      <w:pPr>
        <w:tabs>
          <w:tab w:val="left" w:pos="2356"/>
        </w:tabs>
        <w:ind w:left="1984" w:hanging="708"/>
      </w:pPr>
      <w:rPr>
        <w:rFonts w:hint="eastAsia"/>
        <w:sz w:val="24"/>
        <w:szCs w:val="24"/>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8">
    <w:nsid w:val="5510521F"/>
    <w:multiLevelType w:val="singleLevel"/>
    <w:tmpl w:val="5510521F"/>
    <w:lvl w:ilvl="0" w:tentative="0">
      <w:start w:val="1"/>
      <w:numFmt w:val="decimal"/>
      <w:pStyle w:val="174"/>
      <w:suff w:val="nothing"/>
      <w:lvlText w:val="（%1）"/>
      <w:lvlJc w:val="left"/>
      <w:pPr>
        <w:ind w:left="709" w:hanging="284"/>
      </w:pPr>
      <w:rPr>
        <w:b w:val="0"/>
        <w:color w:val="auto"/>
      </w:rPr>
    </w:lvl>
  </w:abstractNum>
  <w:abstractNum w:abstractNumId="19">
    <w:nsid w:val="557C2AF5"/>
    <w:multiLevelType w:val="multilevel"/>
    <w:tmpl w:val="557C2AF5"/>
    <w:lvl w:ilvl="0" w:tentative="0">
      <w:start w:val="1"/>
      <w:numFmt w:val="decimal"/>
      <w:pStyle w:val="3618"/>
      <w:suff w:val="nothing"/>
      <w:lvlText w:val="图%1　"/>
      <w:lvlJc w:val="left"/>
      <w:pPr>
        <w:ind w:left="0" w:firstLine="0"/>
      </w:pPr>
      <w:rPr>
        <w:rFonts w:hint="eastAsia" w:ascii="黑体" w:hAnsi="Times New Roman" w:eastAsia="黑体"/>
        <w:b w:val="0"/>
        <w:i w:val="0"/>
        <w:sz w:val="24"/>
        <w:szCs w:val="24"/>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609802E8"/>
    <w:multiLevelType w:val="multilevel"/>
    <w:tmpl w:val="609802E8"/>
    <w:lvl w:ilvl="0" w:tentative="0">
      <w:start w:val="1"/>
      <w:numFmt w:val="decimal"/>
      <w:pStyle w:val="3162"/>
      <w:lvlText w:val="（%1）"/>
      <w:lvlJc w:val="left"/>
      <w:pPr>
        <w:tabs>
          <w:tab w:val="left" w:pos="1741"/>
        </w:tabs>
        <w:ind w:left="567" w:firstLine="454"/>
      </w:pPr>
      <w:rPr>
        <w:rFonts w:hint="eastAsia" w:ascii="宋体" w:hAnsi="Times New Roman" w:eastAsia="宋体"/>
        <w:b/>
        <w:i w:val="0"/>
        <w:color w:val="FF0000"/>
        <w:spacing w:val="20"/>
        <w:w w:val="100"/>
        <w:position w:val="0"/>
        <w:sz w:val="48"/>
        <w:szCs w:val="48"/>
        <w:lang w:val="en-US"/>
      </w:rPr>
    </w:lvl>
    <w:lvl w:ilvl="1" w:tentative="0">
      <w:start w:val="5"/>
      <w:numFmt w:val="decimal"/>
      <w:lvlText w:val="(%2)"/>
      <w:lvlJc w:val="left"/>
      <w:pPr>
        <w:tabs>
          <w:tab w:val="left" w:pos="1620"/>
        </w:tabs>
        <w:ind w:left="1620" w:hanging="120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2AE6BEA"/>
    <w:multiLevelType w:val="multilevel"/>
    <w:tmpl w:val="62AE6BEA"/>
    <w:lvl w:ilvl="0" w:tentative="0">
      <w:start w:val="1"/>
      <w:numFmt w:val="decimal"/>
      <w:pStyle w:val="3110"/>
      <w:lvlText w:val="%1"/>
      <w:lvlJc w:val="left"/>
      <w:pPr>
        <w:tabs>
          <w:tab w:val="left" w:pos="432"/>
        </w:tabs>
        <w:ind w:left="432" w:hanging="432"/>
      </w:pPr>
      <w:rPr>
        <w:rFonts w:hint="eastAsia"/>
        <w:sz w:val="52"/>
        <w:szCs w:val="52"/>
      </w:rPr>
    </w:lvl>
    <w:lvl w:ilvl="1" w:tentative="0">
      <w:start w:val="1"/>
      <w:numFmt w:val="decimal"/>
      <w:lvlText w:val="%1.%2"/>
      <w:lvlJc w:val="left"/>
      <w:pPr>
        <w:tabs>
          <w:tab w:val="left" w:pos="720"/>
        </w:tabs>
        <w:ind w:left="0" w:firstLine="0"/>
      </w:pPr>
      <w:rPr>
        <w:rFonts w:hint="default" w:ascii="Times New Roman" w:hAnsi="Times New Roman" w:eastAsia="楷体_GB2312"/>
        <w:b w:val="0"/>
        <w:i w:val="0"/>
        <w:sz w:val="48"/>
        <w:szCs w:val="48"/>
      </w:rPr>
    </w:lvl>
    <w:lvl w:ilvl="2" w:tentative="0">
      <w:start w:val="1"/>
      <w:numFmt w:val="decimal"/>
      <w:pStyle w:val="3042"/>
      <w:lvlText w:val="%1.%2.%3"/>
      <w:lvlJc w:val="left"/>
      <w:pPr>
        <w:tabs>
          <w:tab w:val="left" w:pos="1361"/>
        </w:tabs>
        <w:ind w:left="0" w:firstLine="0"/>
      </w:pPr>
      <w:rPr>
        <w:rFonts w:hint="default" w:ascii="Times New Roman" w:hAnsi="Times New Roman" w:eastAsia="黑体"/>
        <w:b w:val="0"/>
        <w:i w:val="0"/>
        <w:sz w:val="48"/>
        <w:szCs w:val="48"/>
      </w:rPr>
    </w:lvl>
    <w:lvl w:ilvl="3" w:tentative="0">
      <w:start w:val="1"/>
      <w:numFmt w:val="decimal"/>
      <w:lvlText w:val="%1.%2.%3.%4"/>
      <w:lvlJc w:val="left"/>
      <w:pPr>
        <w:tabs>
          <w:tab w:val="left" w:pos="1134"/>
        </w:tabs>
        <w:ind w:left="0" w:firstLine="0"/>
      </w:pPr>
      <w:rPr>
        <w:rFonts w:hint="default" w:ascii="Times New Roman" w:hAnsi="Times New Roman" w:eastAsia="楷体_GB2312"/>
        <w:b w:val="0"/>
        <w:i w:val="0"/>
        <w:sz w:val="44"/>
        <w:szCs w:val="44"/>
      </w:rPr>
    </w:lvl>
    <w:lvl w:ilvl="4" w:tentative="0">
      <w:start w:val="1"/>
      <w:numFmt w:val="decimal"/>
      <w:lvlText w:val="%1.%2.%3.%4.%5"/>
      <w:lvlJc w:val="left"/>
      <w:pPr>
        <w:tabs>
          <w:tab w:val="left" w:pos="1440"/>
        </w:tabs>
        <w:ind w:left="1008" w:hanging="1008"/>
      </w:pPr>
      <w:rPr>
        <w:rFonts w:hint="default" w:ascii="Times New Roman" w:hAnsi="Times New Roman" w:eastAsia="宋体"/>
        <w:b w:val="0"/>
        <w:i w:val="0"/>
        <w:sz w:val="30"/>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2">
    <w:nsid w:val="71367678"/>
    <w:multiLevelType w:val="multilevel"/>
    <w:tmpl w:val="71367678"/>
    <w:lvl w:ilvl="0" w:tentative="0">
      <w:start w:val="3"/>
      <w:numFmt w:val="japaneseCounting"/>
      <w:pStyle w:val="2151"/>
      <w:lvlText w:val="第%1节"/>
      <w:lvlJc w:val="left"/>
      <w:pPr>
        <w:tabs>
          <w:tab w:val="left" w:pos="1200"/>
        </w:tabs>
        <w:ind w:left="1200" w:hanging="120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76933334"/>
    <w:multiLevelType w:val="multilevel"/>
    <w:tmpl w:val="76933334"/>
    <w:lvl w:ilvl="0" w:tentative="0">
      <w:start w:val="1"/>
      <w:numFmt w:val="none"/>
      <w:pStyle w:val="668"/>
      <w:lvlText w:val="%1——"/>
      <w:lvlJc w:val="left"/>
      <w:pPr>
        <w:tabs>
          <w:tab w:val="left" w:pos="1571"/>
        </w:tabs>
        <w:ind w:left="1271"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7B4A2615"/>
    <w:multiLevelType w:val="multilevel"/>
    <w:tmpl w:val="7B4A2615"/>
    <w:lvl w:ilvl="0" w:tentative="0">
      <w:start w:val="1"/>
      <w:numFmt w:val="decimal"/>
      <w:pStyle w:val="3"/>
      <w:lvlText w:val="%1"/>
      <w:lvlJc w:val="left"/>
      <w:pPr>
        <w:ind w:left="0" w:firstLine="0"/>
      </w:pPr>
      <w:rPr>
        <w:rFonts w:hint="eastAsia"/>
      </w:rPr>
    </w:lvl>
    <w:lvl w:ilvl="1" w:tentative="0">
      <w:start w:val="1"/>
      <w:numFmt w:val="decimal"/>
      <w:pStyle w:val="4"/>
      <w:suff w:val="space"/>
      <w:lvlText w:val="%1.%2"/>
      <w:lvlJc w:val="left"/>
      <w:pPr>
        <w:ind w:left="0" w:firstLine="0"/>
      </w:pPr>
      <w:rPr>
        <w:rFonts w:hint="eastAsia"/>
        <w:color w:val="auto"/>
      </w:rPr>
    </w:lvl>
    <w:lvl w:ilvl="2" w:tentative="0">
      <w:start w:val="1"/>
      <w:numFmt w:val="decimal"/>
      <w:pStyle w:val="5"/>
      <w:suff w:val="space"/>
      <w:lvlText w:val="%1.%2.%3"/>
      <w:lvlJc w:val="left"/>
      <w:pPr>
        <w:ind w:left="1134" w:firstLine="0"/>
      </w:pPr>
      <w:rPr>
        <w:rFonts w:hint="eastAsia"/>
      </w:rPr>
    </w:lvl>
    <w:lvl w:ilvl="3" w:tentative="0">
      <w:start w:val="1"/>
      <w:numFmt w:val="decimal"/>
      <w:pStyle w:val="6"/>
      <w:suff w:val="space"/>
      <w:lvlText w:val="%1.%2.%3.%4"/>
      <w:lvlJc w:val="left"/>
      <w:pPr>
        <w:ind w:left="426" w:firstLine="0"/>
      </w:pPr>
      <w:rPr>
        <w:rFonts w:hint="default" w:ascii="Times New Roman" w:hAnsi="Times New Roman" w:cs="Times New Roman"/>
      </w:rPr>
    </w:lvl>
    <w:lvl w:ilvl="4" w:tentative="0">
      <w:start w:val="1"/>
      <w:numFmt w:val="decimal"/>
      <w:lvlRestart w:val="2"/>
      <w:suff w:val="space"/>
      <w:lvlText w:val="表%1.%2-%5"/>
      <w:lvlJc w:val="center"/>
      <w:pPr>
        <w:ind w:left="1559" w:firstLine="28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5" w:tentative="0">
      <w:start w:val="1"/>
      <w:numFmt w:val="decimal"/>
      <w:pStyle w:val="8"/>
      <w:lvlText w:val="%1.%2.%3.%4.%5.%6"/>
      <w:lvlJc w:val="left"/>
      <w:pPr>
        <w:ind w:left="0" w:firstLine="0"/>
      </w:pPr>
      <w:rPr>
        <w:rFonts w:hint="eastAsia"/>
      </w:rPr>
    </w:lvl>
    <w:lvl w:ilvl="6" w:tentative="0">
      <w:start w:val="1"/>
      <w:numFmt w:val="decimal"/>
      <w:pStyle w:val="9"/>
      <w:lvlText w:val="%1.%2.%3.%4.%5.%6.%7"/>
      <w:lvlJc w:val="left"/>
      <w:pPr>
        <w:ind w:left="0" w:firstLine="0"/>
      </w:pPr>
      <w:rPr>
        <w:rFonts w:hint="eastAsia"/>
      </w:rPr>
    </w:lvl>
    <w:lvl w:ilvl="7" w:tentative="0">
      <w:start w:val="1"/>
      <w:numFmt w:val="decimal"/>
      <w:pStyle w:val="10"/>
      <w:lvlText w:val="%1.%2.%3.%4.%5.%6.%7.%8"/>
      <w:lvlJc w:val="left"/>
      <w:pPr>
        <w:ind w:left="0" w:firstLine="0"/>
      </w:pPr>
      <w:rPr>
        <w:rFonts w:hint="eastAsia"/>
      </w:rPr>
    </w:lvl>
    <w:lvl w:ilvl="8" w:tentative="0">
      <w:start w:val="1"/>
      <w:numFmt w:val="decimal"/>
      <w:pStyle w:val="11"/>
      <w:lvlText w:val="%1.%2.%3.%4.%5.%6.%7.%8.%9"/>
      <w:lvlJc w:val="left"/>
      <w:pPr>
        <w:ind w:left="0" w:firstLine="0"/>
      </w:pPr>
      <w:rPr>
        <w:rFonts w:hint="eastAsia"/>
      </w:rPr>
    </w:lvl>
  </w:abstractNum>
  <w:abstractNum w:abstractNumId="25">
    <w:nsid w:val="7BF24CF0"/>
    <w:multiLevelType w:val="multilevel"/>
    <w:tmpl w:val="7BF24CF0"/>
    <w:lvl w:ilvl="0" w:tentative="0">
      <w:start w:val="0"/>
      <w:numFmt w:val="decimal"/>
      <w:lvlText w:val=""/>
      <w:lvlJc w:val="left"/>
    </w:lvl>
    <w:lvl w:ilvl="1" w:tentative="0">
      <w:start w:val="0"/>
      <w:numFmt w:val="decimal"/>
      <w:lvlText w:val=""/>
      <w:lvlJc w:val="left"/>
    </w:lvl>
    <w:lvl w:ilvl="2" w:tentative="0">
      <w:start w:val="0"/>
      <w:numFmt w:val="decimal"/>
      <w:pStyle w:val="2789"/>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7E2A70E8"/>
    <w:multiLevelType w:val="singleLevel"/>
    <w:tmpl w:val="7E2A70E8"/>
    <w:lvl w:ilvl="0" w:tentative="0">
      <w:start w:val="0"/>
      <w:numFmt w:val="decimal"/>
      <w:pStyle w:val="3693"/>
      <w:lvlText w:val=""/>
      <w:lvlJc w:val="left"/>
    </w:lvl>
  </w:abstractNum>
  <w:num w:numId="1">
    <w:abstractNumId w:val="24"/>
  </w:num>
  <w:num w:numId="2">
    <w:abstractNumId w:val="10"/>
    <w:lvlOverride w:ilvl="0">
      <w:lvl w:ilvl="0" w:tentative="1">
        <w:start w:val="1"/>
        <w:numFmt w:val="upperLetter"/>
        <w:pStyle w:val="7"/>
        <w:lvlText w:val="%1."/>
        <w:lvlJc w:val="left"/>
        <w:pPr>
          <w:tabs>
            <w:tab w:val="left" w:pos="360"/>
          </w:tabs>
          <w:ind w:left="0" w:firstLine="0"/>
        </w:pPr>
        <w:rPr>
          <w:rFonts w:hint="eastAsia"/>
          <w:sz w:val="26"/>
          <w:szCs w:val="26"/>
        </w:rPr>
      </w:lvl>
    </w:lvlOverride>
  </w:num>
  <w:num w:numId="3">
    <w:abstractNumId w:val="3"/>
  </w:num>
  <w:num w:numId="4">
    <w:abstractNumId w:val="5"/>
  </w:num>
  <w:num w:numId="5">
    <w:abstractNumId w:val="8"/>
  </w:num>
  <w:num w:numId="6">
    <w:abstractNumId w:val="9"/>
  </w:num>
  <w:num w:numId="7">
    <w:abstractNumId w:val="6"/>
  </w:num>
  <w:num w:numId="8">
    <w:abstractNumId w:val="2"/>
  </w:num>
  <w:num w:numId="9">
    <w:abstractNumId w:val="7"/>
  </w:num>
  <w:num w:numId="10">
    <w:abstractNumId w:val="4"/>
  </w:num>
  <w:num w:numId="11">
    <w:abstractNumId w:val="1"/>
  </w:num>
  <w:num w:numId="12">
    <w:abstractNumId w:val="0"/>
  </w:num>
  <w:num w:numId="13">
    <w:abstractNumId w:val="18"/>
    <w:lvlOverride w:ilvl="0">
      <w:startOverride w:val="1"/>
    </w:lvlOverride>
  </w:num>
  <w:num w:numId="14">
    <w:abstractNumId w:val="23"/>
  </w:num>
  <w:num w:numId="15">
    <w:abstractNumId w:val="13"/>
  </w:num>
  <w:num w:numId="16">
    <w:abstractNumId w:val="16"/>
  </w:num>
  <w:num w:numId="17">
    <w:abstractNumId w:val="17"/>
  </w:num>
  <w:num w:numId="18">
    <w:abstractNumId w:val="22"/>
  </w:num>
  <w:num w:numId="19">
    <w:abstractNumId w:val="25"/>
  </w:num>
  <w:num w:numId="20">
    <w:abstractNumId w:val="11"/>
  </w:num>
  <w:num w:numId="21">
    <w:abstractNumId w:val="21"/>
  </w:num>
  <w:num w:numId="22">
    <w:abstractNumId w:val="20"/>
  </w:num>
  <w:num w:numId="23">
    <w:abstractNumId w:val="15"/>
  </w:num>
  <w:num w:numId="24">
    <w:abstractNumId w:val="19"/>
  </w:num>
  <w:num w:numId="25">
    <w:abstractNumId w:val="26"/>
  </w:num>
  <w:num w:numId="26">
    <w:abstractNumId w:val="1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documentProtection w:enforcement="0"/>
  <w:defaultTabStop w:val="420"/>
  <w:drawingGridHorizontalSpacing w:val="130"/>
  <w:drawingGridVerticalSpacing w:val="177"/>
  <w:displayHorizontalDrawingGridEvery w:val="0"/>
  <w:displayVerticalDrawingGridEvery w:val="2"/>
  <w:characterSpacingControl w:val="doNotCompress"/>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cwNDM0MThhNTAzYzNkZWE1ZmYwNWIzM2MxZDA0ZjQifQ=="/>
  </w:docVars>
  <w:rsids>
    <w:rsidRoot w:val="00CD5AE6"/>
    <w:rsid w:val="00000BF3"/>
    <w:rsid w:val="00001D47"/>
    <w:rsid w:val="00002FE2"/>
    <w:rsid w:val="00003AC2"/>
    <w:rsid w:val="00005066"/>
    <w:rsid w:val="00005923"/>
    <w:rsid w:val="0000669B"/>
    <w:rsid w:val="00013961"/>
    <w:rsid w:val="00014357"/>
    <w:rsid w:val="0002124B"/>
    <w:rsid w:val="00021377"/>
    <w:rsid w:val="00024CDD"/>
    <w:rsid w:val="00025EE0"/>
    <w:rsid w:val="00026D77"/>
    <w:rsid w:val="00036D36"/>
    <w:rsid w:val="000421AA"/>
    <w:rsid w:val="00042B2C"/>
    <w:rsid w:val="000438DE"/>
    <w:rsid w:val="000445C4"/>
    <w:rsid w:val="000457AF"/>
    <w:rsid w:val="00045A82"/>
    <w:rsid w:val="00050368"/>
    <w:rsid w:val="00051507"/>
    <w:rsid w:val="00051BA5"/>
    <w:rsid w:val="00053782"/>
    <w:rsid w:val="00055804"/>
    <w:rsid w:val="000577EC"/>
    <w:rsid w:val="00060188"/>
    <w:rsid w:val="000604E9"/>
    <w:rsid w:val="00060864"/>
    <w:rsid w:val="00063018"/>
    <w:rsid w:val="000640CF"/>
    <w:rsid w:val="0006683C"/>
    <w:rsid w:val="00074A18"/>
    <w:rsid w:val="000756CC"/>
    <w:rsid w:val="00080E70"/>
    <w:rsid w:val="00082810"/>
    <w:rsid w:val="000833E2"/>
    <w:rsid w:val="0008402B"/>
    <w:rsid w:val="000851A5"/>
    <w:rsid w:val="000862AF"/>
    <w:rsid w:val="000878F5"/>
    <w:rsid w:val="00095259"/>
    <w:rsid w:val="00095888"/>
    <w:rsid w:val="00095B5E"/>
    <w:rsid w:val="00096365"/>
    <w:rsid w:val="00097C69"/>
    <w:rsid w:val="000A051A"/>
    <w:rsid w:val="000A0B63"/>
    <w:rsid w:val="000A1236"/>
    <w:rsid w:val="000A1D90"/>
    <w:rsid w:val="000A3B68"/>
    <w:rsid w:val="000A47E4"/>
    <w:rsid w:val="000B0A6B"/>
    <w:rsid w:val="000B1497"/>
    <w:rsid w:val="000B2BA0"/>
    <w:rsid w:val="000B3ECA"/>
    <w:rsid w:val="000C226F"/>
    <w:rsid w:val="000C26A5"/>
    <w:rsid w:val="000C2953"/>
    <w:rsid w:val="000C5C0E"/>
    <w:rsid w:val="000C688A"/>
    <w:rsid w:val="000C6BFD"/>
    <w:rsid w:val="000D092A"/>
    <w:rsid w:val="000D0B69"/>
    <w:rsid w:val="000D0B9A"/>
    <w:rsid w:val="000D44C7"/>
    <w:rsid w:val="000D5053"/>
    <w:rsid w:val="000D544C"/>
    <w:rsid w:val="000D687C"/>
    <w:rsid w:val="000D6A02"/>
    <w:rsid w:val="000D6F01"/>
    <w:rsid w:val="000D7CE9"/>
    <w:rsid w:val="000E2700"/>
    <w:rsid w:val="000E3475"/>
    <w:rsid w:val="000E4D43"/>
    <w:rsid w:val="000F12B4"/>
    <w:rsid w:val="000F2CCD"/>
    <w:rsid w:val="000F54F5"/>
    <w:rsid w:val="000F734F"/>
    <w:rsid w:val="000F79DC"/>
    <w:rsid w:val="00102893"/>
    <w:rsid w:val="001034AF"/>
    <w:rsid w:val="00103C0B"/>
    <w:rsid w:val="00103EF6"/>
    <w:rsid w:val="00104808"/>
    <w:rsid w:val="00104920"/>
    <w:rsid w:val="00104C6B"/>
    <w:rsid w:val="001075D6"/>
    <w:rsid w:val="00110A36"/>
    <w:rsid w:val="0011204A"/>
    <w:rsid w:val="00113B5D"/>
    <w:rsid w:val="00113EC2"/>
    <w:rsid w:val="0011425E"/>
    <w:rsid w:val="00115600"/>
    <w:rsid w:val="00116B18"/>
    <w:rsid w:val="00120927"/>
    <w:rsid w:val="00122A27"/>
    <w:rsid w:val="00123A7D"/>
    <w:rsid w:val="00124909"/>
    <w:rsid w:val="00126A72"/>
    <w:rsid w:val="00127614"/>
    <w:rsid w:val="00127FAF"/>
    <w:rsid w:val="0013250C"/>
    <w:rsid w:val="001342E0"/>
    <w:rsid w:val="001379A8"/>
    <w:rsid w:val="001403A4"/>
    <w:rsid w:val="00140E06"/>
    <w:rsid w:val="00143AAC"/>
    <w:rsid w:val="00143E11"/>
    <w:rsid w:val="001446A0"/>
    <w:rsid w:val="001462F1"/>
    <w:rsid w:val="00147220"/>
    <w:rsid w:val="001475F3"/>
    <w:rsid w:val="0015165A"/>
    <w:rsid w:val="00152840"/>
    <w:rsid w:val="00153221"/>
    <w:rsid w:val="00156687"/>
    <w:rsid w:val="00156E71"/>
    <w:rsid w:val="001571C3"/>
    <w:rsid w:val="00157411"/>
    <w:rsid w:val="00157D67"/>
    <w:rsid w:val="00160798"/>
    <w:rsid w:val="00163EDA"/>
    <w:rsid w:val="0016738D"/>
    <w:rsid w:val="00174DEB"/>
    <w:rsid w:val="0017599A"/>
    <w:rsid w:val="00177F7B"/>
    <w:rsid w:val="00180AA4"/>
    <w:rsid w:val="00183428"/>
    <w:rsid w:val="00183E08"/>
    <w:rsid w:val="00185BB6"/>
    <w:rsid w:val="00186C1C"/>
    <w:rsid w:val="00187511"/>
    <w:rsid w:val="001946B6"/>
    <w:rsid w:val="001A259F"/>
    <w:rsid w:val="001A26B6"/>
    <w:rsid w:val="001A3130"/>
    <w:rsid w:val="001A3741"/>
    <w:rsid w:val="001A4046"/>
    <w:rsid w:val="001A5AF3"/>
    <w:rsid w:val="001A7B9A"/>
    <w:rsid w:val="001B121B"/>
    <w:rsid w:val="001B12B3"/>
    <w:rsid w:val="001B219B"/>
    <w:rsid w:val="001B28C4"/>
    <w:rsid w:val="001B52E6"/>
    <w:rsid w:val="001B538A"/>
    <w:rsid w:val="001B5B74"/>
    <w:rsid w:val="001B6D36"/>
    <w:rsid w:val="001C003C"/>
    <w:rsid w:val="001C051C"/>
    <w:rsid w:val="001C0A69"/>
    <w:rsid w:val="001C0C25"/>
    <w:rsid w:val="001D0D77"/>
    <w:rsid w:val="001D30AF"/>
    <w:rsid w:val="001D40A3"/>
    <w:rsid w:val="001D59F7"/>
    <w:rsid w:val="001D5C38"/>
    <w:rsid w:val="001D60D2"/>
    <w:rsid w:val="001D641F"/>
    <w:rsid w:val="001D69F3"/>
    <w:rsid w:val="001E43F3"/>
    <w:rsid w:val="001E5569"/>
    <w:rsid w:val="001E5E35"/>
    <w:rsid w:val="001E7928"/>
    <w:rsid w:val="001F0388"/>
    <w:rsid w:val="001F0AEC"/>
    <w:rsid w:val="001F2071"/>
    <w:rsid w:val="001F2566"/>
    <w:rsid w:val="001F2EEE"/>
    <w:rsid w:val="001F305C"/>
    <w:rsid w:val="001F3B2C"/>
    <w:rsid w:val="001F5B72"/>
    <w:rsid w:val="002047C3"/>
    <w:rsid w:val="00205B9E"/>
    <w:rsid w:val="002064FA"/>
    <w:rsid w:val="002065FD"/>
    <w:rsid w:val="00206AB8"/>
    <w:rsid w:val="00210A8F"/>
    <w:rsid w:val="002129DC"/>
    <w:rsid w:val="00213A17"/>
    <w:rsid w:val="00213D42"/>
    <w:rsid w:val="00213EC2"/>
    <w:rsid w:val="0021452B"/>
    <w:rsid w:val="0021531A"/>
    <w:rsid w:val="00215EC2"/>
    <w:rsid w:val="00216351"/>
    <w:rsid w:val="00216445"/>
    <w:rsid w:val="002165A6"/>
    <w:rsid w:val="00216CEC"/>
    <w:rsid w:val="00217523"/>
    <w:rsid w:val="002204BA"/>
    <w:rsid w:val="00220802"/>
    <w:rsid w:val="0022204B"/>
    <w:rsid w:val="002225A6"/>
    <w:rsid w:val="00222C01"/>
    <w:rsid w:val="00224477"/>
    <w:rsid w:val="002260C2"/>
    <w:rsid w:val="00230FF5"/>
    <w:rsid w:val="002320CE"/>
    <w:rsid w:val="0023454C"/>
    <w:rsid w:val="00235EC2"/>
    <w:rsid w:val="00244B6A"/>
    <w:rsid w:val="00246452"/>
    <w:rsid w:val="0025071F"/>
    <w:rsid w:val="00252679"/>
    <w:rsid w:val="002620F7"/>
    <w:rsid w:val="002636E8"/>
    <w:rsid w:val="002650A2"/>
    <w:rsid w:val="002657C8"/>
    <w:rsid w:val="0027192F"/>
    <w:rsid w:val="00273403"/>
    <w:rsid w:val="00273CA9"/>
    <w:rsid w:val="00274FDB"/>
    <w:rsid w:val="00274FEA"/>
    <w:rsid w:val="0027555A"/>
    <w:rsid w:val="00275DD2"/>
    <w:rsid w:val="00276A37"/>
    <w:rsid w:val="00280AB3"/>
    <w:rsid w:val="00280D67"/>
    <w:rsid w:val="00280EFC"/>
    <w:rsid w:val="00281C62"/>
    <w:rsid w:val="002822A1"/>
    <w:rsid w:val="00282BA3"/>
    <w:rsid w:val="002836B2"/>
    <w:rsid w:val="002842D8"/>
    <w:rsid w:val="0028530D"/>
    <w:rsid w:val="002877D9"/>
    <w:rsid w:val="00287C15"/>
    <w:rsid w:val="00287E73"/>
    <w:rsid w:val="0029053D"/>
    <w:rsid w:val="00290C6A"/>
    <w:rsid w:val="00290CC0"/>
    <w:rsid w:val="00291643"/>
    <w:rsid w:val="00292071"/>
    <w:rsid w:val="00292DF3"/>
    <w:rsid w:val="00294C55"/>
    <w:rsid w:val="00295EE9"/>
    <w:rsid w:val="0029619E"/>
    <w:rsid w:val="00296637"/>
    <w:rsid w:val="002A02A2"/>
    <w:rsid w:val="002A60FE"/>
    <w:rsid w:val="002A6289"/>
    <w:rsid w:val="002B09A4"/>
    <w:rsid w:val="002B12D1"/>
    <w:rsid w:val="002B2494"/>
    <w:rsid w:val="002B26F2"/>
    <w:rsid w:val="002B3417"/>
    <w:rsid w:val="002B6667"/>
    <w:rsid w:val="002B699A"/>
    <w:rsid w:val="002C5FF3"/>
    <w:rsid w:val="002C6375"/>
    <w:rsid w:val="002C6447"/>
    <w:rsid w:val="002C75D0"/>
    <w:rsid w:val="002D0FA3"/>
    <w:rsid w:val="002D1D4A"/>
    <w:rsid w:val="002D3EB1"/>
    <w:rsid w:val="002D3F49"/>
    <w:rsid w:val="002D4749"/>
    <w:rsid w:val="002D4D23"/>
    <w:rsid w:val="002E0CE8"/>
    <w:rsid w:val="002E4CBF"/>
    <w:rsid w:val="002E71AE"/>
    <w:rsid w:val="002E74CA"/>
    <w:rsid w:val="002F0E55"/>
    <w:rsid w:val="002F317C"/>
    <w:rsid w:val="002F4AF7"/>
    <w:rsid w:val="002F5F2D"/>
    <w:rsid w:val="002F776C"/>
    <w:rsid w:val="00300BF4"/>
    <w:rsid w:val="00300C29"/>
    <w:rsid w:val="00301357"/>
    <w:rsid w:val="00301C7C"/>
    <w:rsid w:val="00303841"/>
    <w:rsid w:val="00304894"/>
    <w:rsid w:val="00304C9F"/>
    <w:rsid w:val="00305823"/>
    <w:rsid w:val="00306143"/>
    <w:rsid w:val="0030763A"/>
    <w:rsid w:val="00307F80"/>
    <w:rsid w:val="00311117"/>
    <w:rsid w:val="00312317"/>
    <w:rsid w:val="003126BB"/>
    <w:rsid w:val="00314CF4"/>
    <w:rsid w:val="00315516"/>
    <w:rsid w:val="00315E31"/>
    <w:rsid w:val="00315F33"/>
    <w:rsid w:val="00317CDB"/>
    <w:rsid w:val="00321A37"/>
    <w:rsid w:val="003234CE"/>
    <w:rsid w:val="0032425D"/>
    <w:rsid w:val="003249C2"/>
    <w:rsid w:val="00325021"/>
    <w:rsid w:val="00326E73"/>
    <w:rsid w:val="003320C5"/>
    <w:rsid w:val="00332373"/>
    <w:rsid w:val="00332C01"/>
    <w:rsid w:val="00333A1C"/>
    <w:rsid w:val="003348EB"/>
    <w:rsid w:val="00334FF9"/>
    <w:rsid w:val="00336332"/>
    <w:rsid w:val="0033679D"/>
    <w:rsid w:val="00345114"/>
    <w:rsid w:val="00345B26"/>
    <w:rsid w:val="00345C61"/>
    <w:rsid w:val="003467EB"/>
    <w:rsid w:val="003472C6"/>
    <w:rsid w:val="0035005C"/>
    <w:rsid w:val="00353822"/>
    <w:rsid w:val="00353B97"/>
    <w:rsid w:val="003542AB"/>
    <w:rsid w:val="00355732"/>
    <w:rsid w:val="003560DC"/>
    <w:rsid w:val="00356D34"/>
    <w:rsid w:val="003574C2"/>
    <w:rsid w:val="00357C77"/>
    <w:rsid w:val="003607DC"/>
    <w:rsid w:val="0036181B"/>
    <w:rsid w:val="00362EDB"/>
    <w:rsid w:val="003637E5"/>
    <w:rsid w:val="00365293"/>
    <w:rsid w:val="00366A72"/>
    <w:rsid w:val="003709AF"/>
    <w:rsid w:val="00370C96"/>
    <w:rsid w:val="00370CCE"/>
    <w:rsid w:val="0037221B"/>
    <w:rsid w:val="00376CF9"/>
    <w:rsid w:val="00381A9D"/>
    <w:rsid w:val="0038238C"/>
    <w:rsid w:val="00382B76"/>
    <w:rsid w:val="00384CCD"/>
    <w:rsid w:val="003868C7"/>
    <w:rsid w:val="0038778F"/>
    <w:rsid w:val="00392014"/>
    <w:rsid w:val="00395AD9"/>
    <w:rsid w:val="0039608A"/>
    <w:rsid w:val="003966ED"/>
    <w:rsid w:val="003A07B6"/>
    <w:rsid w:val="003A27EA"/>
    <w:rsid w:val="003A2FCB"/>
    <w:rsid w:val="003A3033"/>
    <w:rsid w:val="003A4296"/>
    <w:rsid w:val="003A47D4"/>
    <w:rsid w:val="003A6401"/>
    <w:rsid w:val="003A6EEB"/>
    <w:rsid w:val="003A7052"/>
    <w:rsid w:val="003A7E45"/>
    <w:rsid w:val="003B0858"/>
    <w:rsid w:val="003B13CC"/>
    <w:rsid w:val="003B4C17"/>
    <w:rsid w:val="003B6A95"/>
    <w:rsid w:val="003C010A"/>
    <w:rsid w:val="003C169C"/>
    <w:rsid w:val="003C170E"/>
    <w:rsid w:val="003C1D8B"/>
    <w:rsid w:val="003C494B"/>
    <w:rsid w:val="003C77E4"/>
    <w:rsid w:val="003D0F4E"/>
    <w:rsid w:val="003D2013"/>
    <w:rsid w:val="003D22F2"/>
    <w:rsid w:val="003D4B79"/>
    <w:rsid w:val="003D508D"/>
    <w:rsid w:val="003D6FB5"/>
    <w:rsid w:val="003D7353"/>
    <w:rsid w:val="003E0110"/>
    <w:rsid w:val="003E0D4E"/>
    <w:rsid w:val="003E1169"/>
    <w:rsid w:val="003E150F"/>
    <w:rsid w:val="003E2CA4"/>
    <w:rsid w:val="003E4C4E"/>
    <w:rsid w:val="003E5FA5"/>
    <w:rsid w:val="003E69FE"/>
    <w:rsid w:val="003E6C36"/>
    <w:rsid w:val="003E77EC"/>
    <w:rsid w:val="003F0C90"/>
    <w:rsid w:val="003F1D75"/>
    <w:rsid w:val="003F2C8E"/>
    <w:rsid w:val="003F4F29"/>
    <w:rsid w:val="003F5469"/>
    <w:rsid w:val="003F6BDB"/>
    <w:rsid w:val="003F6C4C"/>
    <w:rsid w:val="004002BF"/>
    <w:rsid w:val="0040156A"/>
    <w:rsid w:val="00401769"/>
    <w:rsid w:val="004029EA"/>
    <w:rsid w:val="0040360A"/>
    <w:rsid w:val="00403F5D"/>
    <w:rsid w:val="00404513"/>
    <w:rsid w:val="00404B68"/>
    <w:rsid w:val="0040514E"/>
    <w:rsid w:val="004055A2"/>
    <w:rsid w:val="0040606E"/>
    <w:rsid w:val="00406E20"/>
    <w:rsid w:val="00411188"/>
    <w:rsid w:val="00412A2A"/>
    <w:rsid w:val="004132F5"/>
    <w:rsid w:val="00413B65"/>
    <w:rsid w:val="00414F01"/>
    <w:rsid w:val="00415903"/>
    <w:rsid w:val="00415DC5"/>
    <w:rsid w:val="004161FB"/>
    <w:rsid w:val="0041620E"/>
    <w:rsid w:val="00416E7D"/>
    <w:rsid w:val="00416F9A"/>
    <w:rsid w:val="00417788"/>
    <w:rsid w:val="00417D44"/>
    <w:rsid w:val="0042090F"/>
    <w:rsid w:val="00421DC2"/>
    <w:rsid w:val="004227DC"/>
    <w:rsid w:val="004270A9"/>
    <w:rsid w:val="00427124"/>
    <w:rsid w:val="00431234"/>
    <w:rsid w:val="00431BA0"/>
    <w:rsid w:val="004355F3"/>
    <w:rsid w:val="00437032"/>
    <w:rsid w:val="004378D4"/>
    <w:rsid w:val="00437C47"/>
    <w:rsid w:val="00437ECE"/>
    <w:rsid w:val="00443946"/>
    <w:rsid w:val="004449F5"/>
    <w:rsid w:val="00446978"/>
    <w:rsid w:val="00450245"/>
    <w:rsid w:val="004502AC"/>
    <w:rsid w:val="004514D5"/>
    <w:rsid w:val="004527D7"/>
    <w:rsid w:val="00453C36"/>
    <w:rsid w:val="00454B45"/>
    <w:rsid w:val="004557DF"/>
    <w:rsid w:val="004558DE"/>
    <w:rsid w:val="00455BC8"/>
    <w:rsid w:val="0045715D"/>
    <w:rsid w:val="00462307"/>
    <w:rsid w:val="00464E05"/>
    <w:rsid w:val="00467594"/>
    <w:rsid w:val="004702D9"/>
    <w:rsid w:val="0047070D"/>
    <w:rsid w:val="00471ACF"/>
    <w:rsid w:val="004720AD"/>
    <w:rsid w:val="00476924"/>
    <w:rsid w:val="004771A4"/>
    <w:rsid w:val="004804F2"/>
    <w:rsid w:val="00482E8F"/>
    <w:rsid w:val="00483000"/>
    <w:rsid w:val="00484366"/>
    <w:rsid w:val="00484EEB"/>
    <w:rsid w:val="00490F71"/>
    <w:rsid w:val="00491827"/>
    <w:rsid w:val="00491FBB"/>
    <w:rsid w:val="00493248"/>
    <w:rsid w:val="0049327B"/>
    <w:rsid w:val="004946B6"/>
    <w:rsid w:val="004949A4"/>
    <w:rsid w:val="004978FD"/>
    <w:rsid w:val="00497DB5"/>
    <w:rsid w:val="004A2313"/>
    <w:rsid w:val="004A48EB"/>
    <w:rsid w:val="004A4D73"/>
    <w:rsid w:val="004A58CC"/>
    <w:rsid w:val="004A5EE7"/>
    <w:rsid w:val="004A6C5D"/>
    <w:rsid w:val="004A79B0"/>
    <w:rsid w:val="004A7EA9"/>
    <w:rsid w:val="004A7EF5"/>
    <w:rsid w:val="004B0B2B"/>
    <w:rsid w:val="004B18FE"/>
    <w:rsid w:val="004B2FEE"/>
    <w:rsid w:val="004B32BF"/>
    <w:rsid w:val="004B3656"/>
    <w:rsid w:val="004B3DC5"/>
    <w:rsid w:val="004B4A3C"/>
    <w:rsid w:val="004B5BD8"/>
    <w:rsid w:val="004C04BD"/>
    <w:rsid w:val="004C0BFB"/>
    <w:rsid w:val="004C0F7E"/>
    <w:rsid w:val="004C13BB"/>
    <w:rsid w:val="004C1A7A"/>
    <w:rsid w:val="004C3D26"/>
    <w:rsid w:val="004C3D33"/>
    <w:rsid w:val="004C51F0"/>
    <w:rsid w:val="004C6194"/>
    <w:rsid w:val="004D17F4"/>
    <w:rsid w:val="004D2C53"/>
    <w:rsid w:val="004D3971"/>
    <w:rsid w:val="004D3A38"/>
    <w:rsid w:val="004D3C62"/>
    <w:rsid w:val="004D527C"/>
    <w:rsid w:val="004D5CFD"/>
    <w:rsid w:val="004E20CE"/>
    <w:rsid w:val="004E44A2"/>
    <w:rsid w:val="004E5460"/>
    <w:rsid w:val="004E5A9D"/>
    <w:rsid w:val="004E5B1F"/>
    <w:rsid w:val="004E70F0"/>
    <w:rsid w:val="004E70F8"/>
    <w:rsid w:val="004F2008"/>
    <w:rsid w:val="004F260D"/>
    <w:rsid w:val="004F3C11"/>
    <w:rsid w:val="004F7CC8"/>
    <w:rsid w:val="005019C8"/>
    <w:rsid w:val="005022AE"/>
    <w:rsid w:val="0050514B"/>
    <w:rsid w:val="00510911"/>
    <w:rsid w:val="00510D86"/>
    <w:rsid w:val="00512604"/>
    <w:rsid w:val="00514BDD"/>
    <w:rsid w:val="005205CF"/>
    <w:rsid w:val="005208CF"/>
    <w:rsid w:val="005208EC"/>
    <w:rsid w:val="005210A3"/>
    <w:rsid w:val="005223A4"/>
    <w:rsid w:val="00522770"/>
    <w:rsid w:val="00525212"/>
    <w:rsid w:val="00527138"/>
    <w:rsid w:val="00527A9C"/>
    <w:rsid w:val="00531ABD"/>
    <w:rsid w:val="00534B61"/>
    <w:rsid w:val="00540EB2"/>
    <w:rsid w:val="005412A2"/>
    <w:rsid w:val="0054130B"/>
    <w:rsid w:val="005413B1"/>
    <w:rsid w:val="00542EEE"/>
    <w:rsid w:val="00543017"/>
    <w:rsid w:val="005434E5"/>
    <w:rsid w:val="00544721"/>
    <w:rsid w:val="005455CA"/>
    <w:rsid w:val="00545B45"/>
    <w:rsid w:val="00547955"/>
    <w:rsid w:val="00551633"/>
    <w:rsid w:val="00552012"/>
    <w:rsid w:val="005520FD"/>
    <w:rsid w:val="00553CC1"/>
    <w:rsid w:val="00554E9E"/>
    <w:rsid w:val="00554F01"/>
    <w:rsid w:val="00555950"/>
    <w:rsid w:val="00561608"/>
    <w:rsid w:val="00562AD0"/>
    <w:rsid w:val="00562F96"/>
    <w:rsid w:val="005630BD"/>
    <w:rsid w:val="00563919"/>
    <w:rsid w:val="0057129D"/>
    <w:rsid w:val="00571DB5"/>
    <w:rsid w:val="00571DD6"/>
    <w:rsid w:val="00572395"/>
    <w:rsid w:val="005755D2"/>
    <w:rsid w:val="00575720"/>
    <w:rsid w:val="005760EA"/>
    <w:rsid w:val="00577B4B"/>
    <w:rsid w:val="00580293"/>
    <w:rsid w:val="0058177D"/>
    <w:rsid w:val="00583657"/>
    <w:rsid w:val="00584EA6"/>
    <w:rsid w:val="005851EB"/>
    <w:rsid w:val="00586290"/>
    <w:rsid w:val="0058741A"/>
    <w:rsid w:val="005915CD"/>
    <w:rsid w:val="0059275B"/>
    <w:rsid w:val="0059416D"/>
    <w:rsid w:val="00597918"/>
    <w:rsid w:val="005A29DD"/>
    <w:rsid w:val="005A3A72"/>
    <w:rsid w:val="005A7B49"/>
    <w:rsid w:val="005B0BC0"/>
    <w:rsid w:val="005B0E65"/>
    <w:rsid w:val="005B160C"/>
    <w:rsid w:val="005B2012"/>
    <w:rsid w:val="005B3682"/>
    <w:rsid w:val="005B44AC"/>
    <w:rsid w:val="005B5F2C"/>
    <w:rsid w:val="005B7246"/>
    <w:rsid w:val="005C00F3"/>
    <w:rsid w:val="005C2B24"/>
    <w:rsid w:val="005C33FA"/>
    <w:rsid w:val="005C4DD5"/>
    <w:rsid w:val="005C594B"/>
    <w:rsid w:val="005D011B"/>
    <w:rsid w:val="005D0957"/>
    <w:rsid w:val="005D0D69"/>
    <w:rsid w:val="005D104B"/>
    <w:rsid w:val="005D2B54"/>
    <w:rsid w:val="005D380A"/>
    <w:rsid w:val="005D3AC5"/>
    <w:rsid w:val="005D669E"/>
    <w:rsid w:val="005D7A1D"/>
    <w:rsid w:val="005E05CB"/>
    <w:rsid w:val="005E2E08"/>
    <w:rsid w:val="005F09E5"/>
    <w:rsid w:val="005F1A93"/>
    <w:rsid w:val="005F22F0"/>
    <w:rsid w:val="005F27F5"/>
    <w:rsid w:val="005F35A5"/>
    <w:rsid w:val="005F79BC"/>
    <w:rsid w:val="005F79FB"/>
    <w:rsid w:val="005F7EFD"/>
    <w:rsid w:val="00600630"/>
    <w:rsid w:val="006006C1"/>
    <w:rsid w:val="00601A0D"/>
    <w:rsid w:val="0060761C"/>
    <w:rsid w:val="006078B9"/>
    <w:rsid w:val="006143C6"/>
    <w:rsid w:val="006239D5"/>
    <w:rsid w:val="00625B24"/>
    <w:rsid w:val="00627BD8"/>
    <w:rsid w:val="0063041D"/>
    <w:rsid w:val="00631F9B"/>
    <w:rsid w:val="00633342"/>
    <w:rsid w:val="00634C9F"/>
    <w:rsid w:val="00634E66"/>
    <w:rsid w:val="00635090"/>
    <w:rsid w:val="00636F07"/>
    <w:rsid w:val="006372C2"/>
    <w:rsid w:val="006376C6"/>
    <w:rsid w:val="00637D57"/>
    <w:rsid w:val="00637F45"/>
    <w:rsid w:val="006423D1"/>
    <w:rsid w:val="00643803"/>
    <w:rsid w:val="0064421B"/>
    <w:rsid w:val="00644497"/>
    <w:rsid w:val="00645327"/>
    <w:rsid w:val="0064633F"/>
    <w:rsid w:val="006506B8"/>
    <w:rsid w:val="0065145D"/>
    <w:rsid w:val="00652FE8"/>
    <w:rsid w:val="0065565E"/>
    <w:rsid w:val="0065735F"/>
    <w:rsid w:val="00661E7B"/>
    <w:rsid w:val="00662175"/>
    <w:rsid w:val="00664710"/>
    <w:rsid w:val="006660E3"/>
    <w:rsid w:val="006673CC"/>
    <w:rsid w:val="0066746B"/>
    <w:rsid w:val="00667B20"/>
    <w:rsid w:val="0067000E"/>
    <w:rsid w:val="00670BB8"/>
    <w:rsid w:val="006715E4"/>
    <w:rsid w:val="00672A49"/>
    <w:rsid w:val="00673DE7"/>
    <w:rsid w:val="00675166"/>
    <w:rsid w:val="006753A9"/>
    <w:rsid w:val="00676F3A"/>
    <w:rsid w:val="00683C2C"/>
    <w:rsid w:val="0068434E"/>
    <w:rsid w:val="006848A1"/>
    <w:rsid w:val="006872B5"/>
    <w:rsid w:val="006901CB"/>
    <w:rsid w:val="00690A96"/>
    <w:rsid w:val="00693AF7"/>
    <w:rsid w:val="00694ADA"/>
    <w:rsid w:val="006955F3"/>
    <w:rsid w:val="00696176"/>
    <w:rsid w:val="006965C9"/>
    <w:rsid w:val="006967B0"/>
    <w:rsid w:val="0069750B"/>
    <w:rsid w:val="00697B7D"/>
    <w:rsid w:val="006A14DF"/>
    <w:rsid w:val="006A269D"/>
    <w:rsid w:val="006A4784"/>
    <w:rsid w:val="006A69B5"/>
    <w:rsid w:val="006A6A73"/>
    <w:rsid w:val="006A7040"/>
    <w:rsid w:val="006B1477"/>
    <w:rsid w:val="006B39C4"/>
    <w:rsid w:val="006B5BC9"/>
    <w:rsid w:val="006B601C"/>
    <w:rsid w:val="006B7398"/>
    <w:rsid w:val="006C018C"/>
    <w:rsid w:val="006C1E13"/>
    <w:rsid w:val="006C2661"/>
    <w:rsid w:val="006C2EC6"/>
    <w:rsid w:val="006C2F4E"/>
    <w:rsid w:val="006C3557"/>
    <w:rsid w:val="006C4B26"/>
    <w:rsid w:val="006C5E3E"/>
    <w:rsid w:val="006C649A"/>
    <w:rsid w:val="006C683C"/>
    <w:rsid w:val="006C6D43"/>
    <w:rsid w:val="006D3545"/>
    <w:rsid w:val="006D74D4"/>
    <w:rsid w:val="006D7F06"/>
    <w:rsid w:val="006E0D7B"/>
    <w:rsid w:val="006E0E35"/>
    <w:rsid w:val="006E46C0"/>
    <w:rsid w:val="006E6351"/>
    <w:rsid w:val="006F1001"/>
    <w:rsid w:val="006F1E4C"/>
    <w:rsid w:val="006F41D2"/>
    <w:rsid w:val="006F42D7"/>
    <w:rsid w:val="006F634E"/>
    <w:rsid w:val="006F673A"/>
    <w:rsid w:val="006F6981"/>
    <w:rsid w:val="006F77D6"/>
    <w:rsid w:val="00700696"/>
    <w:rsid w:val="007010B3"/>
    <w:rsid w:val="00701A66"/>
    <w:rsid w:val="00702965"/>
    <w:rsid w:val="00704577"/>
    <w:rsid w:val="00710040"/>
    <w:rsid w:val="007136A9"/>
    <w:rsid w:val="00716184"/>
    <w:rsid w:val="00716748"/>
    <w:rsid w:val="00716C86"/>
    <w:rsid w:val="00716D36"/>
    <w:rsid w:val="00717A6B"/>
    <w:rsid w:val="00724E19"/>
    <w:rsid w:val="00726062"/>
    <w:rsid w:val="0072642E"/>
    <w:rsid w:val="007312D2"/>
    <w:rsid w:val="0073150C"/>
    <w:rsid w:val="00731D0E"/>
    <w:rsid w:val="00732EB1"/>
    <w:rsid w:val="0073318C"/>
    <w:rsid w:val="00733536"/>
    <w:rsid w:val="00734863"/>
    <w:rsid w:val="00734AB4"/>
    <w:rsid w:val="00734EFC"/>
    <w:rsid w:val="00737A77"/>
    <w:rsid w:val="0074002A"/>
    <w:rsid w:val="00740E5C"/>
    <w:rsid w:val="0074126C"/>
    <w:rsid w:val="00742023"/>
    <w:rsid w:val="0074253D"/>
    <w:rsid w:val="00742682"/>
    <w:rsid w:val="00745B71"/>
    <w:rsid w:val="007461C6"/>
    <w:rsid w:val="007465A6"/>
    <w:rsid w:val="00747EF5"/>
    <w:rsid w:val="00751FD5"/>
    <w:rsid w:val="007526E9"/>
    <w:rsid w:val="00752DF7"/>
    <w:rsid w:val="007547DF"/>
    <w:rsid w:val="00755DF0"/>
    <w:rsid w:val="007604DA"/>
    <w:rsid w:val="007625FF"/>
    <w:rsid w:val="007628AF"/>
    <w:rsid w:val="00763451"/>
    <w:rsid w:val="00763AE4"/>
    <w:rsid w:val="007675DD"/>
    <w:rsid w:val="007705C5"/>
    <w:rsid w:val="00771617"/>
    <w:rsid w:val="00771A5C"/>
    <w:rsid w:val="00772485"/>
    <w:rsid w:val="0077268E"/>
    <w:rsid w:val="00772F78"/>
    <w:rsid w:val="00774D1C"/>
    <w:rsid w:val="0077544C"/>
    <w:rsid w:val="00776B8E"/>
    <w:rsid w:val="0077725E"/>
    <w:rsid w:val="0078031E"/>
    <w:rsid w:val="00780DED"/>
    <w:rsid w:val="00781B81"/>
    <w:rsid w:val="00781DED"/>
    <w:rsid w:val="00784891"/>
    <w:rsid w:val="0078536F"/>
    <w:rsid w:val="007870C4"/>
    <w:rsid w:val="007874B1"/>
    <w:rsid w:val="007908C4"/>
    <w:rsid w:val="007940CF"/>
    <w:rsid w:val="00795871"/>
    <w:rsid w:val="00795AD3"/>
    <w:rsid w:val="00796161"/>
    <w:rsid w:val="007973FE"/>
    <w:rsid w:val="00797B9C"/>
    <w:rsid w:val="00797D1F"/>
    <w:rsid w:val="007A0B58"/>
    <w:rsid w:val="007A1004"/>
    <w:rsid w:val="007A2F9E"/>
    <w:rsid w:val="007A37D4"/>
    <w:rsid w:val="007A4A31"/>
    <w:rsid w:val="007A4FFF"/>
    <w:rsid w:val="007A749C"/>
    <w:rsid w:val="007A75B8"/>
    <w:rsid w:val="007B06EF"/>
    <w:rsid w:val="007B14AD"/>
    <w:rsid w:val="007B1759"/>
    <w:rsid w:val="007B3B05"/>
    <w:rsid w:val="007B3EE0"/>
    <w:rsid w:val="007B4C7F"/>
    <w:rsid w:val="007B578D"/>
    <w:rsid w:val="007B6130"/>
    <w:rsid w:val="007B6749"/>
    <w:rsid w:val="007C0E07"/>
    <w:rsid w:val="007C26EB"/>
    <w:rsid w:val="007C29EC"/>
    <w:rsid w:val="007C4D08"/>
    <w:rsid w:val="007C59F8"/>
    <w:rsid w:val="007C6B54"/>
    <w:rsid w:val="007C6D64"/>
    <w:rsid w:val="007D1663"/>
    <w:rsid w:val="007D2299"/>
    <w:rsid w:val="007D2BE3"/>
    <w:rsid w:val="007D3C5A"/>
    <w:rsid w:val="007D7EE1"/>
    <w:rsid w:val="007E180D"/>
    <w:rsid w:val="007E1C84"/>
    <w:rsid w:val="007E4FAE"/>
    <w:rsid w:val="007E5D8D"/>
    <w:rsid w:val="007E6D9E"/>
    <w:rsid w:val="007F4863"/>
    <w:rsid w:val="007F618F"/>
    <w:rsid w:val="007F65B3"/>
    <w:rsid w:val="007F66EF"/>
    <w:rsid w:val="007F67FA"/>
    <w:rsid w:val="00801516"/>
    <w:rsid w:val="00803047"/>
    <w:rsid w:val="008032D5"/>
    <w:rsid w:val="008047E1"/>
    <w:rsid w:val="00804D95"/>
    <w:rsid w:val="00804DFE"/>
    <w:rsid w:val="0080546B"/>
    <w:rsid w:val="008056B7"/>
    <w:rsid w:val="00806137"/>
    <w:rsid w:val="00810141"/>
    <w:rsid w:val="00811353"/>
    <w:rsid w:val="00811814"/>
    <w:rsid w:val="0081337B"/>
    <w:rsid w:val="00815CE3"/>
    <w:rsid w:val="00816750"/>
    <w:rsid w:val="00816E9E"/>
    <w:rsid w:val="00817360"/>
    <w:rsid w:val="00823EBB"/>
    <w:rsid w:val="008254E1"/>
    <w:rsid w:val="00825D31"/>
    <w:rsid w:val="008267B8"/>
    <w:rsid w:val="008269F1"/>
    <w:rsid w:val="00831411"/>
    <w:rsid w:val="0083223B"/>
    <w:rsid w:val="008354C8"/>
    <w:rsid w:val="00835611"/>
    <w:rsid w:val="00835BBF"/>
    <w:rsid w:val="00836874"/>
    <w:rsid w:val="0083747C"/>
    <w:rsid w:val="008375B6"/>
    <w:rsid w:val="008375CB"/>
    <w:rsid w:val="0084085F"/>
    <w:rsid w:val="00843E5E"/>
    <w:rsid w:val="008442E6"/>
    <w:rsid w:val="008447B1"/>
    <w:rsid w:val="00844EDB"/>
    <w:rsid w:val="00845F10"/>
    <w:rsid w:val="00846975"/>
    <w:rsid w:val="00850ABB"/>
    <w:rsid w:val="00851DFE"/>
    <w:rsid w:val="00852CB5"/>
    <w:rsid w:val="00853157"/>
    <w:rsid w:val="0085351E"/>
    <w:rsid w:val="00854828"/>
    <w:rsid w:val="00855605"/>
    <w:rsid w:val="00855FAA"/>
    <w:rsid w:val="00860E9E"/>
    <w:rsid w:val="00862070"/>
    <w:rsid w:val="0086289E"/>
    <w:rsid w:val="00863187"/>
    <w:rsid w:val="00866382"/>
    <w:rsid w:val="008669C4"/>
    <w:rsid w:val="00866AE5"/>
    <w:rsid w:val="00866B27"/>
    <w:rsid w:val="008672B8"/>
    <w:rsid w:val="00870178"/>
    <w:rsid w:val="00871334"/>
    <w:rsid w:val="00871A50"/>
    <w:rsid w:val="008734C7"/>
    <w:rsid w:val="008745B4"/>
    <w:rsid w:val="00881D51"/>
    <w:rsid w:val="008848CB"/>
    <w:rsid w:val="0088559F"/>
    <w:rsid w:val="00885AF1"/>
    <w:rsid w:val="00886D30"/>
    <w:rsid w:val="008871C6"/>
    <w:rsid w:val="00887919"/>
    <w:rsid w:val="00890EDF"/>
    <w:rsid w:val="00895B11"/>
    <w:rsid w:val="008A0942"/>
    <w:rsid w:val="008A2592"/>
    <w:rsid w:val="008A5D98"/>
    <w:rsid w:val="008B23F1"/>
    <w:rsid w:val="008B4258"/>
    <w:rsid w:val="008B48C5"/>
    <w:rsid w:val="008B4D06"/>
    <w:rsid w:val="008B5727"/>
    <w:rsid w:val="008B71C4"/>
    <w:rsid w:val="008B7C3D"/>
    <w:rsid w:val="008C078C"/>
    <w:rsid w:val="008C1F6A"/>
    <w:rsid w:val="008C4F86"/>
    <w:rsid w:val="008C609D"/>
    <w:rsid w:val="008C7500"/>
    <w:rsid w:val="008C766E"/>
    <w:rsid w:val="008D05D9"/>
    <w:rsid w:val="008D1DFF"/>
    <w:rsid w:val="008D516A"/>
    <w:rsid w:val="008D65D0"/>
    <w:rsid w:val="008D6605"/>
    <w:rsid w:val="008D727A"/>
    <w:rsid w:val="008E0B21"/>
    <w:rsid w:val="008E25B7"/>
    <w:rsid w:val="008E3C56"/>
    <w:rsid w:val="008E5C04"/>
    <w:rsid w:val="008E5EEC"/>
    <w:rsid w:val="008E6500"/>
    <w:rsid w:val="008E6D03"/>
    <w:rsid w:val="008F0487"/>
    <w:rsid w:val="008F17E3"/>
    <w:rsid w:val="008F2414"/>
    <w:rsid w:val="008F31B3"/>
    <w:rsid w:val="008F3804"/>
    <w:rsid w:val="009029EF"/>
    <w:rsid w:val="0090447F"/>
    <w:rsid w:val="009047AD"/>
    <w:rsid w:val="00904CA5"/>
    <w:rsid w:val="0090646C"/>
    <w:rsid w:val="009104BA"/>
    <w:rsid w:val="00910B05"/>
    <w:rsid w:val="00910E3D"/>
    <w:rsid w:val="00911A52"/>
    <w:rsid w:val="00912AFA"/>
    <w:rsid w:val="009131EC"/>
    <w:rsid w:val="009159D7"/>
    <w:rsid w:val="00916718"/>
    <w:rsid w:val="009170E1"/>
    <w:rsid w:val="00917B17"/>
    <w:rsid w:val="00921389"/>
    <w:rsid w:val="00922B95"/>
    <w:rsid w:val="00924C21"/>
    <w:rsid w:val="009257A7"/>
    <w:rsid w:val="00934BAC"/>
    <w:rsid w:val="009364DD"/>
    <w:rsid w:val="00937366"/>
    <w:rsid w:val="00940A3E"/>
    <w:rsid w:val="009410B5"/>
    <w:rsid w:val="009426FD"/>
    <w:rsid w:val="0094347E"/>
    <w:rsid w:val="009440D2"/>
    <w:rsid w:val="00945618"/>
    <w:rsid w:val="00946587"/>
    <w:rsid w:val="00946CCB"/>
    <w:rsid w:val="00947415"/>
    <w:rsid w:val="00947C26"/>
    <w:rsid w:val="00950A22"/>
    <w:rsid w:val="00951B88"/>
    <w:rsid w:val="00952595"/>
    <w:rsid w:val="009558B2"/>
    <w:rsid w:val="00956A71"/>
    <w:rsid w:val="00957CF9"/>
    <w:rsid w:val="00960B4F"/>
    <w:rsid w:val="00960F2C"/>
    <w:rsid w:val="009619E8"/>
    <w:rsid w:val="00962557"/>
    <w:rsid w:val="009630B7"/>
    <w:rsid w:val="00964F9C"/>
    <w:rsid w:val="0096573C"/>
    <w:rsid w:val="009669B8"/>
    <w:rsid w:val="00966B77"/>
    <w:rsid w:val="00966FA6"/>
    <w:rsid w:val="00967687"/>
    <w:rsid w:val="00970342"/>
    <w:rsid w:val="0097252A"/>
    <w:rsid w:val="00972C29"/>
    <w:rsid w:val="00973C55"/>
    <w:rsid w:val="00973FBB"/>
    <w:rsid w:val="00975407"/>
    <w:rsid w:val="00975C05"/>
    <w:rsid w:val="009775AB"/>
    <w:rsid w:val="00980605"/>
    <w:rsid w:val="00980A37"/>
    <w:rsid w:val="0098191E"/>
    <w:rsid w:val="00981F75"/>
    <w:rsid w:val="00982000"/>
    <w:rsid w:val="0098225C"/>
    <w:rsid w:val="00983CE4"/>
    <w:rsid w:val="00983F97"/>
    <w:rsid w:val="0098469B"/>
    <w:rsid w:val="00984DE5"/>
    <w:rsid w:val="00990354"/>
    <w:rsid w:val="00990B3A"/>
    <w:rsid w:val="00990E5D"/>
    <w:rsid w:val="009921FB"/>
    <w:rsid w:val="009940D9"/>
    <w:rsid w:val="0099551A"/>
    <w:rsid w:val="00995DD6"/>
    <w:rsid w:val="009964B6"/>
    <w:rsid w:val="00996512"/>
    <w:rsid w:val="00997279"/>
    <w:rsid w:val="00997D10"/>
    <w:rsid w:val="009A0769"/>
    <w:rsid w:val="009A1059"/>
    <w:rsid w:val="009A1709"/>
    <w:rsid w:val="009A43FB"/>
    <w:rsid w:val="009A557F"/>
    <w:rsid w:val="009B0773"/>
    <w:rsid w:val="009B11F2"/>
    <w:rsid w:val="009B1C2B"/>
    <w:rsid w:val="009B6107"/>
    <w:rsid w:val="009B797D"/>
    <w:rsid w:val="009C1B69"/>
    <w:rsid w:val="009C2355"/>
    <w:rsid w:val="009C2B96"/>
    <w:rsid w:val="009C3171"/>
    <w:rsid w:val="009C5C82"/>
    <w:rsid w:val="009D008D"/>
    <w:rsid w:val="009D28C0"/>
    <w:rsid w:val="009D3F5D"/>
    <w:rsid w:val="009D4089"/>
    <w:rsid w:val="009D4594"/>
    <w:rsid w:val="009D4E09"/>
    <w:rsid w:val="009D4F0C"/>
    <w:rsid w:val="009D5A3A"/>
    <w:rsid w:val="009D5FD0"/>
    <w:rsid w:val="009D6F99"/>
    <w:rsid w:val="009D782F"/>
    <w:rsid w:val="009E0094"/>
    <w:rsid w:val="009E05EF"/>
    <w:rsid w:val="009E528E"/>
    <w:rsid w:val="009E55E3"/>
    <w:rsid w:val="009E6C0B"/>
    <w:rsid w:val="009F0C38"/>
    <w:rsid w:val="009F4699"/>
    <w:rsid w:val="009F47D4"/>
    <w:rsid w:val="009F5C2C"/>
    <w:rsid w:val="009F641A"/>
    <w:rsid w:val="009F6C02"/>
    <w:rsid w:val="00A00975"/>
    <w:rsid w:val="00A00B05"/>
    <w:rsid w:val="00A00E72"/>
    <w:rsid w:val="00A010E5"/>
    <w:rsid w:val="00A03045"/>
    <w:rsid w:val="00A038B2"/>
    <w:rsid w:val="00A03A16"/>
    <w:rsid w:val="00A03A28"/>
    <w:rsid w:val="00A05261"/>
    <w:rsid w:val="00A05E3A"/>
    <w:rsid w:val="00A063A5"/>
    <w:rsid w:val="00A06578"/>
    <w:rsid w:val="00A101E4"/>
    <w:rsid w:val="00A11B10"/>
    <w:rsid w:val="00A13084"/>
    <w:rsid w:val="00A14483"/>
    <w:rsid w:val="00A1492C"/>
    <w:rsid w:val="00A20398"/>
    <w:rsid w:val="00A21423"/>
    <w:rsid w:val="00A2354F"/>
    <w:rsid w:val="00A24828"/>
    <w:rsid w:val="00A260BB"/>
    <w:rsid w:val="00A26A40"/>
    <w:rsid w:val="00A27229"/>
    <w:rsid w:val="00A31E06"/>
    <w:rsid w:val="00A32561"/>
    <w:rsid w:val="00A33559"/>
    <w:rsid w:val="00A343FB"/>
    <w:rsid w:val="00A409D3"/>
    <w:rsid w:val="00A447FF"/>
    <w:rsid w:val="00A45E96"/>
    <w:rsid w:val="00A47EC9"/>
    <w:rsid w:val="00A530B8"/>
    <w:rsid w:val="00A5316A"/>
    <w:rsid w:val="00A53ACE"/>
    <w:rsid w:val="00A552AF"/>
    <w:rsid w:val="00A55F35"/>
    <w:rsid w:val="00A56381"/>
    <w:rsid w:val="00A56981"/>
    <w:rsid w:val="00A576E0"/>
    <w:rsid w:val="00A57ED1"/>
    <w:rsid w:val="00A60323"/>
    <w:rsid w:val="00A61528"/>
    <w:rsid w:val="00A61DD9"/>
    <w:rsid w:val="00A6225C"/>
    <w:rsid w:val="00A632C4"/>
    <w:rsid w:val="00A63619"/>
    <w:rsid w:val="00A64995"/>
    <w:rsid w:val="00A64B31"/>
    <w:rsid w:val="00A67878"/>
    <w:rsid w:val="00A70874"/>
    <w:rsid w:val="00A712BD"/>
    <w:rsid w:val="00A73528"/>
    <w:rsid w:val="00A7412E"/>
    <w:rsid w:val="00A7708B"/>
    <w:rsid w:val="00A81B3A"/>
    <w:rsid w:val="00A822FE"/>
    <w:rsid w:val="00A83D78"/>
    <w:rsid w:val="00A8471C"/>
    <w:rsid w:val="00A84A8D"/>
    <w:rsid w:val="00A86C8B"/>
    <w:rsid w:val="00A907FF"/>
    <w:rsid w:val="00A932E1"/>
    <w:rsid w:val="00A938AF"/>
    <w:rsid w:val="00AA0A30"/>
    <w:rsid w:val="00AA1E44"/>
    <w:rsid w:val="00AA2428"/>
    <w:rsid w:val="00AA3D15"/>
    <w:rsid w:val="00AA4168"/>
    <w:rsid w:val="00AA455B"/>
    <w:rsid w:val="00AA7569"/>
    <w:rsid w:val="00AB4860"/>
    <w:rsid w:val="00AB6DC6"/>
    <w:rsid w:val="00AC4422"/>
    <w:rsid w:val="00AC56BB"/>
    <w:rsid w:val="00AC6381"/>
    <w:rsid w:val="00AC671C"/>
    <w:rsid w:val="00AC7A45"/>
    <w:rsid w:val="00AC7B89"/>
    <w:rsid w:val="00AD0151"/>
    <w:rsid w:val="00AD18B8"/>
    <w:rsid w:val="00AD218F"/>
    <w:rsid w:val="00AD2B4F"/>
    <w:rsid w:val="00AD2C98"/>
    <w:rsid w:val="00AD2E8A"/>
    <w:rsid w:val="00AD55DE"/>
    <w:rsid w:val="00AE02E5"/>
    <w:rsid w:val="00AE08DB"/>
    <w:rsid w:val="00AE1321"/>
    <w:rsid w:val="00AE2408"/>
    <w:rsid w:val="00AE393B"/>
    <w:rsid w:val="00AE4481"/>
    <w:rsid w:val="00AE4967"/>
    <w:rsid w:val="00AE6595"/>
    <w:rsid w:val="00AE65B8"/>
    <w:rsid w:val="00AE6F4A"/>
    <w:rsid w:val="00AF022A"/>
    <w:rsid w:val="00AF1338"/>
    <w:rsid w:val="00AF25B6"/>
    <w:rsid w:val="00AF2EBA"/>
    <w:rsid w:val="00AF339D"/>
    <w:rsid w:val="00AF3EB2"/>
    <w:rsid w:val="00AF41B8"/>
    <w:rsid w:val="00AF4874"/>
    <w:rsid w:val="00AF5804"/>
    <w:rsid w:val="00AF5E77"/>
    <w:rsid w:val="00AF5F4D"/>
    <w:rsid w:val="00AF618B"/>
    <w:rsid w:val="00AF6DAD"/>
    <w:rsid w:val="00B00778"/>
    <w:rsid w:val="00B00FC6"/>
    <w:rsid w:val="00B16B23"/>
    <w:rsid w:val="00B24D7F"/>
    <w:rsid w:val="00B2592E"/>
    <w:rsid w:val="00B25E8D"/>
    <w:rsid w:val="00B26931"/>
    <w:rsid w:val="00B30375"/>
    <w:rsid w:val="00B339DE"/>
    <w:rsid w:val="00B3404E"/>
    <w:rsid w:val="00B36629"/>
    <w:rsid w:val="00B36C2E"/>
    <w:rsid w:val="00B404C4"/>
    <w:rsid w:val="00B419B1"/>
    <w:rsid w:val="00B41CEB"/>
    <w:rsid w:val="00B43489"/>
    <w:rsid w:val="00B47621"/>
    <w:rsid w:val="00B55CCF"/>
    <w:rsid w:val="00B60C9F"/>
    <w:rsid w:val="00B610E6"/>
    <w:rsid w:val="00B6118A"/>
    <w:rsid w:val="00B61822"/>
    <w:rsid w:val="00B61E21"/>
    <w:rsid w:val="00B62EB2"/>
    <w:rsid w:val="00B644F2"/>
    <w:rsid w:val="00B65E4A"/>
    <w:rsid w:val="00B67154"/>
    <w:rsid w:val="00B70A08"/>
    <w:rsid w:val="00B70FA6"/>
    <w:rsid w:val="00B7166A"/>
    <w:rsid w:val="00B739E3"/>
    <w:rsid w:val="00B7545A"/>
    <w:rsid w:val="00B756BA"/>
    <w:rsid w:val="00B77BC4"/>
    <w:rsid w:val="00B80FE8"/>
    <w:rsid w:val="00B82D7F"/>
    <w:rsid w:val="00B83F68"/>
    <w:rsid w:val="00B84050"/>
    <w:rsid w:val="00B84482"/>
    <w:rsid w:val="00B86754"/>
    <w:rsid w:val="00B87191"/>
    <w:rsid w:val="00B907C7"/>
    <w:rsid w:val="00B916CC"/>
    <w:rsid w:val="00B91B0E"/>
    <w:rsid w:val="00B91F73"/>
    <w:rsid w:val="00B930EF"/>
    <w:rsid w:val="00B954C0"/>
    <w:rsid w:val="00BA0D64"/>
    <w:rsid w:val="00BA1D97"/>
    <w:rsid w:val="00BA3887"/>
    <w:rsid w:val="00BA4998"/>
    <w:rsid w:val="00BA68D3"/>
    <w:rsid w:val="00BA6D3D"/>
    <w:rsid w:val="00BA74D6"/>
    <w:rsid w:val="00BB0C44"/>
    <w:rsid w:val="00BB1213"/>
    <w:rsid w:val="00BB197D"/>
    <w:rsid w:val="00BB2AF2"/>
    <w:rsid w:val="00BB3294"/>
    <w:rsid w:val="00BB5381"/>
    <w:rsid w:val="00BB58D8"/>
    <w:rsid w:val="00BB5A9F"/>
    <w:rsid w:val="00BB5C2F"/>
    <w:rsid w:val="00BC0B0D"/>
    <w:rsid w:val="00BC2CCA"/>
    <w:rsid w:val="00BC3F9B"/>
    <w:rsid w:val="00BC73FC"/>
    <w:rsid w:val="00BD208D"/>
    <w:rsid w:val="00BD2B6F"/>
    <w:rsid w:val="00BD2FD8"/>
    <w:rsid w:val="00BD31C7"/>
    <w:rsid w:val="00BD66A6"/>
    <w:rsid w:val="00BD7009"/>
    <w:rsid w:val="00BE2DB1"/>
    <w:rsid w:val="00BE34F6"/>
    <w:rsid w:val="00BE447E"/>
    <w:rsid w:val="00BE64F0"/>
    <w:rsid w:val="00BF0447"/>
    <w:rsid w:val="00BF122C"/>
    <w:rsid w:val="00BF259E"/>
    <w:rsid w:val="00BF4C53"/>
    <w:rsid w:val="00BF527B"/>
    <w:rsid w:val="00BF56AC"/>
    <w:rsid w:val="00BF645D"/>
    <w:rsid w:val="00C0097C"/>
    <w:rsid w:val="00C0254D"/>
    <w:rsid w:val="00C02F41"/>
    <w:rsid w:val="00C035D3"/>
    <w:rsid w:val="00C04D8A"/>
    <w:rsid w:val="00C05744"/>
    <w:rsid w:val="00C106B8"/>
    <w:rsid w:val="00C12AD4"/>
    <w:rsid w:val="00C12B6A"/>
    <w:rsid w:val="00C133E3"/>
    <w:rsid w:val="00C14CA4"/>
    <w:rsid w:val="00C16B00"/>
    <w:rsid w:val="00C25039"/>
    <w:rsid w:val="00C25339"/>
    <w:rsid w:val="00C259D7"/>
    <w:rsid w:val="00C25F63"/>
    <w:rsid w:val="00C264AD"/>
    <w:rsid w:val="00C31CE7"/>
    <w:rsid w:val="00C31D8B"/>
    <w:rsid w:val="00C3478D"/>
    <w:rsid w:val="00C34BD3"/>
    <w:rsid w:val="00C40190"/>
    <w:rsid w:val="00C42AA2"/>
    <w:rsid w:val="00C42FE6"/>
    <w:rsid w:val="00C42FFC"/>
    <w:rsid w:val="00C445A8"/>
    <w:rsid w:val="00C445D3"/>
    <w:rsid w:val="00C44D84"/>
    <w:rsid w:val="00C45260"/>
    <w:rsid w:val="00C453C0"/>
    <w:rsid w:val="00C4576B"/>
    <w:rsid w:val="00C5024B"/>
    <w:rsid w:val="00C50543"/>
    <w:rsid w:val="00C52A08"/>
    <w:rsid w:val="00C5349B"/>
    <w:rsid w:val="00C541B6"/>
    <w:rsid w:val="00C61D09"/>
    <w:rsid w:val="00C64AAA"/>
    <w:rsid w:val="00C6525A"/>
    <w:rsid w:val="00C66BAD"/>
    <w:rsid w:val="00C704DF"/>
    <w:rsid w:val="00C75CCB"/>
    <w:rsid w:val="00C75D83"/>
    <w:rsid w:val="00C7605C"/>
    <w:rsid w:val="00C76FE7"/>
    <w:rsid w:val="00C77B6C"/>
    <w:rsid w:val="00C77D60"/>
    <w:rsid w:val="00C818B5"/>
    <w:rsid w:val="00C826C3"/>
    <w:rsid w:val="00C837F7"/>
    <w:rsid w:val="00C83B09"/>
    <w:rsid w:val="00C847F8"/>
    <w:rsid w:val="00C855FB"/>
    <w:rsid w:val="00C90584"/>
    <w:rsid w:val="00C91340"/>
    <w:rsid w:val="00C91792"/>
    <w:rsid w:val="00C91983"/>
    <w:rsid w:val="00C91E8E"/>
    <w:rsid w:val="00C936A0"/>
    <w:rsid w:val="00C94F2A"/>
    <w:rsid w:val="00C95C17"/>
    <w:rsid w:val="00C95FE2"/>
    <w:rsid w:val="00C961E1"/>
    <w:rsid w:val="00C96437"/>
    <w:rsid w:val="00C97CAB"/>
    <w:rsid w:val="00CA0580"/>
    <w:rsid w:val="00CA0EE1"/>
    <w:rsid w:val="00CA2E52"/>
    <w:rsid w:val="00CA3B37"/>
    <w:rsid w:val="00CA485D"/>
    <w:rsid w:val="00CA62C2"/>
    <w:rsid w:val="00CB048E"/>
    <w:rsid w:val="00CB1C67"/>
    <w:rsid w:val="00CB68BA"/>
    <w:rsid w:val="00CC28F2"/>
    <w:rsid w:val="00CC447C"/>
    <w:rsid w:val="00CC7C22"/>
    <w:rsid w:val="00CD05C7"/>
    <w:rsid w:val="00CD29A9"/>
    <w:rsid w:val="00CD488E"/>
    <w:rsid w:val="00CD49F9"/>
    <w:rsid w:val="00CD4F4D"/>
    <w:rsid w:val="00CD5ADA"/>
    <w:rsid w:val="00CD5AE6"/>
    <w:rsid w:val="00CD6813"/>
    <w:rsid w:val="00CD6BAA"/>
    <w:rsid w:val="00CD71F5"/>
    <w:rsid w:val="00CD7769"/>
    <w:rsid w:val="00CD7E57"/>
    <w:rsid w:val="00CE13A1"/>
    <w:rsid w:val="00CE21B2"/>
    <w:rsid w:val="00CE2585"/>
    <w:rsid w:val="00CE2638"/>
    <w:rsid w:val="00CE28A7"/>
    <w:rsid w:val="00CE44A6"/>
    <w:rsid w:val="00CE46E3"/>
    <w:rsid w:val="00CE4968"/>
    <w:rsid w:val="00CE50D3"/>
    <w:rsid w:val="00CE6B0E"/>
    <w:rsid w:val="00CE6FBC"/>
    <w:rsid w:val="00CE710B"/>
    <w:rsid w:val="00CE7BE9"/>
    <w:rsid w:val="00CE7DFD"/>
    <w:rsid w:val="00CE7E5F"/>
    <w:rsid w:val="00CF04E4"/>
    <w:rsid w:val="00CF14A3"/>
    <w:rsid w:val="00CF14FA"/>
    <w:rsid w:val="00CF45A9"/>
    <w:rsid w:val="00CF4C38"/>
    <w:rsid w:val="00CF7847"/>
    <w:rsid w:val="00D00254"/>
    <w:rsid w:val="00D01D4F"/>
    <w:rsid w:val="00D02EEA"/>
    <w:rsid w:val="00D03161"/>
    <w:rsid w:val="00D03936"/>
    <w:rsid w:val="00D043ED"/>
    <w:rsid w:val="00D05D74"/>
    <w:rsid w:val="00D06A33"/>
    <w:rsid w:val="00D11B1C"/>
    <w:rsid w:val="00D13757"/>
    <w:rsid w:val="00D13A62"/>
    <w:rsid w:val="00D14CCB"/>
    <w:rsid w:val="00D17AE4"/>
    <w:rsid w:val="00D17E92"/>
    <w:rsid w:val="00D21301"/>
    <w:rsid w:val="00D24157"/>
    <w:rsid w:val="00D245EC"/>
    <w:rsid w:val="00D24CC6"/>
    <w:rsid w:val="00D25200"/>
    <w:rsid w:val="00D2568D"/>
    <w:rsid w:val="00D3240C"/>
    <w:rsid w:val="00D34AA1"/>
    <w:rsid w:val="00D37C6D"/>
    <w:rsid w:val="00D40558"/>
    <w:rsid w:val="00D4153A"/>
    <w:rsid w:val="00D41B82"/>
    <w:rsid w:val="00D44340"/>
    <w:rsid w:val="00D44686"/>
    <w:rsid w:val="00D451C9"/>
    <w:rsid w:val="00D470B7"/>
    <w:rsid w:val="00D51BE7"/>
    <w:rsid w:val="00D52671"/>
    <w:rsid w:val="00D52735"/>
    <w:rsid w:val="00D54D28"/>
    <w:rsid w:val="00D56269"/>
    <w:rsid w:val="00D56760"/>
    <w:rsid w:val="00D57A85"/>
    <w:rsid w:val="00D57FC4"/>
    <w:rsid w:val="00D61028"/>
    <w:rsid w:val="00D656DE"/>
    <w:rsid w:val="00D707BE"/>
    <w:rsid w:val="00D70F3B"/>
    <w:rsid w:val="00D71797"/>
    <w:rsid w:val="00D718A1"/>
    <w:rsid w:val="00D726CB"/>
    <w:rsid w:val="00D7322F"/>
    <w:rsid w:val="00D73481"/>
    <w:rsid w:val="00D757D6"/>
    <w:rsid w:val="00D812B6"/>
    <w:rsid w:val="00D819C8"/>
    <w:rsid w:val="00D8228A"/>
    <w:rsid w:val="00D8284F"/>
    <w:rsid w:val="00D842D0"/>
    <w:rsid w:val="00D91728"/>
    <w:rsid w:val="00D91FAB"/>
    <w:rsid w:val="00D92822"/>
    <w:rsid w:val="00D937E5"/>
    <w:rsid w:val="00D9414F"/>
    <w:rsid w:val="00D94221"/>
    <w:rsid w:val="00D950A8"/>
    <w:rsid w:val="00D97082"/>
    <w:rsid w:val="00D97FE5"/>
    <w:rsid w:val="00DA0C59"/>
    <w:rsid w:val="00DA164F"/>
    <w:rsid w:val="00DA2315"/>
    <w:rsid w:val="00DA4786"/>
    <w:rsid w:val="00DA4B6A"/>
    <w:rsid w:val="00DA5F9B"/>
    <w:rsid w:val="00DB08EC"/>
    <w:rsid w:val="00DB2797"/>
    <w:rsid w:val="00DB5597"/>
    <w:rsid w:val="00DB60EB"/>
    <w:rsid w:val="00DB6490"/>
    <w:rsid w:val="00DB68C8"/>
    <w:rsid w:val="00DB722F"/>
    <w:rsid w:val="00DB756D"/>
    <w:rsid w:val="00DC157B"/>
    <w:rsid w:val="00DC1B61"/>
    <w:rsid w:val="00DC214E"/>
    <w:rsid w:val="00DC347E"/>
    <w:rsid w:val="00DC357C"/>
    <w:rsid w:val="00DC3B1A"/>
    <w:rsid w:val="00DC4688"/>
    <w:rsid w:val="00DC4D6D"/>
    <w:rsid w:val="00DC530C"/>
    <w:rsid w:val="00DC7BC8"/>
    <w:rsid w:val="00DC7DD4"/>
    <w:rsid w:val="00DD078C"/>
    <w:rsid w:val="00DD1CBE"/>
    <w:rsid w:val="00DD44BD"/>
    <w:rsid w:val="00DD4A5A"/>
    <w:rsid w:val="00DD4CB9"/>
    <w:rsid w:val="00DD4F0D"/>
    <w:rsid w:val="00DD5488"/>
    <w:rsid w:val="00DD5C11"/>
    <w:rsid w:val="00DE2377"/>
    <w:rsid w:val="00DE391A"/>
    <w:rsid w:val="00DE53C4"/>
    <w:rsid w:val="00DE5C80"/>
    <w:rsid w:val="00DE668E"/>
    <w:rsid w:val="00DF04B1"/>
    <w:rsid w:val="00DF111F"/>
    <w:rsid w:val="00DF3888"/>
    <w:rsid w:val="00DF59DD"/>
    <w:rsid w:val="00DF5DF7"/>
    <w:rsid w:val="00DF6373"/>
    <w:rsid w:val="00DF6988"/>
    <w:rsid w:val="00E00251"/>
    <w:rsid w:val="00E00C77"/>
    <w:rsid w:val="00E12429"/>
    <w:rsid w:val="00E14E63"/>
    <w:rsid w:val="00E20159"/>
    <w:rsid w:val="00E20D70"/>
    <w:rsid w:val="00E21324"/>
    <w:rsid w:val="00E213F9"/>
    <w:rsid w:val="00E214C6"/>
    <w:rsid w:val="00E21BA9"/>
    <w:rsid w:val="00E225BF"/>
    <w:rsid w:val="00E22C24"/>
    <w:rsid w:val="00E31A17"/>
    <w:rsid w:val="00E407AD"/>
    <w:rsid w:val="00E41645"/>
    <w:rsid w:val="00E441ED"/>
    <w:rsid w:val="00E47435"/>
    <w:rsid w:val="00E526BC"/>
    <w:rsid w:val="00E5317D"/>
    <w:rsid w:val="00E53DB6"/>
    <w:rsid w:val="00E54C39"/>
    <w:rsid w:val="00E56758"/>
    <w:rsid w:val="00E56A2C"/>
    <w:rsid w:val="00E6117C"/>
    <w:rsid w:val="00E62714"/>
    <w:rsid w:val="00E64B6F"/>
    <w:rsid w:val="00E6561E"/>
    <w:rsid w:val="00E65C7A"/>
    <w:rsid w:val="00E71554"/>
    <w:rsid w:val="00E7298A"/>
    <w:rsid w:val="00E72FE3"/>
    <w:rsid w:val="00E75D43"/>
    <w:rsid w:val="00E75E1A"/>
    <w:rsid w:val="00E77E3D"/>
    <w:rsid w:val="00E809D5"/>
    <w:rsid w:val="00E83B6C"/>
    <w:rsid w:val="00E85898"/>
    <w:rsid w:val="00E868D0"/>
    <w:rsid w:val="00E90741"/>
    <w:rsid w:val="00E90DA4"/>
    <w:rsid w:val="00E959D7"/>
    <w:rsid w:val="00E96BDA"/>
    <w:rsid w:val="00E96F0A"/>
    <w:rsid w:val="00E97231"/>
    <w:rsid w:val="00E97712"/>
    <w:rsid w:val="00EA2802"/>
    <w:rsid w:val="00EA33AF"/>
    <w:rsid w:val="00EA39A9"/>
    <w:rsid w:val="00EA4E4C"/>
    <w:rsid w:val="00EA4EF7"/>
    <w:rsid w:val="00EA5305"/>
    <w:rsid w:val="00EA5E75"/>
    <w:rsid w:val="00EA78BE"/>
    <w:rsid w:val="00EB13C6"/>
    <w:rsid w:val="00EB15D1"/>
    <w:rsid w:val="00EB3286"/>
    <w:rsid w:val="00EB353E"/>
    <w:rsid w:val="00EB590A"/>
    <w:rsid w:val="00EB6769"/>
    <w:rsid w:val="00EC1D87"/>
    <w:rsid w:val="00EC3C16"/>
    <w:rsid w:val="00EC3F06"/>
    <w:rsid w:val="00EC5DEA"/>
    <w:rsid w:val="00EC6623"/>
    <w:rsid w:val="00EC6D03"/>
    <w:rsid w:val="00EC6F15"/>
    <w:rsid w:val="00ED164A"/>
    <w:rsid w:val="00ED2CD2"/>
    <w:rsid w:val="00ED2FB7"/>
    <w:rsid w:val="00ED3043"/>
    <w:rsid w:val="00ED3380"/>
    <w:rsid w:val="00ED637E"/>
    <w:rsid w:val="00ED71E0"/>
    <w:rsid w:val="00ED73BE"/>
    <w:rsid w:val="00ED7720"/>
    <w:rsid w:val="00EE15F2"/>
    <w:rsid w:val="00EE40F2"/>
    <w:rsid w:val="00EE421F"/>
    <w:rsid w:val="00EE43D7"/>
    <w:rsid w:val="00EE4E38"/>
    <w:rsid w:val="00EE64DC"/>
    <w:rsid w:val="00EE65CF"/>
    <w:rsid w:val="00EE793F"/>
    <w:rsid w:val="00EF1232"/>
    <w:rsid w:val="00EF13E3"/>
    <w:rsid w:val="00EF21C2"/>
    <w:rsid w:val="00EF6FDC"/>
    <w:rsid w:val="00F00969"/>
    <w:rsid w:val="00F104B7"/>
    <w:rsid w:val="00F10A38"/>
    <w:rsid w:val="00F11FFD"/>
    <w:rsid w:val="00F14F2E"/>
    <w:rsid w:val="00F203E3"/>
    <w:rsid w:val="00F2073F"/>
    <w:rsid w:val="00F20B88"/>
    <w:rsid w:val="00F21A1C"/>
    <w:rsid w:val="00F23342"/>
    <w:rsid w:val="00F244CD"/>
    <w:rsid w:val="00F24672"/>
    <w:rsid w:val="00F24D09"/>
    <w:rsid w:val="00F2532F"/>
    <w:rsid w:val="00F26B50"/>
    <w:rsid w:val="00F27901"/>
    <w:rsid w:val="00F3156D"/>
    <w:rsid w:val="00F31FC6"/>
    <w:rsid w:val="00F32955"/>
    <w:rsid w:val="00F346EB"/>
    <w:rsid w:val="00F3777B"/>
    <w:rsid w:val="00F37E87"/>
    <w:rsid w:val="00F404FA"/>
    <w:rsid w:val="00F4198B"/>
    <w:rsid w:val="00F423BF"/>
    <w:rsid w:val="00F42991"/>
    <w:rsid w:val="00F42FA4"/>
    <w:rsid w:val="00F435AF"/>
    <w:rsid w:val="00F4385E"/>
    <w:rsid w:val="00F43BF6"/>
    <w:rsid w:val="00F442C6"/>
    <w:rsid w:val="00F478EF"/>
    <w:rsid w:val="00F500CB"/>
    <w:rsid w:val="00F5360B"/>
    <w:rsid w:val="00F56A22"/>
    <w:rsid w:val="00F571DB"/>
    <w:rsid w:val="00F6008B"/>
    <w:rsid w:val="00F60206"/>
    <w:rsid w:val="00F61782"/>
    <w:rsid w:val="00F6629E"/>
    <w:rsid w:val="00F6650D"/>
    <w:rsid w:val="00F665E8"/>
    <w:rsid w:val="00F66D8E"/>
    <w:rsid w:val="00F67524"/>
    <w:rsid w:val="00F706E4"/>
    <w:rsid w:val="00F70F34"/>
    <w:rsid w:val="00F715F1"/>
    <w:rsid w:val="00F73436"/>
    <w:rsid w:val="00F73CEA"/>
    <w:rsid w:val="00F74596"/>
    <w:rsid w:val="00F74DEC"/>
    <w:rsid w:val="00F81B3B"/>
    <w:rsid w:val="00F82954"/>
    <w:rsid w:val="00F83162"/>
    <w:rsid w:val="00F86F9D"/>
    <w:rsid w:val="00F901E8"/>
    <w:rsid w:val="00F91978"/>
    <w:rsid w:val="00F92060"/>
    <w:rsid w:val="00F92E36"/>
    <w:rsid w:val="00F96AAF"/>
    <w:rsid w:val="00F97CDC"/>
    <w:rsid w:val="00FA06C0"/>
    <w:rsid w:val="00FA1934"/>
    <w:rsid w:val="00FA4CF9"/>
    <w:rsid w:val="00FA633A"/>
    <w:rsid w:val="00FA7305"/>
    <w:rsid w:val="00FB06C8"/>
    <w:rsid w:val="00FB1856"/>
    <w:rsid w:val="00FB1954"/>
    <w:rsid w:val="00FB19EC"/>
    <w:rsid w:val="00FB1DEA"/>
    <w:rsid w:val="00FB28DB"/>
    <w:rsid w:val="00FB2EED"/>
    <w:rsid w:val="00FB58E5"/>
    <w:rsid w:val="00FB728A"/>
    <w:rsid w:val="00FB7C10"/>
    <w:rsid w:val="00FB7EF0"/>
    <w:rsid w:val="00FC034F"/>
    <w:rsid w:val="00FC425E"/>
    <w:rsid w:val="00FC522B"/>
    <w:rsid w:val="00FC5BFB"/>
    <w:rsid w:val="00FC61EE"/>
    <w:rsid w:val="00FC7A51"/>
    <w:rsid w:val="00FD045C"/>
    <w:rsid w:val="00FD2587"/>
    <w:rsid w:val="00FD26B5"/>
    <w:rsid w:val="00FD5675"/>
    <w:rsid w:val="00FD6F89"/>
    <w:rsid w:val="00FD781B"/>
    <w:rsid w:val="00FE0294"/>
    <w:rsid w:val="00FE029D"/>
    <w:rsid w:val="00FE040C"/>
    <w:rsid w:val="00FE0F12"/>
    <w:rsid w:val="00FE141D"/>
    <w:rsid w:val="00FE16EE"/>
    <w:rsid w:val="00FE2646"/>
    <w:rsid w:val="00FE33BD"/>
    <w:rsid w:val="00FE449A"/>
    <w:rsid w:val="00FE631B"/>
    <w:rsid w:val="00FE6922"/>
    <w:rsid w:val="00FE7D98"/>
    <w:rsid w:val="00FF1392"/>
    <w:rsid w:val="00FF311F"/>
    <w:rsid w:val="00FF3C46"/>
    <w:rsid w:val="00FF408A"/>
    <w:rsid w:val="00FF453F"/>
    <w:rsid w:val="00FF4BEE"/>
    <w:rsid w:val="00FF7DB8"/>
    <w:rsid w:val="21C95F25"/>
    <w:rsid w:val="27246CE6"/>
    <w:rsid w:val="2B995827"/>
    <w:rsid w:val="3E74496E"/>
    <w:rsid w:val="40212E80"/>
    <w:rsid w:val="528F086B"/>
    <w:rsid w:val="56BF02F4"/>
    <w:rsid w:val="5F9F1B3B"/>
    <w:rsid w:val="77663E0B"/>
    <w:rsid w:val="7B7C46E7"/>
    <w:rsid w:val="7E627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99"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semiHidden="0" w:name="Table Elegant"/>
    <w:lsdException w:uiPriority="99"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460" w:lineRule="exact"/>
      <w:ind w:firstLine="200" w:firstLineChars="200"/>
      <w:jc w:val="both"/>
    </w:pPr>
    <w:rPr>
      <w:rFonts w:ascii="Times New Roman" w:hAnsi="Times New Roman" w:eastAsia="宋体" w:cs="Times New Roman"/>
      <w:snapToGrid w:val="0"/>
      <w:sz w:val="26"/>
      <w:szCs w:val="24"/>
      <w:lang w:val="en-US" w:eastAsia="zh-CN" w:bidi="ar-SA"/>
    </w:rPr>
  </w:style>
  <w:style w:type="paragraph" w:styleId="3">
    <w:name w:val="heading 1"/>
    <w:basedOn w:val="1"/>
    <w:next w:val="1"/>
    <w:link w:val="507"/>
    <w:qFormat/>
    <w:uiPriority w:val="0"/>
    <w:pPr>
      <w:numPr>
        <w:ilvl w:val="0"/>
        <w:numId w:val="1"/>
      </w:numPr>
      <w:spacing w:afterLines="100"/>
      <w:ind w:firstLineChars="0"/>
      <w:jc w:val="center"/>
      <w:outlineLvl w:val="0"/>
    </w:pPr>
    <w:rPr>
      <w:rFonts w:eastAsia="黑体"/>
      <w:b/>
      <w:bCs/>
      <w:sz w:val="30"/>
      <w:szCs w:val="32"/>
    </w:rPr>
  </w:style>
  <w:style w:type="paragraph" w:styleId="4">
    <w:name w:val="heading 2"/>
    <w:basedOn w:val="1"/>
    <w:next w:val="1"/>
    <w:link w:val="168"/>
    <w:autoRedefine/>
    <w:qFormat/>
    <w:uiPriority w:val="0"/>
    <w:pPr>
      <w:keepNext/>
      <w:keepLines/>
      <w:numPr>
        <w:ilvl w:val="1"/>
        <w:numId w:val="1"/>
      </w:numPr>
      <w:ind w:firstLineChars="0"/>
      <w:textAlignment w:val="baseline"/>
      <w:outlineLvl w:val="1"/>
    </w:pPr>
    <w:rPr>
      <w:b/>
      <w:kern w:val="2"/>
      <w:szCs w:val="26"/>
    </w:rPr>
  </w:style>
  <w:style w:type="paragraph" w:styleId="5">
    <w:name w:val="heading 3"/>
    <w:basedOn w:val="1"/>
    <w:next w:val="1"/>
    <w:link w:val="248"/>
    <w:autoRedefine/>
    <w:qFormat/>
    <w:uiPriority w:val="0"/>
    <w:pPr>
      <w:numPr>
        <w:ilvl w:val="2"/>
        <w:numId w:val="1"/>
      </w:numPr>
      <w:ind w:left="0" w:firstLine="522"/>
      <w:jc w:val="left"/>
      <w:outlineLvl w:val="2"/>
    </w:pPr>
    <w:rPr>
      <w:b/>
      <w:szCs w:val="26"/>
    </w:rPr>
  </w:style>
  <w:style w:type="paragraph" w:styleId="6">
    <w:name w:val="heading 4"/>
    <w:basedOn w:val="1"/>
    <w:next w:val="1"/>
    <w:link w:val="235"/>
    <w:autoRedefine/>
    <w:qFormat/>
    <w:uiPriority w:val="0"/>
    <w:pPr>
      <w:numPr>
        <w:ilvl w:val="3"/>
        <w:numId w:val="1"/>
      </w:numPr>
      <w:ind w:firstLineChars="0"/>
      <w:jc w:val="left"/>
      <w:outlineLvl w:val="3"/>
    </w:pPr>
    <w:rPr>
      <w:bCs/>
      <w:szCs w:val="26"/>
      <w:lang w:val="zh-CN"/>
    </w:rPr>
  </w:style>
  <w:style w:type="paragraph" w:styleId="7">
    <w:name w:val="heading 5"/>
    <w:basedOn w:val="1"/>
    <w:next w:val="1"/>
    <w:link w:val="1356"/>
    <w:qFormat/>
    <w:uiPriority w:val="0"/>
    <w:pPr>
      <w:numPr>
        <w:ilvl w:val="0"/>
        <w:numId w:val="2"/>
      </w:numPr>
      <w:ind w:firstLineChars="0"/>
      <w:outlineLvl w:val="4"/>
    </w:pPr>
    <w:rPr>
      <w:bCs/>
      <w:szCs w:val="28"/>
    </w:rPr>
  </w:style>
  <w:style w:type="paragraph" w:styleId="8">
    <w:name w:val="heading 6"/>
    <w:basedOn w:val="1"/>
    <w:next w:val="1"/>
    <w:link w:val="1360"/>
    <w:qFormat/>
    <w:uiPriority w:val="9"/>
    <w:pPr>
      <w:numPr>
        <w:ilvl w:val="5"/>
        <w:numId w:val="1"/>
      </w:numPr>
      <w:ind w:firstLineChars="0"/>
      <w:outlineLvl w:val="5"/>
    </w:pPr>
    <w:rPr>
      <w:rFonts w:ascii="ˎ̥" w:hAnsi="ˎ̥"/>
      <w:snapToGrid/>
      <w:color w:val="000000"/>
      <w:szCs w:val="26"/>
    </w:rPr>
  </w:style>
  <w:style w:type="paragraph" w:styleId="9">
    <w:name w:val="heading 7"/>
    <w:basedOn w:val="1"/>
    <w:next w:val="1"/>
    <w:link w:val="1367"/>
    <w:qFormat/>
    <w:uiPriority w:val="9"/>
    <w:pPr>
      <w:keepNext/>
      <w:numPr>
        <w:ilvl w:val="6"/>
        <w:numId w:val="1"/>
      </w:numPr>
      <w:tabs>
        <w:tab w:val="left" w:pos="600"/>
      </w:tabs>
      <w:snapToGrid/>
      <w:spacing w:line="480" w:lineRule="exact"/>
      <w:ind w:firstLineChars="0"/>
      <w:textAlignment w:val="baseline"/>
      <w:outlineLvl w:val="6"/>
    </w:pPr>
    <w:rPr>
      <w:snapToGrid/>
      <w:spacing w:val="4"/>
      <w:sz w:val="28"/>
      <w:szCs w:val="20"/>
    </w:rPr>
  </w:style>
  <w:style w:type="paragraph" w:styleId="10">
    <w:name w:val="heading 8"/>
    <w:basedOn w:val="1"/>
    <w:next w:val="1"/>
    <w:link w:val="1374"/>
    <w:qFormat/>
    <w:uiPriority w:val="9"/>
    <w:pPr>
      <w:keepNext/>
      <w:keepLines/>
      <w:numPr>
        <w:ilvl w:val="7"/>
        <w:numId w:val="1"/>
      </w:numPr>
      <w:spacing w:before="240" w:after="64" w:line="320" w:lineRule="atLeast"/>
      <w:ind w:firstLineChars="0"/>
      <w:outlineLvl w:val="7"/>
    </w:pPr>
    <w:rPr>
      <w:rFonts w:ascii="Arial" w:hAnsi="Arial" w:eastAsia="黑体"/>
    </w:rPr>
  </w:style>
  <w:style w:type="paragraph" w:styleId="11">
    <w:name w:val="heading 9"/>
    <w:basedOn w:val="1"/>
    <w:next w:val="1"/>
    <w:link w:val="1381"/>
    <w:qFormat/>
    <w:uiPriority w:val="9"/>
    <w:pPr>
      <w:keepNext/>
      <w:keepLines/>
      <w:numPr>
        <w:ilvl w:val="8"/>
        <w:numId w:val="1"/>
      </w:numPr>
      <w:spacing w:before="240" w:after="64" w:line="320" w:lineRule="atLeast"/>
      <w:ind w:firstLineChars="0"/>
      <w:outlineLvl w:val="8"/>
    </w:pPr>
    <w:rPr>
      <w:rFonts w:ascii="Arial" w:hAnsi="Arial" w:eastAsia="黑体"/>
      <w:sz w:val="21"/>
      <w:szCs w:val="21"/>
    </w:rPr>
  </w:style>
  <w:style w:type="character" w:default="1" w:styleId="132">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89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sz w:val="24"/>
      <w:szCs w:val="24"/>
      <w:lang w:val="en-US" w:eastAsia="zh-CN" w:bidi="ar-SA"/>
    </w:rPr>
  </w:style>
  <w:style w:type="paragraph" w:styleId="12">
    <w:name w:val="List 3"/>
    <w:basedOn w:val="1"/>
    <w:qFormat/>
    <w:uiPriority w:val="0"/>
    <w:pPr>
      <w:ind w:left="100" w:leftChars="400" w:hanging="200" w:hangingChars="200"/>
    </w:pPr>
  </w:style>
  <w:style w:type="paragraph" w:styleId="13">
    <w:name w:val="toc 7"/>
    <w:basedOn w:val="1"/>
    <w:next w:val="1"/>
    <w:autoRedefine/>
    <w:qFormat/>
    <w:uiPriority w:val="0"/>
    <w:pPr>
      <w:ind w:left="1300"/>
      <w:jc w:val="left"/>
    </w:pPr>
  </w:style>
  <w:style w:type="paragraph" w:styleId="14">
    <w:name w:val="List Number 2"/>
    <w:basedOn w:val="1"/>
    <w:qFormat/>
    <w:uiPriority w:val="0"/>
    <w:pPr>
      <w:numPr>
        <w:ilvl w:val="0"/>
        <w:numId w:val="3"/>
      </w:numPr>
    </w:pPr>
  </w:style>
  <w:style w:type="paragraph" w:styleId="15">
    <w:name w:val="table of authorities"/>
    <w:basedOn w:val="1"/>
    <w:next w:val="1"/>
    <w:qFormat/>
    <w:uiPriority w:val="0"/>
    <w:pPr>
      <w:adjustRightInd/>
      <w:snapToGrid/>
      <w:spacing w:line="480" w:lineRule="exact"/>
      <w:ind w:left="420" w:leftChars="200" w:firstLine="0" w:firstLineChars="0"/>
    </w:pPr>
    <w:rPr>
      <w:snapToGrid/>
      <w:kern w:val="2"/>
    </w:rPr>
  </w:style>
  <w:style w:type="paragraph" w:styleId="16">
    <w:name w:val="Note Heading"/>
    <w:basedOn w:val="1"/>
    <w:next w:val="1"/>
    <w:link w:val="3711"/>
    <w:qFormat/>
    <w:uiPriority w:val="0"/>
    <w:pPr>
      <w:spacing w:line="480" w:lineRule="exact"/>
      <w:jc w:val="center"/>
    </w:pPr>
    <w:rPr>
      <w:snapToGrid/>
    </w:rPr>
  </w:style>
  <w:style w:type="paragraph" w:styleId="17">
    <w:name w:val="List Bullet 4"/>
    <w:basedOn w:val="1"/>
    <w:qFormat/>
    <w:uiPriority w:val="0"/>
    <w:pPr>
      <w:numPr>
        <w:ilvl w:val="0"/>
        <w:numId w:val="4"/>
      </w:numPr>
    </w:pPr>
  </w:style>
  <w:style w:type="paragraph" w:styleId="18">
    <w:name w:val="index 8"/>
    <w:basedOn w:val="1"/>
    <w:next w:val="1"/>
    <w:qFormat/>
    <w:uiPriority w:val="0"/>
    <w:pPr>
      <w:adjustRightInd/>
      <w:snapToGrid/>
      <w:spacing w:line="240" w:lineRule="auto"/>
      <w:ind w:left="1400" w:leftChars="1400" w:firstLine="0" w:firstLineChars="0"/>
    </w:pPr>
    <w:rPr>
      <w:snapToGrid/>
      <w:kern w:val="2"/>
      <w:sz w:val="21"/>
    </w:rPr>
  </w:style>
  <w:style w:type="paragraph" w:styleId="19">
    <w:name w:val="E-mail Signature"/>
    <w:basedOn w:val="1"/>
    <w:link w:val="1796"/>
    <w:qFormat/>
    <w:uiPriority w:val="0"/>
  </w:style>
  <w:style w:type="paragraph" w:styleId="20">
    <w:name w:val="List Number"/>
    <w:basedOn w:val="1"/>
    <w:qFormat/>
    <w:uiPriority w:val="0"/>
    <w:pPr>
      <w:numPr>
        <w:ilvl w:val="0"/>
        <w:numId w:val="5"/>
      </w:numPr>
    </w:pPr>
  </w:style>
  <w:style w:type="paragraph" w:styleId="21">
    <w:name w:val="Normal Indent"/>
    <w:basedOn w:val="1"/>
    <w:qFormat/>
    <w:uiPriority w:val="0"/>
    <w:pPr>
      <w:snapToGrid/>
      <w:spacing w:line="312" w:lineRule="atLeast"/>
      <w:ind w:firstLine="420"/>
      <w:textAlignment w:val="baseline"/>
    </w:pPr>
    <w:rPr>
      <w:snapToGrid/>
      <w:sz w:val="21"/>
      <w:szCs w:val="20"/>
    </w:rPr>
  </w:style>
  <w:style w:type="paragraph" w:styleId="22">
    <w:name w:val="caption"/>
    <w:basedOn w:val="1"/>
    <w:next w:val="1"/>
    <w:link w:val="2241"/>
    <w:autoRedefine/>
    <w:qFormat/>
    <w:uiPriority w:val="99"/>
    <w:pPr>
      <w:ind w:firstLine="0" w:firstLineChars="0"/>
      <w:jc w:val="center"/>
    </w:pPr>
    <w:rPr>
      <w:b/>
      <w:bCs/>
      <w:snapToGrid/>
      <w:szCs w:val="21"/>
    </w:rPr>
  </w:style>
  <w:style w:type="paragraph" w:styleId="23">
    <w:name w:val="index 5"/>
    <w:basedOn w:val="1"/>
    <w:next w:val="1"/>
    <w:qFormat/>
    <w:uiPriority w:val="0"/>
    <w:pPr>
      <w:adjustRightInd/>
      <w:snapToGrid/>
      <w:spacing w:line="240" w:lineRule="auto"/>
      <w:ind w:left="800" w:leftChars="800" w:firstLine="0" w:firstLineChars="0"/>
    </w:pPr>
    <w:rPr>
      <w:snapToGrid/>
      <w:kern w:val="2"/>
      <w:sz w:val="21"/>
    </w:rPr>
  </w:style>
  <w:style w:type="paragraph" w:styleId="24">
    <w:name w:val="List Bullet"/>
    <w:basedOn w:val="1"/>
    <w:qFormat/>
    <w:uiPriority w:val="0"/>
    <w:pPr>
      <w:numPr>
        <w:ilvl w:val="0"/>
        <w:numId w:val="6"/>
      </w:numPr>
    </w:pPr>
  </w:style>
  <w:style w:type="paragraph" w:styleId="25">
    <w:name w:val="envelope address"/>
    <w:basedOn w:val="1"/>
    <w:qFormat/>
    <w:uiPriority w:val="0"/>
    <w:pPr>
      <w:framePr w:w="7920" w:h="1980" w:hRule="exact" w:hSpace="180" w:wrap="auto" w:vAnchor="margin" w:hAnchor="page" w:xAlign="center" w:yAlign="bottom"/>
      <w:ind w:left="100" w:leftChars="1400"/>
    </w:pPr>
    <w:rPr>
      <w:rFonts w:ascii="Arial" w:hAnsi="Arial" w:cs="Arial"/>
    </w:rPr>
  </w:style>
  <w:style w:type="paragraph" w:styleId="26">
    <w:name w:val="Document Map"/>
    <w:basedOn w:val="1"/>
    <w:link w:val="216"/>
    <w:qFormat/>
    <w:uiPriority w:val="99"/>
    <w:pPr>
      <w:shd w:val="clear" w:color="auto" w:fill="000080"/>
    </w:pPr>
  </w:style>
  <w:style w:type="paragraph" w:styleId="27">
    <w:name w:val="toa heading"/>
    <w:basedOn w:val="1"/>
    <w:next w:val="1"/>
    <w:qFormat/>
    <w:uiPriority w:val="0"/>
    <w:pPr>
      <w:adjustRightInd/>
      <w:snapToGrid/>
      <w:spacing w:line="480" w:lineRule="exact"/>
      <w:ind w:firstLine="0" w:firstLineChars="0"/>
    </w:pPr>
    <w:rPr>
      <w:rFonts w:ascii="Arial" w:hAnsi="Arial"/>
      <w:b/>
      <w:bCs/>
      <w:snapToGrid/>
      <w:kern w:val="2"/>
    </w:rPr>
  </w:style>
  <w:style w:type="paragraph" w:styleId="28">
    <w:name w:val="annotation text"/>
    <w:basedOn w:val="1"/>
    <w:link w:val="2120"/>
    <w:qFormat/>
    <w:uiPriority w:val="99"/>
    <w:pPr>
      <w:spacing w:line="240" w:lineRule="auto"/>
      <w:ind w:firstLine="0" w:firstLineChars="0"/>
      <w:jc w:val="left"/>
    </w:pPr>
    <w:rPr>
      <w:sz w:val="21"/>
    </w:rPr>
  </w:style>
  <w:style w:type="paragraph" w:styleId="29">
    <w:name w:val="index 6"/>
    <w:basedOn w:val="1"/>
    <w:next w:val="1"/>
    <w:qFormat/>
    <w:uiPriority w:val="0"/>
    <w:pPr>
      <w:adjustRightInd/>
      <w:snapToGrid/>
      <w:spacing w:line="240" w:lineRule="auto"/>
      <w:ind w:left="1000" w:leftChars="1000" w:firstLine="0" w:firstLineChars="0"/>
    </w:pPr>
    <w:rPr>
      <w:snapToGrid/>
      <w:kern w:val="2"/>
      <w:sz w:val="21"/>
    </w:rPr>
  </w:style>
  <w:style w:type="paragraph" w:styleId="30">
    <w:name w:val="Salutation"/>
    <w:basedOn w:val="1"/>
    <w:next w:val="1"/>
    <w:link w:val="1762"/>
    <w:qFormat/>
    <w:uiPriority w:val="0"/>
  </w:style>
  <w:style w:type="paragraph" w:styleId="31">
    <w:name w:val="Body Text 3"/>
    <w:basedOn w:val="1"/>
    <w:link w:val="3630"/>
    <w:qFormat/>
    <w:uiPriority w:val="0"/>
    <w:pPr>
      <w:spacing w:after="120"/>
    </w:pPr>
    <w:rPr>
      <w:sz w:val="16"/>
      <w:szCs w:val="16"/>
    </w:rPr>
  </w:style>
  <w:style w:type="paragraph" w:styleId="32">
    <w:name w:val="Closing"/>
    <w:basedOn w:val="1"/>
    <w:link w:val="1965"/>
    <w:qFormat/>
    <w:uiPriority w:val="0"/>
    <w:pPr>
      <w:ind w:left="100" w:leftChars="2100"/>
    </w:pPr>
  </w:style>
  <w:style w:type="paragraph" w:styleId="33">
    <w:name w:val="List Bullet 3"/>
    <w:basedOn w:val="1"/>
    <w:qFormat/>
    <w:uiPriority w:val="0"/>
    <w:pPr>
      <w:numPr>
        <w:ilvl w:val="0"/>
        <w:numId w:val="7"/>
      </w:numPr>
    </w:pPr>
  </w:style>
  <w:style w:type="paragraph" w:styleId="34">
    <w:name w:val="Body Text"/>
    <w:basedOn w:val="1"/>
    <w:link w:val="1304"/>
    <w:qFormat/>
    <w:uiPriority w:val="99"/>
    <w:pPr>
      <w:spacing w:before="31"/>
      <w:ind w:firstLine="0" w:firstLineChars="0"/>
    </w:pPr>
  </w:style>
  <w:style w:type="paragraph" w:styleId="35">
    <w:name w:val="Body Text Indent"/>
    <w:basedOn w:val="1"/>
    <w:link w:val="863"/>
    <w:qFormat/>
    <w:uiPriority w:val="0"/>
    <w:pPr>
      <w:spacing w:before="31"/>
      <w:ind w:firstLine="520"/>
    </w:pPr>
    <w:rPr>
      <w:szCs w:val="26"/>
    </w:rPr>
  </w:style>
  <w:style w:type="paragraph" w:styleId="36">
    <w:name w:val="List Number 3"/>
    <w:basedOn w:val="1"/>
    <w:qFormat/>
    <w:uiPriority w:val="0"/>
    <w:pPr>
      <w:numPr>
        <w:ilvl w:val="0"/>
        <w:numId w:val="8"/>
      </w:numPr>
    </w:pPr>
  </w:style>
  <w:style w:type="paragraph" w:styleId="37">
    <w:name w:val="List 2"/>
    <w:basedOn w:val="1"/>
    <w:link w:val="1996"/>
    <w:qFormat/>
    <w:uiPriority w:val="0"/>
    <w:pPr>
      <w:ind w:left="100" w:leftChars="200" w:hanging="200" w:hangingChars="200"/>
    </w:pPr>
  </w:style>
  <w:style w:type="paragraph" w:styleId="38">
    <w:name w:val="List Continue"/>
    <w:basedOn w:val="1"/>
    <w:qFormat/>
    <w:uiPriority w:val="0"/>
    <w:pPr>
      <w:spacing w:after="120"/>
      <w:ind w:left="420" w:leftChars="200"/>
    </w:pPr>
  </w:style>
  <w:style w:type="paragraph" w:styleId="39">
    <w:name w:val="Block Text"/>
    <w:basedOn w:val="1"/>
    <w:qFormat/>
    <w:uiPriority w:val="0"/>
    <w:pPr>
      <w:spacing w:after="120"/>
      <w:ind w:left="1440" w:leftChars="700" w:right="1440" w:rightChars="700"/>
    </w:pPr>
  </w:style>
  <w:style w:type="paragraph" w:styleId="40">
    <w:name w:val="List Bullet 2"/>
    <w:basedOn w:val="1"/>
    <w:link w:val="2014"/>
    <w:qFormat/>
    <w:uiPriority w:val="0"/>
    <w:pPr>
      <w:numPr>
        <w:ilvl w:val="0"/>
        <w:numId w:val="9"/>
      </w:numPr>
    </w:pPr>
  </w:style>
  <w:style w:type="paragraph" w:styleId="41">
    <w:name w:val="HTML Address"/>
    <w:basedOn w:val="1"/>
    <w:link w:val="700"/>
    <w:qFormat/>
    <w:uiPriority w:val="0"/>
    <w:rPr>
      <w:i/>
      <w:iCs/>
    </w:rPr>
  </w:style>
  <w:style w:type="paragraph" w:styleId="42">
    <w:name w:val="index 4"/>
    <w:basedOn w:val="1"/>
    <w:next w:val="1"/>
    <w:qFormat/>
    <w:uiPriority w:val="0"/>
    <w:pPr>
      <w:adjustRightInd/>
      <w:snapToGrid/>
      <w:spacing w:line="240" w:lineRule="auto"/>
      <w:ind w:left="600" w:leftChars="600" w:firstLine="0" w:firstLineChars="0"/>
    </w:pPr>
    <w:rPr>
      <w:snapToGrid/>
      <w:kern w:val="2"/>
      <w:sz w:val="21"/>
    </w:rPr>
  </w:style>
  <w:style w:type="paragraph" w:styleId="43">
    <w:name w:val="toc 5"/>
    <w:basedOn w:val="1"/>
    <w:next w:val="1"/>
    <w:autoRedefine/>
    <w:qFormat/>
    <w:uiPriority w:val="0"/>
    <w:pPr>
      <w:ind w:left="780"/>
      <w:jc w:val="left"/>
    </w:pPr>
  </w:style>
  <w:style w:type="paragraph" w:styleId="44">
    <w:name w:val="toc 3"/>
    <w:basedOn w:val="1"/>
    <w:next w:val="1"/>
    <w:qFormat/>
    <w:uiPriority w:val="0"/>
    <w:pPr>
      <w:ind w:firstLine="567" w:firstLineChars="0"/>
    </w:pPr>
    <w:rPr>
      <w:szCs w:val="26"/>
    </w:rPr>
  </w:style>
  <w:style w:type="paragraph" w:styleId="45">
    <w:name w:val="Plain Text"/>
    <w:basedOn w:val="1"/>
    <w:link w:val="1739"/>
    <w:qFormat/>
    <w:uiPriority w:val="0"/>
    <w:pPr>
      <w:adjustRightInd/>
      <w:snapToGrid/>
      <w:spacing w:line="240" w:lineRule="auto"/>
      <w:ind w:firstLine="0" w:firstLineChars="0"/>
    </w:pPr>
    <w:rPr>
      <w:rFonts w:ascii="宋体" w:hAnsi="Courier New"/>
      <w:snapToGrid/>
      <w:kern w:val="2"/>
      <w:sz w:val="21"/>
      <w:szCs w:val="21"/>
    </w:rPr>
  </w:style>
  <w:style w:type="paragraph" w:styleId="46">
    <w:name w:val="List Bullet 5"/>
    <w:basedOn w:val="1"/>
    <w:qFormat/>
    <w:uiPriority w:val="0"/>
    <w:pPr>
      <w:numPr>
        <w:ilvl w:val="0"/>
        <w:numId w:val="10"/>
      </w:numPr>
    </w:pPr>
  </w:style>
  <w:style w:type="paragraph" w:styleId="47">
    <w:name w:val="List Number 4"/>
    <w:basedOn w:val="1"/>
    <w:qFormat/>
    <w:uiPriority w:val="0"/>
    <w:pPr>
      <w:numPr>
        <w:ilvl w:val="0"/>
        <w:numId w:val="11"/>
      </w:numPr>
    </w:pPr>
  </w:style>
  <w:style w:type="paragraph" w:styleId="48">
    <w:name w:val="toc 8"/>
    <w:basedOn w:val="1"/>
    <w:next w:val="1"/>
    <w:autoRedefine/>
    <w:qFormat/>
    <w:uiPriority w:val="0"/>
    <w:pPr>
      <w:ind w:left="1560"/>
      <w:jc w:val="left"/>
    </w:pPr>
  </w:style>
  <w:style w:type="paragraph" w:styleId="49">
    <w:name w:val="index 3"/>
    <w:basedOn w:val="1"/>
    <w:next w:val="1"/>
    <w:qFormat/>
    <w:uiPriority w:val="0"/>
    <w:pPr>
      <w:adjustRightInd/>
      <w:snapToGrid/>
      <w:spacing w:line="240" w:lineRule="auto"/>
      <w:ind w:left="400" w:leftChars="400" w:firstLine="0" w:firstLineChars="0"/>
    </w:pPr>
    <w:rPr>
      <w:snapToGrid/>
      <w:kern w:val="2"/>
      <w:sz w:val="21"/>
    </w:rPr>
  </w:style>
  <w:style w:type="paragraph" w:styleId="50">
    <w:name w:val="Date"/>
    <w:basedOn w:val="1"/>
    <w:next w:val="1"/>
    <w:link w:val="2159"/>
    <w:qFormat/>
    <w:uiPriority w:val="0"/>
    <w:pPr>
      <w:ind w:left="100" w:leftChars="2500"/>
    </w:pPr>
    <w:rPr>
      <w:szCs w:val="26"/>
    </w:rPr>
  </w:style>
  <w:style w:type="paragraph" w:styleId="51">
    <w:name w:val="Body Text Indent 2"/>
    <w:basedOn w:val="1"/>
    <w:link w:val="1805"/>
    <w:qFormat/>
    <w:uiPriority w:val="0"/>
    <w:pPr>
      <w:spacing w:before="31"/>
      <w:ind w:firstLine="520"/>
    </w:pPr>
    <w:rPr>
      <w:color w:val="000000"/>
    </w:rPr>
  </w:style>
  <w:style w:type="paragraph" w:styleId="52">
    <w:name w:val="endnote text"/>
    <w:basedOn w:val="1"/>
    <w:link w:val="2335"/>
    <w:qFormat/>
    <w:uiPriority w:val="0"/>
    <w:pPr>
      <w:adjustRightInd/>
      <w:spacing w:line="240" w:lineRule="auto"/>
      <w:ind w:firstLine="0" w:firstLineChars="0"/>
      <w:jc w:val="left"/>
    </w:pPr>
    <w:rPr>
      <w:snapToGrid/>
      <w:kern w:val="2"/>
      <w:sz w:val="21"/>
    </w:rPr>
  </w:style>
  <w:style w:type="paragraph" w:styleId="53">
    <w:name w:val="List Continue 5"/>
    <w:basedOn w:val="1"/>
    <w:qFormat/>
    <w:uiPriority w:val="0"/>
    <w:pPr>
      <w:spacing w:after="120"/>
      <w:ind w:left="2100" w:leftChars="1000"/>
    </w:pPr>
  </w:style>
  <w:style w:type="paragraph" w:styleId="54">
    <w:name w:val="Balloon Text"/>
    <w:basedOn w:val="1"/>
    <w:link w:val="2111"/>
    <w:qFormat/>
    <w:uiPriority w:val="99"/>
    <w:rPr>
      <w:sz w:val="18"/>
      <w:szCs w:val="18"/>
    </w:rPr>
  </w:style>
  <w:style w:type="paragraph" w:styleId="55">
    <w:name w:val="footer"/>
    <w:basedOn w:val="1"/>
    <w:link w:val="3428"/>
    <w:qFormat/>
    <w:uiPriority w:val="99"/>
    <w:pPr>
      <w:tabs>
        <w:tab w:val="center" w:pos="4153"/>
        <w:tab w:val="right" w:pos="8306"/>
      </w:tabs>
      <w:spacing w:line="240" w:lineRule="auto"/>
      <w:ind w:firstLine="0" w:firstLineChars="0"/>
      <w:jc w:val="left"/>
    </w:pPr>
    <w:rPr>
      <w:sz w:val="18"/>
      <w:szCs w:val="18"/>
    </w:rPr>
  </w:style>
  <w:style w:type="paragraph" w:styleId="56">
    <w:name w:val="envelope return"/>
    <w:basedOn w:val="1"/>
    <w:qFormat/>
    <w:uiPriority w:val="0"/>
    <w:rPr>
      <w:rFonts w:ascii="Arial" w:hAnsi="Arial" w:cs="Arial"/>
    </w:rPr>
  </w:style>
  <w:style w:type="paragraph" w:styleId="57">
    <w:name w:val="header"/>
    <w:basedOn w:val="1"/>
    <w:link w:val="3433"/>
    <w:qFormat/>
    <w:uiPriority w:val="0"/>
    <w:pPr>
      <w:pBdr>
        <w:bottom w:val="single" w:color="auto" w:sz="6" w:space="1"/>
      </w:pBdr>
      <w:spacing w:line="240" w:lineRule="auto"/>
      <w:ind w:firstLine="0" w:firstLineChars="0"/>
      <w:jc w:val="center"/>
    </w:pPr>
    <w:rPr>
      <w:sz w:val="18"/>
      <w:szCs w:val="18"/>
    </w:rPr>
  </w:style>
  <w:style w:type="paragraph" w:styleId="58">
    <w:name w:val="Signature"/>
    <w:basedOn w:val="1"/>
    <w:link w:val="800"/>
    <w:qFormat/>
    <w:uiPriority w:val="0"/>
    <w:pPr>
      <w:ind w:left="100" w:leftChars="2100"/>
    </w:pPr>
  </w:style>
  <w:style w:type="paragraph" w:styleId="59">
    <w:name w:val="toc 1"/>
    <w:basedOn w:val="1"/>
    <w:next w:val="1"/>
    <w:qFormat/>
    <w:uiPriority w:val="39"/>
    <w:pPr>
      <w:ind w:firstLine="0" w:firstLineChars="0"/>
    </w:pPr>
    <w:rPr>
      <w:b/>
      <w:bCs/>
      <w:szCs w:val="26"/>
    </w:rPr>
  </w:style>
  <w:style w:type="paragraph" w:styleId="60">
    <w:name w:val="List Continue 4"/>
    <w:basedOn w:val="1"/>
    <w:qFormat/>
    <w:uiPriority w:val="0"/>
    <w:pPr>
      <w:spacing w:after="120"/>
      <w:ind w:left="1680" w:leftChars="800"/>
    </w:pPr>
  </w:style>
  <w:style w:type="paragraph" w:styleId="61">
    <w:name w:val="toc 4"/>
    <w:basedOn w:val="1"/>
    <w:next w:val="1"/>
    <w:autoRedefine/>
    <w:qFormat/>
    <w:uiPriority w:val="0"/>
    <w:pPr>
      <w:ind w:left="520"/>
      <w:jc w:val="left"/>
    </w:pPr>
  </w:style>
  <w:style w:type="paragraph" w:styleId="62">
    <w:name w:val="index heading"/>
    <w:basedOn w:val="1"/>
    <w:next w:val="63"/>
    <w:qFormat/>
    <w:uiPriority w:val="0"/>
    <w:pPr>
      <w:adjustRightInd/>
      <w:snapToGrid/>
      <w:spacing w:line="240" w:lineRule="auto"/>
      <w:ind w:firstLine="0" w:firstLineChars="0"/>
    </w:pPr>
    <w:rPr>
      <w:snapToGrid/>
      <w:kern w:val="2"/>
      <w:sz w:val="21"/>
    </w:rPr>
  </w:style>
  <w:style w:type="paragraph" w:styleId="63">
    <w:name w:val="index 1"/>
    <w:basedOn w:val="1"/>
    <w:next w:val="1"/>
    <w:autoRedefine/>
    <w:qFormat/>
    <w:uiPriority w:val="0"/>
    <w:pPr>
      <w:adjustRightInd/>
      <w:snapToGrid/>
      <w:spacing w:line="360" w:lineRule="auto"/>
      <w:ind w:firstLine="480"/>
    </w:pPr>
    <w:rPr>
      <w:rFonts w:ascii="宋体" w:hAnsi="宋体"/>
      <w:snapToGrid/>
      <w:kern w:val="2"/>
    </w:rPr>
  </w:style>
  <w:style w:type="paragraph" w:styleId="64">
    <w:name w:val="Subtitle"/>
    <w:basedOn w:val="1"/>
    <w:link w:val="1859"/>
    <w:qFormat/>
    <w:uiPriority w:val="0"/>
    <w:pPr>
      <w:spacing w:before="240" w:after="60" w:line="312" w:lineRule="atLeast"/>
      <w:jc w:val="center"/>
      <w:outlineLvl w:val="1"/>
    </w:pPr>
    <w:rPr>
      <w:rFonts w:ascii="Arial" w:hAnsi="Arial"/>
      <w:b/>
      <w:bCs/>
      <w:kern w:val="28"/>
      <w:sz w:val="32"/>
      <w:szCs w:val="32"/>
    </w:rPr>
  </w:style>
  <w:style w:type="paragraph" w:styleId="65">
    <w:name w:val="List Number 5"/>
    <w:basedOn w:val="1"/>
    <w:qFormat/>
    <w:uiPriority w:val="0"/>
    <w:pPr>
      <w:numPr>
        <w:ilvl w:val="0"/>
        <w:numId w:val="12"/>
      </w:numPr>
    </w:pPr>
  </w:style>
  <w:style w:type="paragraph" w:styleId="66">
    <w:name w:val="List"/>
    <w:basedOn w:val="1"/>
    <w:qFormat/>
    <w:uiPriority w:val="0"/>
    <w:pPr>
      <w:adjustRightInd/>
      <w:snapToGrid/>
      <w:spacing w:line="240" w:lineRule="auto"/>
      <w:ind w:left="200" w:hanging="200" w:hangingChars="200"/>
    </w:pPr>
    <w:rPr>
      <w:snapToGrid/>
      <w:kern w:val="2"/>
    </w:rPr>
  </w:style>
  <w:style w:type="paragraph" w:styleId="67">
    <w:name w:val="footnote text"/>
    <w:basedOn w:val="1"/>
    <w:link w:val="1958"/>
    <w:qFormat/>
    <w:uiPriority w:val="0"/>
    <w:pPr>
      <w:adjustRightInd/>
      <w:spacing w:line="240" w:lineRule="auto"/>
      <w:ind w:firstLine="0" w:firstLineChars="0"/>
      <w:jc w:val="left"/>
    </w:pPr>
    <w:rPr>
      <w:snapToGrid/>
      <w:kern w:val="2"/>
      <w:sz w:val="18"/>
      <w:szCs w:val="18"/>
    </w:rPr>
  </w:style>
  <w:style w:type="paragraph" w:styleId="68">
    <w:name w:val="toc 6"/>
    <w:basedOn w:val="1"/>
    <w:next w:val="1"/>
    <w:autoRedefine/>
    <w:qFormat/>
    <w:uiPriority w:val="0"/>
    <w:pPr>
      <w:ind w:left="1040"/>
      <w:jc w:val="left"/>
    </w:pPr>
  </w:style>
  <w:style w:type="paragraph" w:styleId="69">
    <w:name w:val="List 5"/>
    <w:basedOn w:val="1"/>
    <w:qFormat/>
    <w:uiPriority w:val="0"/>
    <w:pPr>
      <w:ind w:left="100" w:leftChars="800" w:hanging="200" w:hangingChars="200"/>
    </w:pPr>
  </w:style>
  <w:style w:type="paragraph" w:styleId="70">
    <w:name w:val="Body Text Indent 3"/>
    <w:basedOn w:val="1"/>
    <w:link w:val="3292"/>
    <w:qFormat/>
    <w:uiPriority w:val="0"/>
    <w:pPr>
      <w:spacing w:before="31"/>
      <w:ind w:firstLine="520"/>
    </w:pPr>
  </w:style>
  <w:style w:type="paragraph" w:styleId="71">
    <w:name w:val="index 7"/>
    <w:basedOn w:val="1"/>
    <w:next w:val="1"/>
    <w:qFormat/>
    <w:uiPriority w:val="0"/>
    <w:pPr>
      <w:adjustRightInd/>
      <w:snapToGrid/>
      <w:spacing w:line="240" w:lineRule="auto"/>
      <w:ind w:left="1200" w:leftChars="1200" w:firstLine="0" w:firstLineChars="0"/>
    </w:pPr>
    <w:rPr>
      <w:snapToGrid/>
      <w:kern w:val="2"/>
      <w:sz w:val="21"/>
    </w:rPr>
  </w:style>
  <w:style w:type="paragraph" w:styleId="72">
    <w:name w:val="index 9"/>
    <w:basedOn w:val="1"/>
    <w:next w:val="1"/>
    <w:qFormat/>
    <w:uiPriority w:val="0"/>
    <w:pPr>
      <w:adjustRightInd/>
      <w:snapToGrid/>
      <w:spacing w:line="240" w:lineRule="auto"/>
      <w:ind w:left="1600" w:leftChars="1600" w:firstLine="0" w:firstLineChars="0"/>
    </w:pPr>
    <w:rPr>
      <w:snapToGrid/>
      <w:kern w:val="2"/>
      <w:sz w:val="21"/>
    </w:rPr>
  </w:style>
  <w:style w:type="paragraph" w:styleId="73">
    <w:name w:val="table of figures"/>
    <w:basedOn w:val="1"/>
    <w:next w:val="1"/>
    <w:qFormat/>
    <w:uiPriority w:val="0"/>
    <w:pPr>
      <w:ind w:left="520" w:hanging="520"/>
      <w:jc w:val="left"/>
    </w:pPr>
    <w:rPr>
      <w:caps/>
    </w:rPr>
  </w:style>
  <w:style w:type="paragraph" w:styleId="74">
    <w:name w:val="toc 2"/>
    <w:basedOn w:val="1"/>
    <w:next w:val="1"/>
    <w:qFormat/>
    <w:uiPriority w:val="39"/>
    <w:pPr>
      <w:ind w:firstLine="284" w:firstLineChars="0"/>
    </w:pPr>
    <w:rPr>
      <w:szCs w:val="26"/>
    </w:rPr>
  </w:style>
  <w:style w:type="paragraph" w:styleId="75">
    <w:name w:val="toc 9"/>
    <w:basedOn w:val="1"/>
    <w:next w:val="1"/>
    <w:autoRedefine/>
    <w:qFormat/>
    <w:uiPriority w:val="0"/>
    <w:pPr>
      <w:ind w:left="1820"/>
      <w:jc w:val="left"/>
    </w:pPr>
  </w:style>
  <w:style w:type="paragraph" w:styleId="76">
    <w:name w:val="Body Text 2"/>
    <w:basedOn w:val="1"/>
    <w:link w:val="3625"/>
    <w:qFormat/>
    <w:uiPriority w:val="0"/>
    <w:pPr>
      <w:spacing w:before="31"/>
      <w:ind w:firstLine="0" w:firstLineChars="0"/>
    </w:pPr>
    <w:rPr>
      <w:b/>
      <w:bCs/>
      <w:sz w:val="22"/>
    </w:rPr>
  </w:style>
  <w:style w:type="paragraph" w:styleId="77">
    <w:name w:val="List 4"/>
    <w:basedOn w:val="1"/>
    <w:qFormat/>
    <w:uiPriority w:val="0"/>
    <w:pPr>
      <w:ind w:left="100" w:leftChars="600" w:hanging="200" w:hangingChars="200"/>
    </w:pPr>
  </w:style>
  <w:style w:type="paragraph" w:styleId="78">
    <w:name w:val="List Continue 2"/>
    <w:basedOn w:val="1"/>
    <w:qFormat/>
    <w:uiPriority w:val="0"/>
    <w:pPr>
      <w:spacing w:after="120"/>
      <w:ind w:left="840" w:leftChars="400"/>
    </w:pPr>
  </w:style>
  <w:style w:type="paragraph" w:styleId="79">
    <w:name w:val="Message Header"/>
    <w:basedOn w:val="1"/>
    <w:link w:val="244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rPr>
  </w:style>
  <w:style w:type="paragraph" w:styleId="80">
    <w:name w:val="HTML Preformatted"/>
    <w:basedOn w:val="1"/>
    <w:link w:val="711"/>
    <w:qFormat/>
    <w:uiPriority w:val="0"/>
    <w:rPr>
      <w:rFonts w:ascii="Courier New" w:hAnsi="Courier New"/>
      <w:sz w:val="20"/>
      <w:szCs w:val="20"/>
    </w:rPr>
  </w:style>
  <w:style w:type="paragraph" w:styleId="81">
    <w:name w:val="Normal (Web)"/>
    <w:basedOn w:val="1"/>
    <w:link w:val="3749"/>
    <w:qFormat/>
    <w:uiPriority w:val="99"/>
    <w:pPr>
      <w:widowControl/>
      <w:adjustRightInd/>
      <w:snapToGrid/>
      <w:spacing w:beforeAutospacing="1" w:after="100" w:afterAutospacing="1" w:line="240" w:lineRule="auto"/>
      <w:ind w:firstLine="0" w:firstLineChars="0"/>
      <w:jc w:val="left"/>
    </w:pPr>
    <w:rPr>
      <w:rFonts w:ascii="宋体" w:hAnsi="宋体"/>
      <w:snapToGrid/>
    </w:rPr>
  </w:style>
  <w:style w:type="paragraph" w:styleId="82">
    <w:name w:val="List Continue 3"/>
    <w:basedOn w:val="1"/>
    <w:qFormat/>
    <w:uiPriority w:val="0"/>
    <w:pPr>
      <w:spacing w:after="120"/>
      <w:ind w:left="1260" w:leftChars="600"/>
    </w:pPr>
  </w:style>
  <w:style w:type="paragraph" w:styleId="83">
    <w:name w:val="index 2"/>
    <w:basedOn w:val="1"/>
    <w:next w:val="1"/>
    <w:autoRedefine/>
    <w:qFormat/>
    <w:uiPriority w:val="0"/>
    <w:pPr>
      <w:spacing w:line="480" w:lineRule="exact"/>
      <w:ind w:left="200" w:leftChars="200" w:firstLine="0"/>
    </w:pPr>
    <w:rPr>
      <w:snapToGrid/>
      <w:kern w:val="2"/>
      <w:szCs w:val="22"/>
    </w:rPr>
  </w:style>
  <w:style w:type="paragraph" w:styleId="84">
    <w:name w:val="Title"/>
    <w:basedOn w:val="1"/>
    <w:next w:val="1"/>
    <w:link w:val="1258"/>
    <w:autoRedefine/>
    <w:qFormat/>
    <w:uiPriority w:val="0"/>
    <w:pPr>
      <w:widowControl/>
      <w:ind w:firstLine="0" w:firstLineChars="0"/>
      <w:jc w:val="center"/>
    </w:pPr>
    <w:rPr>
      <w:snapToGrid/>
      <w:color w:val="000000"/>
      <w:spacing w:val="8"/>
      <w:szCs w:val="22"/>
    </w:rPr>
  </w:style>
  <w:style w:type="paragraph" w:styleId="85">
    <w:name w:val="annotation subject"/>
    <w:basedOn w:val="28"/>
    <w:next w:val="28"/>
    <w:link w:val="2126"/>
    <w:qFormat/>
    <w:uiPriority w:val="0"/>
    <w:rPr>
      <w:b/>
      <w:bCs/>
    </w:rPr>
  </w:style>
  <w:style w:type="paragraph" w:styleId="86">
    <w:name w:val="Body Text First Indent"/>
    <w:basedOn w:val="34"/>
    <w:link w:val="1660"/>
    <w:qFormat/>
    <w:uiPriority w:val="0"/>
    <w:pPr>
      <w:spacing w:before="10" w:after="120"/>
      <w:ind w:firstLine="420" w:firstLineChars="100"/>
    </w:pPr>
  </w:style>
  <w:style w:type="paragraph" w:styleId="87">
    <w:name w:val="Body Text First Indent 2"/>
    <w:basedOn w:val="35"/>
    <w:link w:val="2456"/>
    <w:qFormat/>
    <w:uiPriority w:val="0"/>
    <w:pPr>
      <w:spacing w:before="10" w:after="120"/>
      <w:ind w:left="420" w:leftChars="200" w:firstLine="420"/>
    </w:pPr>
    <w:rPr>
      <w:szCs w:val="24"/>
    </w:rPr>
  </w:style>
  <w:style w:type="table" w:styleId="89">
    <w:name w:val="Table Grid"/>
    <w:basedOn w:val="88"/>
    <w:qFormat/>
    <w:uiPriority w:val="0"/>
    <w:pPr>
      <w:widowControl w:val="0"/>
      <w:adjustRightInd w:val="0"/>
      <w:snapToGrid w:val="0"/>
      <w:spacing w:beforeLines="10" w:line="460" w:lineRule="atLeast"/>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133">
    <w:name w:val="Strong"/>
    <w:qFormat/>
    <w:uiPriority w:val="22"/>
    <w:rPr>
      <w:b/>
      <w:bCs/>
    </w:rPr>
  </w:style>
  <w:style w:type="character" w:styleId="134">
    <w:name w:val="endnote reference"/>
    <w:qFormat/>
    <w:uiPriority w:val="0"/>
    <w:rPr>
      <w:vertAlign w:val="superscript"/>
    </w:rPr>
  </w:style>
  <w:style w:type="character" w:styleId="135">
    <w:name w:val="page number"/>
    <w:qFormat/>
    <w:uiPriority w:val="0"/>
    <w:rPr>
      <w:rFonts w:eastAsia="宋体"/>
      <w:sz w:val="18"/>
    </w:rPr>
  </w:style>
  <w:style w:type="character" w:styleId="136">
    <w:name w:val="FollowedHyperlink"/>
    <w:qFormat/>
    <w:uiPriority w:val="99"/>
    <w:rPr>
      <w:color w:val="800080"/>
      <w:u w:val="single"/>
    </w:rPr>
  </w:style>
  <w:style w:type="character" w:styleId="137">
    <w:name w:val="Emphasis"/>
    <w:qFormat/>
    <w:uiPriority w:val="20"/>
    <w:rPr>
      <w:i/>
      <w:iCs/>
    </w:rPr>
  </w:style>
  <w:style w:type="character" w:styleId="138">
    <w:name w:val="line number"/>
    <w:basedOn w:val="132"/>
    <w:qFormat/>
    <w:uiPriority w:val="0"/>
  </w:style>
  <w:style w:type="character" w:styleId="139">
    <w:name w:val="HTML Definition"/>
    <w:qFormat/>
    <w:uiPriority w:val="0"/>
    <w:rPr>
      <w:i/>
      <w:iCs/>
    </w:rPr>
  </w:style>
  <w:style w:type="character" w:styleId="140">
    <w:name w:val="HTML Typewriter"/>
    <w:qFormat/>
    <w:uiPriority w:val="0"/>
    <w:rPr>
      <w:rFonts w:ascii="Courier New" w:hAnsi="Courier New" w:cs="Courier New"/>
      <w:sz w:val="20"/>
      <w:szCs w:val="20"/>
    </w:rPr>
  </w:style>
  <w:style w:type="character" w:styleId="141">
    <w:name w:val="HTML Acronym"/>
    <w:basedOn w:val="132"/>
    <w:qFormat/>
    <w:uiPriority w:val="0"/>
  </w:style>
  <w:style w:type="character" w:styleId="142">
    <w:name w:val="HTML Variable"/>
    <w:qFormat/>
    <w:uiPriority w:val="0"/>
    <w:rPr>
      <w:i/>
      <w:iCs/>
    </w:rPr>
  </w:style>
  <w:style w:type="character" w:styleId="143">
    <w:name w:val="Hyperlink"/>
    <w:qFormat/>
    <w:uiPriority w:val="99"/>
    <w:rPr>
      <w:color w:val="0000FF"/>
      <w:u w:val="single"/>
    </w:rPr>
  </w:style>
  <w:style w:type="character" w:styleId="144">
    <w:name w:val="HTML Code"/>
    <w:qFormat/>
    <w:uiPriority w:val="0"/>
    <w:rPr>
      <w:rFonts w:ascii="Courier New" w:hAnsi="Courier New" w:cs="Courier New"/>
      <w:sz w:val="20"/>
      <w:szCs w:val="20"/>
    </w:rPr>
  </w:style>
  <w:style w:type="character" w:styleId="145">
    <w:name w:val="annotation reference"/>
    <w:qFormat/>
    <w:uiPriority w:val="99"/>
    <w:rPr>
      <w:sz w:val="21"/>
      <w:szCs w:val="21"/>
    </w:rPr>
  </w:style>
  <w:style w:type="character" w:styleId="146">
    <w:name w:val="HTML Cite"/>
    <w:qFormat/>
    <w:uiPriority w:val="0"/>
    <w:rPr>
      <w:i/>
      <w:iCs/>
    </w:rPr>
  </w:style>
  <w:style w:type="character" w:styleId="147">
    <w:name w:val="footnote reference"/>
    <w:qFormat/>
    <w:uiPriority w:val="0"/>
    <w:rPr>
      <w:vertAlign w:val="superscript"/>
    </w:rPr>
  </w:style>
  <w:style w:type="character" w:styleId="148">
    <w:name w:val="HTML Keyboard"/>
    <w:qFormat/>
    <w:uiPriority w:val="0"/>
    <w:rPr>
      <w:rFonts w:ascii="Courier New" w:hAnsi="Courier New" w:cs="Courier New"/>
      <w:sz w:val="20"/>
      <w:szCs w:val="20"/>
    </w:rPr>
  </w:style>
  <w:style w:type="character" w:styleId="149">
    <w:name w:val="HTML Sample"/>
    <w:qFormat/>
    <w:uiPriority w:val="0"/>
    <w:rPr>
      <w:rFonts w:ascii="Courier New" w:hAnsi="Courier New" w:cs="Courier New"/>
    </w:rPr>
  </w:style>
  <w:style w:type="character" w:customStyle="1" w:styleId="150">
    <w:name w:val="标题 4 字符"/>
    <w:qFormat/>
    <w:uiPriority w:val="0"/>
    <w:rPr>
      <w:rFonts w:ascii="等线 Light" w:hAnsi="等线 Light" w:eastAsia="等线 Light" w:cs="Times New Roman"/>
      <w:b/>
      <w:bCs/>
      <w:sz w:val="28"/>
      <w:szCs w:val="28"/>
    </w:rPr>
  </w:style>
  <w:style w:type="paragraph" w:customStyle="1" w:styleId="151">
    <w:name w:val="_Style 13"/>
    <w:basedOn w:val="1"/>
    <w:next w:val="1"/>
    <w:link w:val="156"/>
    <w:qFormat/>
    <w:uiPriority w:val="99"/>
    <w:pPr>
      <w:ind w:firstLine="420"/>
    </w:pPr>
    <w:rPr>
      <w:rFonts w:cstheme="minorBidi"/>
      <w:bCs/>
      <w:snapToGrid/>
      <w:spacing w:val="11"/>
      <w:kern w:val="2"/>
      <w:szCs w:val="22"/>
      <w14:ligatures w14:val="standardContextual"/>
    </w:rPr>
  </w:style>
  <w:style w:type="character" w:customStyle="1" w:styleId="152">
    <w:name w:val="标题 3 字符"/>
    <w:semiHidden/>
    <w:qFormat/>
    <w:uiPriority w:val="0"/>
    <w:rPr>
      <w:b/>
      <w:bCs/>
      <w:sz w:val="32"/>
      <w:szCs w:val="32"/>
    </w:rPr>
  </w:style>
  <w:style w:type="character" w:customStyle="1" w:styleId="153">
    <w:name w:val="标题 2 字符"/>
    <w:semiHidden/>
    <w:qFormat/>
    <w:uiPriority w:val="0"/>
    <w:rPr>
      <w:rFonts w:ascii="等线 Light" w:hAnsi="等线 Light" w:eastAsia="等线 Light" w:cs="Times New Roman"/>
      <w:b/>
      <w:bCs/>
      <w:sz w:val="32"/>
      <w:szCs w:val="32"/>
    </w:rPr>
  </w:style>
  <w:style w:type="paragraph" w:customStyle="1" w:styleId="154">
    <w:name w:val="修订1"/>
    <w:hidden/>
    <w:semiHidden/>
    <w:qFormat/>
    <w:uiPriority w:val="99"/>
    <w:rPr>
      <w:rFonts w:ascii="Times New Roman" w:hAnsi="Times New Roman" w:eastAsia="宋体" w:cs="Times New Roman"/>
      <w:bCs/>
      <w:snapToGrid w:val="0"/>
      <w:kern w:val="44"/>
      <w:sz w:val="24"/>
      <w:szCs w:val="44"/>
      <w:lang w:val="en-US" w:eastAsia="zh-CN" w:bidi="ar-SA"/>
    </w:rPr>
  </w:style>
  <w:style w:type="paragraph" w:customStyle="1" w:styleId="155">
    <w:name w:val="修订2"/>
    <w:hidden/>
    <w:semiHidden/>
    <w:qFormat/>
    <w:uiPriority w:val="99"/>
    <w:rPr>
      <w:rFonts w:ascii="Times New Roman" w:hAnsi="Times New Roman" w:eastAsia="宋体" w:cs="Times New Roman"/>
      <w:bCs/>
      <w:snapToGrid w:val="0"/>
      <w:kern w:val="44"/>
      <w:sz w:val="24"/>
      <w:szCs w:val="44"/>
      <w:lang w:val="en-US" w:eastAsia="zh-CN" w:bidi="ar-SA"/>
    </w:rPr>
  </w:style>
  <w:style w:type="character" w:customStyle="1" w:styleId="156">
    <w:name w:val="正文首行缩进 2 Char"/>
    <w:link w:val="151"/>
    <w:qFormat/>
    <w:uiPriority w:val="99"/>
    <w:rPr>
      <w:rFonts w:ascii="Times New Roman" w:hAnsi="Times New Roman" w:eastAsia="宋体"/>
      <w:spacing w:val="11"/>
      <w:sz w:val="24"/>
    </w:rPr>
  </w:style>
  <w:style w:type="paragraph" w:customStyle="1" w:styleId="157">
    <w:name w:val="修订3"/>
    <w:hidden/>
    <w:semiHidden/>
    <w:qFormat/>
    <w:uiPriority w:val="99"/>
    <w:rPr>
      <w:rFonts w:ascii="Times New Roman" w:hAnsi="Times New Roman" w:eastAsia="宋体" w:cs="Times New Roman"/>
      <w:bCs/>
      <w:snapToGrid w:val="0"/>
      <w:kern w:val="44"/>
      <w:sz w:val="24"/>
      <w:szCs w:val="44"/>
      <w:lang w:val="en-US" w:eastAsia="zh-CN" w:bidi="ar-SA"/>
    </w:rPr>
  </w:style>
  <w:style w:type="character" w:customStyle="1" w:styleId="158">
    <w:name w:val="标题 1 字符"/>
    <w:qFormat/>
    <w:uiPriority w:val="9"/>
    <w:rPr>
      <w:b/>
      <w:bCs/>
      <w:kern w:val="44"/>
      <w:sz w:val="44"/>
      <w:szCs w:val="44"/>
    </w:rPr>
  </w:style>
  <w:style w:type="paragraph" w:customStyle="1" w:styleId="159">
    <w:name w:val="修订31"/>
    <w:hidden/>
    <w:semiHidden/>
    <w:qFormat/>
    <w:uiPriority w:val="99"/>
    <w:rPr>
      <w:rFonts w:ascii="Times New Roman" w:hAnsi="Times New Roman" w:eastAsia="宋体" w:cs="Times New Roman"/>
      <w:bCs/>
      <w:snapToGrid w:val="0"/>
      <w:kern w:val="44"/>
      <w:sz w:val="24"/>
      <w:szCs w:val="44"/>
      <w:lang w:val="en-US" w:eastAsia="zh-CN" w:bidi="ar-SA"/>
    </w:rPr>
  </w:style>
  <w:style w:type="character" w:customStyle="1" w:styleId="160">
    <w:name w:val="页眉 字符"/>
    <w:qFormat/>
    <w:uiPriority w:val="0"/>
    <w:rPr>
      <w:sz w:val="18"/>
      <w:szCs w:val="18"/>
    </w:rPr>
  </w:style>
  <w:style w:type="character" w:customStyle="1" w:styleId="161">
    <w:name w:val="页脚 字符"/>
    <w:qFormat/>
    <w:uiPriority w:val="99"/>
    <w:rPr>
      <w:kern w:val="2"/>
      <w:sz w:val="18"/>
    </w:rPr>
  </w:style>
  <w:style w:type="paragraph" w:customStyle="1" w:styleId="162">
    <w:name w:val="0A正文"/>
    <w:basedOn w:val="1"/>
    <w:link w:val="163"/>
    <w:qFormat/>
    <w:uiPriority w:val="0"/>
    <w:rPr>
      <w:rFonts w:eastAsiaTheme="minorEastAsia"/>
      <w:snapToGrid/>
      <w:color w:val="000000"/>
      <w:kern w:val="2"/>
      <w:szCs w:val="26"/>
    </w:rPr>
  </w:style>
  <w:style w:type="character" w:customStyle="1" w:styleId="163">
    <w:name w:val="0A正文 字符"/>
    <w:link w:val="162"/>
    <w:qFormat/>
    <w:locked/>
    <w:uiPriority w:val="0"/>
    <w:rPr>
      <w:rFonts w:ascii="Times New Roman" w:hAnsi="Times New Roman" w:cs="Times New Roman"/>
      <w:color w:val="000000"/>
      <w:sz w:val="26"/>
      <w:szCs w:val="26"/>
      <w14:ligatures w14:val="none"/>
    </w:rPr>
  </w:style>
  <w:style w:type="paragraph" w:customStyle="1" w:styleId="164">
    <w:name w:val="0正文"/>
    <w:basedOn w:val="1"/>
    <w:link w:val="165"/>
    <w:qFormat/>
    <w:uiPriority w:val="0"/>
    <w:pPr>
      <w:spacing w:line="480" w:lineRule="exact"/>
      <w:ind w:firstLine="520"/>
    </w:pPr>
    <w:rPr>
      <w:rFonts w:eastAsiaTheme="minorEastAsia"/>
      <w:snapToGrid/>
      <w:color w:val="000000"/>
      <w:kern w:val="2"/>
      <w:szCs w:val="26"/>
      <w:lang w:val="zh-CN"/>
    </w:rPr>
  </w:style>
  <w:style w:type="character" w:customStyle="1" w:styleId="165">
    <w:name w:val="0正文 Char"/>
    <w:link w:val="164"/>
    <w:qFormat/>
    <w:locked/>
    <w:uiPriority w:val="0"/>
    <w:rPr>
      <w:rFonts w:ascii="Times New Roman" w:hAnsi="Times New Roman" w:cs="Times New Roman"/>
      <w:color w:val="000000"/>
      <w:sz w:val="26"/>
      <w:szCs w:val="26"/>
      <w:lang w:val="zh-CN"/>
      <w14:ligatures w14:val="none"/>
    </w:rPr>
  </w:style>
  <w:style w:type="paragraph" w:customStyle="1" w:styleId="166">
    <w:name w:val="1111"/>
    <w:basedOn w:val="1"/>
    <w:qFormat/>
    <w:uiPriority w:val="99"/>
    <w:pPr>
      <w:adjustRightInd/>
      <w:snapToGrid/>
      <w:spacing w:line="500" w:lineRule="exact"/>
      <w:ind w:firstLine="480" w:firstLineChars="0"/>
    </w:pPr>
    <w:rPr>
      <w:snapToGrid/>
      <w:color w:val="000000"/>
      <w:kern w:val="2"/>
      <w:sz w:val="24"/>
    </w:rPr>
  </w:style>
  <w:style w:type="paragraph" w:customStyle="1" w:styleId="167">
    <w:name w:val="16"/>
    <w:basedOn w:val="1"/>
    <w:next w:val="1"/>
    <w:qFormat/>
    <w:uiPriority w:val="99"/>
    <w:pPr>
      <w:adjustRightInd/>
      <w:snapToGrid/>
      <w:spacing w:line="240" w:lineRule="auto"/>
      <w:ind w:firstLine="0" w:firstLineChars="0"/>
    </w:pPr>
    <w:rPr>
      <w:snapToGrid/>
      <w:kern w:val="2"/>
      <w:sz w:val="28"/>
      <w:szCs w:val="28"/>
    </w:rPr>
  </w:style>
  <w:style w:type="character" w:customStyle="1" w:styleId="168">
    <w:name w:val="标题 2 字符2"/>
    <w:link w:val="4"/>
    <w:qFormat/>
    <w:uiPriority w:val="0"/>
    <w:rPr>
      <w:rFonts w:ascii="Times New Roman" w:hAnsi="Times New Roman" w:eastAsia="宋体" w:cs="Times New Roman"/>
      <w:b/>
      <w:snapToGrid w:val="0"/>
      <w:kern w:val="2"/>
      <w:sz w:val="26"/>
      <w:szCs w:val="26"/>
    </w:rPr>
  </w:style>
  <w:style w:type="paragraph" w:customStyle="1" w:styleId="169">
    <w:name w:val="19"/>
    <w:basedOn w:val="4"/>
    <w:qFormat/>
    <w:uiPriority w:val="0"/>
  </w:style>
  <w:style w:type="paragraph" w:customStyle="1" w:styleId="170">
    <w:name w:val="A表格内居中文字"/>
    <w:basedOn w:val="1"/>
    <w:link w:val="171"/>
    <w:qFormat/>
    <w:uiPriority w:val="0"/>
    <w:pPr>
      <w:adjustRightInd/>
      <w:snapToGrid/>
      <w:spacing w:line="360" w:lineRule="atLeast"/>
      <w:ind w:firstLine="0" w:firstLineChars="0"/>
      <w:jc w:val="center"/>
    </w:pPr>
    <w:rPr>
      <w:rFonts w:eastAsiaTheme="minorEastAsia"/>
      <w:snapToGrid/>
      <w:kern w:val="2"/>
      <w:sz w:val="22"/>
    </w:rPr>
  </w:style>
  <w:style w:type="character" w:customStyle="1" w:styleId="171">
    <w:name w:val="A表格内居中文字 字符"/>
    <w:basedOn w:val="132"/>
    <w:link w:val="170"/>
    <w:qFormat/>
    <w:locked/>
    <w:uiPriority w:val="0"/>
    <w:rPr>
      <w:rFonts w:ascii="Times New Roman" w:hAnsi="Times New Roman" w:cs="Times New Roman"/>
      <w:sz w:val="22"/>
      <w:szCs w:val="24"/>
      <w14:ligatures w14:val="none"/>
    </w:rPr>
  </w:style>
  <w:style w:type="paragraph" w:customStyle="1" w:styleId="172">
    <w:name w:val="A表格样式"/>
    <w:basedOn w:val="1"/>
    <w:link w:val="173"/>
    <w:qFormat/>
    <w:uiPriority w:val="0"/>
    <w:pPr>
      <w:adjustRightInd/>
      <w:snapToGrid/>
      <w:spacing w:line="240" w:lineRule="auto"/>
      <w:ind w:firstLine="0" w:firstLineChars="0"/>
      <w:jc w:val="center"/>
    </w:pPr>
    <w:rPr>
      <w:rFonts w:eastAsiaTheme="minorEastAsia"/>
      <w:snapToGrid/>
      <w:kern w:val="2"/>
      <w:sz w:val="22"/>
      <w:szCs w:val="22"/>
    </w:rPr>
  </w:style>
  <w:style w:type="character" w:customStyle="1" w:styleId="173">
    <w:name w:val="A表格样式 字符"/>
    <w:basedOn w:val="132"/>
    <w:link w:val="172"/>
    <w:qFormat/>
    <w:locked/>
    <w:uiPriority w:val="0"/>
    <w:rPr>
      <w:rFonts w:ascii="Times New Roman" w:hAnsi="Times New Roman" w:cs="Times New Roman"/>
      <w:sz w:val="22"/>
      <w14:ligatures w14:val="none"/>
    </w:rPr>
  </w:style>
  <w:style w:type="paragraph" w:customStyle="1" w:styleId="174">
    <w:name w:val="A正文（带序号）"/>
    <w:basedOn w:val="1"/>
    <w:link w:val="175"/>
    <w:qFormat/>
    <w:uiPriority w:val="0"/>
    <w:pPr>
      <w:widowControl/>
      <w:numPr>
        <w:ilvl w:val="0"/>
        <w:numId w:val="13"/>
      </w:numPr>
      <w:ind w:firstLine="0" w:firstLineChars="0"/>
    </w:pPr>
    <w:rPr>
      <w:rFonts w:eastAsiaTheme="minorEastAsia"/>
      <w:snapToGrid/>
      <w:color w:val="000000" w:themeColor="text1"/>
      <w:kern w:val="2"/>
      <w:szCs w:val="21"/>
      <w14:textFill>
        <w14:solidFill>
          <w14:schemeClr w14:val="tx1"/>
        </w14:solidFill>
      </w14:textFill>
    </w:rPr>
  </w:style>
  <w:style w:type="character" w:customStyle="1" w:styleId="175">
    <w:name w:val="A正文（带序号） 字符"/>
    <w:basedOn w:val="132"/>
    <w:link w:val="174"/>
    <w:qFormat/>
    <w:locked/>
    <w:uiPriority w:val="0"/>
    <w:rPr>
      <w:rFonts w:ascii="Times New Roman" w:hAnsi="Times New Roman" w:cs="Times New Roman"/>
      <w:color w:val="000000" w:themeColor="text1"/>
      <w:sz w:val="26"/>
      <w:szCs w:val="21"/>
      <w14:textFill>
        <w14:solidFill>
          <w14:schemeClr w14:val="tx1"/>
        </w14:solidFill>
      </w14:textFill>
      <w14:ligatures w14:val="none"/>
    </w:rPr>
  </w:style>
  <w:style w:type="paragraph" w:customStyle="1" w:styleId="176">
    <w:name w:val="Char Char Char Char Char Char1 Char Char Char Char Char Char Char Char Char1 Char Char Char Char Char Char Char Char Char Char Char Char Char"/>
    <w:basedOn w:val="1"/>
    <w:autoRedefine/>
    <w:qFormat/>
    <w:uiPriority w:val="0"/>
    <w:pPr>
      <w:widowControl/>
      <w:adjustRightInd/>
      <w:snapToGrid/>
      <w:spacing w:line="240" w:lineRule="auto"/>
      <w:ind w:firstLine="0" w:firstLineChars="0"/>
      <w:jc w:val="left"/>
    </w:pPr>
    <w:rPr>
      <w:rFonts w:ascii="宋体" w:hAnsi="宋体" w:cs="宋体"/>
      <w:snapToGrid/>
    </w:rPr>
  </w:style>
  <w:style w:type="paragraph" w:customStyle="1" w:styleId="177">
    <w:name w:val="Char Char Char Char Char Char1 Char Char Char Char Char Char Char1"/>
    <w:basedOn w:val="1"/>
    <w:qFormat/>
    <w:uiPriority w:val="0"/>
    <w:pPr>
      <w:widowControl/>
      <w:adjustRightInd/>
      <w:snapToGrid/>
      <w:spacing w:after="160" w:line="240" w:lineRule="exact"/>
      <w:ind w:firstLine="0" w:firstLineChars="0"/>
    </w:pPr>
    <w:rPr>
      <w:rFonts w:ascii="Arial" w:hAnsi="Arial" w:eastAsia="Times New Roman" w:cs="Verdana"/>
      <w:b/>
      <w:snapToGrid/>
      <w:lang w:eastAsia="en-US"/>
    </w:rPr>
  </w:style>
  <w:style w:type="paragraph" w:customStyle="1" w:styleId="178">
    <w:name w:val="Char Char Char Char Char Char1 Char Char Char Char1"/>
    <w:basedOn w:val="1"/>
    <w:autoRedefine/>
    <w:qFormat/>
    <w:uiPriority w:val="0"/>
    <w:pPr>
      <w:widowControl/>
      <w:adjustRightInd/>
      <w:snapToGrid/>
      <w:spacing w:after="160" w:line="240" w:lineRule="exact"/>
      <w:ind w:firstLine="0" w:firstLineChars="0"/>
    </w:pPr>
    <w:rPr>
      <w:rFonts w:ascii="Verdana" w:hAnsi="Verdana" w:eastAsia="仿宋_GB2312"/>
      <w:snapToGrid/>
      <w:sz w:val="30"/>
      <w:szCs w:val="30"/>
      <w:lang w:eastAsia="en-US"/>
    </w:rPr>
  </w:style>
  <w:style w:type="paragraph" w:customStyle="1" w:styleId="179">
    <w:name w:val="Char Char Char Char Char Char1 Char Char Char1"/>
    <w:basedOn w:val="1"/>
    <w:qFormat/>
    <w:uiPriority w:val="0"/>
    <w:pPr>
      <w:adjustRightInd/>
      <w:snapToGrid/>
      <w:spacing w:line="360" w:lineRule="auto"/>
    </w:pPr>
    <w:rPr>
      <w:rFonts w:ascii="宋体" w:hAnsi="宋体" w:cs="宋体"/>
      <w:snapToGrid/>
      <w:kern w:val="2"/>
    </w:rPr>
  </w:style>
  <w:style w:type="paragraph" w:customStyle="1" w:styleId="180">
    <w:name w:val="Char Char Char Char Char Char1 Char Char Char1 Char"/>
    <w:basedOn w:val="1"/>
    <w:autoRedefine/>
    <w:qFormat/>
    <w:uiPriority w:val="0"/>
    <w:pPr>
      <w:widowControl/>
      <w:adjustRightInd/>
      <w:snapToGrid/>
      <w:spacing w:after="160" w:line="240" w:lineRule="exact"/>
      <w:ind w:firstLine="0" w:firstLineChars="0"/>
    </w:pPr>
    <w:rPr>
      <w:rFonts w:ascii="Verdana" w:hAnsi="Verdana" w:eastAsia="仿宋_GB2312"/>
      <w:snapToGrid/>
      <w:sz w:val="30"/>
      <w:szCs w:val="30"/>
      <w:lang w:eastAsia="en-US"/>
    </w:rPr>
  </w:style>
  <w:style w:type="paragraph" w:customStyle="1" w:styleId="181">
    <w:name w:val="Char Char Char Char Char Char1 Char Char Char1 Char Char Char"/>
    <w:basedOn w:val="1"/>
    <w:qFormat/>
    <w:uiPriority w:val="0"/>
    <w:pPr>
      <w:adjustRightInd/>
      <w:snapToGrid/>
      <w:spacing w:line="360" w:lineRule="auto"/>
    </w:pPr>
    <w:rPr>
      <w:rFonts w:ascii="宋体" w:hAnsi="宋体" w:cs="宋体"/>
      <w:snapToGrid/>
      <w:kern w:val="2"/>
    </w:rPr>
  </w:style>
  <w:style w:type="paragraph" w:customStyle="1" w:styleId="182">
    <w:name w:val="Char Char Char Char Char Char1 Char Char Char1 Char Char Char Char"/>
    <w:basedOn w:val="1"/>
    <w:autoRedefine/>
    <w:qFormat/>
    <w:uiPriority w:val="0"/>
    <w:pPr>
      <w:widowControl/>
      <w:adjustRightInd/>
      <w:snapToGrid/>
      <w:spacing w:after="160" w:line="240" w:lineRule="exact"/>
      <w:ind w:firstLine="0" w:firstLineChars="0"/>
    </w:pPr>
    <w:rPr>
      <w:rFonts w:ascii="Verdana" w:hAnsi="Verdana" w:eastAsia="仿宋_GB2312"/>
      <w:snapToGrid/>
      <w:sz w:val="30"/>
      <w:szCs w:val="30"/>
      <w:lang w:eastAsia="en-US"/>
    </w:rPr>
  </w:style>
  <w:style w:type="paragraph" w:customStyle="1" w:styleId="183">
    <w:name w:val="Char Char Char Char Char Char1 Char Char Char1 Char Char Char Char Char Char"/>
    <w:basedOn w:val="1"/>
    <w:qFormat/>
    <w:uiPriority w:val="0"/>
    <w:pPr>
      <w:adjustRightInd/>
      <w:snapToGrid/>
      <w:spacing w:line="360" w:lineRule="auto"/>
    </w:pPr>
    <w:rPr>
      <w:rFonts w:ascii="宋体" w:hAnsi="宋体" w:cs="宋体"/>
      <w:snapToGrid/>
      <w:kern w:val="2"/>
    </w:rPr>
  </w:style>
  <w:style w:type="paragraph" w:customStyle="1" w:styleId="184">
    <w:name w:val="Char Char Char Char Char Char1 Char Char Char1 Char Char Char Char Char Char Char"/>
    <w:basedOn w:val="1"/>
    <w:qFormat/>
    <w:uiPriority w:val="0"/>
    <w:pPr>
      <w:adjustRightInd/>
      <w:snapToGrid/>
      <w:spacing w:line="360" w:lineRule="auto"/>
    </w:pPr>
    <w:rPr>
      <w:rFonts w:ascii="宋体" w:hAnsi="宋体" w:cs="宋体"/>
      <w:snapToGrid/>
      <w:kern w:val="2"/>
    </w:rPr>
  </w:style>
  <w:style w:type="paragraph" w:customStyle="1" w:styleId="185">
    <w:name w:val="Char Char Char Char Char Char1 Char Char Char1 Char Char Char Char Char Char Char Char Char"/>
    <w:basedOn w:val="1"/>
    <w:qFormat/>
    <w:uiPriority w:val="0"/>
    <w:pPr>
      <w:spacing w:line="360" w:lineRule="auto"/>
    </w:pPr>
    <w:rPr>
      <w:rFonts w:ascii="宋体" w:hAnsi="宋体" w:cs="宋体"/>
      <w:snapToGrid/>
      <w:kern w:val="2"/>
      <w:szCs w:val="22"/>
    </w:rPr>
  </w:style>
  <w:style w:type="paragraph" w:customStyle="1" w:styleId="186">
    <w:name w:val="Char Char Char Char Char Char1 Char Char Char1 Char Char Char Char Char Char Char1"/>
    <w:basedOn w:val="1"/>
    <w:qFormat/>
    <w:uiPriority w:val="0"/>
    <w:pPr>
      <w:adjustRightInd/>
      <w:snapToGrid/>
      <w:spacing w:line="360" w:lineRule="auto"/>
    </w:pPr>
    <w:rPr>
      <w:rFonts w:ascii="宋体" w:hAnsi="宋体" w:cs="宋体"/>
      <w:snapToGrid/>
      <w:kern w:val="2"/>
    </w:rPr>
  </w:style>
  <w:style w:type="paragraph" w:customStyle="1" w:styleId="187">
    <w:name w:val="Char Char Char Char Char Char1 Char Char Char1 Char Char Char Char1"/>
    <w:basedOn w:val="1"/>
    <w:autoRedefine/>
    <w:qFormat/>
    <w:uiPriority w:val="0"/>
    <w:pPr>
      <w:widowControl/>
      <w:adjustRightInd/>
      <w:snapToGrid/>
      <w:spacing w:after="160" w:line="240" w:lineRule="exact"/>
      <w:ind w:firstLine="0" w:firstLineChars="0"/>
    </w:pPr>
    <w:rPr>
      <w:rFonts w:ascii="Verdana" w:hAnsi="Verdana" w:eastAsia="仿宋_GB2312"/>
      <w:snapToGrid/>
      <w:sz w:val="30"/>
      <w:szCs w:val="30"/>
      <w:lang w:eastAsia="en-US"/>
    </w:rPr>
  </w:style>
  <w:style w:type="paragraph" w:customStyle="1" w:styleId="188">
    <w:name w:val="Char Char Char Char Char Char1 Char Char Char1 Char1"/>
    <w:basedOn w:val="1"/>
    <w:autoRedefine/>
    <w:qFormat/>
    <w:uiPriority w:val="0"/>
    <w:pPr>
      <w:widowControl/>
      <w:adjustRightInd/>
      <w:snapToGrid/>
      <w:spacing w:after="160" w:line="240" w:lineRule="exact"/>
      <w:ind w:firstLine="0" w:firstLineChars="0"/>
    </w:pPr>
    <w:rPr>
      <w:rFonts w:ascii="Verdana" w:hAnsi="Verdana" w:eastAsia="仿宋_GB2312"/>
      <w:snapToGrid/>
      <w:sz w:val="30"/>
      <w:szCs w:val="30"/>
      <w:lang w:eastAsia="en-US"/>
    </w:rPr>
  </w:style>
  <w:style w:type="paragraph" w:customStyle="1" w:styleId="189">
    <w:name w:val="Char Char Char Char Char Char1 Char Char Char1 Char2"/>
    <w:basedOn w:val="1"/>
    <w:qFormat/>
    <w:uiPriority w:val="0"/>
    <w:pPr>
      <w:adjustRightInd/>
      <w:snapToGrid/>
      <w:spacing w:line="360" w:lineRule="auto"/>
    </w:pPr>
    <w:rPr>
      <w:rFonts w:ascii="宋体" w:hAnsi="宋体" w:cs="宋体"/>
      <w:snapToGrid/>
      <w:kern w:val="2"/>
    </w:rPr>
  </w:style>
  <w:style w:type="paragraph" w:customStyle="1" w:styleId="190">
    <w:name w:val="Char Char Char Char Char Char1 Char1"/>
    <w:basedOn w:val="1"/>
    <w:autoRedefine/>
    <w:qFormat/>
    <w:uiPriority w:val="0"/>
    <w:pPr>
      <w:widowControl/>
      <w:adjustRightInd/>
      <w:snapToGrid/>
      <w:spacing w:after="160" w:line="240" w:lineRule="exact"/>
      <w:ind w:firstLine="0" w:firstLineChars="0"/>
    </w:pPr>
    <w:rPr>
      <w:rFonts w:ascii="Verdana" w:hAnsi="Verdana" w:eastAsia="仿宋_GB2312" w:cs="Verdana"/>
      <w:snapToGrid/>
      <w:sz w:val="30"/>
      <w:szCs w:val="30"/>
      <w:lang w:eastAsia="en-US"/>
    </w:rPr>
  </w:style>
  <w:style w:type="paragraph" w:customStyle="1" w:styleId="191">
    <w:name w:val="Char Char Char Char Char Char1 Char2"/>
    <w:basedOn w:val="1"/>
    <w:qFormat/>
    <w:uiPriority w:val="0"/>
    <w:pPr>
      <w:widowControl/>
      <w:adjustRightInd/>
      <w:snapToGrid/>
      <w:spacing w:line="360" w:lineRule="auto"/>
    </w:pPr>
    <w:rPr>
      <w:rFonts w:ascii="宋体" w:hAnsi="宋体" w:cs="宋体"/>
      <w:snapToGrid/>
    </w:rPr>
  </w:style>
  <w:style w:type="paragraph" w:customStyle="1" w:styleId="192">
    <w:name w:val="Char Char Char Char Char Char11"/>
    <w:basedOn w:val="1"/>
    <w:qFormat/>
    <w:uiPriority w:val="0"/>
    <w:pPr>
      <w:adjustRightInd/>
      <w:snapToGrid/>
      <w:spacing w:line="360" w:lineRule="auto"/>
    </w:pPr>
    <w:rPr>
      <w:snapToGrid/>
      <w:kern w:val="2"/>
      <w:sz w:val="21"/>
      <w:szCs w:val="20"/>
    </w:rPr>
  </w:style>
  <w:style w:type="paragraph" w:customStyle="1" w:styleId="193">
    <w:name w:val="Char Char Char Char Char Char12"/>
    <w:basedOn w:val="1"/>
    <w:qFormat/>
    <w:uiPriority w:val="0"/>
    <w:pPr>
      <w:adjustRightInd/>
      <w:snapToGrid/>
      <w:spacing w:line="360" w:lineRule="auto"/>
    </w:pPr>
    <w:rPr>
      <w:rFonts w:ascii="宋体" w:hAnsi="宋体" w:cs="宋体"/>
      <w:snapToGrid/>
      <w:kern w:val="2"/>
    </w:rPr>
  </w:style>
  <w:style w:type="paragraph" w:customStyle="1" w:styleId="194">
    <w:name w:val="Char Char Char Char Char Char2"/>
    <w:basedOn w:val="1"/>
    <w:qFormat/>
    <w:uiPriority w:val="0"/>
    <w:pPr>
      <w:adjustRightInd/>
      <w:snapToGrid/>
      <w:spacing w:line="480" w:lineRule="exact"/>
    </w:pPr>
    <w:rPr>
      <w:rFonts w:ascii="宋体" w:hAnsi="宋体" w:cs="宋体"/>
      <w:snapToGrid/>
      <w:kern w:val="2"/>
      <w:sz w:val="28"/>
    </w:rPr>
  </w:style>
  <w:style w:type="paragraph" w:customStyle="1" w:styleId="195">
    <w:name w:val="Char Char Char Char Char Char2 Char"/>
    <w:basedOn w:val="1"/>
    <w:qFormat/>
    <w:uiPriority w:val="0"/>
    <w:pPr>
      <w:adjustRightInd/>
      <w:snapToGrid/>
      <w:spacing w:line="360" w:lineRule="auto"/>
    </w:pPr>
    <w:rPr>
      <w:rFonts w:ascii="宋体" w:hAnsi="宋体" w:cs="宋体"/>
      <w:snapToGrid/>
      <w:kern w:val="2"/>
    </w:rPr>
  </w:style>
  <w:style w:type="paragraph" w:customStyle="1" w:styleId="196">
    <w:name w:val="Char Char Char Char Char Char21"/>
    <w:basedOn w:val="1"/>
    <w:qFormat/>
    <w:uiPriority w:val="0"/>
    <w:pPr>
      <w:adjustRightInd/>
      <w:snapToGrid/>
      <w:spacing w:line="360" w:lineRule="auto"/>
    </w:pPr>
    <w:rPr>
      <w:rFonts w:ascii="宋体" w:hAnsi="宋体" w:cs="宋体"/>
      <w:snapToGrid/>
      <w:kern w:val="2"/>
    </w:rPr>
  </w:style>
  <w:style w:type="paragraph" w:customStyle="1" w:styleId="197">
    <w:name w:val="Char Char Char Char Char Char3"/>
    <w:basedOn w:val="1"/>
    <w:qFormat/>
    <w:uiPriority w:val="0"/>
    <w:pPr>
      <w:adjustRightInd/>
      <w:snapToGrid/>
      <w:spacing w:line="480" w:lineRule="exact"/>
    </w:pPr>
    <w:rPr>
      <w:rFonts w:ascii="宋体" w:hAnsi="宋体" w:cs="宋体"/>
      <w:snapToGrid/>
      <w:kern w:val="2"/>
      <w:sz w:val="28"/>
    </w:rPr>
  </w:style>
  <w:style w:type="paragraph" w:customStyle="1" w:styleId="198">
    <w:name w:val="Char Char Char Char Char Char3 Char"/>
    <w:basedOn w:val="1"/>
    <w:qFormat/>
    <w:uiPriority w:val="0"/>
    <w:pPr>
      <w:adjustRightInd/>
      <w:snapToGrid/>
      <w:spacing w:line="480" w:lineRule="exact"/>
    </w:pPr>
    <w:rPr>
      <w:rFonts w:ascii="宋体" w:hAnsi="宋体" w:cs="宋体"/>
      <w:snapToGrid/>
      <w:kern w:val="2"/>
      <w:sz w:val="28"/>
    </w:rPr>
  </w:style>
  <w:style w:type="paragraph" w:customStyle="1" w:styleId="199">
    <w:name w:val="Char Char Char Char Char Char3 Char Char Char"/>
    <w:basedOn w:val="1"/>
    <w:qFormat/>
    <w:uiPriority w:val="0"/>
    <w:pPr>
      <w:adjustRightInd/>
      <w:snapToGrid/>
      <w:spacing w:line="360" w:lineRule="auto"/>
    </w:pPr>
    <w:rPr>
      <w:rFonts w:ascii="宋体" w:hAnsi="宋体" w:cs="宋体"/>
      <w:snapToGrid/>
      <w:kern w:val="2"/>
    </w:rPr>
  </w:style>
  <w:style w:type="paragraph" w:customStyle="1" w:styleId="200">
    <w:name w:val="Char Char Char Char Char Char3 Char Char Char Char Char Char"/>
    <w:basedOn w:val="1"/>
    <w:qFormat/>
    <w:uiPriority w:val="0"/>
    <w:pPr>
      <w:adjustRightInd/>
      <w:snapToGrid/>
      <w:spacing w:line="360" w:lineRule="auto"/>
    </w:pPr>
    <w:rPr>
      <w:rFonts w:ascii="宋体" w:hAnsi="宋体" w:cs="宋体"/>
      <w:snapToGrid/>
      <w:kern w:val="2"/>
    </w:rPr>
  </w:style>
  <w:style w:type="paragraph" w:customStyle="1" w:styleId="201">
    <w:name w:val="Char Char Char Char Char Char3 Char Char Char Char Char Char Char"/>
    <w:basedOn w:val="1"/>
    <w:qFormat/>
    <w:uiPriority w:val="0"/>
    <w:pPr>
      <w:adjustRightInd/>
      <w:snapToGrid/>
      <w:spacing w:line="360" w:lineRule="auto"/>
    </w:pPr>
    <w:rPr>
      <w:rFonts w:ascii="宋体" w:hAnsi="宋体" w:cs="宋体"/>
      <w:snapToGrid/>
      <w:kern w:val="2"/>
    </w:rPr>
  </w:style>
  <w:style w:type="paragraph" w:customStyle="1" w:styleId="202">
    <w:name w:val="Char Char Char Char Char Char3 Char Char Char Char Char Char Char1"/>
    <w:basedOn w:val="1"/>
    <w:qFormat/>
    <w:uiPriority w:val="0"/>
    <w:pPr>
      <w:adjustRightInd/>
      <w:snapToGrid/>
      <w:spacing w:line="360" w:lineRule="auto"/>
    </w:pPr>
    <w:rPr>
      <w:rFonts w:ascii="宋体" w:hAnsi="宋体" w:cs="宋体"/>
      <w:snapToGrid/>
      <w:kern w:val="2"/>
    </w:rPr>
  </w:style>
  <w:style w:type="paragraph" w:customStyle="1" w:styleId="203">
    <w:name w:val="Char Char Char Char Char Char3 Char1"/>
    <w:basedOn w:val="1"/>
    <w:qFormat/>
    <w:uiPriority w:val="0"/>
    <w:pPr>
      <w:adjustRightInd/>
      <w:snapToGrid/>
      <w:spacing w:line="480" w:lineRule="exact"/>
    </w:pPr>
    <w:rPr>
      <w:rFonts w:ascii="宋体" w:hAnsi="宋体" w:cs="宋体"/>
      <w:snapToGrid/>
      <w:kern w:val="2"/>
      <w:sz w:val="28"/>
    </w:rPr>
  </w:style>
  <w:style w:type="paragraph" w:customStyle="1" w:styleId="204">
    <w:name w:val="Char Char Char Char Char Char3 Char1 Char Char"/>
    <w:basedOn w:val="1"/>
    <w:qFormat/>
    <w:uiPriority w:val="0"/>
    <w:pPr>
      <w:adjustRightInd/>
      <w:snapToGrid/>
      <w:spacing w:line="480" w:lineRule="exact"/>
    </w:pPr>
    <w:rPr>
      <w:rFonts w:ascii="宋体" w:hAnsi="宋体" w:cs="宋体"/>
      <w:snapToGrid/>
      <w:kern w:val="2"/>
      <w:sz w:val="28"/>
    </w:rPr>
  </w:style>
  <w:style w:type="paragraph" w:customStyle="1" w:styleId="205">
    <w:name w:val="Char Char Char Char Char Char3 Char1 Char Char Char"/>
    <w:basedOn w:val="1"/>
    <w:qFormat/>
    <w:uiPriority w:val="0"/>
    <w:pPr>
      <w:adjustRightInd/>
      <w:snapToGrid/>
      <w:spacing w:line="480" w:lineRule="exact"/>
    </w:pPr>
    <w:rPr>
      <w:rFonts w:ascii="宋体" w:hAnsi="宋体" w:cs="宋体"/>
      <w:snapToGrid/>
      <w:kern w:val="2"/>
      <w:sz w:val="28"/>
    </w:rPr>
  </w:style>
  <w:style w:type="paragraph" w:customStyle="1" w:styleId="206">
    <w:name w:val="Char Char Char Char Char Char3 Char1 Char Char Char Char Char Char Char Char Char Char Char Char Char Char"/>
    <w:basedOn w:val="1"/>
    <w:qFormat/>
    <w:uiPriority w:val="0"/>
    <w:pPr>
      <w:adjustRightInd/>
      <w:snapToGrid/>
      <w:spacing w:line="480" w:lineRule="exact"/>
    </w:pPr>
    <w:rPr>
      <w:rFonts w:ascii="宋体" w:hAnsi="宋体" w:cs="宋体"/>
      <w:snapToGrid/>
      <w:kern w:val="2"/>
      <w:sz w:val="28"/>
    </w:rPr>
  </w:style>
  <w:style w:type="paragraph" w:customStyle="1" w:styleId="207">
    <w:name w:val="Char Char Char Char Char Char31"/>
    <w:basedOn w:val="1"/>
    <w:qFormat/>
    <w:uiPriority w:val="0"/>
    <w:pPr>
      <w:adjustRightInd/>
      <w:snapToGrid/>
      <w:spacing w:line="480" w:lineRule="exact"/>
    </w:pPr>
    <w:rPr>
      <w:rFonts w:ascii="宋体" w:hAnsi="宋体" w:cs="宋体"/>
      <w:snapToGrid/>
      <w:kern w:val="2"/>
      <w:sz w:val="28"/>
    </w:rPr>
  </w:style>
  <w:style w:type="paragraph" w:customStyle="1" w:styleId="208">
    <w:name w:val="Char Char Char Char Char Char32"/>
    <w:basedOn w:val="1"/>
    <w:qFormat/>
    <w:uiPriority w:val="0"/>
    <w:pPr>
      <w:adjustRightInd/>
      <w:snapToGrid/>
      <w:spacing w:line="360" w:lineRule="auto"/>
    </w:pPr>
    <w:rPr>
      <w:rFonts w:ascii="宋体" w:hAnsi="宋体" w:cs="宋体"/>
      <w:snapToGrid/>
      <w:kern w:val="2"/>
    </w:rPr>
  </w:style>
  <w:style w:type="paragraph" w:customStyle="1" w:styleId="209">
    <w:name w:val="Char Char Char Char Char Char4"/>
    <w:autoRedefine/>
    <w:qFormat/>
    <w:uiPriority w:val="0"/>
    <w:pPr>
      <w:framePr w:wrap="notBeside" w:vAnchor="text" w:hAnchor="text" w:xAlign="center" w:y="1"/>
      <w:adjustRightInd w:val="0"/>
      <w:jc w:val="center"/>
      <w:outlineLvl w:val="3"/>
    </w:pPr>
    <w:rPr>
      <w:rFonts w:ascii="Tahoma" w:hAnsi="Tahoma" w:eastAsia="宋体" w:cs="Times New Roman"/>
      <w:b/>
      <w:kern w:val="2"/>
      <w:sz w:val="24"/>
      <w:szCs w:val="28"/>
      <w:lang w:val="en-US" w:eastAsia="zh-CN" w:bidi="ar-SA"/>
    </w:rPr>
  </w:style>
  <w:style w:type="paragraph" w:customStyle="1" w:styleId="210">
    <w:name w:val="Char Char Char Char Char2"/>
    <w:basedOn w:val="1"/>
    <w:semiHidden/>
    <w:qFormat/>
    <w:uiPriority w:val="0"/>
    <w:pPr>
      <w:spacing w:line="360" w:lineRule="auto"/>
    </w:pPr>
    <w:rPr>
      <w:rFonts w:ascii="宋体" w:hAnsi="宋体" w:cs="宋体"/>
      <w:kern w:val="2"/>
    </w:rPr>
  </w:style>
  <w:style w:type="paragraph" w:customStyle="1" w:styleId="211">
    <w:name w:val="Char Char Char Char Char2 Char"/>
    <w:basedOn w:val="1"/>
    <w:qFormat/>
    <w:uiPriority w:val="0"/>
    <w:pPr>
      <w:spacing w:line="360" w:lineRule="auto"/>
    </w:pPr>
    <w:rPr>
      <w:rFonts w:ascii="宋体" w:hAnsi="宋体" w:cs="宋体"/>
      <w:snapToGrid/>
      <w:kern w:val="2"/>
      <w:szCs w:val="26"/>
    </w:rPr>
  </w:style>
  <w:style w:type="paragraph" w:customStyle="1" w:styleId="212">
    <w:name w:val="Char Char Char Char Char2 Char Char Char Char"/>
    <w:basedOn w:val="1"/>
    <w:next w:val="1"/>
    <w:semiHidden/>
    <w:qFormat/>
    <w:uiPriority w:val="0"/>
    <w:pPr>
      <w:spacing w:line="360" w:lineRule="auto"/>
    </w:pPr>
    <w:rPr>
      <w:rFonts w:ascii="宋体" w:hAnsi="宋体" w:cs="宋体"/>
      <w:snapToGrid/>
      <w:kern w:val="2"/>
      <w:szCs w:val="26"/>
    </w:rPr>
  </w:style>
  <w:style w:type="paragraph" w:customStyle="1" w:styleId="213">
    <w:name w:val="Char Char Char Char Char2 Char1"/>
    <w:basedOn w:val="1"/>
    <w:semiHidden/>
    <w:qFormat/>
    <w:uiPriority w:val="0"/>
    <w:pPr>
      <w:spacing w:line="360" w:lineRule="auto"/>
    </w:pPr>
    <w:rPr>
      <w:rFonts w:ascii="宋体" w:hAnsi="宋体" w:cs="宋体"/>
      <w:snapToGrid/>
      <w:kern w:val="2"/>
      <w:szCs w:val="26"/>
    </w:rPr>
  </w:style>
  <w:style w:type="paragraph" w:customStyle="1" w:styleId="214">
    <w:name w:val="Char Char Char Char Char2 Char2"/>
    <w:basedOn w:val="1"/>
    <w:semiHidden/>
    <w:qFormat/>
    <w:uiPriority w:val="0"/>
    <w:pPr>
      <w:spacing w:line="360" w:lineRule="auto"/>
    </w:pPr>
    <w:rPr>
      <w:rFonts w:ascii="宋体" w:hAnsi="宋体" w:cs="宋体"/>
      <w:snapToGrid/>
      <w:kern w:val="2"/>
      <w:szCs w:val="26"/>
    </w:rPr>
  </w:style>
  <w:style w:type="character" w:customStyle="1" w:styleId="215">
    <w:name w:val="文档结构图 字符"/>
    <w:semiHidden/>
    <w:qFormat/>
    <w:uiPriority w:val="0"/>
    <w:rPr>
      <w:rFonts w:hint="eastAsia" w:ascii="Microsoft YaHei UI" w:hAnsi="Microsoft YaHei UI" w:eastAsia="Microsoft YaHei UI"/>
      <w:snapToGrid/>
      <w:sz w:val="18"/>
      <w:szCs w:val="18"/>
    </w:rPr>
  </w:style>
  <w:style w:type="character" w:customStyle="1" w:styleId="216">
    <w:name w:val="文档结构图 字符3"/>
    <w:link w:val="26"/>
    <w:qFormat/>
    <w:uiPriority w:val="99"/>
    <w:rPr>
      <w:rFonts w:ascii="Times New Roman" w:hAnsi="Times New Roman" w:eastAsia="宋体" w:cs="Times New Roman"/>
      <w:snapToGrid w:val="0"/>
      <w:kern w:val="0"/>
      <w:sz w:val="26"/>
      <w:szCs w:val="24"/>
      <w:shd w:val="clear" w:color="auto" w:fill="000080"/>
      <w14:ligatures w14:val="none"/>
    </w:rPr>
  </w:style>
  <w:style w:type="paragraph" w:customStyle="1" w:styleId="217">
    <w:name w:val="Char Char Char Char Zchn Zchn Char Char"/>
    <w:basedOn w:val="26"/>
    <w:qFormat/>
    <w:uiPriority w:val="0"/>
    <w:pPr>
      <w:snapToGrid/>
      <w:spacing w:line="436" w:lineRule="exact"/>
      <w:ind w:left="357" w:firstLine="0" w:firstLineChars="0"/>
      <w:outlineLvl w:val="3"/>
    </w:pPr>
    <w:rPr>
      <w:rFonts w:ascii="Tahoma" w:hAnsi="Tahoma"/>
      <w:b/>
      <w:snapToGrid/>
      <w:kern w:val="2"/>
    </w:rPr>
  </w:style>
  <w:style w:type="paragraph" w:customStyle="1" w:styleId="218">
    <w:name w:val="Char Char Char Char Zchn Zchn Char Char Zchn Zchn"/>
    <w:basedOn w:val="26"/>
    <w:autoRedefine/>
    <w:semiHidden/>
    <w:qFormat/>
    <w:uiPriority w:val="0"/>
    <w:pPr>
      <w:snapToGrid/>
      <w:spacing w:line="436" w:lineRule="exact"/>
      <w:ind w:left="357" w:firstLine="0" w:firstLineChars="0"/>
      <w:outlineLvl w:val="3"/>
    </w:pPr>
    <w:rPr>
      <w:rFonts w:ascii="Tahoma" w:hAnsi="Tahoma"/>
      <w:b/>
      <w:kern w:val="28"/>
    </w:rPr>
  </w:style>
  <w:style w:type="paragraph" w:customStyle="1" w:styleId="219">
    <w:name w:val="Char Char Char Char Zchn Zchn Char Char1"/>
    <w:basedOn w:val="26"/>
    <w:autoRedefine/>
    <w:qFormat/>
    <w:uiPriority w:val="0"/>
    <w:pPr>
      <w:snapToGrid/>
      <w:spacing w:line="436" w:lineRule="exact"/>
      <w:ind w:left="357" w:firstLine="0" w:firstLineChars="0"/>
      <w:outlineLvl w:val="3"/>
    </w:pPr>
    <w:rPr>
      <w:rFonts w:hint="eastAsia" w:ascii="Tahoma" w:hAnsi="Tahoma"/>
      <w:b/>
      <w:snapToGrid/>
      <w:kern w:val="2"/>
      <w:sz w:val="21"/>
    </w:rPr>
  </w:style>
  <w:style w:type="paragraph" w:customStyle="1" w:styleId="220">
    <w:name w:val="Char Char Char Char1"/>
    <w:basedOn w:val="1"/>
    <w:qFormat/>
    <w:uiPriority w:val="0"/>
    <w:pPr>
      <w:spacing w:line="360" w:lineRule="auto"/>
      <w:ind w:firstLine="0" w:firstLineChars="0"/>
    </w:pPr>
    <w:rPr>
      <w:snapToGrid/>
      <w:spacing w:val="6"/>
      <w:kern w:val="2"/>
      <w:sz w:val="28"/>
      <w:szCs w:val="22"/>
    </w:rPr>
  </w:style>
  <w:style w:type="paragraph" w:customStyle="1" w:styleId="221">
    <w:name w:val="Char Char Char Char11"/>
    <w:basedOn w:val="1"/>
    <w:qFormat/>
    <w:uiPriority w:val="0"/>
    <w:pPr>
      <w:adjustRightInd/>
      <w:snapToGrid/>
      <w:spacing w:line="240" w:lineRule="auto"/>
    </w:pPr>
    <w:rPr>
      <w:rFonts w:ascii="宋体" w:hAnsi="宋体" w:cs="宋体"/>
      <w:snapToGrid/>
      <w:kern w:val="2"/>
    </w:rPr>
  </w:style>
  <w:style w:type="paragraph" w:customStyle="1" w:styleId="222">
    <w:name w:val="Char Char Char Char12"/>
    <w:basedOn w:val="1"/>
    <w:qFormat/>
    <w:uiPriority w:val="0"/>
    <w:pPr>
      <w:adjustRightInd/>
      <w:snapToGrid/>
      <w:spacing w:line="360" w:lineRule="auto"/>
    </w:pPr>
    <w:rPr>
      <w:rFonts w:ascii="宋体" w:hAnsi="宋体" w:cs="宋体"/>
      <w:snapToGrid/>
      <w:kern w:val="2"/>
    </w:rPr>
  </w:style>
  <w:style w:type="paragraph" w:customStyle="1" w:styleId="223">
    <w:name w:val="Char Char Char Char2"/>
    <w:basedOn w:val="1"/>
    <w:qFormat/>
    <w:uiPriority w:val="0"/>
    <w:pPr>
      <w:adjustRightInd/>
      <w:snapToGrid/>
      <w:spacing w:line="360" w:lineRule="auto"/>
    </w:pPr>
    <w:rPr>
      <w:rFonts w:ascii="宋体" w:hAnsi="宋体" w:cs="宋体"/>
      <w:snapToGrid/>
      <w:kern w:val="2"/>
    </w:rPr>
  </w:style>
  <w:style w:type="paragraph" w:customStyle="1" w:styleId="224">
    <w:name w:val="Char Char Char Char21"/>
    <w:basedOn w:val="1"/>
    <w:semiHidden/>
    <w:qFormat/>
    <w:uiPriority w:val="0"/>
    <w:pPr>
      <w:adjustRightInd/>
      <w:snapToGrid/>
      <w:spacing w:line="360" w:lineRule="auto"/>
    </w:pPr>
    <w:rPr>
      <w:rFonts w:ascii="宋体" w:hAnsi="宋体" w:cs="宋体"/>
      <w:snapToGrid/>
      <w:kern w:val="2"/>
      <w:szCs w:val="26"/>
    </w:rPr>
  </w:style>
  <w:style w:type="paragraph" w:customStyle="1" w:styleId="225">
    <w:name w:val="Char Char Char Char3"/>
    <w:basedOn w:val="1"/>
    <w:qFormat/>
    <w:uiPriority w:val="0"/>
    <w:pPr>
      <w:adjustRightInd/>
      <w:snapToGrid/>
      <w:spacing w:line="360" w:lineRule="auto"/>
    </w:pPr>
    <w:rPr>
      <w:rFonts w:ascii="宋体" w:hAnsi="宋体" w:cs="宋体"/>
      <w:snapToGrid/>
      <w:kern w:val="2"/>
    </w:rPr>
  </w:style>
  <w:style w:type="paragraph" w:customStyle="1" w:styleId="226">
    <w:name w:val="Char Char Char Char4"/>
    <w:basedOn w:val="1"/>
    <w:qFormat/>
    <w:uiPriority w:val="0"/>
    <w:pPr>
      <w:adjustRightInd/>
      <w:snapToGrid/>
      <w:spacing w:line="240" w:lineRule="auto"/>
      <w:ind w:firstLine="0" w:firstLineChars="0"/>
    </w:pPr>
    <w:rPr>
      <w:snapToGrid/>
      <w:kern w:val="2"/>
      <w:sz w:val="21"/>
    </w:rPr>
  </w:style>
  <w:style w:type="paragraph" w:customStyle="1" w:styleId="227">
    <w:name w:val="Char Char Char Char5"/>
    <w:basedOn w:val="1"/>
    <w:qFormat/>
    <w:uiPriority w:val="0"/>
    <w:pPr>
      <w:adjustRightInd/>
      <w:snapToGrid/>
      <w:spacing w:line="360" w:lineRule="auto"/>
      <w:textAlignment w:val="baseline"/>
    </w:pPr>
    <w:rPr>
      <w:rFonts w:hint="eastAsia" w:ascii="宋体" w:hAnsi="宋体"/>
      <w:snapToGrid/>
      <w:szCs w:val="20"/>
    </w:rPr>
  </w:style>
  <w:style w:type="paragraph" w:customStyle="1" w:styleId="228">
    <w:name w:val="Char Char Char1 Char"/>
    <w:basedOn w:val="1"/>
    <w:qFormat/>
    <w:uiPriority w:val="0"/>
    <w:pPr>
      <w:adjustRightInd/>
      <w:snapToGrid/>
      <w:spacing w:line="360" w:lineRule="auto"/>
      <w:textAlignment w:val="baseline"/>
    </w:pPr>
    <w:rPr>
      <w:rFonts w:hint="eastAsia" w:ascii="宋体" w:hAnsi="宋体"/>
      <w:snapToGrid/>
      <w:szCs w:val="20"/>
    </w:rPr>
  </w:style>
  <w:style w:type="paragraph" w:customStyle="1" w:styleId="229">
    <w:name w:val="Char Char Char1 Char Char Char"/>
    <w:basedOn w:val="26"/>
    <w:qFormat/>
    <w:uiPriority w:val="0"/>
    <w:pPr>
      <w:snapToGrid/>
      <w:spacing w:line="436" w:lineRule="exact"/>
      <w:ind w:left="357" w:firstLine="0" w:firstLineChars="0"/>
      <w:outlineLvl w:val="3"/>
    </w:pPr>
    <w:rPr>
      <w:rFonts w:ascii="Tahoma" w:hAnsi="Tahoma"/>
      <w:b/>
      <w:snapToGrid/>
      <w:kern w:val="2"/>
      <w:szCs w:val="28"/>
    </w:rPr>
  </w:style>
  <w:style w:type="paragraph" w:customStyle="1" w:styleId="230">
    <w:name w:val="Char Char Char1 Char Char Char Char"/>
    <w:basedOn w:val="1"/>
    <w:qFormat/>
    <w:uiPriority w:val="0"/>
    <w:pPr>
      <w:adjustRightInd/>
      <w:snapToGrid/>
      <w:spacing w:line="360" w:lineRule="auto"/>
    </w:pPr>
    <w:rPr>
      <w:rFonts w:ascii="宋体" w:hAnsi="宋体" w:cs="宋体"/>
      <w:snapToGrid/>
      <w:kern w:val="2"/>
    </w:rPr>
  </w:style>
  <w:style w:type="paragraph" w:customStyle="1" w:styleId="231">
    <w:name w:val="Char Char Char1 Char Char Char Char Char Char"/>
    <w:basedOn w:val="26"/>
    <w:qFormat/>
    <w:uiPriority w:val="0"/>
    <w:pPr>
      <w:snapToGrid/>
      <w:spacing w:line="436" w:lineRule="exact"/>
      <w:ind w:left="357" w:firstLine="0" w:firstLineChars="0"/>
      <w:outlineLvl w:val="3"/>
    </w:pPr>
    <w:rPr>
      <w:rFonts w:ascii="Tahoma" w:hAnsi="Tahoma"/>
      <w:b/>
      <w:snapToGrid/>
      <w:kern w:val="2"/>
      <w:szCs w:val="28"/>
    </w:rPr>
  </w:style>
  <w:style w:type="paragraph" w:customStyle="1" w:styleId="232">
    <w:name w:val="Char Char Char1 Char Char Char Char Char Char Char"/>
    <w:basedOn w:val="26"/>
    <w:autoRedefine/>
    <w:qFormat/>
    <w:uiPriority w:val="0"/>
    <w:pPr>
      <w:snapToGrid/>
      <w:spacing w:line="436" w:lineRule="exact"/>
      <w:ind w:left="357" w:firstLine="0" w:firstLineChars="0"/>
      <w:outlineLvl w:val="3"/>
    </w:pPr>
    <w:rPr>
      <w:rFonts w:ascii="Tahoma" w:hAnsi="Tahoma"/>
      <w:b/>
      <w:snapToGrid/>
      <w:kern w:val="2"/>
      <w:szCs w:val="28"/>
    </w:rPr>
  </w:style>
  <w:style w:type="paragraph" w:customStyle="1" w:styleId="233">
    <w:name w:val="Char Char Char1 Char Char Char Char Char Char Char Char Char Char"/>
    <w:basedOn w:val="1"/>
    <w:qFormat/>
    <w:uiPriority w:val="0"/>
    <w:pPr>
      <w:spacing w:line="360" w:lineRule="auto"/>
    </w:pPr>
    <w:rPr>
      <w:rFonts w:ascii="宋体" w:hAnsi="宋体" w:cs="宋体"/>
      <w:snapToGrid/>
      <w:kern w:val="2"/>
      <w:szCs w:val="26"/>
    </w:rPr>
  </w:style>
  <w:style w:type="paragraph" w:customStyle="1" w:styleId="234">
    <w:name w:val="Char Char Char1 Char Char Char Char Char Char Char Char Char Char Char Char"/>
    <w:basedOn w:val="26"/>
    <w:autoRedefine/>
    <w:qFormat/>
    <w:uiPriority w:val="0"/>
    <w:pPr>
      <w:snapToGrid/>
      <w:spacing w:line="436" w:lineRule="exact"/>
      <w:ind w:left="357" w:firstLine="0" w:firstLineChars="0"/>
      <w:outlineLvl w:val="3"/>
    </w:pPr>
    <w:rPr>
      <w:rFonts w:ascii="Tahoma" w:hAnsi="Tahoma"/>
      <w:b/>
      <w:snapToGrid/>
      <w:kern w:val="2"/>
      <w:szCs w:val="28"/>
    </w:rPr>
  </w:style>
  <w:style w:type="character" w:customStyle="1" w:styleId="235">
    <w:name w:val="标题 4 字符2"/>
    <w:link w:val="6"/>
    <w:qFormat/>
    <w:uiPriority w:val="0"/>
    <w:rPr>
      <w:rFonts w:ascii="Times New Roman" w:hAnsi="Times New Roman" w:eastAsia="宋体" w:cs="Times New Roman"/>
      <w:bCs/>
      <w:snapToGrid w:val="0"/>
      <w:kern w:val="0"/>
      <w:sz w:val="26"/>
      <w:szCs w:val="26"/>
      <w:lang w:val="zh-CN"/>
      <w14:ligatures w14:val="none"/>
    </w:rPr>
  </w:style>
  <w:style w:type="paragraph" w:customStyle="1" w:styleId="236">
    <w:name w:val="Char Char Char1 Char Char Char Char Char Char Char Char Char Char Char Char Char"/>
    <w:basedOn w:val="6"/>
    <w:qFormat/>
    <w:uiPriority w:val="0"/>
    <w:pPr>
      <w:keepNext/>
      <w:keepLines/>
      <w:widowControl/>
      <w:numPr>
        <w:ilvl w:val="0"/>
        <w:numId w:val="0"/>
      </w:numPr>
      <w:adjustRightInd/>
      <w:snapToGrid/>
      <w:spacing w:after="120" w:line="360" w:lineRule="auto"/>
    </w:pPr>
    <w:rPr>
      <w:rFonts w:eastAsia="仿宋_GB2312" w:cs="宋体"/>
      <w:snapToGrid/>
      <w:sz w:val="28"/>
      <w:szCs w:val="28"/>
      <w:lang w:val="en-US"/>
    </w:rPr>
  </w:style>
  <w:style w:type="paragraph" w:customStyle="1" w:styleId="237">
    <w:name w:val="Char Char Char1 Char Char Char Char Char Char Char Char Char Char Char Char1 Char Char Char Char Char Char Char Char Char Char Char Char Char Char Char Char Char Char Char Char Char1 Char Char Char Char Char Char Char"/>
    <w:basedOn w:val="1"/>
    <w:qFormat/>
    <w:uiPriority w:val="0"/>
    <w:pPr>
      <w:adjustRightInd/>
      <w:snapToGrid/>
      <w:spacing w:line="360" w:lineRule="auto"/>
      <w:textAlignment w:val="baseline"/>
    </w:pPr>
    <w:rPr>
      <w:rFonts w:hint="eastAsia" w:ascii="宋体" w:hAnsi="宋体"/>
      <w:snapToGrid/>
      <w:szCs w:val="20"/>
    </w:rPr>
  </w:style>
  <w:style w:type="paragraph" w:customStyle="1" w:styleId="238">
    <w:name w:val="Char Char Char1 Char Char Char Char Char Char Char1"/>
    <w:basedOn w:val="1"/>
    <w:qFormat/>
    <w:uiPriority w:val="0"/>
    <w:pPr>
      <w:adjustRightInd/>
      <w:snapToGrid/>
      <w:spacing w:line="240" w:lineRule="auto"/>
      <w:ind w:firstLine="0" w:firstLineChars="0"/>
    </w:pPr>
    <w:rPr>
      <w:rFonts w:eastAsia="仿宋_GB2312"/>
      <w:snapToGrid/>
      <w:kern w:val="2"/>
      <w:sz w:val="32"/>
    </w:rPr>
  </w:style>
  <w:style w:type="paragraph" w:customStyle="1" w:styleId="239">
    <w:name w:val="Char Char Char1 Char Char Char Char1"/>
    <w:basedOn w:val="26"/>
    <w:autoRedefine/>
    <w:qFormat/>
    <w:uiPriority w:val="0"/>
    <w:pPr>
      <w:snapToGrid/>
      <w:spacing w:line="436" w:lineRule="exact"/>
      <w:ind w:left="357" w:firstLine="0" w:firstLineChars="0"/>
      <w:outlineLvl w:val="3"/>
    </w:pPr>
    <w:rPr>
      <w:rFonts w:hint="eastAsia" w:ascii="Tahoma" w:hAnsi="Tahoma"/>
      <w:b/>
      <w:snapToGrid/>
      <w:kern w:val="2"/>
      <w:sz w:val="21"/>
      <w:szCs w:val="28"/>
    </w:rPr>
  </w:style>
  <w:style w:type="paragraph" w:customStyle="1" w:styleId="240">
    <w:name w:val="Char Char Char1 Char Char Char2 Char Char Char Char"/>
    <w:basedOn w:val="1"/>
    <w:qFormat/>
    <w:uiPriority w:val="0"/>
    <w:pPr>
      <w:adjustRightInd/>
      <w:snapToGrid/>
      <w:spacing w:line="360" w:lineRule="auto"/>
    </w:pPr>
    <w:rPr>
      <w:rFonts w:ascii="宋体" w:hAnsi="宋体" w:cs="宋体"/>
      <w:snapToGrid/>
      <w:kern w:val="2"/>
      <w:szCs w:val="28"/>
    </w:rPr>
  </w:style>
  <w:style w:type="paragraph" w:customStyle="1" w:styleId="241">
    <w:name w:val="Char Char Char1 Char Char Char2 Char Char Char Char1"/>
    <w:basedOn w:val="1"/>
    <w:qFormat/>
    <w:uiPriority w:val="0"/>
    <w:pPr>
      <w:adjustRightInd/>
      <w:snapToGrid/>
      <w:spacing w:line="360" w:lineRule="auto"/>
    </w:pPr>
    <w:rPr>
      <w:rFonts w:ascii="宋体" w:hAnsi="宋体" w:cs="宋体"/>
      <w:snapToGrid/>
      <w:kern w:val="2"/>
      <w:szCs w:val="28"/>
    </w:rPr>
  </w:style>
  <w:style w:type="paragraph" w:customStyle="1" w:styleId="242">
    <w:name w:val="Char Char Char1 Char1"/>
    <w:basedOn w:val="1"/>
    <w:qFormat/>
    <w:uiPriority w:val="0"/>
    <w:pPr>
      <w:adjustRightInd/>
      <w:snapToGrid/>
      <w:spacing w:line="240" w:lineRule="auto"/>
      <w:ind w:firstLine="0" w:firstLineChars="0"/>
    </w:pPr>
    <w:rPr>
      <w:snapToGrid/>
      <w:kern w:val="2"/>
      <w:sz w:val="21"/>
    </w:rPr>
  </w:style>
  <w:style w:type="paragraph" w:customStyle="1" w:styleId="243">
    <w:name w:val="Char Char Char1 Char1 Char Char Char"/>
    <w:basedOn w:val="1"/>
    <w:qFormat/>
    <w:uiPriority w:val="0"/>
    <w:pPr>
      <w:spacing w:line="240" w:lineRule="auto"/>
      <w:ind w:firstLine="0" w:firstLineChars="0"/>
    </w:pPr>
    <w:rPr>
      <w:snapToGrid/>
      <w:kern w:val="2"/>
      <w:sz w:val="21"/>
      <w:szCs w:val="22"/>
    </w:rPr>
  </w:style>
  <w:style w:type="paragraph" w:customStyle="1" w:styleId="244">
    <w:name w:val="Char Char Char1 Char2"/>
    <w:basedOn w:val="1"/>
    <w:qFormat/>
    <w:uiPriority w:val="0"/>
    <w:pPr>
      <w:spacing w:line="360" w:lineRule="auto"/>
    </w:pPr>
    <w:rPr>
      <w:snapToGrid/>
      <w:kern w:val="2"/>
      <w:sz w:val="21"/>
      <w:szCs w:val="20"/>
    </w:rPr>
  </w:style>
  <w:style w:type="paragraph" w:customStyle="1" w:styleId="245">
    <w:name w:val="Char Char Char11"/>
    <w:basedOn w:val="1"/>
    <w:qFormat/>
    <w:uiPriority w:val="0"/>
    <w:pPr>
      <w:adjustRightInd/>
      <w:spacing w:line="360" w:lineRule="auto"/>
    </w:pPr>
    <w:rPr>
      <w:rFonts w:eastAsia="仿宋_GB2312"/>
      <w:snapToGrid/>
      <w:kern w:val="2"/>
      <w:u w:color="000000"/>
    </w:rPr>
  </w:style>
  <w:style w:type="paragraph" w:customStyle="1" w:styleId="246">
    <w:name w:val="Char Char Char12"/>
    <w:basedOn w:val="1"/>
    <w:semiHidden/>
    <w:qFormat/>
    <w:uiPriority w:val="0"/>
    <w:pPr>
      <w:spacing w:line="360" w:lineRule="auto"/>
    </w:pPr>
    <w:rPr>
      <w:rFonts w:ascii="宋体" w:hAnsi="宋体" w:cs="宋体"/>
      <w:snapToGrid/>
      <w:kern w:val="2"/>
      <w:szCs w:val="26"/>
    </w:rPr>
  </w:style>
  <w:style w:type="paragraph" w:customStyle="1" w:styleId="247">
    <w:name w:val="Char Char Char2"/>
    <w:basedOn w:val="1"/>
    <w:qFormat/>
    <w:uiPriority w:val="0"/>
    <w:pPr>
      <w:adjustRightInd/>
      <w:snapToGrid/>
      <w:spacing w:line="240" w:lineRule="auto"/>
      <w:ind w:firstLine="0" w:firstLineChars="0"/>
    </w:pPr>
    <w:rPr>
      <w:snapToGrid/>
      <w:kern w:val="2"/>
      <w:sz w:val="21"/>
      <w:szCs w:val="21"/>
    </w:rPr>
  </w:style>
  <w:style w:type="character" w:customStyle="1" w:styleId="248">
    <w:name w:val="标题 3 字符2"/>
    <w:link w:val="5"/>
    <w:qFormat/>
    <w:uiPriority w:val="0"/>
    <w:rPr>
      <w:rFonts w:ascii="Times New Roman" w:hAnsi="Times New Roman" w:eastAsia="宋体" w:cs="Times New Roman"/>
      <w:b/>
      <w:snapToGrid w:val="0"/>
      <w:sz w:val="26"/>
      <w:szCs w:val="26"/>
    </w:rPr>
  </w:style>
  <w:style w:type="paragraph" w:customStyle="1" w:styleId="249">
    <w:name w:val="Char Char Char2 Char"/>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50">
    <w:name w:val="Char Char Char2 Char Char"/>
    <w:basedOn w:val="1"/>
    <w:link w:val="251"/>
    <w:qFormat/>
    <w:uiPriority w:val="0"/>
    <w:pPr>
      <w:adjustRightInd/>
      <w:snapToGrid/>
      <w:spacing w:line="360" w:lineRule="auto"/>
    </w:pPr>
    <w:rPr>
      <w:rFonts w:ascii="宋体" w:hAnsi="宋体"/>
      <w:snapToGrid/>
      <w:kern w:val="2"/>
    </w:rPr>
  </w:style>
  <w:style w:type="character" w:customStyle="1" w:styleId="251">
    <w:name w:val="Char Char Char2 Char Char Char"/>
    <w:link w:val="250"/>
    <w:qFormat/>
    <w:uiPriority w:val="0"/>
    <w:rPr>
      <w:rFonts w:ascii="宋体" w:hAnsi="宋体" w:eastAsia="宋体" w:cs="Times New Roman"/>
      <w:sz w:val="26"/>
      <w:szCs w:val="24"/>
      <w14:ligatures w14:val="none"/>
    </w:rPr>
  </w:style>
  <w:style w:type="paragraph" w:customStyle="1" w:styleId="252">
    <w:name w:val="Char Char Char2 Char Char Char Char Char Char Char Char Char Char Char Char Char"/>
    <w:basedOn w:val="1"/>
    <w:qFormat/>
    <w:uiPriority w:val="0"/>
    <w:pPr>
      <w:adjustRightInd/>
      <w:snapToGrid/>
      <w:spacing w:line="240" w:lineRule="auto"/>
      <w:ind w:firstLine="0" w:firstLineChars="0"/>
    </w:pPr>
    <w:rPr>
      <w:snapToGrid/>
      <w:kern w:val="2"/>
      <w:sz w:val="21"/>
    </w:rPr>
  </w:style>
  <w:style w:type="paragraph" w:customStyle="1" w:styleId="253">
    <w:name w:val="Char Char Char2 Char Char1"/>
    <w:basedOn w:val="1"/>
    <w:qFormat/>
    <w:uiPriority w:val="0"/>
    <w:pPr>
      <w:adjustRightInd/>
      <w:snapToGrid/>
      <w:spacing w:line="360" w:lineRule="auto"/>
    </w:pPr>
    <w:rPr>
      <w:rFonts w:ascii="宋体" w:hAnsi="宋体" w:cs="宋体"/>
      <w:snapToGrid/>
      <w:kern w:val="2"/>
    </w:rPr>
  </w:style>
  <w:style w:type="paragraph" w:customStyle="1" w:styleId="254">
    <w:name w:val="Char Char Char3"/>
    <w:basedOn w:val="1"/>
    <w:qFormat/>
    <w:uiPriority w:val="0"/>
    <w:pPr>
      <w:adjustRightInd/>
      <w:snapToGrid/>
      <w:spacing w:line="240" w:lineRule="auto"/>
      <w:ind w:firstLine="0" w:firstLineChars="0"/>
    </w:pPr>
    <w:rPr>
      <w:snapToGrid/>
      <w:kern w:val="2"/>
      <w:sz w:val="21"/>
    </w:rPr>
  </w:style>
  <w:style w:type="paragraph" w:customStyle="1" w:styleId="255">
    <w:name w:val="Char Char Char3 Char"/>
    <w:basedOn w:val="1"/>
    <w:qFormat/>
    <w:uiPriority w:val="0"/>
    <w:pPr>
      <w:spacing w:line="360" w:lineRule="auto"/>
    </w:pPr>
    <w:rPr>
      <w:rFonts w:ascii="宋体" w:hAnsi="宋体" w:cs="宋体"/>
      <w:snapToGrid/>
      <w:kern w:val="2"/>
      <w:szCs w:val="22"/>
    </w:rPr>
  </w:style>
  <w:style w:type="paragraph" w:customStyle="1" w:styleId="256">
    <w:name w:val="Char Char Char3 Char1"/>
    <w:basedOn w:val="1"/>
    <w:qFormat/>
    <w:uiPriority w:val="0"/>
    <w:pPr>
      <w:adjustRightInd/>
      <w:snapToGrid/>
      <w:spacing w:line="360" w:lineRule="auto"/>
    </w:pPr>
    <w:rPr>
      <w:rFonts w:ascii="宋体" w:hAnsi="宋体" w:cs="宋体"/>
      <w:snapToGrid/>
      <w:kern w:val="2"/>
    </w:rPr>
  </w:style>
  <w:style w:type="paragraph" w:customStyle="1" w:styleId="257">
    <w:name w:val="Char Char Char3 Char2"/>
    <w:basedOn w:val="1"/>
    <w:qFormat/>
    <w:uiPriority w:val="0"/>
    <w:pPr>
      <w:autoSpaceDE w:val="0"/>
      <w:autoSpaceDN w:val="0"/>
      <w:snapToGrid/>
      <w:spacing w:line="360" w:lineRule="auto"/>
      <w:textAlignment w:val="baseline"/>
    </w:pPr>
    <w:rPr>
      <w:snapToGrid/>
      <w:szCs w:val="20"/>
    </w:rPr>
  </w:style>
  <w:style w:type="paragraph" w:customStyle="1" w:styleId="258">
    <w:name w:val="Char Char Char4"/>
    <w:basedOn w:val="1"/>
    <w:semiHidden/>
    <w:qFormat/>
    <w:uiPriority w:val="0"/>
    <w:pPr>
      <w:adjustRightInd/>
      <w:snapToGrid/>
      <w:spacing w:line="240" w:lineRule="auto"/>
      <w:ind w:firstLine="0" w:firstLineChars="0"/>
    </w:pPr>
    <w:rPr>
      <w:snapToGrid/>
      <w:kern w:val="2"/>
      <w:sz w:val="21"/>
    </w:rPr>
  </w:style>
  <w:style w:type="paragraph" w:customStyle="1" w:styleId="259">
    <w:name w:val="Char Char Char5"/>
    <w:basedOn w:val="1"/>
    <w:qFormat/>
    <w:uiPriority w:val="0"/>
    <w:pPr>
      <w:snapToGrid/>
      <w:spacing w:line="360" w:lineRule="atLeast"/>
      <w:ind w:firstLine="0" w:firstLineChars="0"/>
      <w:textAlignment w:val="baseline"/>
    </w:pPr>
    <w:rPr>
      <w:snapToGrid/>
      <w:kern w:val="2"/>
      <w:sz w:val="21"/>
    </w:rPr>
  </w:style>
  <w:style w:type="character" w:customStyle="1" w:styleId="260">
    <w:name w:val="Char Char Char8"/>
    <w:qFormat/>
    <w:uiPriority w:val="0"/>
    <w:rPr>
      <w:rFonts w:eastAsia="宋体"/>
      <w:kern w:val="2"/>
      <w:sz w:val="18"/>
      <w:szCs w:val="18"/>
      <w:lang w:val="en-US" w:eastAsia="zh-CN" w:bidi="ar-SA"/>
    </w:rPr>
  </w:style>
  <w:style w:type="paragraph" w:customStyle="1" w:styleId="261">
    <w:name w:val="Char Char1 Char"/>
    <w:basedOn w:val="1"/>
    <w:qFormat/>
    <w:uiPriority w:val="0"/>
    <w:pPr>
      <w:adjustRightInd/>
      <w:snapToGrid/>
      <w:spacing w:line="360" w:lineRule="auto"/>
    </w:pPr>
    <w:rPr>
      <w:rFonts w:ascii="宋体" w:hAnsi="宋体" w:cs="宋体"/>
      <w:snapToGrid/>
      <w:kern w:val="2"/>
    </w:rPr>
  </w:style>
  <w:style w:type="paragraph" w:customStyle="1" w:styleId="262">
    <w:name w:val="Char Char1 Char Char"/>
    <w:basedOn w:val="1"/>
    <w:qFormat/>
    <w:uiPriority w:val="0"/>
    <w:pPr>
      <w:autoSpaceDE w:val="0"/>
      <w:autoSpaceDN w:val="0"/>
      <w:snapToGrid/>
      <w:spacing w:line="360" w:lineRule="auto"/>
      <w:textAlignment w:val="baseline"/>
    </w:pPr>
    <w:rPr>
      <w:snapToGrid/>
      <w:kern w:val="2"/>
      <w:sz w:val="21"/>
    </w:rPr>
  </w:style>
  <w:style w:type="paragraph" w:customStyle="1" w:styleId="263">
    <w:name w:val="Char Char1 Char Char Char"/>
    <w:basedOn w:val="1"/>
    <w:qFormat/>
    <w:uiPriority w:val="0"/>
    <w:pPr>
      <w:adjustRightInd/>
      <w:snapToGrid/>
      <w:spacing w:line="240" w:lineRule="auto"/>
      <w:ind w:firstLine="0" w:firstLineChars="0"/>
    </w:pPr>
    <w:rPr>
      <w:snapToGrid/>
      <w:sz w:val="20"/>
      <w:szCs w:val="20"/>
    </w:rPr>
  </w:style>
  <w:style w:type="paragraph" w:customStyle="1" w:styleId="264">
    <w:name w:val="Char Char1 Char Char Char Char Char Char"/>
    <w:basedOn w:val="1"/>
    <w:qFormat/>
    <w:uiPriority w:val="0"/>
    <w:pPr>
      <w:adjustRightInd/>
      <w:snapToGrid/>
      <w:spacing w:line="360" w:lineRule="auto"/>
    </w:pPr>
    <w:rPr>
      <w:rFonts w:ascii="宋体" w:hAnsi="宋体" w:cs="宋体"/>
      <w:snapToGrid/>
      <w:kern w:val="2"/>
    </w:rPr>
  </w:style>
  <w:style w:type="paragraph" w:customStyle="1" w:styleId="265">
    <w:name w:val="Char Char1 Char Char Char Char Char Char Char"/>
    <w:basedOn w:val="1"/>
    <w:qFormat/>
    <w:uiPriority w:val="0"/>
    <w:pPr>
      <w:adjustRightInd/>
      <w:snapToGrid/>
      <w:spacing w:line="360" w:lineRule="auto"/>
    </w:pPr>
    <w:rPr>
      <w:rFonts w:ascii="宋体" w:hAnsi="宋体" w:cs="宋体"/>
      <w:snapToGrid/>
      <w:kern w:val="2"/>
    </w:rPr>
  </w:style>
  <w:style w:type="character" w:customStyle="1" w:styleId="266">
    <w:name w:val="Char Char1 Char Char Char Char Char Char Char Char"/>
    <w:qFormat/>
    <w:uiPriority w:val="0"/>
    <w:rPr>
      <w:rFonts w:ascii="宋体" w:hAnsi="宋体" w:eastAsia="宋体"/>
      <w:b/>
      <w:kern w:val="2"/>
      <w:sz w:val="24"/>
      <w:szCs w:val="24"/>
      <w:lang w:val="en-US" w:eastAsia="zh-CN" w:bidi="ar-SA"/>
    </w:rPr>
  </w:style>
  <w:style w:type="paragraph" w:customStyle="1" w:styleId="267">
    <w:name w:val="Char Char1 Char Char Char Char Char Char Char Char Char"/>
    <w:basedOn w:val="1"/>
    <w:qFormat/>
    <w:uiPriority w:val="0"/>
    <w:pPr>
      <w:spacing w:line="360" w:lineRule="auto"/>
    </w:pPr>
    <w:rPr>
      <w:rFonts w:ascii="宋体" w:hAnsi="宋体" w:cs="宋体"/>
      <w:kern w:val="2"/>
    </w:rPr>
  </w:style>
  <w:style w:type="paragraph" w:customStyle="1" w:styleId="268">
    <w:name w:val="Char Char1 Char Char Char Char Char Char Char Char Char Char"/>
    <w:basedOn w:val="1"/>
    <w:qFormat/>
    <w:uiPriority w:val="0"/>
    <w:pPr>
      <w:adjustRightInd/>
      <w:snapToGrid/>
      <w:spacing w:line="360" w:lineRule="auto"/>
    </w:pPr>
    <w:rPr>
      <w:rFonts w:ascii="宋体" w:hAnsi="宋体" w:cs="宋体"/>
      <w:snapToGrid/>
      <w:kern w:val="2"/>
    </w:rPr>
  </w:style>
  <w:style w:type="paragraph" w:customStyle="1" w:styleId="269">
    <w:name w:val="Char Char1 Char Char Char Char Char Char Char Char Char Char Char Char Char"/>
    <w:basedOn w:val="1"/>
    <w:qFormat/>
    <w:uiPriority w:val="0"/>
    <w:pPr>
      <w:adjustRightInd/>
      <w:snapToGrid/>
      <w:spacing w:line="360" w:lineRule="auto"/>
    </w:pPr>
    <w:rPr>
      <w:rFonts w:ascii="宋体" w:hAnsi="宋体" w:cs="宋体"/>
      <w:snapToGrid/>
      <w:kern w:val="2"/>
    </w:rPr>
  </w:style>
  <w:style w:type="paragraph" w:customStyle="1" w:styleId="270">
    <w:name w:val="Char Char1 Char Char Char Char Char Char Char1"/>
    <w:basedOn w:val="1"/>
    <w:next w:val="1"/>
    <w:autoRedefine/>
    <w:qFormat/>
    <w:uiPriority w:val="0"/>
    <w:pPr>
      <w:adjustRightInd/>
      <w:snapToGrid/>
      <w:spacing w:line="240" w:lineRule="auto"/>
      <w:ind w:firstLine="0" w:firstLineChars="0"/>
    </w:pPr>
    <w:rPr>
      <w:rFonts w:ascii="华文楷体" w:hAnsi="华文楷体" w:eastAsia="华文楷体"/>
      <w:b/>
      <w:snapToGrid/>
      <w:kern w:val="2"/>
      <w:sz w:val="21"/>
      <w:szCs w:val="21"/>
    </w:rPr>
  </w:style>
  <w:style w:type="paragraph" w:customStyle="1" w:styleId="271">
    <w:name w:val="Char Char1 Char Char Char1"/>
    <w:basedOn w:val="1"/>
    <w:autoRedefine/>
    <w:qFormat/>
    <w:uiPriority w:val="0"/>
    <w:pPr>
      <w:widowControl/>
      <w:adjustRightInd/>
      <w:snapToGrid/>
      <w:spacing w:after="160" w:line="240" w:lineRule="exact"/>
      <w:ind w:firstLine="0" w:firstLineChars="0"/>
    </w:pPr>
    <w:rPr>
      <w:rFonts w:ascii="Verdana" w:hAnsi="Verdana" w:eastAsia="仿宋_GB2312"/>
      <w:snapToGrid/>
      <w:sz w:val="30"/>
      <w:szCs w:val="30"/>
      <w:lang w:eastAsia="en-US"/>
    </w:rPr>
  </w:style>
  <w:style w:type="paragraph" w:customStyle="1" w:styleId="272">
    <w:name w:val="Char Char1 Char Char Char1 Char"/>
    <w:basedOn w:val="1"/>
    <w:qFormat/>
    <w:uiPriority w:val="0"/>
    <w:pPr>
      <w:adjustRightInd/>
      <w:snapToGrid/>
      <w:spacing w:line="360" w:lineRule="auto"/>
    </w:pPr>
    <w:rPr>
      <w:rFonts w:ascii="宋体" w:hAnsi="宋体" w:cs="宋体"/>
      <w:snapToGrid/>
      <w:kern w:val="2"/>
    </w:rPr>
  </w:style>
  <w:style w:type="paragraph" w:customStyle="1" w:styleId="273">
    <w:name w:val="Char Char1 Char Char1"/>
    <w:basedOn w:val="1"/>
    <w:qFormat/>
    <w:uiPriority w:val="0"/>
    <w:pPr>
      <w:autoSpaceDE w:val="0"/>
      <w:autoSpaceDN w:val="0"/>
      <w:snapToGrid/>
      <w:spacing w:line="360" w:lineRule="auto"/>
      <w:textAlignment w:val="baseline"/>
    </w:pPr>
    <w:rPr>
      <w:snapToGrid/>
      <w:kern w:val="2"/>
      <w:sz w:val="21"/>
    </w:rPr>
  </w:style>
  <w:style w:type="paragraph" w:customStyle="1" w:styleId="274">
    <w:name w:val="Char Char1 Char1"/>
    <w:basedOn w:val="1"/>
    <w:uiPriority w:val="0"/>
    <w:pPr>
      <w:adjustRightInd/>
      <w:snapToGrid/>
      <w:spacing w:line="360" w:lineRule="auto"/>
    </w:pPr>
    <w:rPr>
      <w:rFonts w:ascii="宋体" w:hAnsi="宋体" w:cs="宋体"/>
      <w:snapToGrid/>
      <w:kern w:val="2"/>
    </w:rPr>
  </w:style>
  <w:style w:type="character" w:customStyle="1" w:styleId="275">
    <w:name w:val="Char Char1"/>
    <w:qFormat/>
    <w:uiPriority w:val="0"/>
    <w:rPr>
      <w:rFonts w:eastAsia="宋体"/>
      <w:snapToGrid w:val="0"/>
      <w:color w:val="000000"/>
      <w:sz w:val="26"/>
      <w:szCs w:val="26"/>
      <w:lang w:val="en-US" w:eastAsia="zh-CN" w:bidi="ar-SA"/>
    </w:rPr>
  </w:style>
  <w:style w:type="character" w:customStyle="1" w:styleId="276">
    <w:name w:val="Char Char10"/>
    <w:qFormat/>
    <w:uiPriority w:val="0"/>
    <w:rPr>
      <w:rFonts w:ascii="宋体" w:eastAsia="宋体"/>
      <w:kern w:val="2"/>
      <w:sz w:val="28"/>
      <w:lang w:val="en-US" w:eastAsia="zh-CN" w:bidi="ar-SA"/>
    </w:rPr>
  </w:style>
  <w:style w:type="character" w:customStyle="1" w:styleId="277">
    <w:name w:val="Char Char101"/>
    <w:uiPriority w:val="0"/>
    <w:rPr>
      <w:rFonts w:ascii="宋体" w:hAnsi="宋体" w:eastAsia="宋体"/>
      <w:kern w:val="2"/>
      <w:sz w:val="24"/>
      <w:lang w:val="en-US" w:eastAsia="zh-CN" w:bidi="ar-SA"/>
    </w:rPr>
  </w:style>
  <w:style w:type="paragraph" w:customStyle="1" w:styleId="278">
    <w:name w:val="Char Char110"/>
    <w:basedOn w:val="1"/>
    <w:qFormat/>
    <w:uiPriority w:val="0"/>
    <w:pPr>
      <w:widowControl/>
      <w:tabs>
        <w:tab w:val="left" w:pos="630"/>
      </w:tabs>
      <w:adjustRightInd/>
      <w:snapToGrid/>
      <w:spacing w:beforeAutospacing="1" w:after="100" w:afterAutospacing="1" w:line="240" w:lineRule="auto"/>
    </w:pPr>
    <w:rPr>
      <w:rFonts w:ascii="Verdana" w:hAnsi="Verdana" w:eastAsia="仿宋_GB2312"/>
      <w:snapToGrid/>
      <w:sz w:val="20"/>
      <w:szCs w:val="21"/>
      <w:lang w:eastAsia="en-US"/>
    </w:rPr>
  </w:style>
  <w:style w:type="character" w:customStyle="1" w:styleId="279">
    <w:name w:val="Char Char111"/>
    <w:qFormat/>
    <w:uiPriority w:val="0"/>
    <w:rPr>
      <w:rFonts w:hint="eastAsia" w:ascii="宋体" w:hAnsi="宋体" w:eastAsia="宋体"/>
      <w:kern w:val="2"/>
      <w:sz w:val="21"/>
      <w:szCs w:val="24"/>
      <w:lang w:val="en-US" w:eastAsia="zh-CN" w:bidi="ar-SA"/>
    </w:rPr>
  </w:style>
  <w:style w:type="character" w:customStyle="1" w:styleId="280">
    <w:name w:val="Char Char112"/>
    <w:qFormat/>
    <w:uiPriority w:val="0"/>
    <w:rPr>
      <w:bCs/>
      <w:kern w:val="2"/>
      <w:sz w:val="24"/>
      <w:szCs w:val="24"/>
    </w:rPr>
  </w:style>
  <w:style w:type="character" w:customStyle="1" w:styleId="281">
    <w:name w:val="Char Char121"/>
    <w:uiPriority w:val="0"/>
    <w:rPr>
      <w:rFonts w:hint="eastAsia" w:ascii="宋体" w:hAnsi="宋体" w:eastAsia="宋体" w:cs="宋体"/>
      <w:kern w:val="0"/>
      <w:sz w:val="24"/>
      <w:szCs w:val="24"/>
    </w:rPr>
  </w:style>
  <w:style w:type="character" w:customStyle="1" w:styleId="282">
    <w:name w:val="Char Char122"/>
    <w:qFormat/>
    <w:uiPriority w:val="0"/>
    <w:rPr>
      <w:rFonts w:ascii="Arial" w:hAnsi="Arial" w:eastAsia="黑体"/>
      <w:b/>
      <w:bCs/>
      <w:kern w:val="2"/>
      <w:sz w:val="32"/>
      <w:szCs w:val="32"/>
    </w:rPr>
  </w:style>
  <w:style w:type="paragraph" w:customStyle="1" w:styleId="283">
    <w:name w:val="Char Char13 Char Char"/>
    <w:basedOn w:val="1"/>
    <w:qFormat/>
    <w:uiPriority w:val="0"/>
    <w:pPr>
      <w:adjustRightInd/>
      <w:snapToGrid/>
      <w:ind w:firstLine="0" w:firstLineChars="0"/>
      <w:outlineLvl w:val="3"/>
    </w:pPr>
    <w:rPr>
      <w:rFonts w:ascii="宋体" w:hAnsi="宋体" w:cs="宋体"/>
      <w:snapToGrid/>
      <w:kern w:val="2"/>
    </w:rPr>
  </w:style>
  <w:style w:type="paragraph" w:customStyle="1" w:styleId="284">
    <w:name w:val="Char Char13 Char Char Char"/>
    <w:basedOn w:val="1"/>
    <w:autoRedefine/>
    <w:qFormat/>
    <w:uiPriority w:val="0"/>
    <w:pPr>
      <w:adjustRightInd/>
      <w:snapToGrid/>
      <w:outlineLvl w:val="3"/>
    </w:pPr>
    <w:rPr>
      <w:rFonts w:ascii="宋体" w:hAnsi="宋体" w:eastAsia="Times New Roman" w:cs="宋体"/>
      <w:snapToGrid/>
      <w:kern w:val="2"/>
    </w:rPr>
  </w:style>
  <w:style w:type="paragraph" w:customStyle="1" w:styleId="285">
    <w:name w:val="Char Char13 Char Char Char Char Char"/>
    <w:basedOn w:val="1"/>
    <w:next w:val="1"/>
    <w:qFormat/>
    <w:uiPriority w:val="0"/>
    <w:pPr>
      <w:adjustRightInd/>
      <w:snapToGrid/>
      <w:outlineLvl w:val="3"/>
    </w:pPr>
    <w:rPr>
      <w:rFonts w:ascii="宋体" w:hAnsi="宋体" w:eastAsia="Times New Roman" w:cs="宋体"/>
      <w:snapToGrid/>
      <w:kern w:val="2"/>
    </w:rPr>
  </w:style>
  <w:style w:type="paragraph" w:customStyle="1" w:styleId="286">
    <w:name w:val="Char Char13 Char Char Char Char Char1"/>
    <w:basedOn w:val="1"/>
    <w:autoRedefine/>
    <w:qFormat/>
    <w:uiPriority w:val="0"/>
    <w:pPr>
      <w:adjustRightInd/>
      <w:snapToGrid/>
      <w:outlineLvl w:val="3"/>
    </w:pPr>
    <w:rPr>
      <w:rFonts w:ascii="宋体" w:hAnsi="宋体" w:cs="宋体"/>
      <w:snapToGrid/>
      <w:kern w:val="2"/>
    </w:rPr>
  </w:style>
  <w:style w:type="paragraph" w:customStyle="1" w:styleId="287">
    <w:name w:val="Char Char13 Char Char Char Char Char1 Char Char"/>
    <w:basedOn w:val="1"/>
    <w:uiPriority w:val="0"/>
    <w:pPr>
      <w:adjustRightInd/>
      <w:snapToGrid/>
      <w:outlineLvl w:val="3"/>
    </w:pPr>
    <w:rPr>
      <w:rFonts w:ascii="宋体" w:hAnsi="宋体" w:cs="宋体"/>
      <w:snapToGrid/>
      <w:kern w:val="2"/>
    </w:rPr>
  </w:style>
  <w:style w:type="paragraph" w:customStyle="1" w:styleId="288">
    <w:name w:val="Char Char13 Char Char Char Char Char1 Char Char Char Char Char"/>
    <w:basedOn w:val="1"/>
    <w:qFormat/>
    <w:uiPriority w:val="0"/>
    <w:pPr>
      <w:adjustRightInd/>
      <w:snapToGrid/>
      <w:outlineLvl w:val="3"/>
    </w:pPr>
    <w:rPr>
      <w:rFonts w:ascii="宋体" w:hAnsi="宋体" w:cs="宋体"/>
      <w:snapToGrid/>
      <w:kern w:val="2"/>
    </w:rPr>
  </w:style>
  <w:style w:type="paragraph" w:customStyle="1" w:styleId="289">
    <w:name w:val="Char Char13 Char Char1"/>
    <w:basedOn w:val="1"/>
    <w:uiPriority w:val="0"/>
    <w:pPr>
      <w:adjustRightInd/>
      <w:snapToGrid/>
      <w:outlineLvl w:val="3"/>
    </w:pPr>
    <w:rPr>
      <w:rFonts w:ascii="宋体" w:hAnsi="宋体" w:eastAsia="Times New Roman" w:cs="宋体"/>
      <w:snapToGrid/>
      <w:kern w:val="2"/>
    </w:rPr>
  </w:style>
  <w:style w:type="character" w:customStyle="1" w:styleId="290">
    <w:name w:val="Char Char131"/>
    <w:locked/>
    <w:uiPriority w:val="0"/>
    <w:rPr>
      <w:rFonts w:ascii="Arial" w:hAnsi="Arial" w:eastAsia="黑体"/>
      <w:kern w:val="2"/>
      <w:sz w:val="24"/>
      <w:lang w:val="en-US" w:eastAsia="zh-CN" w:bidi="ar-SA"/>
    </w:rPr>
  </w:style>
  <w:style w:type="character" w:customStyle="1" w:styleId="291">
    <w:name w:val="Char Char132"/>
    <w:qFormat/>
    <w:uiPriority w:val="0"/>
    <w:rPr>
      <w:rFonts w:ascii="宋体" w:hAnsi="宋体"/>
      <w:b/>
      <w:bCs/>
      <w:color w:val="FF66FF"/>
      <w:kern w:val="2"/>
      <w:sz w:val="24"/>
      <w:szCs w:val="24"/>
    </w:rPr>
  </w:style>
  <w:style w:type="character" w:customStyle="1" w:styleId="292">
    <w:name w:val="Char Char14"/>
    <w:qFormat/>
    <w:uiPriority w:val="0"/>
    <w:rPr>
      <w:rFonts w:ascii="Times New Roman" w:hAnsi="Times New Roman" w:eastAsia="宋体" w:cs="Times New Roman"/>
      <w:b/>
      <w:bCs/>
      <w:sz w:val="32"/>
      <w:szCs w:val="32"/>
    </w:rPr>
  </w:style>
  <w:style w:type="character" w:customStyle="1" w:styleId="293">
    <w:name w:val="Char Char141"/>
    <w:qFormat/>
    <w:locked/>
    <w:uiPriority w:val="0"/>
    <w:rPr>
      <w:rFonts w:eastAsia="宋体"/>
      <w:b/>
      <w:kern w:val="2"/>
      <w:sz w:val="24"/>
      <w:lang w:val="en-US" w:eastAsia="zh-CN" w:bidi="ar-SA"/>
    </w:rPr>
  </w:style>
  <w:style w:type="character" w:customStyle="1" w:styleId="294">
    <w:name w:val="Char Char142"/>
    <w:qFormat/>
    <w:uiPriority w:val="0"/>
    <w:rPr>
      <w:rFonts w:ascii="宋体" w:hAnsi="宋体"/>
      <w:b/>
      <w:bCs/>
      <w:color w:val="FF66FF"/>
      <w:kern w:val="2"/>
      <w:sz w:val="24"/>
      <w:szCs w:val="24"/>
    </w:rPr>
  </w:style>
  <w:style w:type="character" w:customStyle="1" w:styleId="295">
    <w:name w:val="Char Char15"/>
    <w:qFormat/>
    <w:uiPriority w:val="0"/>
    <w:rPr>
      <w:rFonts w:ascii="Cambria" w:hAnsi="Cambria" w:eastAsia="宋体" w:cs="Times New Roman"/>
      <w:b/>
      <w:bCs/>
      <w:sz w:val="32"/>
      <w:szCs w:val="32"/>
    </w:rPr>
  </w:style>
  <w:style w:type="character" w:customStyle="1" w:styleId="296">
    <w:name w:val="Char Char151"/>
    <w:qFormat/>
    <w:uiPriority w:val="0"/>
    <w:rPr>
      <w:rFonts w:hint="default" w:ascii="Arial" w:hAnsi="Arial" w:eastAsia="黑体" w:cs="Arial"/>
      <w:b/>
      <w:sz w:val="24"/>
      <w:lang w:val="en-US" w:eastAsia="zh-CN" w:bidi="ar-SA"/>
    </w:rPr>
  </w:style>
  <w:style w:type="character" w:customStyle="1" w:styleId="297">
    <w:name w:val="Char Char16"/>
    <w:qFormat/>
    <w:uiPriority w:val="0"/>
    <w:rPr>
      <w:rFonts w:ascii="Times New Roman" w:hAnsi="Times New Roman" w:eastAsia="宋体" w:cs="Times New Roman"/>
      <w:b/>
      <w:bCs/>
      <w:kern w:val="44"/>
      <w:sz w:val="44"/>
      <w:szCs w:val="44"/>
    </w:rPr>
  </w:style>
  <w:style w:type="character" w:customStyle="1" w:styleId="298">
    <w:name w:val="Char Char161"/>
    <w:qFormat/>
    <w:uiPriority w:val="0"/>
    <w:rPr>
      <w:rFonts w:eastAsia="黑体"/>
      <w:sz w:val="28"/>
      <w:lang w:val="en-US" w:eastAsia="zh-CN" w:bidi="ar-SA"/>
    </w:rPr>
  </w:style>
  <w:style w:type="character" w:customStyle="1" w:styleId="299">
    <w:name w:val="Char Char162"/>
    <w:qFormat/>
    <w:uiPriority w:val="0"/>
    <w:rPr>
      <w:rFonts w:eastAsia="宋体"/>
      <w:kern w:val="2"/>
      <w:sz w:val="21"/>
      <w:szCs w:val="24"/>
      <w:lang w:val="en-US" w:eastAsia="zh-CN" w:bidi="ar-SA"/>
    </w:rPr>
  </w:style>
  <w:style w:type="character" w:customStyle="1" w:styleId="300">
    <w:name w:val="Char Char17"/>
    <w:qFormat/>
    <w:uiPriority w:val="0"/>
    <w:rPr>
      <w:rFonts w:ascii="Arial" w:hAnsi="Arial" w:eastAsia="宋体" w:cs="Times New Roman"/>
      <w:bCs/>
      <w:kern w:val="2"/>
      <w:sz w:val="24"/>
      <w:szCs w:val="24"/>
      <w:lang w:val="en-US" w:eastAsia="zh-CN" w:bidi="ar-SA"/>
    </w:rPr>
  </w:style>
  <w:style w:type="character" w:customStyle="1" w:styleId="301">
    <w:name w:val="Char Char171"/>
    <w:qFormat/>
    <w:uiPriority w:val="0"/>
    <w:rPr>
      <w:rFonts w:ascii="Arial" w:hAnsi="Arial" w:eastAsia="黑体"/>
      <w:sz w:val="28"/>
      <w:lang w:val="en-US" w:eastAsia="zh-CN" w:bidi="ar-SA"/>
    </w:rPr>
  </w:style>
  <w:style w:type="character" w:customStyle="1" w:styleId="302">
    <w:name w:val="Char Char172"/>
    <w:qFormat/>
    <w:uiPriority w:val="0"/>
    <w:rPr>
      <w:rFonts w:eastAsia="宋体"/>
      <w:b/>
      <w:kern w:val="2"/>
      <w:sz w:val="28"/>
      <w:lang w:val="en-US" w:eastAsia="zh-CN" w:bidi="ar-SA"/>
    </w:rPr>
  </w:style>
  <w:style w:type="character" w:customStyle="1" w:styleId="303">
    <w:name w:val="Char Char18"/>
    <w:qFormat/>
    <w:uiPriority w:val="0"/>
    <w:rPr>
      <w:rFonts w:ascii="Calibri" w:hAnsi="Calibri" w:eastAsia="楷体_GB2312" w:cs="Times New Roman"/>
      <w:kern w:val="0"/>
      <w:sz w:val="28"/>
      <w:szCs w:val="28"/>
    </w:rPr>
  </w:style>
  <w:style w:type="character" w:customStyle="1" w:styleId="304">
    <w:name w:val="Char Char181"/>
    <w:qFormat/>
    <w:uiPriority w:val="0"/>
    <w:rPr>
      <w:rFonts w:eastAsia="黑体"/>
      <w:kern w:val="44"/>
      <w:sz w:val="30"/>
      <w:lang w:val="en-US" w:eastAsia="zh-CN" w:bidi="ar-SA"/>
    </w:rPr>
  </w:style>
  <w:style w:type="character" w:customStyle="1" w:styleId="305">
    <w:name w:val="Char Char182"/>
    <w:qFormat/>
    <w:uiPriority w:val="0"/>
    <w:rPr>
      <w:rFonts w:ascii="Calibri" w:hAnsi="Calibri" w:eastAsia="楷体_GB2312" w:cs="Times New Roman"/>
      <w:kern w:val="0"/>
      <w:sz w:val="28"/>
      <w:szCs w:val="28"/>
    </w:rPr>
  </w:style>
  <w:style w:type="character" w:customStyle="1" w:styleId="306">
    <w:name w:val="Char Char19"/>
    <w:qFormat/>
    <w:uiPriority w:val="0"/>
    <w:rPr>
      <w:rFonts w:ascii="宋体" w:hAnsi="宋体" w:eastAsia="宋体" w:cs="Times New Roman"/>
      <w:b/>
      <w:bCs/>
      <w:kern w:val="0"/>
      <w:sz w:val="28"/>
      <w:szCs w:val="28"/>
    </w:rPr>
  </w:style>
  <w:style w:type="character" w:customStyle="1" w:styleId="307">
    <w:name w:val="Char Char191"/>
    <w:qFormat/>
    <w:uiPriority w:val="0"/>
    <w:rPr>
      <w:rFonts w:hint="default" w:ascii="Arial" w:hAnsi="Arial" w:eastAsia="黑体" w:cs="Arial"/>
      <w:sz w:val="28"/>
      <w:lang w:val="en-US" w:eastAsia="zh-CN" w:bidi="ar-SA"/>
    </w:rPr>
  </w:style>
  <w:style w:type="character" w:customStyle="1" w:styleId="308">
    <w:name w:val="Char Char192"/>
    <w:qFormat/>
    <w:uiPriority w:val="0"/>
    <w:rPr>
      <w:rFonts w:ascii="宋体" w:hAnsi="宋体" w:eastAsia="宋体" w:cs="Times New Roman"/>
      <w:b/>
      <w:bCs/>
      <w:kern w:val="0"/>
      <w:sz w:val="28"/>
      <w:szCs w:val="28"/>
    </w:rPr>
  </w:style>
  <w:style w:type="character" w:customStyle="1" w:styleId="309">
    <w:name w:val="Char Char2"/>
    <w:qFormat/>
    <w:locked/>
    <w:uiPriority w:val="0"/>
    <w:rPr>
      <w:rFonts w:ascii="宋体" w:hAnsi="宋体" w:eastAsia="宋体"/>
      <w:kern w:val="2"/>
      <w:sz w:val="18"/>
      <w:szCs w:val="18"/>
      <w:lang w:val="en-US" w:eastAsia="zh-CN" w:bidi="ar-SA"/>
    </w:rPr>
  </w:style>
  <w:style w:type="paragraph" w:customStyle="1" w:styleId="310">
    <w:name w:val="Char Char2 Char"/>
    <w:basedOn w:val="1"/>
    <w:qFormat/>
    <w:uiPriority w:val="0"/>
    <w:pPr>
      <w:adjustRightInd/>
      <w:snapToGrid/>
      <w:spacing w:line="360" w:lineRule="auto"/>
    </w:pPr>
    <w:rPr>
      <w:rFonts w:ascii="宋体" w:hAnsi="宋体" w:cs="宋体"/>
      <w:snapToGrid/>
      <w:kern w:val="2"/>
    </w:rPr>
  </w:style>
  <w:style w:type="paragraph" w:customStyle="1" w:styleId="311">
    <w:name w:val="Char Char2 Char Char Char Char"/>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312">
    <w:name w:val="Char Char2 Char Char Char Char Char Char Char"/>
    <w:basedOn w:val="1"/>
    <w:qFormat/>
    <w:uiPriority w:val="0"/>
    <w:pPr>
      <w:adjustRightInd/>
      <w:snapToGrid/>
      <w:spacing w:line="360" w:lineRule="auto"/>
    </w:pPr>
    <w:rPr>
      <w:rFonts w:ascii="宋体" w:hAnsi="宋体" w:cs="宋体"/>
      <w:snapToGrid/>
      <w:kern w:val="2"/>
    </w:rPr>
  </w:style>
  <w:style w:type="paragraph" w:customStyle="1" w:styleId="313">
    <w:name w:val="Char Char2 Char Char Char Char Char Char Char Char Char Char"/>
    <w:basedOn w:val="1"/>
    <w:link w:val="314"/>
    <w:qFormat/>
    <w:uiPriority w:val="0"/>
    <w:pPr>
      <w:adjustRightInd/>
      <w:snapToGrid/>
      <w:spacing w:line="360" w:lineRule="auto"/>
    </w:pPr>
    <w:rPr>
      <w:rFonts w:ascii="宋体" w:hAnsi="宋体"/>
      <w:snapToGrid/>
      <w:kern w:val="2"/>
    </w:rPr>
  </w:style>
  <w:style w:type="character" w:customStyle="1" w:styleId="314">
    <w:name w:val="Char Char2 Char Char Char Char Char Char Char Char Char Char Char"/>
    <w:link w:val="313"/>
    <w:qFormat/>
    <w:uiPriority w:val="0"/>
    <w:rPr>
      <w:rFonts w:ascii="宋体" w:hAnsi="宋体" w:eastAsia="宋体" w:cs="Times New Roman"/>
      <w:sz w:val="26"/>
      <w:szCs w:val="24"/>
      <w14:ligatures w14:val="none"/>
    </w:rPr>
  </w:style>
  <w:style w:type="paragraph" w:customStyle="1" w:styleId="315">
    <w:name w:val="Char Char2 Char Char Char Char Char Char Char Char Char Char1"/>
    <w:basedOn w:val="1"/>
    <w:semiHidden/>
    <w:qFormat/>
    <w:uiPriority w:val="0"/>
    <w:pPr>
      <w:adjustRightInd/>
      <w:snapToGrid/>
      <w:spacing w:line="360" w:lineRule="auto"/>
      <w:ind w:firstLine="0" w:firstLineChars="0"/>
    </w:pPr>
    <w:rPr>
      <w:rFonts w:ascii="宋体" w:hAnsi="宋体" w:cs="宋体"/>
      <w:snapToGrid/>
      <w:kern w:val="2"/>
    </w:rPr>
  </w:style>
  <w:style w:type="paragraph" w:customStyle="1" w:styleId="316">
    <w:name w:val="Char Char2 Char Char Char Char Char Char Char1"/>
    <w:basedOn w:val="1"/>
    <w:qFormat/>
    <w:uiPriority w:val="0"/>
    <w:pPr>
      <w:adjustRightInd/>
      <w:snapToGrid/>
      <w:spacing w:line="360" w:lineRule="auto"/>
    </w:pPr>
    <w:rPr>
      <w:rFonts w:ascii="宋体" w:hAnsi="宋体" w:cs="宋体"/>
      <w:snapToGrid/>
      <w:kern w:val="2"/>
    </w:rPr>
  </w:style>
  <w:style w:type="paragraph" w:customStyle="1" w:styleId="317">
    <w:name w:val="Char Char2 Char1"/>
    <w:basedOn w:val="1"/>
    <w:qFormat/>
    <w:uiPriority w:val="0"/>
    <w:pPr>
      <w:adjustRightInd/>
      <w:snapToGrid/>
      <w:spacing w:line="360" w:lineRule="auto"/>
    </w:pPr>
    <w:rPr>
      <w:rFonts w:ascii="宋体" w:hAnsi="宋体" w:cs="宋体"/>
      <w:snapToGrid/>
      <w:kern w:val="2"/>
    </w:rPr>
  </w:style>
  <w:style w:type="character" w:customStyle="1" w:styleId="318">
    <w:name w:val="Char Char20"/>
    <w:qFormat/>
    <w:uiPriority w:val="0"/>
    <w:rPr>
      <w:rFonts w:ascii="仿宋" w:hAnsi="仿宋" w:eastAsia="仿宋" w:cs="Times New Roman"/>
      <w:b/>
      <w:kern w:val="0"/>
      <w:sz w:val="28"/>
      <w:szCs w:val="32"/>
    </w:rPr>
  </w:style>
  <w:style w:type="character" w:customStyle="1" w:styleId="319">
    <w:name w:val="Char Char201"/>
    <w:qFormat/>
    <w:uiPriority w:val="0"/>
    <w:rPr>
      <w:rFonts w:hint="eastAsia" w:ascii="黑体" w:eastAsia="黑体"/>
      <w:kern w:val="44"/>
      <w:sz w:val="30"/>
      <w:lang w:val="en-US" w:eastAsia="zh-CN" w:bidi="ar-SA"/>
    </w:rPr>
  </w:style>
  <w:style w:type="character" w:customStyle="1" w:styleId="320">
    <w:name w:val="Char Char202"/>
    <w:qFormat/>
    <w:uiPriority w:val="0"/>
    <w:rPr>
      <w:rFonts w:ascii="仿宋" w:hAnsi="仿宋" w:eastAsia="仿宋" w:cs="Times New Roman"/>
      <w:b/>
      <w:kern w:val="0"/>
      <w:sz w:val="28"/>
      <w:szCs w:val="32"/>
    </w:rPr>
  </w:style>
  <w:style w:type="character" w:customStyle="1" w:styleId="321">
    <w:name w:val="Char Char21"/>
    <w:qFormat/>
    <w:uiPriority w:val="0"/>
    <w:rPr>
      <w:rFonts w:ascii="黑体" w:hAnsi="Calibri" w:eastAsia="黑体" w:cs="Times New Roman"/>
      <w:color w:val="000000"/>
      <w:kern w:val="0"/>
      <w:sz w:val="32"/>
      <w:szCs w:val="32"/>
    </w:rPr>
  </w:style>
  <w:style w:type="character" w:customStyle="1" w:styleId="322">
    <w:name w:val="Char Char211"/>
    <w:qFormat/>
    <w:uiPriority w:val="0"/>
    <w:rPr>
      <w:rFonts w:ascii="黑体" w:hAnsi="Calibri" w:eastAsia="黑体" w:cs="Times New Roman"/>
      <w:color w:val="000000"/>
      <w:kern w:val="0"/>
      <w:sz w:val="32"/>
      <w:szCs w:val="32"/>
    </w:rPr>
  </w:style>
  <w:style w:type="character" w:customStyle="1" w:styleId="323">
    <w:name w:val="Char Char22"/>
    <w:qFormat/>
    <w:uiPriority w:val="0"/>
    <w:rPr>
      <w:rFonts w:ascii="宋体" w:eastAsia="宋体"/>
      <w:kern w:val="2"/>
      <w:sz w:val="26"/>
      <w:lang w:val="en-US" w:eastAsia="zh-CN" w:bidi="ar-SA"/>
    </w:rPr>
  </w:style>
  <w:style w:type="character" w:customStyle="1" w:styleId="324">
    <w:name w:val="Char Char23"/>
    <w:qFormat/>
    <w:uiPriority w:val="0"/>
    <w:rPr>
      <w:rFonts w:eastAsia="宋体"/>
      <w:b/>
      <w:kern w:val="2"/>
      <w:sz w:val="16"/>
      <w:szCs w:val="16"/>
      <w:lang w:val="en-US" w:eastAsia="zh-CN" w:bidi="ar-SA"/>
    </w:rPr>
  </w:style>
  <w:style w:type="paragraph" w:customStyle="1" w:styleId="325">
    <w:name w:val="Char Char24"/>
    <w:basedOn w:val="1"/>
    <w:qFormat/>
    <w:uiPriority w:val="0"/>
    <w:pPr>
      <w:adjustRightInd/>
      <w:snapToGrid/>
      <w:spacing w:line="360" w:lineRule="auto"/>
    </w:pPr>
    <w:rPr>
      <w:rFonts w:ascii="宋体" w:hAnsi="宋体" w:cs="宋体"/>
      <w:snapToGrid/>
      <w:kern w:val="2"/>
    </w:rPr>
  </w:style>
  <w:style w:type="character" w:customStyle="1" w:styleId="326">
    <w:name w:val="Char Char25"/>
    <w:uiPriority w:val="0"/>
    <w:rPr>
      <w:rFonts w:eastAsia="宋体"/>
      <w:b/>
      <w:kern w:val="2"/>
      <w:sz w:val="16"/>
      <w:szCs w:val="16"/>
      <w:lang w:val="en-US" w:eastAsia="zh-CN" w:bidi="ar-SA"/>
    </w:rPr>
  </w:style>
  <w:style w:type="character" w:customStyle="1" w:styleId="327">
    <w:name w:val="Char Char26"/>
    <w:uiPriority w:val="0"/>
    <w:rPr>
      <w:rFonts w:eastAsia="宋体"/>
      <w:b/>
      <w:kern w:val="2"/>
      <w:sz w:val="28"/>
      <w:szCs w:val="24"/>
      <w:lang w:val="en-US" w:eastAsia="zh-CN" w:bidi="ar-SA"/>
    </w:rPr>
  </w:style>
  <w:style w:type="character" w:customStyle="1" w:styleId="328">
    <w:name w:val="Char Char27"/>
    <w:qFormat/>
    <w:uiPriority w:val="0"/>
    <w:rPr>
      <w:rFonts w:eastAsia="宋体"/>
      <w:b/>
      <w:kern w:val="2"/>
      <w:sz w:val="16"/>
      <w:szCs w:val="16"/>
      <w:lang w:val="en-US" w:eastAsia="zh-CN" w:bidi="ar-SA"/>
    </w:rPr>
  </w:style>
  <w:style w:type="character" w:customStyle="1" w:styleId="329">
    <w:name w:val="Char Char28"/>
    <w:qFormat/>
    <w:uiPriority w:val="0"/>
    <w:rPr>
      <w:rFonts w:eastAsia="宋体"/>
      <w:b/>
      <w:kern w:val="2"/>
      <w:sz w:val="28"/>
      <w:szCs w:val="24"/>
      <w:lang w:val="en-US" w:eastAsia="zh-CN" w:bidi="ar-SA"/>
    </w:rPr>
  </w:style>
  <w:style w:type="character" w:customStyle="1" w:styleId="330">
    <w:name w:val="Char Char29"/>
    <w:qFormat/>
    <w:uiPriority w:val="0"/>
    <w:rPr>
      <w:rFonts w:eastAsia="宋体"/>
      <w:kern w:val="2"/>
      <w:sz w:val="24"/>
      <w:lang w:val="en-US" w:eastAsia="zh-CN" w:bidi="ar-SA"/>
    </w:rPr>
  </w:style>
  <w:style w:type="paragraph" w:customStyle="1" w:styleId="331">
    <w:name w:val="Char Char3"/>
    <w:basedOn w:val="1"/>
    <w:qFormat/>
    <w:uiPriority w:val="0"/>
    <w:pPr>
      <w:adjustRightInd/>
      <w:snapToGrid/>
      <w:spacing w:line="360" w:lineRule="auto"/>
    </w:pPr>
    <w:rPr>
      <w:rFonts w:ascii="宋体" w:hAnsi="宋体" w:cs="宋体"/>
      <w:snapToGrid/>
      <w:kern w:val="2"/>
    </w:rPr>
  </w:style>
  <w:style w:type="paragraph" w:customStyle="1" w:styleId="332">
    <w:name w:val="Char Char3 Char Char"/>
    <w:basedOn w:val="26"/>
    <w:autoRedefine/>
    <w:uiPriority w:val="0"/>
    <w:pPr>
      <w:widowControl/>
      <w:snapToGrid/>
      <w:spacing w:line="436" w:lineRule="exact"/>
      <w:ind w:left="357" w:firstLine="0" w:firstLineChars="0"/>
      <w:outlineLvl w:val="3"/>
    </w:pPr>
    <w:rPr>
      <w:rFonts w:ascii="Tahoma" w:hAnsi="Tahoma" w:cs="宋体"/>
      <w:b/>
      <w:snapToGrid/>
    </w:rPr>
  </w:style>
  <w:style w:type="paragraph" w:customStyle="1" w:styleId="333">
    <w:name w:val="Char Char3 Char Char Char Char"/>
    <w:basedOn w:val="1"/>
    <w:qFormat/>
    <w:uiPriority w:val="0"/>
    <w:pPr>
      <w:widowControl/>
      <w:adjustRightInd/>
      <w:snapToGrid/>
      <w:spacing w:after="160" w:line="240" w:lineRule="exact"/>
      <w:ind w:firstLine="0" w:firstLineChars="0"/>
    </w:pPr>
    <w:rPr>
      <w:rFonts w:ascii="Verdana" w:hAnsi="Verdana"/>
      <w:snapToGrid/>
      <w:sz w:val="20"/>
      <w:szCs w:val="20"/>
      <w:lang w:eastAsia="en-US"/>
    </w:rPr>
  </w:style>
  <w:style w:type="paragraph" w:customStyle="1" w:styleId="334">
    <w:name w:val="Char Char3 Char Char Char Char1"/>
    <w:basedOn w:val="1"/>
    <w:autoRedefine/>
    <w:qFormat/>
    <w:uiPriority w:val="0"/>
    <w:pPr>
      <w:widowControl/>
      <w:adjustRightInd/>
      <w:snapToGrid/>
      <w:spacing w:after="160" w:line="240" w:lineRule="exact"/>
      <w:ind w:firstLine="0" w:firstLineChars="0"/>
      <w:jc w:val="left"/>
    </w:pPr>
    <w:rPr>
      <w:rFonts w:ascii="Verdana" w:hAnsi="Verdana" w:eastAsia="仿宋_GB2312"/>
      <w:snapToGrid/>
      <w:sz w:val="30"/>
      <w:szCs w:val="30"/>
      <w:lang w:eastAsia="en-US"/>
    </w:rPr>
  </w:style>
  <w:style w:type="character" w:customStyle="1" w:styleId="335">
    <w:name w:val="Char Char30"/>
    <w:qFormat/>
    <w:uiPriority w:val="0"/>
    <w:rPr>
      <w:rFonts w:eastAsia="宋体"/>
      <w:b/>
      <w:kern w:val="2"/>
      <w:sz w:val="18"/>
      <w:szCs w:val="18"/>
      <w:lang w:val="en-US" w:eastAsia="zh-CN" w:bidi="ar-SA"/>
    </w:rPr>
  </w:style>
  <w:style w:type="character" w:customStyle="1" w:styleId="336">
    <w:name w:val="Char Char31"/>
    <w:qFormat/>
    <w:uiPriority w:val="0"/>
    <w:rPr>
      <w:rFonts w:eastAsia="宋体"/>
      <w:b/>
      <w:kern w:val="2"/>
      <w:sz w:val="16"/>
      <w:szCs w:val="16"/>
      <w:lang w:val="en-US" w:eastAsia="zh-CN" w:bidi="ar-SA"/>
    </w:rPr>
  </w:style>
  <w:style w:type="character" w:customStyle="1" w:styleId="337">
    <w:name w:val="Char Char310"/>
    <w:qFormat/>
    <w:locked/>
    <w:uiPriority w:val="0"/>
    <w:rPr>
      <w:rFonts w:ascii="宋体" w:hAnsi="宋体" w:eastAsia="宋体"/>
      <w:kern w:val="2"/>
      <w:sz w:val="24"/>
      <w:szCs w:val="24"/>
      <w:lang w:val="en-US" w:eastAsia="zh-CN" w:bidi="ar-SA"/>
    </w:rPr>
  </w:style>
  <w:style w:type="character" w:customStyle="1" w:styleId="338">
    <w:name w:val="Char Char32"/>
    <w:uiPriority w:val="0"/>
    <w:rPr>
      <w:rFonts w:eastAsia="宋体"/>
      <w:b/>
      <w:bCs/>
      <w:kern w:val="2"/>
      <w:sz w:val="26"/>
      <w:szCs w:val="32"/>
      <w:lang w:val="en-US" w:eastAsia="zh-CN" w:bidi="ar-SA"/>
    </w:rPr>
  </w:style>
  <w:style w:type="character" w:customStyle="1" w:styleId="339">
    <w:name w:val="Char Char33"/>
    <w:uiPriority w:val="0"/>
    <w:rPr>
      <w:rFonts w:eastAsia="宋体"/>
      <w:b/>
      <w:kern w:val="2"/>
      <w:sz w:val="18"/>
      <w:szCs w:val="18"/>
      <w:lang w:val="en-US" w:eastAsia="zh-CN" w:bidi="ar-SA"/>
    </w:rPr>
  </w:style>
  <w:style w:type="character" w:customStyle="1" w:styleId="340">
    <w:name w:val="Char Char34"/>
    <w:qFormat/>
    <w:uiPriority w:val="0"/>
    <w:rPr>
      <w:rFonts w:eastAsia="宋体"/>
      <w:b/>
      <w:kern w:val="2"/>
      <w:sz w:val="28"/>
      <w:szCs w:val="24"/>
      <w:lang w:val="en-US" w:eastAsia="zh-CN" w:bidi="ar-SA"/>
    </w:rPr>
  </w:style>
  <w:style w:type="character" w:customStyle="1" w:styleId="341">
    <w:name w:val="Char Char35"/>
    <w:qFormat/>
    <w:uiPriority w:val="0"/>
    <w:rPr>
      <w:rFonts w:eastAsia="宋体"/>
      <w:b/>
      <w:kern w:val="2"/>
      <w:sz w:val="16"/>
      <w:szCs w:val="16"/>
      <w:lang w:val="en-US" w:eastAsia="zh-CN" w:bidi="ar-SA"/>
    </w:rPr>
  </w:style>
  <w:style w:type="character" w:customStyle="1" w:styleId="342">
    <w:name w:val="Char Char36"/>
    <w:qFormat/>
    <w:uiPriority w:val="0"/>
    <w:rPr>
      <w:rFonts w:eastAsia="宋体"/>
      <w:kern w:val="2"/>
      <w:sz w:val="18"/>
      <w:szCs w:val="18"/>
      <w:lang w:val="en-US" w:eastAsia="zh-CN" w:bidi="ar-SA"/>
    </w:rPr>
  </w:style>
  <w:style w:type="character" w:customStyle="1" w:styleId="343">
    <w:name w:val="Char Char37"/>
    <w:qFormat/>
    <w:uiPriority w:val="0"/>
    <w:rPr>
      <w:rFonts w:eastAsia="宋体"/>
      <w:b/>
      <w:kern w:val="2"/>
      <w:sz w:val="28"/>
      <w:szCs w:val="24"/>
      <w:lang w:val="en-US" w:eastAsia="zh-CN" w:bidi="ar-SA"/>
    </w:rPr>
  </w:style>
  <w:style w:type="character" w:customStyle="1" w:styleId="344">
    <w:name w:val="Char Char38"/>
    <w:qFormat/>
    <w:uiPriority w:val="0"/>
    <w:rPr>
      <w:rFonts w:eastAsia="宋体"/>
      <w:b/>
      <w:kern w:val="2"/>
      <w:sz w:val="21"/>
      <w:szCs w:val="24"/>
      <w:lang w:val="en-US" w:eastAsia="zh-CN" w:bidi="ar-SA"/>
    </w:rPr>
  </w:style>
  <w:style w:type="character" w:customStyle="1" w:styleId="345">
    <w:name w:val="Char Char39"/>
    <w:qFormat/>
    <w:uiPriority w:val="0"/>
    <w:rPr>
      <w:rFonts w:ascii="Arial" w:hAnsi="Arial" w:eastAsia="黑体"/>
      <w:b/>
      <w:kern w:val="2"/>
      <w:sz w:val="28"/>
      <w:szCs w:val="21"/>
      <w:lang w:val="en-US" w:eastAsia="zh-CN" w:bidi="ar-SA"/>
    </w:rPr>
  </w:style>
  <w:style w:type="character" w:customStyle="1" w:styleId="346">
    <w:name w:val="Char Char4"/>
    <w:uiPriority w:val="0"/>
    <w:rPr>
      <w:rFonts w:eastAsia="宋体"/>
      <w:kern w:val="2"/>
      <w:sz w:val="18"/>
      <w:szCs w:val="18"/>
      <w:lang w:val="en-US" w:eastAsia="zh-CN" w:bidi="ar-SA"/>
    </w:rPr>
  </w:style>
  <w:style w:type="paragraph" w:customStyle="1" w:styleId="347">
    <w:name w:val="Char Char4 Char"/>
    <w:basedOn w:val="1"/>
    <w:uiPriority w:val="0"/>
    <w:pPr>
      <w:widowControl/>
      <w:adjustRightInd/>
      <w:snapToGrid/>
      <w:spacing w:line="360" w:lineRule="auto"/>
    </w:pPr>
    <w:rPr>
      <w:rFonts w:ascii="宋体" w:hAnsi="宋体" w:cs="宋体"/>
      <w:snapToGrid/>
    </w:rPr>
  </w:style>
  <w:style w:type="paragraph" w:customStyle="1" w:styleId="348">
    <w:name w:val="Char Char4 Char Char Char Char"/>
    <w:basedOn w:val="1"/>
    <w:qFormat/>
    <w:uiPriority w:val="0"/>
    <w:pPr>
      <w:adjustRightInd/>
      <w:snapToGrid/>
      <w:spacing w:line="360" w:lineRule="auto"/>
    </w:pPr>
    <w:rPr>
      <w:rFonts w:ascii="宋体" w:hAnsi="宋体" w:cs="宋体"/>
      <w:snapToGrid/>
      <w:kern w:val="2"/>
    </w:rPr>
  </w:style>
  <w:style w:type="paragraph" w:customStyle="1" w:styleId="349">
    <w:name w:val="Char Char4 Char Char Char Char1"/>
    <w:basedOn w:val="1"/>
    <w:qFormat/>
    <w:uiPriority w:val="0"/>
    <w:pPr>
      <w:adjustRightInd/>
      <w:snapToGrid/>
      <w:spacing w:line="360" w:lineRule="auto"/>
    </w:pPr>
    <w:rPr>
      <w:rFonts w:ascii="宋体" w:hAnsi="宋体" w:cs="宋体"/>
      <w:snapToGrid/>
      <w:kern w:val="2"/>
    </w:rPr>
  </w:style>
  <w:style w:type="paragraph" w:customStyle="1" w:styleId="350">
    <w:name w:val="Char Char4 Char Char Char Char1 Char Char Char Char Char Char Char Char Char Char Char Char Char Char Char"/>
    <w:basedOn w:val="1"/>
    <w:autoRedefine/>
    <w:qFormat/>
    <w:uiPriority w:val="0"/>
    <w:pPr>
      <w:widowControl/>
      <w:adjustRightInd/>
      <w:snapToGrid/>
      <w:spacing w:after="160" w:line="240" w:lineRule="exact"/>
      <w:ind w:firstLine="0" w:firstLineChars="0"/>
    </w:pPr>
    <w:rPr>
      <w:rFonts w:ascii="Verdana" w:hAnsi="Verdana" w:eastAsia="仿宋_GB2312"/>
      <w:snapToGrid/>
      <w:szCs w:val="30"/>
      <w:lang w:eastAsia="en-US"/>
    </w:rPr>
  </w:style>
  <w:style w:type="paragraph" w:customStyle="1" w:styleId="351">
    <w:name w:val="Char Char4 Char Char Char Char1 Char Char Char Char Char Char Char Char Char Char Char Char Char Char Char Char Char Char Char Char Char"/>
    <w:basedOn w:val="1"/>
    <w:autoRedefine/>
    <w:qFormat/>
    <w:uiPriority w:val="0"/>
    <w:pPr>
      <w:widowControl/>
      <w:adjustRightInd/>
      <w:snapToGrid/>
      <w:spacing w:after="160" w:line="240" w:lineRule="exact"/>
      <w:ind w:firstLine="0" w:firstLineChars="0"/>
    </w:pPr>
    <w:rPr>
      <w:rFonts w:ascii="Verdana" w:hAnsi="Verdana" w:eastAsia="仿宋_GB2312"/>
      <w:snapToGrid/>
      <w:szCs w:val="30"/>
      <w:lang w:eastAsia="en-US"/>
    </w:rPr>
  </w:style>
  <w:style w:type="paragraph" w:customStyle="1" w:styleId="352">
    <w:name w:val="Char Char4 Char Char Char Char1 Char Char Char Char Char Char Char Char Char Char Char Char Char Char Char Char Char Char Char Char Char Char Char Char"/>
    <w:basedOn w:val="1"/>
    <w:autoRedefine/>
    <w:qFormat/>
    <w:uiPriority w:val="0"/>
    <w:pPr>
      <w:widowControl/>
      <w:adjustRightInd/>
      <w:snapToGrid/>
      <w:spacing w:after="160" w:line="240" w:lineRule="exact"/>
      <w:ind w:firstLine="0" w:firstLineChars="0"/>
    </w:pPr>
    <w:rPr>
      <w:rFonts w:ascii="Verdana" w:hAnsi="Verdana" w:eastAsia="仿宋_GB2312"/>
      <w:snapToGrid/>
      <w:szCs w:val="30"/>
      <w:lang w:eastAsia="en-US"/>
    </w:rPr>
  </w:style>
  <w:style w:type="paragraph" w:customStyle="1" w:styleId="353">
    <w:name w:val="Char Char4 Char Char Char Char1 Char Char Char Char Char Char Char Char Char Char Char Char Char Char Char Char Char Char Char Char Char Char Char Char Char Char Char"/>
    <w:basedOn w:val="1"/>
    <w:autoRedefine/>
    <w:qFormat/>
    <w:uiPriority w:val="0"/>
    <w:pPr>
      <w:widowControl/>
      <w:adjustRightInd/>
      <w:snapToGrid/>
      <w:spacing w:after="160" w:line="240" w:lineRule="exact"/>
      <w:ind w:firstLine="0" w:firstLineChars="0"/>
    </w:pPr>
    <w:rPr>
      <w:rFonts w:ascii="Verdana" w:hAnsi="Verdana" w:eastAsia="仿宋_GB2312"/>
      <w:snapToGrid/>
      <w:szCs w:val="30"/>
      <w:lang w:eastAsia="en-US"/>
    </w:rPr>
  </w:style>
  <w:style w:type="paragraph" w:customStyle="1" w:styleId="354">
    <w:name w:val="Char Char4 Char Char Char Char1 Char Char Char Char Char Char Char Char Char Char Char Char Char Char Char Char Char Char Char Char Char Char Char Char Char Char Char Char Char Char Char Char Char Char Char Char Char Char Char"/>
    <w:basedOn w:val="1"/>
    <w:autoRedefine/>
    <w:qFormat/>
    <w:uiPriority w:val="0"/>
    <w:pPr>
      <w:widowControl/>
      <w:adjustRightInd/>
      <w:snapToGrid/>
      <w:spacing w:after="160" w:line="240" w:lineRule="exact"/>
      <w:ind w:firstLine="0" w:firstLineChars="0"/>
    </w:pPr>
    <w:rPr>
      <w:rFonts w:ascii="Verdana" w:hAnsi="Verdana" w:eastAsia="仿宋_GB2312"/>
      <w:snapToGrid/>
      <w:szCs w:val="30"/>
      <w:lang w:eastAsia="en-US"/>
    </w:rPr>
  </w:style>
  <w:style w:type="paragraph" w:customStyle="1" w:styleId="355">
    <w:name w:val="Char Char4 Char1"/>
    <w:basedOn w:val="1"/>
    <w:qFormat/>
    <w:uiPriority w:val="0"/>
    <w:pPr>
      <w:adjustRightInd/>
      <w:snapToGrid/>
      <w:spacing w:line="360" w:lineRule="auto"/>
    </w:pPr>
    <w:rPr>
      <w:rFonts w:ascii="宋体" w:hAnsi="宋体" w:cs="宋体"/>
      <w:snapToGrid/>
      <w:kern w:val="2"/>
    </w:rPr>
  </w:style>
  <w:style w:type="character" w:customStyle="1" w:styleId="356">
    <w:name w:val="Char Char40"/>
    <w:qFormat/>
    <w:uiPriority w:val="0"/>
    <w:rPr>
      <w:rFonts w:ascii="Arial" w:hAnsi="Arial" w:eastAsia="黑体"/>
      <w:b/>
      <w:kern w:val="2"/>
      <w:sz w:val="24"/>
      <w:szCs w:val="24"/>
      <w:lang w:val="en-US" w:eastAsia="zh-CN" w:bidi="ar-SA"/>
    </w:rPr>
  </w:style>
  <w:style w:type="character" w:customStyle="1" w:styleId="357">
    <w:name w:val="Char Char41"/>
    <w:qFormat/>
    <w:uiPriority w:val="0"/>
    <w:rPr>
      <w:rFonts w:eastAsia="宋体"/>
      <w:bCs/>
      <w:kern w:val="2"/>
      <w:sz w:val="24"/>
      <w:szCs w:val="24"/>
      <w:lang w:val="en-US" w:eastAsia="zh-CN" w:bidi="ar-SA"/>
    </w:rPr>
  </w:style>
  <w:style w:type="character" w:customStyle="1" w:styleId="358">
    <w:name w:val="Char Char410"/>
    <w:qFormat/>
    <w:locked/>
    <w:uiPriority w:val="0"/>
    <w:rPr>
      <w:rFonts w:ascii="宋体" w:hAnsi="宋体" w:eastAsia="宋体"/>
      <w:kern w:val="2"/>
      <w:sz w:val="24"/>
      <w:szCs w:val="24"/>
      <w:lang w:val="en-US" w:eastAsia="zh-CN" w:bidi="ar-SA"/>
    </w:rPr>
  </w:style>
  <w:style w:type="character" w:customStyle="1" w:styleId="359">
    <w:name w:val="Char Char411"/>
    <w:qFormat/>
    <w:uiPriority w:val="0"/>
    <w:rPr>
      <w:rFonts w:eastAsia="仿宋_GB2312"/>
      <w:kern w:val="2"/>
      <w:sz w:val="16"/>
      <w:szCs w:val="16"/>
    </w:rPr>
  </w:style>
  <w:style w:type="character" w:customStyle="1" w:styleId="360">
    <w:name w:val="Char Char42"/>
    <w:qFormat/>
    <w:uiPriority w:val="0"/>
    <w:rPr>
      <w:rFonts w:ascii="Arial" w:hAnsi="Arial" w:eastAsia="黑体"/>
      <w:bCs/>
      <w:kern w:val="2"/>
      <w:sz w:val="24"/>
      <w:szCs w:val="24"/>
      <w:lang w:val="en-US" w:eastAsia="zh-CN" w:bidi="ar-SA"/>
    </w:rPr>
  </w:style>
  <w:style w:type="character" w:customStyle="1" w:styleId="361">
    <w:name w:val="Char Char43"/>
    <w:qFormat/>
    <w:uiPriority w:val="0"/>
    <w:rPr>
      <w:rFonts w:eastAsia="宋体"/>
      <w:bCs/>
      <w:kern w:val="2"/>
      <w:sz w:val="28"/>
      <w:szCs w:val="28"/>
      <w:lang w:val="en-US" w:eastAsia="zh-CN" w:bidi="ar-SA"/>
    </w:rPr>
  </w:style>
  <w:style w:type="character" w:customStyle="1" w:styleId="362">
    <w:name w:val="Char Char44"/>
    <w:qFormat/>
    <w:uiPriority w:val="0"/>
    <w:rPr>
      <w:rFonts w:ascii="Arial" w:hAnsi="Arial" w:eastAsia="宋体"/>
      <w:b/>
      <w:bCs/>
      <w:i/>
      <w:kern w:val="2"/>
      <w:sz w:val="24"/>
      <w:szCs w:val="28"/>
      <w:lang w:val="en-US" w:eastAsia="zh-CN" w:bidi="ar-SA"/>
    </w:rPr>
  </w:style>
  <w:style w:type="character" w:customStyle="1" w:styleId="363">
    <w:name w:val="Char Char45"/>
    <w:qFormat/>
    <w:uiPriority w:val="0"/>
    <w:rPr>
      <w:rFonts w:ascii="Arial" w:hAnsi="Arial" w:eastAsia="宋体"/>
      <w:b/>
      <w:bCs/>
      <w:kern w:val="2"/>
      <w:sz w:val="28"/>
      <w:szCs w:val="32"/>
      <w:lang w:val="en-US" w:eastAsia="zh-CN" w:bidi="ar-SA"/>
    </w:rPr>
  </w:style>
  <w:style w:type="character" w:customStyle="1" w:styleId="364">
    <w:name w:val="Char Char46"/>
    <w:qFormat/>
    <w:uiPriority w:val="0"/>
    <w:rPr>
      <w:rFonts w:eastAsia="宋体"/>
      <w:b/>
      <w:bCs/>
      <w:kern w:val="44"/>
      <w:sz w:val="44"/>
      <w:szCs w:val="44"/>
      <w:lang w:val="en-US" w:eastAsia="zh-CN" w:bidi="ar-SA"/>
    </w:rPr>
  </w:style>
  <w:style w:type="character" w:customStyle="1" w:styleId="365">
    <w:name w:val="Char Char47"/>
    <w:qFormat/>
    <w:uiPriority w:val="0"/>
    <w:rPr>
      <w:rFonts w:ascii="宋体" w:eastAsia="宋体"/>
      <w:kern w:val="2"/>
      <w:sz w:val="26"/>
      <w:lang w:val="en-US" w:eastAsia="zh-CN" w:bidi="ar-SA"/>
    </w:rPr>
  </w:style>
  <w:style w:type="character" w:customStyle="1" w:styleId="366">
    <w:name w:val="Char Char48"/>
    <w:qFormat/>
    <w:uiPriority w:val="0"/>
    <w:rPr>
      <w:rFonts w:eastAsia="宋体"/>
      <w:b/>
      <w:kern w:val="2"/>
      <w:sz w:val="28"/>
      <w:szCs w:val="24"/>
      <w:lang w:val="en-US" w:eastAsia="zh-CN" w:bidi="ar-SA"/>
    </w:rPr>
  </w:style>
  <w:style w:type="character" w:customStyle="1" w:styleId="367">
    <w:name w:val="Char Char49"/>
    <w:qFormat/>
    <w:uiPriority w:val="0"/>
    <w:rPr>
      <w:rFonts w:eastAsia="宋体"/>
      <w:b/>
      <w:kern w:val="2"/>
      <w:sz w:val="18"/>
      <w:szCs w:val="18"/>
      <w:lang w:val="en-US" w:eastAsia="zh-CN" w:bidi="ar-SA"/>
    </w:rPr>
  </w:style>
  <w:style w:type="paragraph" w:customStyle="1" w:styleId="368">
    <w:name w:val="Char Char5"/>
    <w:basedOn w:val="1"/>
    <w:qFormat/>
    <w:uiPriority w:val="0"/>
    <w:pPr>
      <w:adjustRightInd/>
      <w:snapToGrid/>
      <w:spacing w:line="360" w:lineRule="auto"/>
    </w:pPr>
    <w:rPr>
      <w:rFonts w:ascii="宋体" w:hAnsi="宋体" w:cs="宋体"/>
      <w:snapToGrid/>
      <w:kern w:val="2"/>
    </w:rPr>
  </w:style>
  <w:style w:type="paragraph" w:customStyle="1" w:styleId="369">
    <w:name w:val="Char Char5 Char"/>
    <w:basedOn w:val="1"/>
    <w:qFormat/>
    <w:uiPriority w:val="0"/>
    <w:pPr>
      <w:adjustRightInd/>
      <w:snapToGrid/>
      <w:spacing w:line="360" w:lineRule="auto"/>
    </w:pPr>
    <w:rPr>
      <w:rFonts w:ascii="宋体" w:hAnsi="宋体" w:cs="宋体"/>
      <w:snapToGrid/>
      <w:kern w:val="2"/>
    </w:rPr>
  </w:style>
  <w:style w:type="paragraph" w:customStyle="1" w:styleId="370">
    <w:name w:val="Char Char5 Char Char Char"/>
    <w:basedOn w:val="1"/>
    <w:qFormat/>
    <w:uiPriority w:val="0"/>
    <w:pPr>
      <w:adjustRightInd/>
      <w:snapToGrid/>
      <w:spacing w:line="360" w:lineRule="auto"/>
    </w:pPr>
    <w:rPr>
      <w:rFonts w:ascii="宋体" w:hAnsi="宋体" w:cs="宋体"/>
      <w:snapToGrid/>
      <w:kern w:val="2"/>
    </w:rPr>
  </w:style>
  <w:style w:type="paragraph" w:customStyle="1" w:styleId="371">
    <w:name w:val="Char Char5 Char Char Char Char"/>
    <w:basedOn w:val="1"/>
    <w:semiHidden/>
    <w:qFormat/>
    <w:uiPriority w:val="0"/>
    <w:pPr>
      <w:adjustRightInd/>
      <w:snapToGrid/>
      <w:spacing w:line="360" w:lineRule="auto"/>
      <w:ind w:firstLine="471"/>
    </w:pPr>
    <w:rPr>
      <w:rFonts w:ascii="宋体" w:hAnsi="宋体" w:cs="宋体"/>
      <w:snapToGrid/>
      <w:kern w:val="2"/>
    </w:rPr>
  </w:style>
  <w:style w:type="paragraph" w:customStyle="1" w:styleId="372">
    <w:name w:val="Char Char5 Char1"/>
    <w:basedOn w:val="1"/>
    <w:qFormat/>
    <w:uiPriority w:val="0"/>
    <w:pPr>
      <w:adjustRightInd/>
      <w:snapToGrid/>
      <w:spacing w:line="360" w:lineRule="auto"/>
    </w:pPr>
    <w:rPr>
      <w:rFonts w:ascii="宋体" w:hAnsi="宋体" w:cs="宋体"/>
      <w:snapToGrid/>
      <w:kern w:val="2"/>
    </w:rPr>
  </w:style>
  <w:style w:type="character" w:customStyle="1" w:styleId="373">
    <w:name w:val="Char Char50"/>
    <w:qFormat/>
    <w:uiPriority w:val="0"/>
    <w:rPr>
      <w:rFonts w:eastAsia="宋体"/>
      <w:b/>
      <w:kern w:val="2"/>
      <w:sz w:val="16"/>
      <w:szCs w:val="16"/>
      <w:lang w:val="en-US" w:eastAsia="zh-CN" w:bidi="ar-SA"/>
    </w:rPr>
  </w:style>
  <w:style w:type="character" w:customStyle="1" w:styleId="374">
    <w:name w:val="Char Char51"/>
    <w:qFormat/>
    <w:uiPriority w:val="0"/>
    <w:rPr>
      <w:rFonts w:eastAsia="宋体"/>
      <w:kern w:val="2"/>
      <w:sz w:val="24"/>
      <w:lang w:val="en-US" w:eastAsia="zh-CN" w:bidi="ar-SA"/>
    </w:rPr>
  </w:style>
  <w:style w:type="character" w:customStyle="1" w:styleId="375">
    <w:name w:val="Char Char510"/>
    <w:qFormat/>
    <w:uiPriority w:val="0"/>
    <w:rPr>
      <w:rFonts w:hint="eastAsia" w:ascii="宋体" w:hAnsi="Courier New" w:eastAsia="宋体" w:cs="Courier New"/>
      <w:kern w:val="2"/>
      <w:sz w:val="21"/>
      <w:szCs w:val="21"/>
      <w:lang w:val="en-US" w:eastAsia="zh-CN" w:bidi="ar-SA"/>
    </w:rPr>
  </w:style>
  <w:style w:type="character" w:customStyle="1" w:styleId="376">
    <w:name w:val="Char Char511"/>
    <w:qFormat/>
    <w:uiPriority w:val="0"/>
    <w:rPr>
      <w:rFonts w:ascii="Arial" w:hAnsi="Arial" w:eastAsia="黑体"/>
      <w:b/>
      <w:bCs/>
      <w:kern w:val="2"/>
      <w:sz w:val="28"/>
      <w:szCs w:val="28"/>
      <w:lang w:val="en-US" w:eastAsia="zh-CN" w:bidi="ar-SA"/>
    </w:rPr>
  </w:style>
  <w:style w:type="character" w:customStyle="1" w:styleId="377">
    <w:name w:val="Char Char52"/>
    <w:qFormat/>
    <w:uiPriority w:val="0"/>
    <w:rPr>
      <w:rFonts w:eastAsia="宋体"/>
      <w:b/>
      <w:kern w:val="2"/>
      <w:sz w:val="18"/>
      <w:szCs w:val="18"/>
      <w:lang w:val="en-US" w:eastAsia="zh-CN" w:bidi="ar-SA"/>
    </w:rPr>
  </w:style>
  <w:style w:type="character" w:customStyle="1" w:styleId="378">
    <w:name w:val="Char Char53"/>
    <w:qFormat/>
    <w:uiPriority w:val="0"/>
    <w:rPr>
      <w:rFonts w:eastAsia="宋体"/>
      <w:b/>
      <w:kern w:val="2"/>
      <w:sz w:val="28"/>
      <w:szCs w:val="24"/>
      <w:lang w:val="en-US" w:eastAsia="zh-CN" w:bidi="ar-SA"/>
    </w:rPr>
  </w:style>
  <w:style w:type="character" w:customStyle="1" w:styleId="379">
    <w:name w:val="Char Char54"/>
    <w:qFormat/>
    <w:uiPriority w:val="0"/>
    <w:rPr>
      <w:rFonts w:eastAsia="宋体"/>
      <w:b/>
      <w:kern w:val="2"/>
      <w:sz w:val="21"/>
      <w:szCs w:val="24"/>
      <w:lang w:val="en-US" w:eastAsia="zh-CN" w:bidi="ar-SA"/>
    </w:rPr>
  </w:style>
  <w:style w:type="character" w:customStyle="1" w:styleId="380">
    <w:name w:val="Char Char55"/>
    <w:qFormat/>
    <w:uiPriority w:val="0"/>
    <w:rPr>
      <w:rFonts w:eastAsia="宋体"/>
      <w:b/>
      <w:kern w:val="2"/>
      <w:sz w:val="28"/>
      <w:szCs w:val="24"/>
      <w:lang w:val="en-US" w:eastAsia="zh-CN" w:bidi="ar-SA"/>
    </w:rPr>
  </w:style>
  <w:style w:type="character" w:customStyle="1" w:styleId="381">
    <w:name w:val="Char Char56"/>
    <w:qFormat/>
    <w:uiPriority w:val="0"/>
    <w:rPr>
      <w:rFonts w:eastAsia="宋体"/>
      <w:b/>
      <w:kern w:val="2"/>
      <w:sz w:val="28"/>
      <w:szCs w:val="24"/>
      <w:lang w:val="en-US" w:eastAsia="zh-CN" w:bidi="ar-SA"/>
    </w:rPr>
  </w:style>
  <w:style w:type="character" w:customStyle="1" w:styleId="382">
    <w:name w:val="Char Char57"/>
    <w:qFormat/>
    <w:uiPriority w:val="0"/>
    <w:rPr>
      <w:rFonts w:eastAsia="宋体"/>
      <w:b/>
      <w:kern w:val="2"/>
      <w:sz w:val="16"/>
      <w:szCs w:val="16"/>
      <w:lang w:val="en-US" w:eastAsia="zh-CN" w:bidi="ar-SA"/>
    </w:rPr>
  </w:style>
  <w:style w:type="character" w:customStyle="1" w:styleId="383">
    <w:name w:val="Char Char58"/>
    <w:qFormat/>
    <w:uiPriority w:val="0"/>
    <w:rPr>
      <w:rFonts w:ascii="Arial" w:hAnsi="Arial" w:eastAsia="黑体"/>
      <w:b/>
      <w:kern w:val="2"/>
      <w:sz w:val="28"/>
      <w:szCs w:val="21"/>
      <w:lang w:val="en-US" w:eastAsia="zh-CN" w:bidi="ar-SA"/>
    </w:rPr>
  </w:style>
  <w:style w:type="character" w:customStyle="1" w:styleId="384">
    <w:name w:val="Char Char59"/>
    <w:qFormat/>
    <w:uiPriority w:val="0"/>
    <w:rPr>
      <w:rFonts w:ascii="Arial" w:hAnsi="Arial" w:eastAsia="黑体"/>
      <w:b/>
      <w:kern w:val="2"/>
      <w:sz w:val="24"/>
      <w:szCs w:val="24"/>
      <w:lang w:val="en-US" w:eastAsia="zh-CN" w:bidi="ar-SA"/>
    </w:rPr>
  </w:style>
  <w:style w:type="paragraph" w:customStyle="1" w:styleId="385">
    <w:name w:val="Char Char6"/>
    <w:basedOn w:val="1"/>
    <w:qFormat/>
    <w:uiPriority w:val="0"/>
    <w:pPr>
      <w:adjustRightInd/>
      <w:snapToGrid/>
      <w:spacing w:line="360" w:lineRule="auto"/>
    </w:pPr>
    <w:rPr>
      <w:rFonts w:ascii="宋体" w:hAnsi="宋体" w:cs="宋体"/>
      <w:snapToGrid/>
      <w:kern w:val="2"/>
    </w:rPr>
  </w:style>
  <w:style w:type="character" w:customStyle="1" w:styleId="386">
    <w:name w:val="Char Char60"/>
    <w:qFormat/>
    <w:uiPriority w:val="0"/>
    <w:rPr>
      <w:rFonts w:eastAsia="宋体"/>
      <w:bCs/>
      <w:kern w:val="2"/>
      <w:sz w:val="24"/>
      <w:szCs w:val="24"/>
      <w:lang w:val="en-US" w:eastAsia="zh-CN" w:bidi="ar-SA"/>
    </w:rPr>
  </w:style>
  <w:style w:type="character" w:customStyle="1" w:styleId="387">
    <w:name w:val="Char Char61"/>
    <w:qFormat/>
    <w:uiPriority w:val="0"/>
    <w:rPr>
      <w:rFonts w:ascii="Arial" w:hAnsi="Arial" w:eastAsia="黑体"/>
      <w:bCs/>
      <w:kern w:val="2"/>
      <w:sz w:val="24"/>
      <w:szCs w:val="24"/>
      <w:lang w:val="en-US" w:eastAsia="zh-CN" w:bidi="ar-SA"/>
    </w:rPr>
  </w:style>
  <w:style w:type="paragraph" w:customStyle="1" w:styleId="388">
    <w:name w:val="Char Char610"/>
    <w:basedOn w:val="1"/>
    <w:qFormat/>
    <w:uiPriority w:val="0"/>
    <w:pPr>
      <w:adjustRightInd/>
      <w:snapToGrid/>
      <w:spacing w:line="360" w:lineRule="auto"/>
    </w:pPr>
    <w:rPr>
      <w:rFonts w:ascii="宋体" w:hAnsi="宋体" w:cs="宋体"/>
      <w:snapToGrid/>
      <w:kern w:val="2"/>
    </w:rPr>
  </w:style>
  <w:style w:type="character" w:customStyle="1" w:styleId="389">
    <w:name w:val="Char Char611"/>
    <w:qFormat/>
    <w:uiPriority w:val="0"/>
    <w:rPr>
      <w:rFonts w:hint="eastAsia" w:ascii="宋体" w:hAnsi="宋体" w:eastAsia="宋体"/>
      <w:kern w:val="2"/>
      <w:sz w:val="18"/>
      <w:szCs w:val="18"/>
      <w:lang w:val="en-US" w:eastAsia="zh-CN" w:bidi="ar-SA"/>
    </w:rPr>
  </w:style>
  <w:style w:type="character" w:customStyle="1" w:styleId="390">
    <w:name w:val="Char Char612"/>
    <w:qFormat/>
    <w:uiPriority w:val="0"/>
    <w:rPr>
      <w:kern w:val="2"/>
      <w:sz w:val="18"/>
      <w:szCs w:val="18"/>
    </w:rPr>
  </w:style>
  <w:style w:type="character" w:customStyle="1" w:styleId="391">
    <w:name w:val="Char Char62"/>
    <w:qFormat/>
    <w:uiPriority w:val="0"/>
    <w:rPr>
      <w:rFonts w:eastAsia="宋体"/>
      <w:bCs/>
      <w:kern w:val="2"/>
      <w:sz w:val="28"/>
      <w:szCs w:val="28"/>
      <w:lang w:val="en-US" w:eastAsia="zh-CN" w:bidi="ar-SA"/>
    </w:rPr>
  </w:style>
  <w:style w:type="character" w:customStyle="1" w:styleId="392">
    <w:name w:val="Char Char63"/>
    <w:qFormat/>
    <w:uiPriority w:val="0"/>
    <w:rPr>
      <w:rFonts w:ascii="Arial" w:hAnsi="Arial" w:eastAsia="宋体"/>
      <w:b/>
      <w:bCs/>
      <w:i/>
      <w:kern w:val="2"/>
      <w:sz w:val="24"/>
      <w:szCs w:val="28"/>
      <w:lang w:val="en-US" w:eastAsia="zh-CN" w:bidi="ar-SA"/>
    </w:rPr>
  </w:style>
  <w:style w:type="character" w:customStyle="1" w:styleId="393">
    <w:name w:val="Char Char64"/>
    <w:qFormat/>
    <w:uiPriority w:val="0"/>
    <w:rPr>
      <w:rFonts w:ascii="Arial" w:hAnsi="Arial" w:eastAsia="宋体"/>
      <w:b/>
      <w:bCs/>
      <w:kern w:val="2"/>
      <w:sz w:val="28"/>
      <w:szCs w:val="32"/>
      <w:lang w:val="en-US" w:eastAsia="zh-CN" w:bidi="ar-SA"/>
    </w:rPr>
  </w:style>
  <w:style w:type="character" w:customStyle="1" w:styleId="394">
    <w:name w:val="Char Char65"/>
    <w:qFormat/>
    <w:uiPriority w:val="0"/>
    <w:rPr>
      <w:rFonts w:eastAsia="宋体"/>
      <w:b/>
      <w:bCs/>
      <w:kern w:val="44"/>
      <w:sz w:val="44"/>
      <w:szCs w:val="44"/>
      <w:lang w:val="en-US" w:eastAsia="zh-CN" w:bidi="ar-SA"/>
    </w:rPr>
  </w:style>
  <w:style w:type="character" w:customStyle="1" w:styleId="395">
    <w:name w:val="Char Char66"/>
    <w:qFormat/>
    <w:uiPriority w:val="0"/>
    <w:rPr>
      <w:rFonts w:eastAsia="宋体"/>
      <w:b/>
      <w:kern w:val="2"/>
      <w:sz w:val="28"/>
      <w:szCs w:val="24"/>
      <w:lang w:val="en-US" w:eastAsia="zh-CN" w:bidi="ar-SA"/>
    </w:rPr>
  </w:style>
  <w:style w:type="character" w:customStyle="1" w:styleId="396">
    <w:name w:val="Char Char67"/>
    <w:qFormat/>
    <w:uiPriority w:val="0"/>
    <w:rPr>
      <w:rFonts w:eastAsia="宋体"/>
      <w:b/>
      <w:kern w:val="2"/>
      <w:sz w:val="28"/>
      <w:szCs w:val="24"/>
      <w:lang w:val="en-US" w:eastAsia="zh-CN" w:bidi="ar-SA"/>
    </w:rPr>
  </w:style>
  <w:style w:type="character" w:customStyle="1" w:styleId="397">
    <w:name w:val="Char Char68"/>
    <w:qFormat/>
    <w:uiPriority w:val="0"/>
    <w:rPr>
      <w:rFonts w:eastAsia="宋体"/>
      <w:kern w:val="2"/>
      <w:sz w:val="18"/>
      <w:szCs w:val="18"/>
      <w:lang w:val="en-US" w:eastAsia="zh-CN" w:bidi="ar-SA"/>
    </w:rPr>
  </w:style>
  <w:style w:type="character" w:customStyle="1" w:styleId="398">
    <w:name w:val="Char Char69"/>
    <w:qFormat/>
    <w:uiPriority w:val="0"/>
    <w:rPr>
      <w:rFonts w:ascii="宋体" w:hAnsi="Courier New" w:eastAsia="宋体" w:cs="Courier New"/>
      <w:b/>
      <w:kern w:val="2"/>
      <w:sz w:val="21"/>
      <w:szCs w:val="21"/>
      <w:lang w:val="en-US" w:eastAsia="zh-CN" w:bidi="ar-SA"/>
    </w:rPr>
  </w:style>
  <w:style w:type="character" w:customStyle="1" w:styleId="399">
    <w:name w:val="Char Char7"/>
    <w:qFormat/>
    <w:uiPriority w:val="0"/>
    <w:rPr>
      <w:rFonts w:ascii="宋体" w:hAnsi="Courier New" w:eastAsia="宋体" w:cs="Courier New"/>
      <w:b/>
      <w:kern w:val="2"/>
      <w:sz w:val="21"/>
      <w:szCs w:val="21"/>
      <w:lang w:val="en-US" w:eastAsia="zh-CN" w:bidi="ar-SA"/>
    </w:rPr>
  </w:style>
  <w:style w:type="paragraph" w:customStyle="1" w:styleId="400">
    <w:name w:val="Char Char7 Char Char Char Char"/>
    <w:basedOn w:val="1"/>
    <w:qFormat/>
    <w:uiPriority w:val="0"/>
    <w:pPr>
      <w:adjustRightInd/>
      <w:snapToGrid/>
      <w:spacing w:line="360" w:lineRule="auto"/>
    </w:pPr>
    <w:rPr>
      <w:rFonts w:ascii="宋体" w:hAnsi="宋体" w:cs="宋体"/>
      <w:snapToGrid/>
      <w:kern w:val="2"/>
    </w:rPr>
  </w:style>
  <w:style w:type="character" w:customStyle="1" w:styleId="401">
    <w:name w:val="Char Char70"/>
    <w:qFormat/>
    <w:uiPriority w:val="0"/>
    <w:rPr>
      <w:rFonts w:eastAsia="宋体"/>
      <w:b/>
      <w:kern w:val="2"/>
      <w:sz w:val="16"/>
      <w:szCs w:val="16"/>
      <w:lang w:val="en-US" w:eastAsia="zh-CN" w:bidi="ar-SA"/>
    </w:rPr>
  </w:style>
  <w:style w:type="character" w:customStyle="1" w:styleId="402">
    <w:name w:val="Char Char71"/>
    <w:qFormat/>
    <w:uiPriority w:val="0"/>
    <w:rPr>
      <w:rFonts w:eastAsia="宋体"/>
      <w:b/>
      <w:kern w:val="2"/>
      <w:sz w:val="18"/>
      <w:szCs w:val="18"/>
      <w:lang w:val="en-US" w:eastAsia="zh-CN" w:bidi="ar-SA"/>
    </w:rPr>
  </w:style>
  <w:style w:type="character" w:customStyle="1" w:styleId="403">
    <w:name w:val="Char Char710"/>
    <w:qFormat/>
    <w:uiPriority w:val="0"/>
    <w:rPr>
      <w:rFonts w:eastAsia="宋体"/>
      <w:kern w:val="2"/>
      <w:sz w:val="21"/>
      <w:lang w:val="en-US" w:eastAsia="zh-CN"/>
    </w:rPr>
  </w:style>
  <w:style w:type="character" w:customStyle="1" w:styleId="404">
    <w:name w:val="Char Char72"/>
    <w:qFormat/>
    <w:uiPriority w:val="0"/>
    <w:rPr>
      <w:rFonts w:eastAsia="宋体"/>
      <w:b/>
      <w:kern w:val="2"/>
      <w:sz w:val="21"/>
      <w:szCs w:val="24"/>
      <w:lang w:val="en-US" w:eastAsia="zh-CN" w:bidi="ar-SA"/>
    </w:rPr>
  </w:style>
  <w:style w:type="character" w:customStyle="1" w:styleId="405">
    <w:name w:val="Char Char73"/>
    <w:qFormat/>
    <w:uiPriority w:val="0"/>
    <w:rPr>
      <w:rFonts w:eastAsia="宋体"/>
      <w:b/>
      <w:kern w:val="2"/>
      <w:sz w:val="28"/>
      <w:szCs w:val="24"/>
      <w:lang w:val="en-US" w:eastAsia="zh-CN" w:bidi="ar-SA"/>
    </w:rPr>
  </w:style>
  <w:style w:type="character" w:customStyle="1" w:styleId="406">
    <w:name w:val="Char Char74"/>
    <w:qFormat/>
    <w:uiPriority w:val="0"/>
    <w:rPr>
      <w:rFonts w:eastAsia="宋体"/>
      <w:b/>
      <w:kern w:val="2"/>
      <w:sz w:val="28"/>
      <w:szCs w:val="24"/>
      <w:lang w:val="en-US" w:eastAsia="zh-CN" w:bidi="ar-SA"/>
    </w:rPr>
  </w:style>
  <w:style w:type="character" w:customStyle="1" w:styleId="407">
    <w:name w:val="Char Char75"/>
    <w:semiHidden/>
    <w:qFormat/>
    <w:locked/>
    <w:uiPriority w:val="0"/>
    <w:rPr>
      <w:rFonts w:ascii="宋体" w:hAnsi="宋体" w:eastAsia="宋体"/>
      <w:kern w:val="2"/>
      <w:sz w:val="28"/>
      <w:szCs w:val="24"/>
      <w:lang w:val="en-US" w:eastAsia="zh-CN" w:bidi="ar-SA"/>
    </w:rPr>
  </w:style>
  <w:style w:type="character" w:customStyle="1" w:styleId="408">
    <w:name w:val="Char Char76"/>
    <w:qFormat/>
    <w:uiPriority w:val="0"/>
    <w:rPr>
      <w:rFonts w:ascii="Arial" w:hAnsi="Arial" w:eastAsia="黑体"/>
      <w:b/>
      <w:kern w:val="2"/>
      <w:sz w:val="28"/>
      <w:szCs w:val="21"/>
      <w:lang w:val="en-US" w:eastAsia="zh-CN" w:bidi="ar-SA"/>
    </w:rPr>
  </w:style>
  <w:style w:type="character" w:customStyle="1" w:styleId="409">
    <w:name w:val="Char Char77"/>
    <w:qFormat/>
    <w:uiPriority w:val="0"/>
    <w:rPr>
      <w:rFonts w:ascii="Arial" w:hAnsi="Arial" w:eastAsia="黑体"/>
      <w:b/>
      <w:kern w:val="2"/>
      <w:sz w:val="24"/>
      <w:szCs w:val="24"/>
      <w:lang w:val="en-US" w:eastAsia="zh-CN" w:bidi="ar-SA"/>
    </w:rPr>
  </w:style>
  <w:style w:type="character" w:customStyle="1" w:styleId="410">
    <w:name w:val="Char Char78"/>
    <w:qFormat/>
    <w:uiPriority w:val="0"/>
    <w:rPr>
      <w:rFonts w:eastAsia="宋体"/>
      <w:b/>
      <w:bCs/>
      <w:kern w:val="2"/>
      <w:sz w:val="24"/>
      <w:szCs w:val="24"/>
      <w:lang w:val="en-US" w:eastAsia="zh-CN" w:bidi="ar-SA"/>
    </w:rPr>
  </w:style>
  <w:style w:type="character" w:customStyle="1" w:styleId="411">
    <w:name w:val="Char Char79"/>
    <w:qFormat/>
    <w:uiPriority w:val="0"/>
    <w:rPr>
      <w:rFonts w:ascii="Arial" w:hAnsi="Arial" w:eastAsia="黑体"/>
      <w:b/>
      <w:bCs/>
      <w:kern w:val="2"/>
      <w:sz w:val="24"/>
      <w:szCs w:val="24"/>
      <w:lang w:val="en-US" w:eastAsia="zh-CN" w:bidi="ar-SA"/>
    </w:rPr>
  </w:style>
  <w:style w:type="character" w:customStyle="1" w:styleId="412">
    <w:name w:val="Char Char8"/>
    <w:qFormat/>
    <w:uiPriority w:val="0"/>
    <w:rPr>
      <w:rFonts w:ascii="宋体" w:hAnsi="宋体" w:eastAsia="宋体"/>
      <w:snapToGrid w:val="0"/>
      <w:sz w:val="24"/>
      <w:lang w:val="en-US" w:eastAsia="zh-CN" w:bidi="ar-SA"/>
    </w:rPr>
  </w:style>
  <w:style w:type="paragraph" w:customStyle="1" w:styleId="413">
    <w:name w:val="Char Char8 Char"/>
    <w:basedOn w:val="1"/>
    <w:qFormat/>
    <w:uiPriority w:val="0"/>
    <w:pPr>
      <w:adjustRightInd/>
      <w:snapToGrid/>
      <w:spacing w:line="360" w:lineRule="auto"/>
    </w:pPr>
    <w:rPr>
      <w:rFonts w:ascii="宋体" w:hAnsi="宋体" w:cs="宋体"/>
      <w:snapToGrid/>
      <w:kern w:val="2"/>
    </w:rPr>
  </w:style>
  <w:style w:type="paragraph" w:customStyle="1" w:styleId="414">
    <w:name w:val="Char Char8 Char Char Char"/>
    <w:basedOn w:val="1"/>
    <w:uiPriority w:val="0"/>
    <w:pPr>
      <w:widowControl/>
      <w:adjustRightInd/>
      <w:snapToGrid/>
      <w:spacing w:line="360" w:lineRule="auto"/>
    </w:pPr>
    <w:rPr>
      <w:rFonts w:cs="宋体"/>
      <w:snapToGrid/>
      <w:szCs w:val="20"/>
    </w:rPr>
  </w:style>
  <w:style w:type="paragraph" w:customStyle="1" w:styleId="415">
    <w:name w:val="Char Char8 Char Char Char Char"/>
    <w:basedOn w:val="1"/>
    <w:qFormat/>
    <w:uiPriority w:val="0"/>
    <w:pPr>
      <w:adjustRightInd/>
      <w:snapToGrid/>
      <w:spacing w:line="360" w:lineRule="auto"/>
    </w:pPr>
    <w:rPr>
      <w:rFonts w:ascii="宋体" w:hAnsi="宋体" w:cs="宋体"/>
      <w:snapToGrid/>
      <w:kern w:val="2"/>
    </w:rPr>
  </w:style>
  <w:style w:type="paragraph" w:customStyle="1" w:styleId="416">
    <w:name w:val="Char Char8 Char Char Char Char1"/>
    <w:basedOn w:val="1"/>
    <w:uiPriority w:val="0"/>
    <w:pPr>
      <w:adjustRightInd/>
      <w:snapToGrid/>
      <w:spacing w:line="360" w:lineRule="auto"/>
    </w:pPr>
    <w:rPr>
      <w:rFonts w:ascii="宋体" w:hAnsi="宋体" w:cs="宋体"/>
      <w:snapToGrid/>
      <w:kern w:val="2"/>
      <w:szCs w:val="28"/>
    </w:rPr>
  </w:style>
  <w:style w:type="paragraph" w:customStyle="1" w:styleId="417">
    <w:name w:val="Char Char8 Char Char Char1"/>
    <w:basedOn w:val="1"/>
    <w:qFormat/>
    <w:uiPriority w:val="0"/>
    <w:pPr>
      <w:adjustRightInd/>
      <w:snapToGrid/>
      <w:spacing w:line="360" w:lineRule="auto"/>
    </w:pPr>
    <w:rPr>
      <w:snapToGrid/>
      <w:kern w:val="2"/>
      <w:szCs w:val="20"/>
    </w:rPr>
  </w:style>
  <w:style w:type="paragraph" w:customStyle="1" w:styleId="418">
    <w:name w:val="Char Char8 Char1"/>
    <w:basedOn w:val="1"/>
    <w:uiPriority w:val="0"/>
    <w:pPr>
      <w:adjustRightInd/>
      <w:snapToGrid/>
      <w:spacing w:line="360" w:lineRule="auto"/>
    </w:pPr>
    <w:rPr>
      <w:rFonts w:ascii="宋体" w:hAnsi="宋体" w:cs="宋体"/>
      <w:snapToGrid/>
      <w:kern w:val="2"/>
    </w:rPr>
  </w:style>
  <w:style w:type="character" w:customStyle="1" w:styleId="419">
    <w:name w:val="Char Char80"/>
    <w:qFormat/>
    <w:uiPriority w:val="0"/>
    <w:rPr>
      <w:rFonts w:eastAsia="宋体"/>
      <w:b/>
      <w:bCs/>
      <w:kern w:val="2"/>
      <w:sz w:val="28"/>
      <w:szCs w:val="28"/>
      <w:lang w:val="en-US" w:eastAsia="zh-CN" w:bidi="ar-SA"/>
    </w:rPr>
  </w:style>
  <w:style w:type="character" w:customStyle="1" w:styleId="420">
    <w:name w:val="Char Char81"/>
    <w:qFormat/>
    <w:uiPriority w:val="0"/>
    <w:rPr>
      <w:rFonts w:ascii="Arial" w:hAnsi="Arial" w:eastAsia="宋体"/>
      <w:b/>
      <w:bCs/>
      <w:i/>
      <w:kern w:val="2"/>
      <w:sz w:val="24"/>
      <w:szCs w:val="28"/>
      <w:lang w:val="en-US" w:eastAsia="zh-CN" w:bidi="ar-SA"/>
    </w:rPr>
  </w:style>
  <w:style w:type="character" w:customStyle="1" w:styleId="421">
    <w:name w:val="Char Char82"/>
    <w:qFormat/>
    <w:uiPriority w:val="0"/>
    <w:rPr>
      <w:rFonts w:ascii="Arial" w:hAnsi="Arial" w:eastAsia="宋体"/>
      <w:b/>
      <w:bCs/>
      <w:kern w:val="2"/>
      <w:sz w:val="28"/>
      <w:szCs w:val="32"/>
      <w:lang w:val="en-US" w:eastAsia="zh-CN" w:bidi="ar-SA"/>
    </w:rPr>
  </w:style>
  <w:style w:type="character" w:customStyle="1" w:styleId="422">
    <w:name w:val="Char Char83"/>
    <w:qFormat/>
    <w:uiPriority w:val="0"/>
    <w:rPr>
      <w:rFonts w:eastAsia="宋体"/>
      <w:b/>
      <w:bCs/>
      <w:kern w:val="44"/>
      <w:sz w:val="44"/>
      <w:szCs w:val="44"/>
      <w:lang w:val="en-US" w:eastAsia="zh-CN" w:bidi="ar-SA"/>
    </w:rPr>
  </w:style>
  <w:style w:type="character" w:customStyle="1" w:styleId="423">
    <w:name w:val="Char Char84"/>
    <w:qFormat/>
    <w:locked/>
    <w:uiPriority w:val="0"/>
    <w:rPr>
      <w:rFonts w:ascii="宋体" w:hAnsi="宋体" w:eastAsia="宋体"/>
      <w:kern w:val="2"/>
      <w:sz w:val="18"/>
      <w:szCs w:val="18"/>
      <w:lang w:val="en-US" w:eastAsia="zh-CN" w:bidi="ar-SA"/>
    </w:rPr>
  </w:style>
  <w:style w:type="character" w:customStyle="1" w:styleId="424">
    <w:name w:val="Char Char85"/>
    <w:qFormat/>
    <w:uiPriority w:val="0"/>
    <w:rPr>
      <w:rFonts w:ascii="宋体"/>
      <w:color w:val="FF0000"/>
      <w:kern w:val="2"/>
      <w:sz w:val="24"/>
      <w:szCs w:val="24"/>
      <w:lang w:val="zh-CN"/>
    </w:rPr>
  </w:style>
  <w:style w:type="character" w:customStyle="1" w:styleId="425">
    <w:name w:val="Char Char88"/>
    <w:qFormat/>
    <w:uiPriority w:val="0"/>
    <w:rPr>
      <w:rFonts w:eastAsia="宋体"/>
      <w:b/>
      <w:kern w:val="2"/>
      <w:sz w:val="18"/>
      <w:szCs w:val="18"/>
      <w:lang w:val="en-US" w:eastAsia="zh-CN" w:bidi="ar-SA"/>
    </w:rPr>
  </w:style>
  <w:style w:type="character" w:customStyle="1" w:styleId="426">
    <w:name w:val="Char Char9"/>
    <w:locked/>
    <w:uiPriority w:val="0"/>
    <w:rPr>
      <w:rFonts w:ascii="Arial" w:hAnsi="Arial" w:eastAsia="宋体" w:cs="Arial"/>
      <w:b/>
      <w:bCs/>
      <w:kern w:val="2"/>
      <w:sz w:val="32"/>
      <w:szCs w:val="32"/>
      <w:lang w:val="en-US" w:eastAsia="zh-CN" w:bidi="ar-SA"/>
    </w:rPr>
  </w:style>
  <w:style w:type="character" w:customStyle="1" w:styleId="427">
    <w:name w:val="Char Char90"/>
    <w:qFormat/>
    <w:uiPriority w:val="0"/>
    <w:rPr>
      <w:rFonts w:eastAsia="宋体"/>
      <w:b/>
      <w:kern w:val="2"/>
      <w:sz w:val="28"/>
      <w:szCs w:val="24"/>
      <w:lang w:val="en-US" w:eastAsia="zh-CN" w:bidi="ar-SA"/>
    </w:rPr>
  </w:style>
  <w:style w:type="paragraph" w:customStyle="1" w:styleId="428">
    <w:name w:val="Char Char93 Char Char Char Char"/>
    <w:basedOn w:val="1"/>
    <w:qFormat/>
    <w:uiPriority w:val="0"/>
    <w:pPr>
      <w:adjustRightInd/>
      <w:snapToGrid/>
      <w:spacing w:line="360" w:lineRule="auto"/>
    </w:pPr>
    <w:rPr>
      <w:rFonts w:ascii="宋体" w:hAnsi="宋体" w:cs="宋体"/>
      <w:snapToGrid/>
      <w:kern w:val="2"/>
    </w:rPr>
  </w:style>
  <w:style w:type="character" w:customStyle="1" w:styleId="429">
    <w:name w:val="Char Char98"/>
    <w:qFormat/>
    <w:uiPriority w:val="0"/>
    <w:rPr>
      <w:rFonts w:ascii="Arial" w:hAnsi="Arial" w:eastAsia="宋体"/>
      <w:b/>
      <w:bCs/>
      <w:i/>
      <w:kern w:val="2"/>
      <w:sz w:val="24"/>
      <w:szCs w:val="28"/>
      <w:lang w:val="en-US" w:eastAsia="zh-CN" w:bidi="ar-SA"/>
    </w:rPr>
  </w:style>
  <w:style w:type="paragraph" w:customStyle="1" w:styleId="430">
    <w:name w:val="Char1"/>
    <w:basedOn w:val="1"/>
    <w:link w:val="431"/>
    <w:autoRedefine/>
    <w:qFormat/>
    <w:uiPriority w:val="0"/>
    <w:pPr>
      <w:shd w:val="clear" w:color="auto" w:fill="000080"/>
      <w:spacing w:beforeLines="150" w:line="600" w:lineRule="exact"/>
      <w:ind w:left="357" w:firstLine="0" w:firstLineChars="0"/>
      <w:jc w:val="left"/>
      <w:outlineLvl w:val="3"/>
    </w:pPr>
    <w:rPr>
      <w:rFonts w:ascii="Tahoma" w:hAnsi="Tahoma"/>
      <w:b/>
      <w:snapToGrid/>
      <w:kern w:val="2"/>
    </w:rPr>
  </w:style>
  <w:style w:type="character" w:customStyle="1" w:styleId="431">
    <w:name w:val="Char1 Char1"/>
    <w:link w:val="430"/>
    <w:qFormat/>
    <w:locked/>
    <w:uiPriority w:val="0"/>
    <w:rPr>
      <w:rFonts w:ascii="Tahoma" w:hAnsi="Tahoma" w:eastAsia="宋体" w:cs="Times New Roman"/>
      <w:b/>
      <w:sz w:val="26"/>
      <w:szCs w:val="24"/>
      <w:shd w:val="clear" w:color="auto" w:fill="000080"/>
      <w14:ligatures w14:val="none"/>
    </w:rPr>
  </w:style>
  <w:style w:type="paragraph" w:customStyle="1" w:styleId="432">
    <w:name w:val="Char1 Char Char"/>
    <w:basedOn w:val="1"/>
    <w:qFormat/>
    <w:uiPriority w:val="0"/>
    <w:pPr>
      <w:adjustRightInd/>
      <w:snapToGrid/>
      <w:spacing w:line="360" w:lineRule="auto"/>
    </w:pPr>
    <w:rPr>
      <w:rFonts w:ascii="宋体" w:hAnsi="宋体" w:cs="宋体"/>
      <w:snapToGrid/>
      <w:kern w:val="2"/>
    </w:rPr>
  </w:style>
  <w:style w:type="paragraph" w:customStyle="1" w:styleId="433">
    <w:name w:val="Char1 Char Char Char"/>
    <w:basedOn w:val="1"/>
    <w:uiPriority w:val="0"/>
    <w:pPr>
      <w:spacing w:line="360" w:lineRule="auto"/>
    </w:pPr>
    <w:rPr>
      <w:rFonts w:ascii="仿宋_GB2312" w:hAnsi="仿宋_GB2312" w:eastAsia="仿宋_GB2312"/>
      <w:snapToGrid/>
      <w:kern w:val="2"/>
      <w:szCs w:val="20"/>
    </w:rPr>
  </w:style>
  <w:style w:type="paragraph" w:customStyle="1" w:styleId="434">
    <w:name w:val="Char1 Char Char Char Char Char"/>
    <w:basedOn w:val="1"/>
    <w:qFormat/>
    <w:uiPriority w:val="0"/>
    <w:pPr>
      <w:adjustRightInd/>
      <w:snapToGrid/>
      <w:spacing w:line="360" w:lineRule="auto"/>
    </w:pPr>
    <w:rPr>
      <w:rFonts w:ascii="宋体" w:hAnsi="宋体" w:cs="宋体"/>
      <w:snapToGrid/>
      <w:kern w:val="2"/>
    </w:rPr>
  </w:style>
  <w:style w:type="paragraph" w:customStyle="1" w:styleId="435">
    <w:name w:val="Char1 Char Char Char Char Char Char"/>
    <w:basedOn w:val="1"/>
    <w:qFormat/>
    <w:uiPriority w:val="0"/>
    <w:pPr>
      <w:adjustRightInd/>
      <w:snapToGrid/>
      <w:spacing w:line="360" w:lineRule="auto"/>
    </w:pPr>
    <w:rPr>
      <w:rFonts w:ascii="宋体" w:hAnsi="宋体"/>
      <w:snapToGrid/>
    </w:rPr>
  </w:style>
  <w:style w:type="character" w:customStyle="1" w:styleId="436">
    <w:name w:val="Char1 Char Char Char Char Char Char Char"/>
    <w:qFormat/>
    <w:uiPriority w:val="0"/>
    <w:rPr>
      <w:rFonts w:ascii="宋体" w:hAnsi="宋体" w:eastAsia="宋体" w:cs="宋体"/>
      <w:kern w:val="2"/>
      <w:sz w:val="24"/>
      <w:szCs w:val="24"/>
      <w:lang w:val="en-US" w:eastAsia="zh-CN" w:bidi="ar-SA"/>
    </w:rPr>
  </w:style>
  <w:style w:type="paragraph" w:customStyle="1" w:styleId="437">
    <w:name w:val="Char1 Char Char Char Char Char Char Char Char"/>
    <w:basedOn w:val="1"/>
    <w:qFormat/>
    <w:uiPriority w:val="0"/>
    <w:pPr>
      <w:widowControl/>
      <w:spacing w:line="360" w:lineRule="auto"/>
    </w:pPr>
    <w:rPr>
      <w:rFonts w:ascii="宋体" w:hAnsi="宋体" w:cs="宋体"/>
      <w:snapToGrid/>
      <w:szCs w:val="26"/>
    </w:rPr>
  </w:style>
  <w:style w:type="paragraph" w:customStyle="1" w:styleId="438">
    <w:name w:val="Char1 Char Char Char Char Char Char Char Char Char"/>
    <w:basedOn w:val="1"/>
    <w:qFormat/>
    <w:uiPriority w:val="0"/>
    <w:pPr>
      <w:adjustRightInd/>
      <w:snapToGrid/>
      <w:spacing w:line="360" w:lineRule="auto"/>
    </w:pPr>
    <w:rPr>
      <w:rFonts w:ascii="宋体" w:hAnsi="宋体" w:cs="宋体"/>
      <w:snapToGrid/>
      <w:kern w:val="2"/>
    </w:rPr>
  </w:style>
  <w:style w:type="paragraph" w:customStyle="1" w:styleId="439">
    <w:name w:val="Char1 Char Char Char Char Char Char Char Char Char Char Char"/>
    <w:basedOn w:val="1"/>
    <w:qFormat/>
    <w:uiPriority w:val="0"/>
    <w:pPr>
      <w:widowControl/>
      <w:spacing w:line="360" w:lineRule="auto"/>
    </w:pPr>
    <w:rPr>
      <w:rFonts w:ascii="宋体" w:hAnsi="宋体" w:cs="宋体"/>
      <w:snapToGrid/>
      <w:szCs w:val="26"/>
    </w:rPr>
  </w:style>
  <w:style w:type="paragraph" w:customStyle="1" w:styleId="440">
    <w:name w:val="Char1 Char Char Char Char Char Char Char Char Char Char Char Char"/>
    <w:basedOn w:val="26"/>
    <w:autoRedefine/>
    <w:semiHidden/>
    <w:qFormat/>
    <w:uiPriority w:val="0"/>
    <w:pPr>
      <w:snapToGrid/>
      <w:spacing w:line="436" w:lineRule="exact"/>
      <w:ind w:left="357" w:firstLine="0" w:firstLineChars="0"/>
      <w:outlineLvl w:val="3"/>
    </w:pPr>
    <w:rPr>
      <w:rFonts w:ascii="Tahoma" w:hAnsi="Tahoma"/>
      <w:b/>
      <w:snapToGrid/>
      <w:kern w:val="28"/>
    </w:rPr>
  </w:style>
  <w:style w:type="paragraph" w:customStyle="1" w:styleId="441">
    <w:name w:val="Char1 Char Char Char Char Char Char Char Char Char Char Char Char Char Char Char"/>
    <w:basedOn w:val="26"/>
    <w:autoRedefine/>
    <w:qFormat/>
    <w:uiPriority w:val="0"/>
    <w:pPr>
      <w:snapToGrid/>
      <w:spacing w:line="436" w:lineRule="exact"/>
      <w:ind w:left="357" w:firstLine="0" w:firstLineChars="0"/>
      <w:outlineLvl w:val="3"/>
    </w:pPr>
    <w:rPr>
      <w:rFonts w:ascii="Tahoma" w:hAnsi="Tahoma"/>
      <w:b/>
      <w:snapToGrid/>
      <w:kern w:val="2"/>
    </w:rPr>
  </w:style>
  <w:style w:type="paragraph" w:customStyle="1" w:styleId="442">
    <w:name w:val="Char1 Char Char Char Char Char Char Char Char Char Char Char Char Char Char Char Char Char Char"/>
    <w:basedOn w:val="26"/>
    <w:autoRedefine/>
    <w:semiHidden/>
    <w:uiPriority w:val="0"/>
    <w:pPr>
      <w:snapToGrid/>
      <w:spacing w:line="436" w:lineRule="exact"/>
      <w:ind w:left="357" w:firstLine="0" w:firstLineChars="0"/>
      <w:outlineLvl w:val="3"/>
    </w:pPr>
    <w:rPr>
      <w:rFonts w:ascii="楷体_GB2312" w:hAnsi="Tahoma" w:eastAsia="楷体_GB2312"/>
      <w:b/>
      <w:snapToGrid/>
      <w:kern w:val="28"/>
    </w:rPr>
  </w:style>
  <w:style w:type="paragraph" w:customStyle="1" w:styleId="443">
    <w:name w:val="Char1 Char Char Char Char Char Char Char Char Char Char Char Char Char Char Char1"/>
    <w:basedOn w:val="26"/>
    <w:autoRedefine/>
    <w:qFormat/>
    <w:uiPriority w:val="0"/>
    <w:pPr>
      <w:snapToGrid/>
      <w:spacing w:line="436" w:lineRule="exact"/>
      <w:ind w:left="357" w:firstLine="0" w:firstLineChars="0"/>
      <w:outlineLvl w:val="3"/>
    </w:pPr>
    <w:rPr>
      <w:rFonts w:ascii="Tahoma" w:hAnsi="Tahoma"/>
      <w:b/>
      <w:snapToGrid/>
      <w:kern w:val="2"/>
    </w:rPr>
  </w:style>
  <w:style w:type="paragraph" w:customStyle="1" w:styleId="444">
    <w:name w:val="Char1 Char Char Char Char Char Char Char Char Char1"/>
    <w:basedOn w:val="1"/>
    <w:qFormat/>
    <w:uiPriority w:val="0"/>
    <w:pPr>
      <w:adjustRightInd/>
      <w:snapToGrid/>
      <w:spacing w:line="360" w:lineRule="auto"/>
    </w:pPr>
    <w:rPr>
      <w:rFonts w:ascii="宋体" w:hAnsi="宋体" w:cs="宋体"/>
      <w:snapToGrid/>
      <w:kern w:val="2"/>
    </w:rPr>
  </w:style>
  <w:style w:type="paragraph" w:customStyle="1" w:styleId="445">
    <w:name w:val="Char1 Char Char Char Char Char Char1"/>
    <w:basedOn w:val="26"/>
    <w:link w:val="446"/>
    <w:autoRedefine/>
    <w:qFormat/>
    <w:uiPriority w:val="0"/>
    <w:pPr>
      <w:snapToGrid/>
      <w:spacing w:line="436" w:lineRule="exact"/>
      <w:ind w:left="357" w:firstLine="0" w:firstLineChars="0"/>
      <w:outlineLvl w:val="3"/>
    </w:pPr>
    <w:rPr>
      <w:rFonts w:ascii="Tahoma" w:hAnsi="Tahoma"/>
      <w:b/>
      <w:snapToGrid/>
      <w:kern w:val="2"/>
      <w:szCs w:val="28"/>
    </w:rPr>
  </w:style>
  <w:style w:type="character" w:customStyle="1" w:styleId="446">
    <w:name w:val="Char1 Char Char Char Char Char Char Char1"/>
    <w:link w:val="445"/>
    <w:qFormat/>
    <w:locked/>
    <w:uiPriority w:val="0"/>
    <w:rPr>
      <w:rFonts w:ascii="Tahoma" w:hAnsi="Tahoma" w:eastAsia="宋体" w:cs="Times New Roman"/>
      <w:b/>
      <w:sz w:val="26"/>
      <w:szCs w:val="28"/>
      <w:shd w:val="clear" w:color="auto" w:fill="000080"/>
      <w14:ligatures w14:val="none"/>
    </w:rPr>
  </w:style>
  <w:style w:type="paragraph" w:customStyle="1" w:styleId="447">
    <w:name w:val="Char1 Char Char Char Char Char Char1 Char Char Char"/>
    <w:basedOn w:val="1"/>
    <w:qFormat/>
    <w:uiPriority w:val="0"/>
    <w:pPr>
      <w:adjustRightInd/>
      <w:snapToGrid/>
      <w:spacing w:line="360" w:lineRule="auto"/>
    </w:pPr>
    <w:rPr>
      <w:rFonts w:ascii="宋体" w:hAnsi="宋体" w:cs="宋体"/>
      <w:snapToGrid/>
      <w:kern w:val="2"/>
    </w:rPr>
  </w:style>
  <w:style w:type="paragraph" w:customStyle="1" w:styleId="448">
    <w:name w:val="Char1 Char Char Char Char Char Char1 Char Char Char Char Char"/>
    <w:basedOn w:val="1"/>
    <w:qFormat/>
    <w:uiPriority w:val="0"/>
    <w:pPr>
      <w:adjustRightInd/>
      <w:snapToGrid/>
      <w:spacing w:line="360" w:lineRule="auto"/>
    </w:pPr>
    <w:rPr>
      <w:rFonts w:ascii="宋体" w:hAnsi="宋体" w:cs="宋体"/>
      <w:snapToGrid/>
      <w:kern w:val="2"/>
    </w:rPr>
  </w:style>
  <w:style w:type="paragraph" w:customStyle="1" w:styleId="449">
    <w:name w:val="Char1 Char Char Char Char Char Char1 Char Char Char Char Char Char"/>
    <w:basedOn w:val="1"/>
    <w:uiPriority w:val="0"/>
    <w:pPr>
      <w:adjustRightInd/>
      <w:snapToGrid/>
      <w:spacing w:line="360" w:lineRule="auto"/>
    </w:pPr>
    <w:rPr>
      <w:rFonts w:ascii="宋体" w:hAnsi="宋体" w:cs="宋体"/>
      <w:snapToGrid/>
      <w:kern w:val="2"/>
    </w:rPr>
  </w:style>
  <w:style w:type="paragraph" w:customStyle="1" w:styleId="450">
    <w:name w:val="Char1 Char Char Char Char Char Char1 Char Char Char Char Char1"/>
    <w:basedOn w:val="1"/>
    <w:qFormat/>
    <w:uiPriority w:val="0"/>
    <w:pPr>
      <w:adjustRightInd/>
      <w:snapToGrid/>
      <w:spacing w:line="360" w:lineRule="auto"/>
    </w:pPr>
    <w:rPr>
      <w:rFonts w:ascii="宋体" w:hAnsi="宋体" w:cs="宋体"/>
      <w:snapToGrid/>
      <w:kern w:val="2"/>
    </w:rPr>
  </w:style>
  <w:style w:type="paragraph" w:customStyle="1" w:styleId="451">
    <w:name w:val="Char1 Char Char Char Char Char Char1 Char Char Char1"/>
    <w:basedOn w:val="1"/>
    <w:qFormat/>
    <w:uiPriority w:val="0"/>
    <w:pPr>
      <w:adjustRightInd/>
      <w:snapToGrid/>
      <w:spacing w:line="360" w:lineRule="auto"/>
    </w:pPr>
    <w:rPr>
      <w:rFonts w:ascii="宋体" w:hAnsi="宋体" w:cs="宋体"/>
      <w:snapToGrid/>
      <w:kern w:val="2"/>
    </w:rPr>
  </w:style>
  <w:style w:type="paragraph" w:customStyle="1" w:styleId="452">
    <w:name w:val="Char1 Char Char Char Char Char1"/>
    <w:basedOn w:val="1"/>
    <w:qFormat/>
    <w:uiPriority w:val="0"/>
    <w:pPr>
      <w:adjustRightInd/>
      <w:snapToGrid/>
      <w:spacing w:line="360" w:lineRule="auto"/>
    </w:pPr>
    <w:rPr>
      <w:rFonts w:ascii="宋体" w:hAnsi="宋体" w:cs="宋体"/>
      <w:snapToGrid/>
      <w:kern w:val="2"/>
    </w:rPr>
  </w:style>
  <w:style w:type="paragraph" w:customStyle="1" w:styleId="453">
    <w:name w:val="Char1 Char Char Char Char Char1 Char"/>
    <w:basedOn w:val="1"/>
    <w:qFormat/>
    <w:uiPriority w:val="0"/>
    <w:pPr>
      <w:adjustRightInd/>
      <w:snapToGrid/>
      <w:spacing w:line="360" w:lineRule="auto"/>
    </w:pPr>
    <w:rPr>
      <w:rFonts w:ascii="宋体" w:hAnsi="宋体" w:cs="宋体"/>
      <w:snapToGrid/>
      <w:kern w:val="2"/>
    </w:rPr>
  </w:style>
  <w:style w:type="paragraph" w:customStyle="1" w:styleId="454">
    <w:name w:val="Char1 Char Char Char Char Char1 Char Char Char Char"/>
    <w:basedOn w:val="1"/>
    <w:qFormat/>
    <w:uiPriority w:val="0"/>
    <w:pPr>
      <w:adjustRightInd/>
      <w:snapToGrid/>
      <w:spacing w:line="360" w:lineRule="auto"/>
    </w:pPr>
    <w:rPr>
      <w:rFonts w:ascii="宋体" w:hAnsi="宋体" w:cs="宋体"/>
      <w:snapToGrid/>
      <w:kern w:val="2"/>
    </w:rPr>
  </w:style>
  <w:style w:type="paragraph" w:customStyle="1" w:styleId="455">
    <w:name w:val="Char1 Char Char Char Char Char1 Char Char Char Char Char Char Char"/>
    <w:basedOn w:val="1"/>
    <w:qFormat/>
    <w:uiPriority w:val="0"/>
    <w:pPr>
      <w:adjustRightInd/>
      <w:snapToGrid/>
      <w:spacing w:line="360" w:lineRule="auto"/>
    </w:pPr>
    <w:rPr>
      <w:rFonts w:ascii="宋体" w:hAnsi="宋体" w:cs="宋体"/>
      <w:snapToGrid/>
      <w:kern w:val="2"/>
      <w:szCs w:val="28"/>
    </w:rPr>
  </w:style>
  <w:style w:type="paragraph" w:customStyle="1" w:styleId="456">
    <w:name w:val="Char1 Char Char Char Char Char1 Char Char Char Char Char Char Char Char"/>
    <w:basedOn w:val="1"/>
    <w:qFormat/>
    <w:uiPriority w:val="0"/>
    <w:pPr>
      <w:adjustRightInd/>
      <w:snapToGrid/>
      <w:spacing w:line="360" w:lineRule="auto"/>
    </w:pPr>
    <w:rPr>
      <w:rFonts w:ascii="宋体" w:hAnsi="宋体" w:cs="宋体"/>
      <w:snapToGrid/>
      <w:kern w:val="2"/>
    </w:rPr>
  </w:style>
  <w:style w:type="paragraph" w:customStyle="1" w:styleId="457">
    <w:name w:val="Char1 Char Char Char Char Char1 Char Char Char Char Char Char Char Char Char Char"/>
    <w:basedOn w:val="1"/>
    <w:qFormat/>
    <w:uiPriority w:val="0"/>
    <w:pPr>
      <w:adjustRightInd/>
      <w:snapToGrid/>
      <w:spacing w:line="360" w:lineRule="auto"/>
    </w:pPr>
    <w:rPr>
      <w:rFonts w:ascii="宋体" w:hAnsi="宋体" w:cs="宋体"/>
      <w:snapToGrid/>
      <w:kern w:val="2"/>
      <w:szCs w:val="28"/>
    </w:rPr>
  </w:style>
  <w:style w:type="paragraph" w:customStyle="1" w:styleId="458">
    <w:name w:val="Char1 Char Char Char Char Char11"/>
    <w:basedOn w:val="1"/>
    <w:semiHidden/>
    <w:qFormat/>
    <w:uiPriority w:val="0"/>
    <w:pPr>
      <w:adjustRightInd/>
      <w:snapToGrid/>
      <w:spacing w:line="360" w:lineRule="auto"/>
    </w:pPr>
    <w:rPr>
      <w:rFonts w:ascii="宋体" w:hAnsi="宋体" w:cs="宋体"/>
      <w:snapToGrid/>
      <w:kern w:val="2"/>
    </w:rPr>
  </w:style>
  <w:style w:type="paragraph" w:customStyle="1" w:styleId="459">
    <w:name w:val="Char1 Char Char Char Char Char2"/>
    <w:basedOn w:val="26"/>
    <w:autoRedefine/>
    <w:qFormat/>
    <w:uiPriority w:val="0"/>
    <w:pPr>
      <w:snapToGrid/>
      <w:spacing w:line="436" w:lineRule="exact"/>
      <w:ind w:left="357" w:firstLine="0" w:firstLineChars="0"/>
      <w:outlineLvl w:val="3"/>
    </w:pPr>
    <w:rPr>
      <w:rFonts w:ascii="Tahoma" w:hAnsi="Tahoma"/>
      <w:b/>
      <w:snapToGrid/>
      <w:kern w:val="2"/>
    </w:rPr>
  </w:style>
  <w:style w:type="paragraph" w:customStyle="1" w:styleId="460">
    <w:name w:val="Char1 Char Char Char1"/>
    <w:basedOn w:val="1"/>
    <w:qFormat/>
    <w:uiPriority w:val="0"/>
    <w:pPr>
      <w:widowControl/>
      <w:adjustRightInd/>
      <w:snapToGrid/>
      <w:spacing w:after="160" w:line="240" w:lineRule="exact"/>
      <w:ind w:firstLine="0" w:firstLineChars="0"/>
    </w:pPr>
    <w:rPr>
      <w:rFonts w:ascii="Verdana" w:hAnsi="Verdana" w:eastAsia="仿宋_GB2312"/>
      <w:snapToGrid/>
      <w:szCs w:val="30"/>
      <w:lang w:eastAsia="en-US"/>
    </w:rPr>
  </w:style>
  <w:style w:type="paragraph" w:customStyle="1" w:styleId="461">
    <w:name w:val="Char1 Char Char Char2"/>
    <w:basedOn w:val="26"/>
    <w:autoRedefine/>
    <w:qFormat/>
    <w:uiPriority w:val="0"/>
    <w:pPr>
      <w:snapToGrid/>
      <w:spacing w:line="436" w:lineRule="exact"/>
      <w:ind w:left="357" w:firstLine="0" w:firstLineChars="0"/>
      <w:outlineLvl w:val="3"/>
    </w:pPr>
    <w:rPr>
      <w:rFonts w:ascii="Tahoma" w:hAnsi="Tahoma"/>
      <w:b/>
      <w:snapToGrid/>
      <w:kern w:val="2"/>
    </w:rPr>
  </w:style>
  <w:style w:type="paragraph" w:customStyle="1" w:styleId="462">
    <w:name w:val="Char1 Char Char1"/>
    <w:basedOn w:val="26"/>
    <w:autoRedefine/>
    <w:qFormat/>
    <w:uiPriority w:val="0"/>
    <w:pPr>
      <w:snapToGrid/>
      <w:spacing w:line="436" w:lineRule="exact"/>
      <w:ind w:left="357" w:firstLine="0" w:firstLineChars="0"/>
      <w:outlineLvl w:val="3"/>
    </w:pPr>
    <w:rPr>
      <w:rFonts w:ascii="Tahoma" w:hAnsi="Tahoma"/>
      <w:b/>
      <w:snapToGrid/>
      <w:kern w:val="2"/>
    </w:rPr>
  </w:style>
  <w:style w:type="paragraph" w:customStyle="1" w:styleId="463">
    <w:name w:val="Char1 Char Char11"/>
    <w:basedOn w:val="26"/>
    <w:autoRedefine/>
    <w:qFormat/>
    <w:uiPriority w:val="0"/>
    <w:pPr>
      <w:snapToGrid/>
      <w:spacing w:line="436" w:lineRule="exact"/>
      <w:ind w:left="357" w:firstLine="0" w:firstLineChars="0"/>
      <w:outlineLvl w:val="3"/>
    </w:pPr>
    <w:rPr>
      <w:rFonts w:hint="eastAsia" w:ascii="Tahoma" w:hAnsi="Tahoma"/>
      <w:b/>
      <w:snapToGrid/>
      <w:kern w:val="2"/>
      <w:szCs w:val="28"/>
    </w:rPr>
  </w:style>
  <w:style w:type="paragraph" w:customStyle="1" w:styleId="464">
    <w:name w:val="Char1 Char Char2"/>
    <w:basedOn w:val="1"/>
    <w:qFormat/>
    <w:uiPriority w:val="0"/>
    <w:pPr>
      <w:adjustRightInd/>
      <w:snapToGrid/>
      <w:spacing w:line="360" w:lineRule="auto"/>
    </w:pPr>
    <w:rPr>
      <w:rFonts w:ascii="宋体" w:hAnsi="宋体" w:cs="宋体"/>
      <w:snapToGrid/>
      <w:kern w:val="2"/>
    </w:rPr>
  </w:style>
  <w:style w:type="paragraph" w:customStyle="1" w:styleId="465">
    <w:name w:val="Char1 Char Char2 Char Char Char Char Char Char Char Char Char Char Char Char Char Char Char Char Char Char Char Char Char1"/>
    <w:basedOn w:val="1"/>
    <w:autoRedefine/>
    <w:qFormat/>
    <w:uiPriority w:val="0"/>
    <w:pPr>
      <w:widowControl/>
      <w:adjustRightInd/>
      <w:snapToGrid/>
      <w:spacing w:after="160" w:line="240" w:lineRule="exact"/>
      <w:ind w:firstLine="0" w:firstLineChars="0"/>
    </w:pPr>
    <w:rPr>
      <w:rFonts w:ascii="Verdana" w:hAnsi="Verdana" w:eastAsia="仿宋_GB2312" w:cs="宋体"/>
      <w:snapToGrid/>
      <w:sz w:val="30"/>
      <w:szCs w:val="30"/>
      <w:lang w:eastAsia="en-US"/>
    </w:rPr>
  </w:style>
  <w:style w:type="paragraph" w:customStyle="1" w:styleId="466">
    <w:name w:val="Char11"/>
    <w:basedOn w:val="1"/>
    <w:qFormat/>
    <w:uiPriority w:val="0"/>
    <w:pPr>
      <w:adjustRightInd/>
      <w:snapToGrid/>
      <w:spacing w:line="360" w:lineRule="auto"/>
    </w:pPr>
    <w:rPr>
      <w:rFonts w:ascii="宋体" w:hAnsi="宋体" w:cs="宋体"/>
      <w:snapToGrid/>
      <w:kern w:val="2"/>
      <w:szCs w:val="28"/>
    </w:rPr>
  </w:style>
  <w:style w:type="paragraph" w:customStyle="1" w:styleId="467">
    <w:name w:val="Char12"/>
    <w:basedOn w:val="5"/>
    <w:link w:val="468"/>
    <w:autoRedefine/>
    <w:qFormat/>
    <w:uiPriority w:val="0"/>
    <w:pPr>
      <w:keepNext/>
      <w:keepLines/>
      <w:numPr>
        <w:ilvl w:val="0"/>
        <w:numId w:val="0"/>
      </w:numPr>
      <w:adjustRightInd/>
      <w:snapToGrid/>
      <w:spacing w:line="360" w:lineRule="auto"/>
      <w:ind w:left="720" w:hanging="432"/>
      <w:jc w:val="both"/>
    </w:pPr>
    <w:rPr>
      <w:snapToGrid/>
      <w:kern w:val="2"/>
    </w:rPr>
  </w:style>
  <w:style w:type="character" w:customStyle="1" w:styleId="468">
    <w:name w:val="Char1 Char"/>
    <w:link w:val="467"/>
    <w:qFormat/>
    <w:uiPriority w:val="0"/>
    <w:rPr>
      <w:rFonts w:ascii="Times New Roman" w:hAnsi="Times New Roman" w:eastAsia="宋体" w:cs="Times New Roman"/>
      <w:b/>
      <w:sz w:val="26"/>
      <w:szCs w:val="26"/>
      <w14:ligatures w14:val="none"/>
    </w:rPr>
  </w:style>
  <w:style w:type="paragraph" w:customStyle="1" w:styleId="469">
    <w:name w:val="Char2"/>
    <w:basedOn w:val="1"/>
    <w:qFormat/>
    <w:uiPriority w:val="0"/>
    <w:pPr>
      <w:adjustRightInd/>
      <w:snapToGrid/>
      <w:spacing w:line="240" w:lineRule="atLeast"/>
      <w:ind w:left="420" w:firstLine="420" w:firstLineChars="0"/>
    </w:pPr>
    <w:rPr>
      <w:rFonts w:eastAsia="仿宋_GB2312"/>
      <w:snapToGrid/>
      <w:sz w:val="32"/>
      <w:szCs w:val="21"/>
    </w:rPr>
  </w:style>
  <w:style w:type="paragraph" w:customStyle="1" w:styleId="470">
    <w:name w:val="Char2 Char Char Char"/>
    <w:basedOn w:val="1"/>
    <w:autoRedefine/>
    <w:qFormat/>
    <w:uiPriority w:val="0"/>
    <w:pPr>
      <w:adjustRightInd/>
      <w:snapToGrid/>
      <w:spacing w:line="276" w:lineRule="auto"/>
      <w:ind w:firstLine="0" w:firstLineChars="0"/>
    </w:pPr>
    <w:rPr>
      <w:rFonts w:ascii="仿宋_GB2312"/>
      <w:b/>
      <w:snapToGrid/>
      <w:kern w:val="2"/>
      <w:sz w:val="30"/>
      <w:szCs w:val="32"/>
    </w:rPr>
  </w:style>
  <w:style w:type="paragraph" w:customStyle="1" w:styleId="471">
    <w:name w:val="Char2 Char Char Char Char Char Char"/>
    <w:basedOn w:val="1"/>
    <w:next w:val="1"/>
    <w:qFormat/>
    <w:uiPriority w:val="0"/>
    <w:pPr>
      <w:pBdr>
        <w:right w:val="single" w:color="auto" w:sz="12" w:space="4"/>
      </w:pBdr>
      <w:adjustRightInd/>
      <w:snapToGrid/>
      <w:spacing w:line="360" w:lineRule="auto"/>
    </w:pPr>
    <w:rPr>
      <w:rFonts w:ascii="宋体" w:hAnsi="宋体" w:cs="宋体"/>
      <w:snapToGrid/>
      <w:kern w:val="2"/>
    </w:rPr>
  </w:style>
  <w:style w:type="paragraph" w:customStyle="1" w:styleId="472">
    <w:name w:val="Char2 Char Char Char Char Char Char1 Char Char Char Char Char Char"/>
    <w:basedOn w:val="1"/>
    <w:qFormat/>
    <w:uiPriority w:val="0"/>
    <w:pPr>
      <w:adjustRightInd/>
      <w:spacing w:beforeLines="100" w:afterLines="50" w:line="360" w:lineRule="auto"/>
      <w:ind w:firstLine="0" w:firstLineChars="0"/>
    </w:pPr>
    <w:rPr>
      <w:rFonts w:ascii="宋体" w:hAnsi="宋体" w:eastAsia="黑体" w:cs="宋体"/>
      <w:snapToGrid/>
      <w:kern w:val="2"/>
      <w:sz w:val="28"/>
    </w:rPr>
  </w:style>
  <w:style w:type="paragraph" w:customStyle="1" w:styleId="473">
    <w:name w:val="Char2 Char Char Char Char Char Char1 Char Char Char Char Char Char1"/>
    <w:basedOn w:val="1"/>
    <w:qFormat/>
    <w:uiPriority w:val="0"/>
    <w:pPr>
      <w:widowControl/>
      <w:adjustRightInd/>
      <w:snapToGrid/>
      <w:spacing w:line="360" w:lineRule="auto"/>
    </w:pPr>
    <w:rPr>
      <w:rFonts w:ascii="宋体" w:hAnsi="宋体" w:cs="宋体"/>
      <w:snapToGrid/>
    </w:rPr>
  </w:style>
  <w:style w:type="paragraph" w:customStyle="1" w:styleId="474">
    <w:name w:val="Char2 Char Char Char Char Char Char1 Char Char Char Char Char Char2"/>
    <w:basedOn w:val="1"/>
    <w:qFormat/>
    <w:uiPriority w:val="0"/>
    <w:pPr>
      <w:adjustRightInd/>
      <w:snapToGrid/>
      <w:spacing w:line="360" w:lineRule="auto"/>
    </w:pPr>
    <w:rPr>
      <w:rFonts w:ascii="宋体" w:hAnsi="宋体" w:cs="宋体"/>
      <w:snapToGrid/>
      <w:kern w:val="2"/>
    </w:rPr>
  </w:style>
  <w:style w:type="paragraph" w:customStyle="1" w:styleId="475">
    <w:name w:val="Char21"/>
    <w:basedOn w:val="1"/>
    <w:qFormat/>
    <w:uiPriority w:val="0"/>
    <w:pPr>
      <w:adjustRightInd/>
      <w:snapToGrid/>
      <w:spacing w:line="360" w:lineRule="auto"/>
    </w:pPr>
    <w:rPr>
      <w:rFonts w:ascii="宋体" w:hAnsi="宋体" w:cs="宋体"/>
      <w:snapToGrid/>
      <w:kern w:val="2"/>
    </w:rPr>
  </w:style>
  <w:style w:type="paragraph" w:customStyle="1" w:styleId="476">
    <w:name w:val="Char3"/>
    <w:basedOn w:val="1"/>
    <w:qFormat/>
    <w:uiPriority w:val="0"/>
    <w:pPr>
      <w:adjustRightInd/>
      <w:snapToGrid/>
      <w:spacing w:line="240" w:lineRule="auto"/>
      <w:ind w:firstLine="480"/>
    </w:pPr>
    <w:rPr>
      <w:snapToGrid/>
      <w:kern w:val="2"/>
      <w:sz w:val="21"/>
    </w:rPr>
  </w:style>
  <w:style w:type="paragraph" w:customStyle="1" w:styleId="477">
    <w:name w:val="Char3 Char Char"/>
    <w:basedOn w:val="26"/>
    <w:autoRedefine/>
    <w:qFormat/>
    <w:uiPriority w:val="0"/>
    <w:pPr>
      <w:snapToGrid/>
      <w:spacing w:line="436" w:lineRule="exact"/>
      <w:ind w:left="357" w:firstLine="0" w:firstLineChars="0"/>
      <w:outlineLvl w:val="3"/>
    </w:pPr>
    <w:rPr>
      <w:rFonts w:ascii="Tahoma" w:hAnsi="Tahoma"/>
      <w:b/>
      <w:snapToGrid/>
      <w:kern w:val="2"/>
    </w:rPr>
  </w:style>
  <w:style w:type="paragraph" w:customStyle="1" w:styleId="478">
    <w:name w:val="Char3 Char Char Char"/>
    <w:basedOn w:val="1"/>
    <w:qFormat/>
    <w:uiPriority w:val="0"/>
    <w:pPr>
      <w:spacing w:line="240" w:lineRule="auto"/>
      <w:ind w:firstLine="0" w:firstLineChars="0"/>
    </w:pPr>
    <w:rPr>
      <w:rFonts w:ascii="宋体" w:hAnsi="宋体" w:cs="宋体"/>
      <w:snapToGrid/>
      <w:kern w:val="2"/>
      <w:szCs w:val="22"/>
    </w:rPr>
  </w:style>
  <w:style w:type="paragraph" w:customStyle="1" w:styleId="479">
    <w:name w:val="Char3 Char Char Char Char"/>
    <w:basedOn w:val="1"/>
    <w:qFormat/>
    <w:uiPriority w:val="0"/>
    <w:pPr>
      <w:adjustRightInd/>
      <w:snapToGrid/>
      <w:ind w:firstLine="420"/>
      <w:outlineLvl w:val="3"/>
    </w:pPr>
    <w:rPr>
      <w:rFonts w:ascii="宋体" w:hAnsi="宋体" w:cs="宋体"/>
      <w:snapToGrid/>
      <w:kern w:val="2"/>
    </w:rPr>
  </w:style>
  <w:style w:type="paragraph" w:customStyle="1" w:styleId="480">
    <w:name w:val="Char3 Char Char Char Char Char"/>
    <w:basedOn w:val="1"/>
    <w:qFormat/>
    <w:uiPriority w:val="0"/>
    <w:pPr>
      <w:adjustRightInd/>
      <w:snapToGrid/>
      <w:outlineLvl w:val="3"/>
    </w:pPr>
    <w:rPr>
      <w:rFonts w:ascii="宋体" w:hAnsi="宋体" w:cs="宋体"/>
      <w:snapToGrid/>
      <w:kern w:val="2"/>
    </w:rPr>
  </w:style>
  <w:style w:type="paragraph" w:customStyle="1" w:styleId="481">
    <w:name w:val="Char3 Char Char Char Char Char Char Char"/>
    <w:basedOn w:val="1"/>
    <w:qFormat/>
    <w:uiPriority w:val="0"/>
    <w:pPr>
      <w:adjustRightInd/>
      <w:snapToGrid/>
      <w:outlineLvl w:val="3"/>
    </w:pPr>
    <w:rPr>
      <w:rFonts w:ascii="宋体" w:hAnsi="宋体" w:cs="宋体"/>
      <w:snapToGrid/>
      <w:kern w:val="2"/>
    </w:rPr>
  </w:style>
  <w:style w:type="paragraph" w:customStyle="1" w:styleId="482">
    <w:name w:val="Char3 Char Char Char Char Char Char Char Char Char Char Char Char Char Char Char"/>
    <w:basedOn w:val="1"/>
    <w:autoRedefine/>
    <w:semiHidden/>
    <w:qFormat/>
    <w:uiPriority w:val="0"/>
    <w:pPr>
      <w:adjustRightInd/>
      <w:snapToGrid/>
      <w:spacing w:line="360" w:lineRule="auto"/>
      <w:ind w:firstLine="480"/>
    </w:pPr>
    <w:rPr>
      <w:rFonts w:ascii="仿宋_GB2312"/>
      <w:b/>
      <w:snapToGrid/>
      <w:kern w:val="2"/>
      <w:sz w:val="21"/>
      <w:szCs w:val="32"/>
    </w:rPr>
  </w:style>
  <w:style w:type="paragraph" w:customStyle="1" w:styleId="483">
    <w:name w:val="Char3 Char Char Char Char Char Char Char Char Char Char Char Char Char Char Char Char Char Char"/>
    <w:basedOn w:val="1"/>
    <w:autoRedefine/>
    <w:semiHidden/>
    <w:qFormat/>
    <w:uiPriority w:val="0"/>
    <w:pPr>
      <w:adjustRightInd/>
      <w:snapToGrid/>
      <w:spacing w:line="360" w:lineRule="auto"/>
      <w:ind w:firstLine="480"/>
    </w:pPr>
    <w:rPr>
      <w:rFonts w:ascii="仿宋_GB2312"/>
      <w:b/>
      <w:snapToGrid/>
      <w:kern w:val="2"/>
      <w:sz w:val="21"/>
      <w:szCs w:val="32"/>
    </w:rPr>
  </w:style>
  <w:style w:type="paragraph" w:customStyle="1" w:styleId="484">
    <w:name w:val="Char3 Char Char Char Char Char Char Char Char Char1 Char Char Char Char Char Char"/>
    <w:basedOn w:val="1"/>
    <w:autoRedefine/>
    <w:semiHidden/>
    <w:qFormat/>
    <w:uiPriority w:val="0"/>
    <w:pPr>
      <w:adjustRightInd/>
      <w:snapToGrid/>
      <w:spacing w:line="360" w:lineRule="auto"/>
      <w:ind w:firstLine="480"/>
    </w:pPr>
    <w:rPr>
      <w:rFonts w:ascii="仿宋_GB2312"/>
      <w:b/>
      <w:snapToGrid/>
      <w:kern w:val="2"/>
      <w:sz w:val="21"/>
      <w:szCs w:val="32"/>
    </w:rPr>
  </w:style>
  <w:style w:type="paragraph" w:customStyle="1" w:styleId="485">
    <w:name w:val="Char3 Char Char Char Char Char Char Char1"/>
    <w:basedOn w:val="1"/>
    <w:qFormat/>
    <w:uiPriority w:val="0"/>
    <w:pPr>
      <w:adjustRightInd/>
      <w:snapToGrid/>
      <w:outlineLvl w:val="3"/>
    </w:pPr>
    <w:rPr>
      <w:rFonts w:ascii="宋体" w:hAnsi="宋体" w:cs="宋体"/>
      <w:snapToGrid/>
      <w:kern w:val="2"/>
    </w:rPr>
  </w:style>
  <w:style w:type="paragraph" w:customStyle="1" w:styleId="486">
    <w:name w:val="Char3 Char Char Char Char1"/>
    <w:basedOn w:val="1"/>
    <w:qFormat/>
    <w:uiPriority w:val="0"/>
    <w:pPr>
      <w:adjustRightInd/>
      <w:snapToGrid/>
      <w:outlineLvl w:val="3"/>
    </w:pPr>
    <w:rPr>
      <w:rFonts w:ascii="宋体" w:hAnsi="宋体" w:cs="宋体"/>
      <w:snapToGrid/>
      <w:kern w:val="2"/>
    </w:rPr>
  </w:style>
  <w:style w:type="paragraph" w:customStyle="1" w:styleId="487">
    <w:name w:val="Char3 Char Char1"/>
    <w:basedOn w:val="26"/>
    <w:autoRedefine/>
    <w:qFormat/>
    <w:uiPriority w:val="0"/>
    <w:pPr>
      <w:snapToGrid/>
      <w:spacing w:line="436" w:lineRule="exact"/>
      <w:ind w:left="357" w:firstLine="0" w:firstLineChars="0"/>
      <w:outlineLvl w:val="3"/>
    </w:pPr>
    <w:rPr>
      <w:rFonts w:hint="eastAsia" w:ascii="Tahoma" w:hAnsi="Tahoma"/>
      <w:b/>
      <w:snapToGrid/>
      <w:kern w:val="2"/>
      <w:szCs w:val="28"/>
    </w:rPr>
  </w:style>
  <w:style w:type="paragraph" w:customStyle="1" w:styleId="488">
    <w:name w:val="Char31"/>
    <w:basedOn w:val="1"/>
    <w:qFormat/>
    <w:uiPriority w:val="0"/>
    <w:pPr>
      <w:adjustRightInd/>
      <w:snapToGrid/>
      <w:spacing w:line="360" w:lineRule="auto"/>
    </w:pPr>
    <w:rPr>
      <w:rFonts w:ascii="宋体" w:hAnsi="宋体" w:cs="宋体"/>
      <w:snapToGrid/>
      <w:kern w:val="2"/>
    </w:rPr>
  </w:style>
  <w:style w:type="paragraph" w:customStyle="1" w:styleId="489">
    <w:name w:val="Char4"/>
    <w:basedOn w:val="1"/>
    <w:qFormat/>
    <w:uiPriority w:val="0"/>
    <w:pPr>
      <w:adjustRightInd/>
      <w:snapToGrid/>
      <w:spacing w:line="360" w:lineRule="auto"/>
    </w:pPr>
    <w:rPr>
      <w:rFonts w:ascii="宋体" w:hAnsi="宋体" w:cs="宋体"/>
      <w:snapToGrid/>
      <w:kern w:val="2"/>
    </w:rPr>
  </w:style>
  <w:style w:type="paragraph" w:customStyle="1" w:styleId="490">
    <w:name w:val="Char4 Char Char Char"/>
    <w:basedOn w:val="1"/>
    <w:uiPriority w:val="0"/>
    <w:pPr>
      <w:spacing w:line="360" w:lineRule="auto"/>
    </w:pPr>
    <w:rPr>
      <w:rFonts w:ascii="宋体" w:hAnsi="宋体" w:cs="宋体"/>
      <w:snapToGrid/>
      <w:kern w:val="2"/>
      <w:szCs w:val="26"/>
    </w:rPr>
  </w:style>
  <w:style w:type="paragraph" w:customStyle="1" w:styleId="491">
    <w:name w:val="Char4 Char Char Char Char Char Char1"/>
    <w:basedOn w:val="1"/>
    <w:uiPriority w:val="0"/>
    <w:pPr>
      <w:adjustRightInd/>
      <w:snapToGrid/>
      <w:spacing w:line="360" w:lineRule="auto"/>
    </w:pPr>
    <w:rPr>
      <w:rFonts w:ascii="宋体" w:hAnsi="宋体" w:cs="宋体"/>
      <w:snapToGrid/>
      <w:kern w:val="2"/>
    </w:rPr>
  </w:style>
  <w:style w:type="paragraph" w:customStyle="1" w:styleId="492">
    <w:name w:val="Char4 Char Char Char1"/>
    <w:basedOn w:val="1"/>
    <w:semiHidden/>
    <w:uiPriority w:val="0"/>
    <w:pPr>
      <w:spacing w:line="360" w:lineRule="auto"/>
    </w:pPr>
    <w:rPr>
      <w:rFonts w:ascii="宋体" w:hAnsi="宋体" w:cs="宋体"/>
      <w:snapToGrid/>
      <w:kern w:val="2"/>
      <w:szCs w:val="26"/>
    </w:rPr>
  </w:style>
  <w:style w:type="paragraph" w:customStyle="1" w:styleId="493">
    <w:name w:val="Char41"/>
    <w:basedOn w:val="1"/>
    <w:uiPriority w:val="0"/>
    <w:pPr>
      <w:widowControl/>
      <w:adjustRightInd/>
      <w:snapToGrid/>
      <w:spacing w:line="360" w:lineRule="auto"/>
    </w:pPr>
    <w:rPr>
      <w:rFonts w:ascii="宋体" w:hAnsi="宋体" w:cs="宋体"/>
      <w:snapToGrid/>
    </w:rPr>
  </w:style>
  <w:style w:type="paragraph" w:customStyle="1" w:styleId="494">
    <w:name w:val="Char42"/>
    <w:basedOn w:val="1"/>
    <w:qFormat/>
    <w:uiPriority w:val="0"/>
    <w:pPr>
      <w:adjustRightInd/>
      <w:snapToGrid/>
      <w:spacing w:line="360" w:lineRule="auto"/>
    </w:pPr>
    <w:rPr>
      <w:rFonts w:ascii="宋体" w:hAnsi="宋体" w:cs="宋体"/>
      <w:snapToGrid/>
      <w:kern w:val="2"/>
    </w:rPr>
  </w:style>
  <w:style w:type="paragraph" w:customStyle="1" w:styleId="495">
    <w:name w:val="Char5"/>
    <w:basedOn w:val="26"/>
    <w:qFormat/>
    <w:uiPriority w:val="0"/>
    <w:pPr>
      <w:snapToGrid/>
      <w:spacing w:line="436" w:lineRule="exact"/>
      <w:ind w:left="357" w:firstLine="0" w:firstLineChars="0"/>
      <w:outlineLvl w:val="3"/>
    </w:pPr>
    <w:rPr>
      <w:rFonts w:ascii="Tahoma" w:hAnsi="Tahoma"/>
      <w:b/>
      <w:snapToGrid/>
      <w:kern w:val="2"/>
      <w:szCs w:val="28"/>
    </w:rPr>
  </w:style>
  <w:style w:type="paragraph" w:customStyle="1" w:styleId="496">
    <w:name w:val="Char5 Char Char"/>
    <w:basedOn w:val="1"/>
    <w:qFormat/>
    <w:uiPriority w:val="0"/>
    <w:pPr>
      <w:adjustRightInd/>
      <w:snapToGrid/>
      <w:spacing w:line="360" w:lineRule="auto"/>
    </w:pPr>
    <w:rPr>
      <w:rFonts w:ascii="宋体" w:hAnsi="宋体" w:cs="宋体"/>
      <w:snapToGrid/>
      <w:kern w:val="2"/>
    </w:rPr>
  </w:style>
  <w:style w:type="paragraph" w:customStyle="1" w:styleId="497">
    <w:name w:val="Char5 Char Char Char"/>
    <w:basedOn w:val="26"/>
    <w:autoRedefine/>
    <w:qFormat/>
    <w:uiPriority w:val="0"/>
    <w:pPr>
      <w:snapToGrid/>
      <w:spacing w:line="436" w:lineRule="exact"/>
      <w:ind w:left="357" w:firstLine="0" w:firstLineChars="0"/>
      <w:outlineLvl w:val="3"/>
    </w:pPr>
    <w:rPr>
      <w:rFonts w:ascii="Tahoma" w:hAnsi="Tahoma"/>
      <w:b/>
      <w:snapToGrid/>
      <w:kern w:val="2"/>
      <w:szCs w:val="28"/>
    </w:rPr>
  </w:style>
  <w:style w:type="paragraph" w:customStyle="1" w:styleId="498">
    <w:name w:val="Char5 Char Char Char1"/>
    <w:basedOn w:val="1"/>
    <w:next w:val="1"/>
    <w:autoRedefine/>
    <w:qFormat/>
    <w:uiPriority w:val="0"/>
    <w:pPr>
      <w:adjustRightInd/>
      <w:snapToGrid/>
      <w:spacing w:line="360" w:lineRule="auto"/>
    </w:pPr>
    <w:rPr>
      <w:rFonts w:ascii="宋体" w:hAnsi="宋体" w:cs="宋体"/>
      <w:snapToGrid/>
      <w:kern w:val="2"/>
    </w:rPr>
  </w:style>
  <w:style w:type="paragraph" w:customStyle="1" w:styleId="499">
    <w:name w:val="Char51"/>
    <w:basedOn w:val="26"/>
    <w:qFormat/>
    <w:uiPriority w:val="0"/>
    <w:pPr>
      <w:adjustRightInd/>
      <w:snapToGrid/>
      <w:spacing w:line="436" w:lineRule="exact"/>
      <w:ind w:left="357" w:firstLine="0" w:firstLineChars="0"/>
      <w:textAlignment w:val="baseline"/>
      <w:outlineLvl w:val="3"/>
    </w:pPr>
    <w:rPr>
      <w:rFonts w:hint="eastAsia" w:ascii="宋体" w:hAnsi="Calibri"/>
      <w:snapToGrid/>
      <w:kern w:val="2"/>
      <w:szCs w:val="20"/>
    </w:rPr>
  </w:style>
  <w:style w:type="paragraph" w:customStyle="1" w:styleId="500">
    <w:name w:val="Char6"/>
    <w:basedOn w:val="1"/>
    <w:qFormat/>
    <w:uiPriority w:val="0"/>
    <w:pPr>
      <w:adjustRightInd/>
      <w:snapToGrid/>
      <w:spacing w:line="360" w:lineRule="auto"/>
    </w:pPr>
    <w:rPr>
      <w:rFonts w:ascii="宋体" w:hAnsi="宋体" w:cs="宋体"/>
      <w:snapToGrid/>
      <w:kern w:val="2"/>
    </w:rPr>
  </w:style>
  <w:style w:type="paragraph" w:customStyle="1" w:styleId="501">
    <w:name w:val="Char61"/>
    <w:basedOn w:val="1"/>
    <w:qFormat/>
    <w:uiPriority w:val="0"/>
    <w:pPr>
      <w:adjustRightInd/>
      <w:snapToGrid/>
      <w:spacing w:line="360" w:lineRule="auto"/>
    </w:pPr>
    <w:rPr>
      <w:rFonts w:ascii="宋体" w:hAnsi="宋体" w:cs="宋体"/>
      <w:snapToGrid/>
      <w:kern w:val="2"/>
    </w:rPr>
  </w:style>
  <w:style w:type="character" w:customStyle="1" w:styleId="502">
    <w:name w:val="Char7"/>
    <w:uiPriority w:val="0"/>
    <w:rPr>
      <w:rFonts w:ascii="Arial" w:hAnsi="Arial" w:eastAsia="黑体" w:cs="宋体"/>
      <w:b/>
      <w:bCs/>
      <w:kern w:val="2"/>
      <w:sz w:val="28"/>
      <w:szCs w:val="28"/>
      <w:lang w:val="en-US" w:eastAsia="zh-CN" w:bidi="ar-SA"/>
    </w:rPr>
  </w:style>
  <w:style w:type="character" w:customStyle="1" w:styleId="503">
    <w:name w:val="Char71"/>
    <w:qFormat/>
    <w:uiPriority w:val="0"/>
    <w:rPr>
      <w:rFonts w:hint="eastAsia" w:ascii="宋体" w:hAnsi="宋体" w:eastAsia="宋体"/>
      <w:b/>
      <w:bCs/>
      <w:kern w:val="44"/>
      <w:sz w:val="44"/>
      <w:szCs w:val="44"/>
      <w:lang w:val="en-US" w:eastAsia="zh-CN" w:bidi="ar-SA"/>
    </w:rPr>
  </w:style>
  <w:style w:type="character" w:customStyle="1" w:styleId="504">
    <w:name w:val="Char8"/>
    <w:qFormat/>
    <w:uiPriority w:val="0"/>
    <w:rPr>
      <w:rFonts w:ascii="宋体" w:hAnsi="宋体" w:eastAsia="宋体" w:cs="宋体"/>
      <w:b/>
      <w:bCs/>
      <w:kern w:val="2"/>
      <w:sz w:val="32"/>
      <w:szCs w:val="32"/>
      <w:lang w:val="en-US" w:eastAsia="zh-CN" w:bidi="ar-SA"/>
    </w:rPr>
  </w:style>
  <w:style w:type="character" w:customStyle="1" w:styleId="505">
    <w:name w:val="Char9"/>
    <w:uiPriority w:val="0"/>
    <w:rPr>
      <w:rFonts w:ascii="Cambria" w:hAnsi="Cambria" w:eastAsia="宋体" w:cs="Times New Roman"/>
      <w:b/>
      <w:bCs/>
      <w:kern w:val="2"/>
      <w:sz w:val="32"/>
      <w:szCs w:val="32"/>
      <w:lang w:val="en-US" w:eastAsia="zh-CN" w:bidi="ar-SA"/>
    </w:rPr>
  </w:style>
  <w:style w:type="paragraph" w:customStyle="1" w:styleId="506">
    <w:name w:val="Checkboxes"/>
    <w:basedOn w:val="1"/>
    <w:semiHidden/>
    <w:qFormat/>
    <w:uiPriority w:val="0"/>
    <w:pPr>
      <w:adjustRightInd/>
      <w:snapToGrid/>
      <w:spacing w:after="360" w:line="240" w:lineRule="auto"/>
      <w:ind w:firstLine="0" w:firstLineChars="0"/>
    </w:pPr>
    <w:rPr>
      <w:rFonts w:ascii="宋体" w:hAnsi="宋体"/>
      <w:snapToGrid/>
      <w:kern w:val="2"/>
      <w:sz w:val="21"/>
      <w:szCs w:val="20"/>
    </w:rPr>
  </w:style>
  <w:style w:type="character" w:customStyle="1" w:styleId="507">
    <w:name w:val="标题 1 字符2"/>
    <w:link w:val="3"/>
    <w:qFormat/>
    <w:uiPriority w:val="0"/>
    <w:rPr>
      <w:rFonts w:ascii="Times New Roman" w:hAnsi="Times New Roman" w:eastAsia="黑体" w:cs="Times New Roman"/>
      <w:b/>
      <w:bCs/>
      <w:snapToGrid w:val="0"/>
      <w:kern w:val="0"/>
      <w:sz w:val="30"/>
      <w:szCs w:val="32"/>
      <w14:ligatures w14:val="none"/>
    </w:rPr>
  </w:style>
  <w:style w:type="paragraph" w:customStyle="1" w:styleId="508">
    <w:name w:val="cj"/>
    <w:basedOn w:val="3"/>
    <w:qFormat/>
    <w:uiPriority w:val="0"/>
    <w:pPr>
      <w:keepNext/>
      <w:keepLines/>
      <w:numPr>
        <w:numId w:val="0"/>
      </w:numPr>
      <w:tabs>
        <w:tab w:val="left" w:pos="720"/>
      </w:tabs>
      <w:adjustRightInd/>
      <w:snapToGrid/>
      <w:spacing w:afterLines="0" w:line="360" w:lineRule="auto"/>
      <w:ind w:left="720" w:hanging="720"/>
      <w:jc w:val="left"/>
    </w:pPr>
    <w:rPr>
      <w:rFonts w:eastAsia="宋体"/>
      <w:b w:val="0"/>
      <w:bCs w:val="0"/>
      <w:snapToGrid/>
      <w:spacing w:val="8"/>
      <w:szCs w:val="20"/>
    </w:rPr>
  </w:style>
  <w:style w:type="paragraph" w:customStyle="1" w:styleId="50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10">
    <w:name w:val="CM1"/>
    <w:basedOn w:val="509"/>
    <w:next w:val="509"/>
    <w:qFormat/>
    <w:uiPriority w:val="0"/>
    <w:rPr>
      <w:rFonts w:ascii="Times New Roman" w:cs="Times New Roman"/>
      <w:color w:val="auto"/>
    </w:rPr>
  </w:style>
  <w:style w:type="paragraph" w:customStyle="1" w:styleId="511">
    <w:name w:val="CM11"/>
    <w:basedOn w:val="509"/>
    <w:next w:val="509"/>
    <w:qFormat/>
    <w:uiPriority w:val="0"/>
    <w:pPr>
      <w:spacing w:line="468" w:lineRule="atLeast"/>
    </w:pPr>
    <w:rPr>
      <w:rFonts w:ascii="Times New Roman" w:cs="Times New Roman"/>
      <w:color w:val="auto"/>
    </w:rPr>
  </w:style>
  <w:style w:type="paragraph" w:customStyle="1" w:styleId="512">
    <w:name w:val="CM12"/>
    <w:basedOn w:val="509"/>
    <w:next w:val="509"/>
    <w:uiPriority w:val="0"/>
    <w:pPr>
      <w:spacing w:line="468" w:lineRule="atLeast"/>
    </w:pPr>
    <w:rPr>
      <w:rFonts w:ascii="Times New Roman" w:cs="Times New Roman"/>
      <w:color w:val="auto"/>
    </w:rPr>
  </w:style>
  <w:style w:type="paragraph" w:customStyle="1" w:styleId="513">
    <w:name w:val="CM122"/>
    <w:basedOn w:val="1"/>
    <w:next w:val="1"/>
    <w:qFormat/>
    <w:uiPriority w:val="0"/>
    <w:pPr>
      <w:autoSpaceDE w:val="0"/>
      <w:autoSpaceDN w:val="0"/>
      <w:snapToGrid/>
      <w:spacing w:line="240" w:lineRule="auto"/>
      <w:ind w:firstLine="0" w:firstLineChars="0"/>
      <w:jc w:val="left"/>
    </w:pPr>
    <w:rPr>
      <w:rFonts w:ascii="黑体" w:eastAsia="黑体"/>
      <w:snapToGrid/>
    </w:rPr>
  </w:style>
  <w:style w:type="paragraph" w:customStyle="1" w:styleId="514">
    <w:name w:val="CM14"/>
    <w:basedOn w:val="509"/>
    <w:next w:val="509"/>
    <w:qFormat/>
    <w:uiPriority w:val="0"/>
    <w:pPr>
      <w:spacing w:line="468" w:lineRule="atLeast"/>
    </w:pPr>
    <w:rPr>
      <w:rFonts w:ascii="Times New Roman" w:cs="Times New Roman"/>
      <w:color w:val="auto"/>
    </w:rPr>
  </w:style>
  <w:style w:type="paragraph" w:customStyle="1" w:styleId="515">
    <w:name w:val="CM15"/>
    <w:basedOn w:val="509"/>
    <w:next w:val="509"/>
    <w:qFormat/>
    <w:uiPriority w:val="0"/>
    <w:pPr>
      <w:spacing w:line="468" w:lineRule="atLeast"/>
    </w:pPr>
    <w:rPr>
      <w:rFonts w:ascii="Times New Roman" w:cs="Times New Roman"/>
      <w:color w:val="auto"/>
    </w:rPr>
  </w:style>
  <w:style w:type="paragraph" w:customStyle="1" w:styleId="516">
    <w:name w:val="CM2"/>
    <w:basedOn w:val="1"/>
    <w:next w:val="1"/>
    <w:qFormat/>
    <w:uiPriority w:val="0"/>
    <w:pPr>
      <w:autoSpaceDE w:val="0"/>
      <w:autoSpaceDN w:val="0"/>
      <w:snapToGrid/>
      <w:spacing w:line="468" w:lineRule="atLeast"/>
      <w:ind w:firstLine="0" w:firstLineChars="0"/>
    </w:pPr>
    <w:rPr>
      <w:snapToGrid/>
    </w:rPr>
  </w:style>
  <w:style w:type="paragraph" w:customStyle="1" w:styleId="517">
    <w:name w:val="CM22"/>
    <w:basedOn w:val="509"/>
    <w:next w:val="509"/>
    <w:qFormat/>
    <w:uiPriority w:val="0"/>
    <w:rPr>
      <w:rFonts w:ascii="Times New Roman" w:cs="Times New Roman"/>
      <w:color w:val="auto"/>
    </w:rPr>
  </w:style>
  <w:style w:type="paragraph" w:customStyle="1" w:styleId="518">
    <w:name w:val="CM27"/>
    <w:basedOn w:val="509"/>
    <w:next w:val="509"/>
    <w:qFormat/>
    <w:uiPriority w:val="0"/>
    <w:pPr>
      <w:spacing w:line="468" w:lineRule="atLeast"/>
    </w:pPr>
    <w:rPr>
      <w:rFonts w:ascii="Times New Roman" w:cs="Times New Roman"/>
      <w:color w:val="auto"/>
    </w:rPr>
  </w:style>
  <w:style w:type="paragraph" w:customStyle="1" w:styleId="519">
    <w:name w:val="CM28"/>
    <w:basedOn w:val="509"/>
    <w:next w:val="509"/>
    <w:qFormat/>
    <w:uiPriority w:val="0"/>
    <w:rPr>
      <w:rFonts w:ascii="Times New Roman" w:cs="Times New Roman"/>
      <w:color w:val="auto"/>
    </w:rPr>
  </w:style>
  <w:style w:type="paragraph" w:customStyle="1" w:styleId="520">
    <w:name w:val="CM29"/>
    <w:basedOn w:val="509"/>
    <w:next w:val="509"/>
    <w:qFormat/>
    <w:uiPriority w:val="0"/>
    <w:pPr>
      <w:spacing w:line="468" w:lineRule="atLeast"/>
    </w:pPr>
    <w:rPr>
      <w:rFonts w:ascii="Times New Roman" w:cs="Times New Roman"/>
      <w:color w:val="auto"/>
    </w:rPr>
  </w:style>
  <w:style w:type="paragraph" w:customStyle="1" w:styleId="521">
    <w:name w:val="CM3"/>
    <w:basedOn w:val="509"/>
    <w:next w:val="509"/>
    <w:qFormat/>
    <w:uiPriority w:val="0"/>
    <w:pPr>
      <w:adjustRightInd/>
      <w:spacing w:line="476" w:lineRule="atLeast"/>
    </w:pPr>
    <w:rPr>
      <w:rFonts w:hint="eastAsia" w:cs="Times New Roman"/>
      <w:szCs w:val="20"/>
    </w:rPr>
  </w:style>
  <w:style w:type="paragraph" w:customStyle="1" w:styleId="522">
    <w:name w:val="CM4"/>
    <w:basedOn w:val="509"/>
    <w:next w:val="509"/>
    <w:qFormat/>
    <w:uiPriority w:val="0"/>
    <w:pPr>
      <w:spacing w:line="468" w:lineRule="atLeast"/>
    </w:pPr>
    <w:rPr>
      <w:rFonts w:ascii="Times New Roman" w:cs="Times New Roman"/>
      <w:color w:val="auto"/>
    </w:rPr>
  </w:style>
  <w:style w:type="paragraph" w:customStyle="1" w:styleId="523">
    <w:name w:val="CM40"/>
    <w:basedOn w:val="509"/>
    <w:next w:val="509"/>
    <w:qFormat/>
    <w:uiPriority w:val="0"/>
    <w:pPr>
      <w:adjustRightInd/>
      <w:spacing w:after="248"/>
    </w:pPr>
    <w:rPr>
      <w:rFonts w:hint="eastAsia" w:cs="Times New Roman"/>
      <w:szCs w:val="20"/>
    </w:rPr>
  </w:style>
  <w:style w:type="paragraph" w:customStyle="1" w:styleId="524">
    <w:name w:val="CM41"/>
    <w:basedOn w:val="509"/>
    <w:next w:val="509"/>
    <w:qFormat/>
    <w:uiPriority w:val="0"/>
    <w:pPr>
      <w:adjustRightInd/>
      <w:spacing w:after="325"/>
    </w:pPr>
    <w:rPr>
      <w:rFonts w:hint="eastAsia" w:cs="Times New Roman"/>
      <w:szCs w:val="20"/>
    </w:rPr>
  </w:style>
  <w:style w:type="paragraph" w:customStyle="1" w:styleId="525">
    <w:name w:val="CM42"/>
    <w:basedOn w:val="509"/>
    <w:next w:val="509"/>
    <w:qFormat/>
    <w:uiPriority w:val="0"/>
    <w:pPr>
      <w:adjustRightInd/>
      <w:spacing w:after="143"/>
    </w:pPr>
    <w:rPr>
      <w:rFonts w:hint="eastAsia" w:cs="Times New Roman"/>
      <w:szCs w:val="20"/>
    </w:rPr>
  </w:style>
  <w:style w:type="paragraph" w:customStyle="1" w:styleId="526">
    <w:name w:val="CM45"/>
    <w:basedOn w:val="509"/>
    <w:next w:val="509"/>
    <w:qFormat/>
    <w:uiPriority w:val="0"/>
    <w:pPr>
      <w:spacing w:line="428" w:lineRule="atLeast"/>
    </w:pPr>
    <w:rPr>
      <w:rFonts w:ascii="Times New Roman" w:cs="Times New Roman"/>
      <w:color w:val="auto"/>
    </w:rPr>
  </w:style>
  <w:style w:type="paragraph" w:customStyle="1" w:styleId="527">
    <w:name w:val="CM67"/>
    <w:basedOn w:val="509"/>
    <w:next w:val="509"/>
    <w:uiPriority w:val="0"/>
    <w:pPr>
      <w:spacing w:line="531" w:lineRule="atLeast"/>
    </w:pPr>
    <w:rPr>
      <w:rFonts w:ascii="Times New Roman" w:cs="Times New Roman"/>
      <w:color w:val="auto"/>
    </w:rPr>
  </w:style>
  <w:style w:type="paragraph" w:customStyle="1" w:styleId="528">
    <w:name w:val="CM68"/>
    <w:basedOn w:val="509"/>
    <w:next w:val="509"/>
    <w:qFormat/>
    <w:uiPriority w:val="0"/>
    <w:pPr>
      <w:spacing w:line="533" w:lineRule="atLeast"/>
    </w:pPr>
    <w:rPr>
      <w:rFonts w:ascii="Times New Roman" w:cs="Times New Roman"/>
      <w:color w:val="auto"/>
    </w:rPr>
  </w:style>
  <w:style w:type="paragraph" w:customStyle="1" w:styleId="529">
    <w:name w:val="CM69"/>
    <w:basedOn w:val="509"/>
    <w:next w:val="509"/>
    <w:qFormat/>
    <w:uiPriority w:val="0"/>
    <w:pPr>
      <w:spacing w:line="538" w:lineRule="atLeast"/>
    </w:pPr>
    <w:rPr>
      <w:rFonts w:ascii="Times New Roman" w:cs="Times New Roman"/>
      <w:color w:val="auto"/>
    </w:rPr>
  </w:style>
  <w:style w:type="paragraph" w:customStyle="1" w:styleId="530">
    <w:name w:val="CM8"/>
    <w:basedOn w:val="1"/>
    <w:next w:val="1"/>
    <w:qFormat/>
    <w:uiPriority w:val="0"/>
    <w:pPr>
      <w:autoSpaceDE w:val="0"/>
      <w:autoSpaceDN w:val="0"/>
      <w:snapToGrid/>
      <w:spacing w:line="508" w:lineRule="atLeast"/>
      <w:ind w:firstLine="0" w:firstLineChars="0"/>
      <w:jc w:val="left"/>
    </w:pPr>
    <w:rPr>
      <w:rFonts w:ascii="宋体" w:cs="宋体"/>
      <w:snapToGrid/>
    </w:rPr>
  </w:style>
  <w:style w:type="paragraph" w:customStyle="1" w:styleId="531">
    <w:name w:val="CM81"/>
    <w:basedOn w:val="509"/>
    <w:next w:val="509"/>
    <w:qFormat/>
    <w:uiPriority w:val="0"/>
    <w:pPr>
      <w:spacing w:after="290"/>
    </w:pPr>
    <w:rPr>
      <w:rFonts w:ascii="Times New Roman" w:cs="Times New Roman"/>
      <w:color w:val="auto"/>
    </w:rPr>
  </w:style>
  <w:style w:type="paragraph" w:customStyle="1" w:styleId="532">
    <w:name w:val="CM82"/>
    <w:basedOn w:val="1"/>
    <w:next w:val="1"/>
    <w:uiPriority w:val="0"/>
    <w:pPr>
      <w:autoSpaceDE w:val="0"/>
      <w:autoSpaceDN w:val="0"/>
      <w:snapToGrid/>
      <w:spacing w:after="83" w:line="240" w:lineRule="auto"/>
      <w:ind w:firstLine="0" w:firstLineChars="0"/>
    </w:pPr>
    <w:rPr>
      <w:snapToGrid/>
    </w:rPr>
  </w:style>
  <w:style w:type="paragraph" w:customStyle="1" w:styleId="533">
    <w:name w:val="CM85"/>
    <w:basedOn w:val="509"/>
    <w:next w:val="509"/>
    <w:qFormat/>
    <w:uiPriority w:val="0"/>
    <w:pPr>
      <w:spacing w:after="165"/>
    </w:pPr>
    <w:rPr>
      <w:rFonts w:ascii="Times New Roman" w:cs="Times New Roman"/>
      <w:color w:val="auto"/>
    </w:rPr>
  </w:style>
  <w:style w:type="paragraph" w:customStyle="1" w:styleId="534">
    <w:name w:val="CM86"/>
    <w:basedOn w:val="509"/>
    <w:next w:val="509"/>
    <w:qFormat/>
    <w:uiPriority w:val="0"/>
    <w:pPr>
      <w:spacing w:after="403"/>
    </w:pPr>
    <w:rPr>
      <w:rFonts w:ascii="Times New Roman" w:cs="Times New Roman"/>
      <w:color w:val="auto"/>
    </w:rPr>
  </w:style>
  <w:style w:type="paragraph" w:customStyle="1" w:styleId="535">
    <w:name w:val="CM93"/>
    <w:basedOn w:val="509"/>
    <w:next w:val="509"/>
    <w:qFormat/>
    <w:uiPriority w:val="0"/>
    <w:pPr>
      <w:spacing w:after="238"/>
    </w:pPr>
    <w:rPr>
      <w:rFonts w:ascii="Times New Roman" w:cs="Times New Roman"/>
      <w:color w:val="auto"/>
    </w:rPr>
  </w:style>
  <w:style w:type="paragraph" w:customStyle="1" w:styleId="536">
    <w:name w:val="CM94"/>
    <w:basedOn w:val="509"/>
    <w:next w:val="509"/>
    <w:qFormat/>
    <w:uiPriority w:val="0"/>
    <w:pPr>
      <w:spacing w:after="240"/>
    </w:pPr>
    <w:rPr>
      <w:color w:val="auto"/>
    </w:rPr>
  </w:style>
  <w:style w:type="paragraph" w:customStyle="1" w:styleId="537">
    <w:name w:val="CM95"/>
    <w:basedOn w:val="509"/>
    <w:next w:val="509"/>
    <w:qFormat/>
    <w:uiPriority w:val="0"/>
    <w:pPr>
      <w:spacing w:after="528"/>
    </w:pPr>
    <w:rPr>
      <w:rFonts w:ascii="Times New Roman" w:cs="Times New Roman"/>
      <w:color w:val="auto"/>
    </w:rPr>
  </w:style>
  <w:style w:type="character" w:customStyle="1" w:styleId="538">
    <w:name w:val="cn1"/>
    <w:qFormat/>
    <w:uiPriority w:val="0"/>
    <w:rPr>
      <w:sz w:val="21"/>
      <w:szCs w:val="21"/>
    </w:rPr>
  </w:style>
  <w:style w:type="character" w:customStyle="1" w:styleId="539">
    <w:name w:val="cn41"/>
    <w:qFormat/>
    <w:uiPriority w:val="0"/>
    <w:rPr>
      <w:color w:val="000000"/>
      <w:sz w:val="18"/>
      <w:szCs w:val="18"/>
      <w:u w:val="none"/>
    </w:rPr>
  </w:style>
  <w:style w:type="character" w:customStyle="1" w:styleId="540">
    <w:name w:val="Comment Text Char"/>
    <w:semiHidden/>
    <w:locked/>
    <w:uiPriority w:val="0"/>
    <w:rPr>
      <w:rFonts w:ascii="Calibri" w:hAnsi="Calibri" w:eastAsia="宋体"/>
      <w:kern w:val="2"/>
      <w:sz w:val="21"/>
      <w:szCs w:val="22"/>
      <w:lang w:val="en-US" w:eastAsia="zh-CN" w:bidi="ar-SA"/>
    </w:rPr>
  </w:style>
  <w:style w:type="character" w:customStyle="1" w:styleId="541">
    <w:name w:val="content"/>
    <w:uiPriority w:val="0"/>
  </w:style>
  <w:style w:type="character" w:customStyle="1" w:styleId="542">
    <w:name w:val="content1"/>
    <w:uiPriority w:val="0"/>
    <w:rPr>
      <w:spacing w:val="0"/>
      <w:sz w:val="14"/>
      <w:szCs w:val="14"/>
    </w:rPr>
  </w:style>
  <w:style w:type="character" w:customStyle="1" w:styleId="543">
    <w:name w:val="content22"/>
    <w:semiHidden/>
    <w:qFormat/>
    <w:uiPriority w:val="0"/>
  </w:style>
  <w:style w:type="character" w:customStyle="1" w:styleId="544">
    <w:name w:val="contentimg1"/>
    <w:qFormat/>
    <w:uiPriority w:val="0"/>
  </w:style>
  <w:style w:type="character" w:customStyle="1" w:styleId="545">
    <w:name w:val="contentwordstext1"/>
    <w:qFormat/>
    <w:uiPriority w:val="0"/>
    <w:rPr>
      <w:rFonts w:hint="default" w:ascii="ˎ̥" w:hAnsi="ˎ̥"/>
      <w:sz w:val="21"/>
      <w:szCs w:val="21"/>
    </w:rPr>
  </w:style>
  <w:style w:type="character" w:customStyle="1" w:styleId="546">
    <w:name w:val="css-text3"/>
    <w:uiPriority w:val="0"/>
  </w:style>
  <w:style w:type="paragraph" w:customStyle="1" w:styleId="547">
    <w:name w:val="czg样式"/>
    <w:basedOn w:val="1"/>
    <w:link w:val="548"/>
    <w:uiPriority w:val="0"/>
    <w:pPr>
      <w:adjustRightInd/>
      <w:snapToGrid/>
      <w:spacing w:line="240" w:lineRule="auto"/>
    </w:pPr>
    <w:rPr>
      <w:rFonts w:ascii="宋体"/>
      <w:snapToGrid/>
      <w:color w:val="000000"/>
      <w:kern w:val="2"/>
    </w:rPr>
  </w:style>
  <w:style w:type="character" w:customStyle="1" w:styleId="548">
    <w:name w:val="czg样式 Char Char"/>
    <w:link w:val="547"/>
    <w:qFormat/>
    <w:uiPriority w:val="0"/>
    <w:rPr>
      <w:rFonts w:ascii="宋体" w:hAnsi="Times New Roman" w:eastAsia="宋体" w:cs="Times New Roman"/>
      <w:color w:val="000000"/>
      <w:sz w:val="26"/>
      <w:szCs w:val="24"/>
      <w14:ligatures w14:val="none"/>
    </w:rPr>
  </w:style>
  <w:style w:type="paragraph" w:customStyle="1" w:styleId="549">
    <w:name w:val="C样式"/>
    <w:basedOn w:val="1"/>
    <w:link w:val="550"/>
    <w:qFormat/>
    <w:uiPriority w:val="0"/>
    <w:pPr>
      <w:adjustRightInd/>
      <w:snapToGrid/>
      <w:spacing w:line="440" w:lineRule="exact"/>
      <w:ind w:firstLine="424"/>
    </w:pPr>
    <w:rPr>
      <w:rFonts w:ascii="宋体" w:hAnsi="宋体"/>
      <w:kern w:val="24"/>
      <w:sz w:val="24"/>
      <w:szCs w:val="20"/>
    </w:rPr>
  </w:style>
  <w:style w:type="character" w:customStyle="1" w:styleId="550">
    <w:name w:val="C样式 Char"/>
    <w:link w:val="549"/>
    <w:qFormat/>
    <w:uiPriority w:val="0"/>
    <w:rPr>
      <w:rFonts w:ascii="宋体" w:hAnsi="宋体" w:eastAsia="宋体" w:cs="Times New Roman"/>
      <w:snapToGrid w:val="0"/>
      <w:kern w:val="24"/>
      <w:sz w:val="24"/>
      <w:szCs w:val="20"/>
      <w14:ligatures w14:val="none"/>
    </w:rPr>
  </w:style>
  <w:style w:type="character" w:customStyle="1" w:styleId="551">
    <w:name w:val="d1"/>
    <w:qFormat/>
    <w:uiPriority w:val="0"/>
    <w:rPr>
      <w:rFonts w:hint="default"/>
      <w:b/>
      <w:bCs/>
      <w:color w:val="0000CC"/>
      <w:sz w:val="21"/>
      <w:szCs w:val="21"/>
    </w:rPr>
  </w:style>
  <w:style w:type="character" w:customStyle="1" w:styleId="552">
    <w:name w:val="d11"/>
    <w:qFormat/>
    <w:uiPriority w:val="0"/>
    <w:rPr>
      <w:sz w:val="20"/>
      <w:szCs w:val="20"/>
    </w:rPr>
  </w:style>
  <w:style w:type="character" w:customStyle="1" w:styleId="553">
    <w:name w:val="datatitle1"/>
    <w:qFormat/>
    <w:uiPriority w:val="0"/>
    <w:rPr>
      <w:b/>
      <w:bCs/>
      <w:color w:val="10619F"/>
      <w:sz w:val="19"/>
      <w:szCs w:val="19"/>
    </w:rPr>
  </w:style>
  <w:style w:type="character" w:customStyle="1" w:styleId="554">
    <w:name w:val="Date Char"/>
    <w:locked/>
    <w:uiPriority w:val="0"/>
    <w:rPr>
      <w:rFonts w:ascii="Calibri" w:hAnsi="Calibri" w:eastAsia="宋体"/>
      <w:kern w:val="2"/>
      <w:sz w:val="21"/>
      <w:szCs w:val="22"/>
      <w:lang w:val="en-US" w:eastAsia="zh-CN" w:bidi="ar-SA"/>
    </w:rPr>
  </w:style>
  <w:style w:type="paragraph" w:customStyle="1" w:styleId="555">
    <w:name w:val="Date1"/>
    <w:basedOn w:val="1"/>
    <w:next w:val="1"/>
    <w:uiPriority w:val="0"/>
    <w:pPr>
      <w:snapToGrid/>
      <w:spacing w:beforeAutospacing="1" w:after="100" w:afterAutospacing="1" w:line="240" w:lineRule="auto"/>
      <w:textAlignment w:val="baseline"/>
    </w:pPr>
    <w:rPr>
      <w:kern w:val="2"/>
      <w:szCs w:val="20"/>
    </w:rPr>
  </w:style>
  <w:style w:type="paragraph" w:customStyle="1" w:styleId="556">
    <w:name w:val="Decimal Aligned"/>
    <w:basedOn w:val="1"/>
    <w:qFormat/>
    <w:uiPriority w:val="0"/>
    <w:pPr>
      <w:widowControl/>
      <w:tabs>
        <w:tab w:val="decimal" w:pos="360"/>
      </w:tabs>
      <w:adjustRightInd/>
      <w:snapToGrid/>
      <w:spacing w:after="200" w:line="276" w:lineRule="auto"/>
      <w:ind w:firstLine="0" w:firstLineChars="0"/>
      <w:jc w:val="left"/>
    </w:pPr>
    <w:rPr>
      <w:rFonts w:ascii="Calibri" w:hAnsi="Calibri"/>
      <w:snapToGrid/>
      <w:sz w:val="22"/>
      <w:szCs w:val="22"/>
    </w:rPr>
  </w:style>
  <w:style w:type="character" w:customStyle="1" w:styleId="557">
    <w:name w:val="dectext1"/>
    <w:uiPriority w:val="0"/>
    <w:rPr>
      <w:rFonts w:hint="eastAsia" w:ascii="宋体" w:hAnsi="宋体" w:eastAsia="宋体"/>
      <w:color w:val="333333"/>
      <w:sz w:val="28"/>
      <w:szCs w:val="28"/>
      <w:u w:val="none"/>
    </w:rPr>
  </w:style>
  <w:style w:type="paragraph" w:customStyle="1" w:styleId="558">
    <w:name w:val="Default Text"/>
    <w:basedOn w:val="1"/>
    <w:semiHidden/>
    <w:qFormat/>
    <w:uiPriority w:val="0"/>
    <w:pPr>
      <w:widowControl/>
      <w:overflowPunct w:val="0"/>
      <w:autoSpaceDE w:val="0"/>
      <w:autoSpaceDN w:val="0"/>
      <w:snapToGrid/>
      <w:spacing w:line="240" w:lineRule="auto"/>
      <w:ind w:firstLine="0" w:firstLineChars="0"/>
      <w:textAlignment w:val="baseline"/>
    </w:pPr>
    <w:rPr>
      <w:rFonts w:ascii="宋体"/>
      <w:szCs w:val="20"/>
    </w:rPr>
  </w:style>
  <w:style w:type="paragraph" w:customStyle="1" w:styleId="559">
    <w:name w:val="defaultfont"/>
    <w:basedOn w:val="1"/>
    <w:qFormat/>
    <w:uiPriority w:val="0"/>
    <w:pPr>
      <w:widowControl/>
      <w:adjustRightInd/>
      <w:snapToGrid/>
      <w:spacing w:beforeAutospacing="1" w:after="100" w:afterAutospacing="1" w:line="240" w:lineRule="auto"/>
      <w:ind w:firstLine="0" w:firstLineChars="0"/>
    </w:pPr>
    <w:rPr>
      <w:rFonts w:ascii="宋体" w:hAnsi="宋体" w:cs="宋体"/>
      <w:snapToGrid/>
    </w:rPr>
  </w:style>
  <w:style w:type="character" w:customStyle="1" w:styleId="560">
    <w:name w:val="defaultfont1"/>
    <w:uiPriority w:val="0"/>
  </w:style>
  <w:style w:type="character" w:customStyle="1" w:styleId="561">
    <w:name w:val="description"/>
    <w:qFormat/>
    <w:uiPriority w:val="0"/>
  </w:style>
  <w:style w:type="character" w:customStyle="1" w:styleId="562">
    <w:name w:val="detail_style1"/>
    <w:qFormat/>
    <w:uiPriority w:val="0"/>
    <w:rPr>
      <w:sz w:val="21"/>
      <w:szCs w:val="21"/>
      <w:u w:val="none"/>
    </w:rPr>
  </w:style>
  <w:style w:type="character" w:customStyle="1" w:styleId="563">
    <w:name w:val="detail1"/>
    <w:qFormat/>
    <w:uiPriority w:val="0"/>
    <w:rPr>
      <w:rFonts w:hint="default" w:ascii="ˎ̥" w:hAnsi="ˎ̥"/>
      <w:sz w:val="21"/>
      <w:szCs w:val="21"/>
      <w:u w:val="none"/>
    </w:rPr>
  </w:style>
  <w:style w:type="paragraph" w:customStyle="1" w:styleId="564">
    <w:name w:val="dh2"/>
    <w:basedOn w:val="1"/>
    <w:uiPriority w:val="0"/>
    <w:pPr>
      <w:snapToGrid/>
      <w:spacing w:line="312" w:lineRule="atLeast"/>
      <w:ind w:firstLine="0" w:firstLineChars="0"/>
      <w:textAlignment w:val="baseline"/>
    </w:pPr>
    <w:rPr>
      <w:snapToGrid/>
      <w:sz w:val="21"/>
      <w:szCs w:val="20"/>
    </w:rPr>
  </w:style>
  <w:style w:type="character" w:customStyle="1" w:styleId="565">
    <w:name w:val="doc1"/>
    <w:qFormat/>
    <w:uiPriority w:val="0"/>
    <w:rPr>
      <w:rFonts w:hint="eastAsia" w:ascii="宋体" w:hAnsi="宋体" w:eastAsia="宋体"/>
      <w:sz w:val="24"/>
      <w:szCs w:val="24"/>
      <w:u w:val="none"/>
    </w:rPr>
  </w:style>
  <w:style w:type="character" w:customStyle="1" w:styleId="566">
    <w:name w:val="Document Map Char"/>
    <w:semiHidden/>
    <w:qFormat/>
    <w:locked/>
    <w:uiPriority w:val="0"/>
    <w:rPr>
      <w:rFonts w:ascii="宋体" w:hAnsi="Calibri" w:eastAsia="宋体"/>
      <w:kern w:val="2"/>
      <w:sz w:val="18"/>
      <w:szCs w:val="18"/>
      <w:lang w:val="en-US" w:eastAsia="zh-CN" w:bidi="ar-SA"/>
    </w:rPr>
  </w:style>
  <w:style w:type="paragraph" w:customStyle="1" w:styleId="567">
    <w:name w:val="dot"/>
    <w:uiPriority w:val="0"/>
    <w:pPr>
      <w:tabs>
        <w:tab w:val="left" w:pos="550"/>
      </w:tabs>
      <w:spacing w:line="360" w:lineRule="auto"/>
      <w:ind w:left="1174" w:hanging="318"/>
    </w:pPr>
    <w:rPr>
      <w:rFonts w:ascii="宋体" w:hAnsi="宋体" w:eastAsia="宋体" w:cs="Times New Roman"/>
      <w:b/>
      <w:sz w:val="24"/>
      <w:lang w:val="en-US" w:eastAsia="zh-CN" w:bidi="ar-SA"/>
    </w:rPr>
  </w:style>
  <w:style w:type="paragraph" w:customStyle="1" w:styleId="568">
    <w:name w:val="e"/>
    <w:basedOn w:val="1"/>
    <w:qFormat/>
    <w:uiPriority w:val="0"/>
    <w:pPr>
      <w:adjustRightInd/>
      <w:snapToGrid/>
      <w:spacing w:line="240" w:lineRule="auto"/>
      <w:ind w:firstLine="0" w:firstLineChars="0"/>
    </w:pPr>
    <w:rPr>
      <w:snapToGrid/>
      <w:kern w:val="2"/>
      <w:sz w:val="21"/>
    </w:rPr>
  </w:style>
  <w:style w:type="character" w:customStyle="1" w:styleId="569">
    <w:name w:val="ed11"/>
    <w:qFormat/>
    <w:uiPriority w:val="0"/>
    <w:rPr>
      <w:color w:val="CC0000"/>
      <w:sz w:val="21"/>
      <w:szCs w:val="21"/>
    </w:rPr>
  </w:style>
  <w:style w:type="character" w:customStyle="1" w:styleId="570">
    <w:name w:val="ee1"/>
    <w:uiPriority w:val="0"/>
    <w:rPr>
      <w:rFonts w:hint="eastAsia" w:ascii="宋体" w:hAnsi="宋体" w:eastAsia="宋体"/>
      <w:sz w:val="24"/>
      <w:szCs w:val="24"/>
    </w:rPr>
  </w:style>
  <w:style w:type="character" w:customStyle="1" w:styleId="571">
    <w:name w:val="ehong1"/>
    <w:qFormat/>
    <w:uiPriority w:val="0"/>
    <w:rPr>
      <w:b/>
      <w:bCs/>
      <w:color w:val="FF3333"/>
      <w:sz w:val="20"/>
      <w:szCs w:val="20"/>
      <w:u w:val="none"/>
    </w:rPr>
  </w:style>
  <w:style w:type="paragraph" w:customStyle="1" w:styleId="572">
    <w:name w:val="et11"/>
    <w:basedOn w:val="1"/>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73">
    <w:name w:val="et17"/>
    <w:basedOn w:val="1"/>
    <w:qFormat/>
    <w:uiPriority w:val="0"/>
    <w:pPr>
      <w:widowControl/>
      <w:adjustRightInd/>
      <w:snapToGrid/>
      <w:spacing w:beforeAutospacing="1" w:after="100" w:afterAutospacing="1" w:line="240" w:lineRule="auto"/>
      <w:ind w:firstLine="0" w:firstLineChars="0"/>
      <w:jc w:val="left"/>
      <w:textAlignment w:val="center"/>
    </w:pPr>
    <w:rPr>
      <w:rFonts w:ascii="宋体" w:hAnsi="宋体" w:cs="宋体"/>
      <w:snapToGrid/>
      <w:color w:val="000000"/>
      <w:sz w:val="22"/>
      <w:szCs w:val="22"/>
    </w:rPr>
  </w:style>
  <w:style w:type="paragraph" w:customStyle="1" w:styleId="574">
    <w:name w:val="et18"/>
    <w:basedOn w:val="1"/>
    <w:qFormat/>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75">
    <w:name w:val="et19"/>
    <w:basedOn w:val="1"/>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76">
    <w:name w:val="et2"/>
    <w:basedOn w:val="1"/>
    <w:qFormat/>
    <w:uiPriority w:val="0"/>
    <w:pPr>
      <w:widowControl/>
      <w:adjustRightInd/>
      <w:snapToGrid/>
      <w:spacing w:beforeAutospacing="1" w:after="100" w:afterAutospacing="1" w:line="240" w:lineRule="auto"/>
      <w:ind w:firstLine="0" w:firstLineChars="0"/>
      <w:jc w:val="left"/>
      <w:textAlignment w:val="center"/>
    </w:pPr>
    <w:rPr>
      <w:rFonts w:ascii="宋体" w:hAnsi="宋体" w:cs="宋体"/>
      <w:snapToGrid/>
      <w:color w:val="000000"/>
      <w:sz w:val="22"/>
      <w:szCs w:val="22"/>
    </w:rPr>
  </w:style>
  <w:style w:type="paragraph" w:customStyle="1" w:styleId="577">
    <w:name w:val="et23"/>
    <w:basedOn w:val="1"/>
    <w:qFormat/>
    <w:uiPriority w:val="0"/>
    <w:pPr>
      <w:widowControl/>
      <w:adjustRightInd/>
      <w:snapToGrid/>
      <w:spacing w:beforeAutospacing="1" w:after="100" w:afterAutospacing="1" w:line="240" w:lineRule="auto"/>
      <w:ind w:firstLine="0" w:firstLineChars="0"/>
      <w:jc w:val="left"/>
      <w:textAlignment w:val="center"/>
    </w:pPr>
    <w:rPr>
      <w:rFonts w:ascii="宋体" w:hAnsi="宋体" w:cs="宋体"/>
      <w:snapToGrid/>
      <w:color w:val="000000"/>
      <w:sz w:val="22"/>
      <w:szCs w:val="22"/>
    </w:rPr>
  </w:style>
  <w:style w:type="paragraph" w:customStyle="1" w:styleId="578">
    <w:name w:val="et24"/>
    <w:basedOn w:val="1"/>
    <w:uiPriority w:val="0"/>
    <w:pPr>
      <w:widowControl/>
      <w:adjustRightInd/>
      <w:snapToGrid/>
      <w:spacing w:beforeAutospacing="1" w:after="100" w:afterAutospacing="1" w:line="240" w:lineRule="auto"/>
      <w:ind w:firstLine="0" w:firstLineChars="0"/>
      <w:jc w:val="left"/>
      <w:textAlignment w:val="center"/>
    </w:pPr>
    <w:rPr>
      <w:rFonts w:ascii="宋体" w:hAnsi="宋体" w:cs="宋体"/>
      <w:snapToGrid/>
      <w:color w:val="000000"/>
      <w:sz w:val="22"/>
      <w:szCs w:val="22"/>
    </w:rPr>
  </w:style>
  <w:style w:type="paragraph" w:customStyle="1" w:styleId="579">
    <w:name w:val="et25"/>
    <w:basedOn w:val="1"/>
    <w:qFormat/>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80">
    <w:name w:val="et26"/>
    <w:basedOn w:val="1"/>
    <w:qFormat/>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81">
    <w:name w:val="et28"/>
    <w:basedOn w:val="1"/>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82">
    <w:name w:val="et29"/>
    <w:basedOn w:val="1"/>
    <w:qFormat/>
    <w:uiPriority w:val="0"/>
    <w:pPr>
      <w:widowControl/>
      <w:adjustRightInd/>
      <w:snapToGrid/>
      <w:spacing w:beforeAutospacing="1" w:after="100" w:afterAutospacing="1" w:line="240" w:lineRule="auto"/>
      <w:ind w:firstLine="0" w:firstLineChars="0"/>
      <w:jc w:val="left"/>
      <w:textAlignment w:val="center"/>
    </w:pPr>
    <w:rPr>
      <w:rFonts w:ascii="宋体" w:hAnsi="宋体" w:cs="宋体"/>
      <w:snapToGrid/>
      <w:color w:val="000000"/>
      <w:sz w:val="22"/>
      <w:szCs w:val="22"/>
    </w:rPr>
  </w:style>
  <w:style w:type="paragraph" w:customStyle="1" w:styleId="583">
    <w:name w:val="et3"/>
    <w:basedOn w:val="1"/>
    <w:qFormat/>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84">
    <w:name w:val="et30"/>
    <w:basedOn w:val="1"/>
    <w:qFormat/>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85">
    <w:name w:val="et32"/>
    <w:basedOn w:val="1"/>
    <w:qFormat/>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86">
    <w:name w:val="et4"/>
    <w:basedOn w:val="1"/>
    <w:qFormat/>
    <w:uiPriority w:val="0"/>
    <w:pPr>
      <w:widowControl/>
      <w:adjustRightInd/>
      <w:snapToGrid/>
      <w:spacing w:beforeAutospacing="1" w:after="100" w:afterAutospacing="1" w:line="240" w:lineRule="auto"/>
      <w:ind w:firstLine="0" w:firstLineChars="0"/>
      <w:jc w:val="left"/>
      <w:textAlignment w:val="center"/>
    </w:pPr>
    <w:rPr>
      <w:rFonts w:ascii="宋体" w:hAnsi="宋体" w:cs="宋体"/>
      <w:snapToGrid/>
      <w:color w:val="000000"/>
      <w:sz w:val="22"/>
      <w:szCs w:val="22"/>
    </w:rPr>
  </w:style>
  <w:style w:type="paragraph" w:customStyle="1" w:styleId="587">
    <w:name w:val="et5"/>
    <w:basedOn w:val="1"/>
    <w:uiPriority w:val="0"/>
    <w:pPr>
      <w:widowControl/>
      <w:adjustRightInd/>
      <w:snapToGrid/>
      <w:spacing w:beforeAutospacing="1" w:after="100" w:afterAutospacing="1" w:line="240" w:lineRule="auto"/>
      <w:ind w:firstLine="0" w:firstLineChars="0"/>
      <w:jc w:val="left"/>
      <w:textAlignment w:val="center"/>
    </w:pPr>
    <w:rPr>
      <w:rFonts w:ascii="宋体" w:hAnsi="宋体" w:cs="宋体"/>
      <w:snapToGrid/>
      <w:color w:val="000000"/>
      <w:sz w:val="22"/>
      <w:szCs w:val="22"/>
    </w:rPr>
  </w:style>
  <w:style w:type="paragraph" w:customStyle="1" w:styleId="588">
    <w:name w:val="et6"/>
    <w:basedOn w:val="1"/>
    <w:qFormat/>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89">
    <w:name w:val="et7"/>
    <w:basedOn w:val="1"/>
    <w:qFormat/>
    <w:uiPriority w:val="0"/>
    <w:pPr>
      <w:widowControl/>
      <w:adjustRightInd/>
      <w:snapToGrid/>
      <w:spacing w:beforeAutospacing="1" w:after="100" w:afterAutospacing="1" w:line="240" w:lineRule="auto"/>
      <w:ind w:firstLine="0" w:firstLineChars="0"/>
      <w:jc w:val="left"/>
      <w:textAlignment w:val="center"/>
    </w:pPr>
    <w:rPr>
      <w:snapToGrid/>
      <w:color w:val="000000"/>
      <w:sz w:val="22"/>
      <w:szCs w:val="22"/>
    </w:rPr>
  </w:style>
  <w:style w:type="paragraph" w:customStyle="1" w:styleId="590">
    <w:name w:val="et8"/>
    <w:basedOn w:val="1"/>
    <w:qFormat/>
    <w:uiPriority w:val="0"/>
    <w:pPr>
      <w:widowControl/>
      <w:adjustRightInd/>
      <w:snapToGrid/>
      <w:spacing w:beforeAutospacing="1" w:after="100" w:afterAutospacing="1" w:line="240" w:lineRule="auto"/>
      <w:ind w:firstLine="0" w:firstLineChars="0"/>
      <w:jc w:val="left"/>
      <w:textAlignment w:val="center"/>
    </w:pPr>
    <w:rPr>
      <w:rFonts w:ascii="宋体" w:hAnsi="宋体" w:cs="宋体"/>
      <w:snapToGrid/>
      <w:color w:val="000000"/>
      <w:sz w:val="22"/>
      <w:szCs w:val="22"/>
    </w:rPr>
  </w:style>
  <w:style w:type="paragraph" w:customStyle="1" w:styleId="591">
    <w:name w:val="et9"/>
    <w:basedOn w:val="1"/>
    <w:uiPriority w:val="0"/>
    <w:pPr>
      <w:widowControl/>
      <w:adjustRightInd/>
      <w:snapToGrid/>
      <w:spacing w:beforeAutospacing="1" w:after="100" w:afterAutospacing="1" w:line="240" w:lineRule="auto"/>
      <w:ind w:firstLine="0" w:firstLineChars="0"/>
      <w:jc w:val="left"/>
      <w:textAlignment w:val="center"/>
    </w:pPr>
    <w:rPr>
      <w:rFonts w:ascii="宋体" w:hAnsi="宋体" w:cs="宋体"/>
      <w:snapToGrid/>
      <w:color w:val="000000"/>
      <w:sz w:val="22"/>
      <w:szCs w:val="22"/>
    </w:rPr>
  </w:style>
  <w:style w:type="character" w:customStyle="1" w:styleId="592">
    <w:name w:val="even Char Char"/>
    <w:qFormat/>
    <w:uiPriority w:val="0"/>
    <w:rPr>
      <w:rFonts w:eastAsia="宋体"/>
      <w:kern w:val="2"/>
      <w:sz w:val="18"/>
      <w:lang w:val="en-US" w:eastAsia="zh-CN" w:bidi="ar-SA"/>
    </w:rPr>
  </w:style>
  <w:style w:type="character" w:customStyle="1" w:styleId="593">
    <w:name w:val="even Char Char1"/>
    <w:semiHidden/>
    <w:uiPriority w:val="0"/>
    <w:rPr>
      <w:rFonts w:eastAsia="宋体"/>
      <w:kern w:val="2"/>
      <w:sz w:val="18"/>
      <w:szCs w:val="18"/>
      <w:lang w:val="en-US" w:eastAsia="zh-CN" w:bidi="ar-SA"/>
    </w:rPr>
  </w:style>
  <w:style w:type="character" w:customStyle="1" w:styleId="594">
    <w:name w:val="even Char4"/>
    <w:semiHidden/>
    <w:uiPriority w:val="0"/>
    <w:rPr>
      <w:rFonts w:eastAsia="宋体"/>
      <w:kern w:val="2"/>
      <w:sz w:val="18"/>
      <w:szCs w:val="18"/>
      <w:lang w:val="en-US" w:eastAsia="zh-CN" w:bidi="ar-SA"/>
    </w:rPr>
  </w:style>
  <w:style w:type="character" w:customStyle="1" w:styleId="595">
    <w:name w:val="explain_word1"/>
    <w:qFormat/>
    <w:uiPriority w:val="0"/>
    <w:rPr>
      <w:rFonts w:hint="default" w:ascii="Verdana" w:hAnsi="Verdana" w:eastAsia="仿宋_GB2312"/>
      <w:b/>
      <w:bCs/>
      <w:color w:val="669900"/>
      <w:sz w:val="21"/>
      <w:szCs w:val="21"/>
      <w:shd w:val="clear" w:color="auto" w:fill="FFFFFF"/>
      <w:lang w:val="en-US" w:eastAsia="en-US" w:bidi="ar-SA"/>
    </w:rPr>
  </w:style>
  <w:style w:type="character" w:customStyle="1" w:styleId="596">
    <w:name w:val="f10wentitle"/>
    <w:uiPriority w:val="0"/>
  </w:style>
  <w:style w:type="character" w:customStyle="1" w:styleId="597">
    <w:name w:val="f121"/>
    <w:semiHidden/>
    <w:qFormat/>
    <w:uiPriority w:val="0"/>
    <w:rPr>
      <w:sz w:val="24"/>
      <w:szCs w:val="24"/>
    </w:rPr>
  </w:style>
  <w:style w:type="character" w:customStyle="1" w:styleId="598">
    <w:name w:val="f13"/>
    <w:qFormat/>
    <w:uiPriority w:val="0"/>
  </w:style>
  <w:style w:type="character" w:customStyle="1" w:styleId="599">
    <w:name w:val="f14"/>
    <w:qFormat/>
    <w:uiPriority w:val="0"/>
  </w:style>
  <w:style w:type="character" w:customStyle="1" w:styleId="600">
    <w:name w:val="f141"/>
    <w:qFormat/>
    <w:uiPriority w:val="0"/>
    <w:rPr>
      <w:rFonts w:hint="default" w:ascii="ˎ̥" w:hAnsi="ˎ̥"/>
      <w:sz w:val="21"/>
      <w:szCs w:val="21"/>
    </w:rPr>
  </w:style>
  <w:style w:type="character" w:customStyle="1" w:styleId="601">
    <w:name w:val="f14b1"/>
    <w:uiPriority w:val="0"/>
    <w:rPr>
      <w:b/>
      <w:bCs/>
      <w:sz w:val="21"/>
      <w:szCs w:val="21"/>
    </w:rPr>
  </w:style>
  <w:style w:type="paragraph" w:customStyle="1" w:styleId="602">
    <w:name w:val="f16"/>
    <w:basedOn w:val="1"/>
    <w:uiPriority w:val="0"/>
    <w:pPr>
      <w:widowControl/>
      <w:adjustRightInd/>
      <w:snapToGrid/>
      <w:spacing w:beforeAutospacing="1" w:after="100" w:afterAutospacing="1" w:line="240" w:lineRule="auto"/>
      <w:ind w:firstLine="0" w:firstLineChars="0"/>
      <w:jc w:val="left"/>
    </w:pPr>
    <w:rPr>
      <w:rFonts w:ascii="宋体" w:hAnsi="宋体" w:cs="宋体"/>
      <w:snapToGrid/>
      <w:color w:val="000000"/>
    </w:rPr>
  </w:style>
  <w:style w:type="character" w:customStyle="1" w:styleId="603">
    <w:name w:val="f18bt"/>
    <w:semiHidden/>
    <w:qFormat/>
    <w:uiPriority w:val="0"/>
  </w:style>
  <w:style w:type="character" w:customStyle="1" w:styleId="604">
    <w:name w:val="f221"/>
    <w:qFormat/>
    <w:uiPriority w:val="0"/>
    <w:rPr>
      <w:b/>
      <w:sz w:val="33"/>
    </w:rPr>
  </w:style>
  <w:style w:type="character" w:customStyle="1" w:styleId="605">
    <w:name w:val="f9wen1"/>
    <w:qFormat/>
    <w:uiPriority w:val="0"/>
    <w:rPr>
      <w:spacing w:val="12"/>
      <w:sz w:val="18"/>
      <w:szCs w:val="18"/>
      <w:u w:val="none"/>
    </w:rPr>
  </w:style>
  <w:style w:type="character" w:customStyle="1" w:styleId="606">
    <w:name w:val="family"/>
    <w:qFormat/>
    <w:uiPriority w:val="0"/>
  </w:style>
  <w:style w:type="paragraph" w:customStyle="1" w:styleId="607">
    <w:name w:val="font"/>
    <w:basedOn w:val="1"/>
    <w:uiPriority w:val="0"/>
    <w:pPr>
      <w:widowControl/>
      <w:adjustRightInd/>
      <w:snapToGrid/>
      <w:spacing w:beforeAutospacing="1" w:after="100" w:afterAutospacing="1" w:line="270" w:lineRule="atLeast"/>
      <w:ind w:firstLine="0" w:firstLineChars="0"/>
    </w:pPr>
    <w:rPr>
      <w:rFonts w:hint="eastAsia" w:ascii="宋体" w:hAnsi="宋体"/>
      <w:snapToGrid/>
      <w:szCs w:val="20"/>
    </w:rPr>
  </w:style>
  <w:style w:type="character" w:customStyle="1" w:styleId="608">
    <w:name w:val="font_black_12px1"/>
    <w:uiPriority w:val="0"/>
    <w:rPr>
      <w:rFonts w:hint="default" w:ascii="ˎ̥" w:hAnsi="ˎ̥"/>
      <w:color w:val="333333"/>
      <w:sz w:val="20"/>
      <w:szCs w:val="20"/>
      <w:u w:val="none"/>
    </w:rPr>
  </w:style>
  <w:style w:type="character" w:customStyle="1" w:styleId="609">
    <w:name w:val="font_gray_121"/>
    <w:qFormat/>
    <w:uiPriority w:val="0"/>
    <w:rPr>
      <w:color w:val="808080"/>
      <w:sz w:val="18"/>
      <w:szCs w:val="18"/>
    </w:rPr>
  </w:style>
  <w:style w:type="paragraph" w:customStyle="1" w:styleId="610">
    <w:name w:val="font0"/>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szCs w:val="20"/>
    </w:rPr>
  </w:style>
  <w:style w:type="character" w:customStyle="1" w:styleId="611">
    <w:name w:val="font01"/>
    <w:qFormat/>
    <w:uiPriority w:val="0"/>
    <w:rPr>
      <w:rFonts w:hint="eastAsia" w:ascii="宋体" w:hAnsi="宋体" w:eastAsia="宋体" w:cs="宋体"/>
      <w:color w:val="000000"/>
      <w:sz w:val="24"/>
      <w:szCs w:val="24"/>
      <w:u w:val="none"/>
    </w:rPr>
  </w:style>
  <w:style w:type="paragraph" w:customStyle="1" w:styleId="612">
    <w:name w:val="font1"/>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color w:val="000000"/>
      <w:sz w:val="21"/>
      <w:szCs w:val="21"/>
    </w:rPr>
  </w:style>
  <w:style w:type="paragraph" w:customStyle="1" w:styleId="613">
    <w:name w:val="font10"/>
    <w:basedOn w:val="1"/>
    <w:qFormat/>
    <w:uiPriority w:val="0"/>
    <w:pPr>
      <w:widowControl/>
      <w:adjustRightInd/>
      <w:snapToGrid/>
      <w:spacing w:beforeAutospacing="1" w:after="100" w:afterAutospacing="1" w:line="240" w:lineRule="auto"/>
      <w:ind w:firstLine="0" w:firstLineChars="0"/>
      <w:jc w:val="left"/>
    </w:pPr>
    <w:rPr>
      <w:rFonts w:ascii="宋体" w:hAnsi="宋体" w:cs="宋体"/>
      <w:b/>
      <w:bCs/>
      <w:snapToGrid/>
      <w:color w:val="000000"/>
      <w:sz w:val="20"/>
      <w:szCs w:val="20"/>
    </w:rPr>
  </w:style>
  <w:style w:type="paragraph" w:customStyle="1" w:styleId="614">
    <w:name w:val="font1029210"/>
    <w:basedOn w:val="1"/>
    <w:qFormat/>
    <w:uiPriority w:val="0"/>
    <w:pPr>
      <w:widowControl/>
      <w:adjustRightInd/>
      <w:snapToGrid/>
      <w:spacing w:beforeAutospacing="1" w:after="100" w:afterAutospacing="1" w:line="240" w:lineRule="auto"/>
      <w:ind w:firstLine="0" w:firstLineChars="0"/>
    </w:pPr>
    <w:rPr>
      <w:rFonts w:ascii="宋体" w:hAnsi="宋体" w:cs="宋体"/>
      <w:b/>
      <w:bCs/>
      <w:snapToGrid/>
      <w:color w:val="FF0000"/>
      <w:sz w:val="28"/>
      <w:szCs w:val="28"/>
    </w:rPr>
  </w:style>
  <w:style w:type="paragraph" w:customStyle="1" w:styleId="615">
    <w:name w:val="font11"/>
    <w:basedOn w:val="1"/>
    <w:uiPriority w:val="0"/>
    <w:pPr>
      <w:widowControl/>
      <w:adjustRightInd/>
      <w:snapToGrid/>
      <w:spacing w:beforeAutospacing="1" w:after="100" w:afterAutospacing="1" w:line="240" w:lineRule="auto"/>
      <w:ind w:firstLine="0" w:firstLineChars="0"/>
      <w:jc w:val="left"/>
    </w:pPr>
    <w:rPr>
      <w:rFonts w:ascii="宋体" w:hAnsi="宋体" w:cs="宋体"/>
      <w:snapToGrid/>
      <w:sz w:val="20"/>
      <w:szCs w:val="20"/>
    </w:rPr>
  </w:style>
  <w:style w:type="paragraph" w:customStyle="1" w:styleId="616">
    <w:name w:val="font12"/>
    <w:basedOn w:val="1"/>
    <w:uiPriority w:val="0"/>
    <w:pPr>
      <w:widowControl/>
      <w:adjustRightInd/>
      <w:snapToGrid/>
      <w:spacing w:beforeAutospacing="1" w:after="100" w:afterAutospacing="1" w:line="240" w:lineRule="auto"/>
      <w:ind w:firstLine="0" w:firstLineChars="0"/>
      <w:jc w:val="left"/>
    </w:pPr>
    <w:rPr>
      <w:snapToGrid/>
      <w:sz w:val="20"/>
      <w:szCs w:val="20"/>
    </w:rPr>
  </w:style>
  <w:style w:type="paragraph" w:customStyle="1" w:styleId="617">
    <w:name w:val="font129210"/>
    <w:basedOn w:val="1"/>
    <w:qFormat/>
    <w:uiPriority w:val="0"/>
    <w:pPr>
      <w:widowControl/>
      <w:adjustRightInd/>
      <w:snapToGrid/>
      <w:spacing w:beforeAutospacing="1" w:after="100" w:afterAutospacing="1" w:line="240" w:lineRule="auto"/>
      <w:ind w:firstLine="0" w:firstLineChars="0"/>
    </w:pPr>
    <w:rPr>
      <w:rFonts w:ascii="宋体" w:hAnsi="宋体" w:cs="宋体"/>
      <w:snapToGrid/>
    </w:rPr>
  </w:style>
  <w:style w:type="paragraph" w:customStyle="1" w:styleId="618">
    <w:name w:val="font13"/>
    <w:basedOn w:val="1"/>
    <w:uiPriority w:val="0"/>
    <w:pPr>
      <w:widowControl/>
      <w:adjustRightInd/>
      <w:snapToGrid/>
      <w:spacing w:beforeAutospacing="1" w:after="100" w:afterAutospacing="1" w:line="240" w:lineRule="auto"/>
      <w:ind w:firstLine="0" w:firstLineChars="0"/>
      <w:jc w:val="left"/>
    </w:pPr>
    <w:rPr>
      <w:rFonts w:ascii="宋体" w:hAnsi="宋体" w:cs="宋体"/>
      <w:snapToGrid/>
      <w:color w:val="000000"/>
      <w:sz w:val="20"/>
      <w:szCs w:val="20"/>
    </w:rPr>
  </w:style>
  <w:style w:type="paragraph" w:customStyle="1" w:styleId="619">
    <w:name w:val="font131255"/>
    <w:basedOn w:val="1"/>
    <w:qFormat/>
    <w:uiPriority w:val="0"/>
    <w:pPr>
      <w:widowControl/>
      <w:adjustRightInd/>
      <w:snapToGrid/>
      <w:spacing w:beforeAutospacing="1" w:after="100" w:afterAutospacing="1" w:line="240" w:lineRule="auto"/>
      <w:ind w:firstLine="0" w:firstLineChars="0"/>
    </w:pPr>
    <w:rPr>
      <w:rFonts w:ascii="宋体" w:hAnsi="宋体" w:cs="宋体"/>
      <w:snapToGrid/>
    </w:rPr>
  </w:style>
  <w:style w:type="paragraph" w:customStyle="1" w:styleId="620">
    <w:name w:val="font14"/>
    <w:basedOn w:val="1"/>
    <w:qFormat/>
    <w:uiPriority w:val="0"/>
    <w:pPr>
      <w:widowControl/>
      <w:adjustRightInd/>
      <w:snapToGrid/>
      <w:spacing w:beforeAutospacing="1" w:after="100" w:afterAutospacing="1" w:line="240" w:lineRule="auto"/>
      <w:ind w:firstLine="0" w:firstLineChars="0"/>
      <w:jc w:val="left"/>
    </w:pPr>
    <w:rPr>
      <w:snapToGrid/>
      <w:sz w:val="20"/>
      <w:szCs w:val="20"/>
    </w:rPr>
  </w:style>
  <w:style w:type="paragraph" w:customStyle="1" w:styleId="621">
    <w:name w:val="font-14"/>
    <w:basedOn w:val="1"/>
    <w:semiHidden/>
    <w:qFormat/>
    <w:uiPriority w:val="0"/>
    <w:pPr>
      <w:widowControl/>
      <w:adjustRightInd/>
      <w:snapToGrid/>
      <w:spacing w:beforeAutospacing="1" w:after="100" w:afterAutospacing="1" w:line="375" w:lineRule="atLeast"/>
      <w:ind w:firstLine="0" w:firstLineChars="0"/>
    </w:pPr>
    <w:rPr>
      <w:rFonts w:ascii="宋体" w:hAnsi="宋体"/>
      <w:szCs w:val="21"/>
    </w:rPr>
  </w:style>
  <w:style w:type="paragraph" w:customStyle="1" w:styleId="622">
    <w:name w:val="font15"/>
    <w:basedOn w:val="1"/>
    <w:uiPriority w:val="0"/>
    <w:pPr>
      <w:widowControl/>
      <w:adjustRightInd/>
      <w:snapToGrid/>
      <w:spacing w:beforeAutospacing="1" w:after="100" w:afterAutospacing="1" w:line="240" w:lineRule="auto"/>
      <w:ind w:firstLine="0" w:firstLineChars="0"/>
      <w:jc w:val="left"/>
    </w:pPr>
    <w:rPr>
      <w:snapToGrid/>
      <w:color w:val="000000"/>
      <w:sz w:val="20"/>
      <w:szCs w:val="20"/>
    </w:rPr>
  </w:style>
  <w:style w:type="paragraph" w:customStyle="1" w:styleId="623">
    <w:name w:val="font16"/>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sz w:val="20"/>
      <w:szCs w:val="20"/>
    </w:rPr>
  </w:style>
  <w:style w:type="paragraph" w:customStyle="1" w:styleId="624">
    <w:name w:val="font17"/>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color w:val="000000"/>
      <w:sz w:val="20"/>
      <w:szCs w:val="20"/>
    </w:rPr>
  </w:style>
  <w:style w:type="paragraph" w:customStyle="1" w:styleId="625">
    <w:name w:val="font18"/>
    <w:basedOn w:val="1"/>
    <w:qFormat/>
    <w:uiPriority w:val="0"/>
    <w:pPr>
      <w:widowControl/>
      <w:adjustRightInd/>
      <w:snapToGrid/>
      <w:spacing w:beforeAutospacing="1" w:after="100" w:afterAutospacing="1" w:line="240" w:lineRule="auto"/>
      <w:ind w:firstLine="0" w:firstLineChars="0"/>
    </w:pPr>
    <w:rPr>
      <w:rFonts w:ascii="楷体_GB2312" w:hAnsi="宋体" w:eastAsia="楷体_GB2312" w:cs="宋体"/>
      <w:snapToGrid/>
      <w:sz w:val="18"/>
      <w:szCs w:val="18"/>
    </w:rPr>
  </w:style>
  <w:style w:type="paragraph" w:customStyle="1" w:styleId="626">
    <w:name w:val="font19"/>
    <w:basedOn w:val="1"/>
    <w:qFormat/>
    <w:uiPriority w:val="0"/>
    <w:pPr>
      <w:widowControl/>
      <w:adjustRightInd/>
      <w:snapToGrid/>
      <w:spacing w:beforeAutospacing="1" w:after="100" w:afterAutospacing="1" w:line="240" w:lineRule="auto"/>
      <w:ind w:firstLine="0" w:firstLineChars="0"/>
    </w:pPr>
    <w:rPr>
      <w:rFonts w:ascii="黑体" w:hAnsi="宋体" w:eastAsia="黑体" w:cs="宋体"/>
      <w:snapToGrid/>
      <w:color w:val="FF0000"/>
      <w:sz w:val="18"/>
      <w:szCs w:val="18"/>
    </w:rPr>
  </w:style>
  <w:style w:type="paragraph" w:customStyle="1" w:styleId="627">
    <w:name w:val="font2"/>
    <w:basedOn w:val="1"/>
    <w:qFormat/>
    <w:uiPriority w:val="0"/>
    <w:pPr>
      <w:widowControl/>
      <w:adjustRightInd/>
      <w:snapToGrid/>
      <w:spacing w:beforeAutospacing="1" w:after="100" w:afterAutospacing="1" w:line="240" w:lineRule="auto"/>
      <w:ind w:firstLine="0" w:firstLineChars="0"/>
      <w:jc w:val="left"/>
    </w:pPr>
    <w:rPr>
      <w:snapToGrid/>
      <w:color w:val="000000"/>
      <w:sz w:val="21"/>
      <w:szCs w:val="21"/>
      <w:vertAlign w:val="subscript"/>
    </w:rPr>
  </w:style>
  <w:style w:type="paragraph" w:customStyle="1" w:styleId="628">
    <w:name w:val="font20"/>
    <w:basedOn w:val="1"/>
    <w:qFormat/>
    <w:uiPriority w:val="0"/>
    <w:pPr>
      <w:widowControl/>
      <w:adjustRightInd/>
      <w:snapToGrid/>
      <w:spacing w:beforeAutospacing="1" w:after="100" w:afterAutospacing="1" w:line="240" w:lineRule="auto"/>
      <w:ind w:firstLine="0" w:firstLineChars="0"/>
    </w:pPr>
    <w:rPr>
      <w:rFonts w:ascii="黑体" w:hAnsi="宋体" w:eastAsia="黑体" w:cs="宋体"/>
      <w:snapToGrid/>
      <w:sz w:val="18"/>
      <w:szCs w:val="18"/>
    </w:rPr>
  </w:style>
  <w:style w:type="character" w:customStyle="1" w:styleId="629">
    <w:name w:val="font21"/>
    <w:uiPriority w:val="0"/>
    <w:rPr>
      <w:rFonts w:hint="default" w:ascii="Times New Roman" w:hAnsi="Times New Roman" w:cs="Times New Roman"/>
      <w:color w:val="000000"/>
      <w:sz w:val="21"/>
      <w:szCs w:val="21"/>
      <w:u w:val="none"/>
    </w:rPr>
  </w:style>
  <w:style w:type="paragraph" w:customStyle="1" w:styleId="630">
    <w:name w:val="font3"/>
    <w:basedOn w:val="1"/>
    <w:qFormat/>
    <w:uiPriority w:val="0"/>
    <w:pPr>
      <w:widowControl/>
      <w:adjustRightInd/>
      <w:snapToGrid/>
      <w:spacing w:beforeAutospacing="1" w:after="100" w:afterAutospacing="1" w:line="240" w:lineRule="auto"/>
      <w:ind w:firstLine="0" w:firstLineChars="0"/>
      <w:jc w:val="left"/>
    </w:pPr>
    <w:rPr>
      <w:snapToGrid/>
      <w:color w:val="000000"/>
      <w:sz w:val="21"/>
      <w:szCs w:val="21"/>
    </w:rPr>
  </w:style>
  <w:style w:type="character" w:customStyle="1" w:styleId="631">
    <w:name w:val="font31"/>
    <w:uiPriority w:val="0"/>
    <w:rPr>
      <w:rFonts w:hint="default" w:ascii="Times New Roman" w:hAnsi="Times New Roman" w:cs="Times New Roman"/>
      <w:color w:val="000000"/>
      <w:sz w:val="21"/>
      <w:szCs w:val="21"/>
      <w:u w:val="none"/>
    </w:rPr>
  </w:style>
  <w:style w:type="character" w:customStyle="1" w:styleId="632">
    <w:name w:val="font311"/>
    <w:qFormat/>
    <w:uiPriority w:val="0"/>
    <w:rPr>
      <w:rFonts w:hint="eastAsia" w:ascii="宋体" w:hAnsi="宋体" w:eastAsia="宋体"/>
      <w:color w:val="auto"/>
      <w:sz w:val="24"/>
      <w:szCs w:val="24"/>
      <w:u w:val="none"/>
    </w:rPr>
  </w:style>
  <w:style w:type="paragraph" w:customStyle="1" w:styleId="633">
    <w:name w:val="font4"/>
    <w:basedOn w:val="1"/>
    <w:uiPriority w:val="0"/>
    <w:pPr>
      <w:widowControl/>
      <w:adjustRightInd/>
      <w:snapToGrid/>
      <w:spacing w:beforeAutospacing="1" w:after="100" w:afterAutospacing="1" w:line="240" w:lineRule="auto"/>
      <w:ind w:firstLine="0" w:firstLineChars="0"/>
      <w:jc w:val="left"/>
    </w:pPr>
    <w:rPr>
      <w:rFonts w:ascii="宋体" w:hAnsi="宋体" w:cs="宋体"/>
      <w:snapToGrid/>
      <w:color w:val="000000"/>
      <w:sz w:val="21"/>
      <w:szCs w:val="21"/>
    </w:rPr>
  </w:style>
  <w:style w:type="character" w:customStyle="1" w:styleId="634">
    <w:name w:val="font401"/>
    <w:uiPriority w:val="0"/>
    <w:rPr>
      <w:rFonts w:hint="default" w:ascii="Times New Roman" w:hAnsi="Times New Roman" w:cs="Times New Roman"/>
      <w:color w:val="000000"/>
      <w:sz w:val="21"/>
      <w:szCs w:val="21"/>
      <w:u w:val="none"/>
    </w:rPr>
  </w:style>
  <w:style w:type="character" w:customStyle="1" w:styleId="635">
    <w:name w:val="font41"/>
    <w:uiPriority w:val="0"/>
    <w:rPr>
      <w:rFonts w:hint="eastAsia" w:ascii="宋体" w:hAnsi="宋体" w:eastAsia="宋体"/>
      <w:color w:val="000000"/>
      <w:sz w:val="21"/>
      <w:szCs w:val="21"/>
      <w:u w:val="none"/>
    </w:rPr>
  </w:style>
  <w:style w:type="character" w:customStyle="1" w:styleId="636">
    <w:name w:val="font411"/>
    <w:uiPriority w:val="0"/>
    <w:rPr>
      <w:rFonts w:hint="default" w:ascii="Times New Roman" w:hAnsi="Times New Roman" w:cs="Times New Roman"/>
      <w:color w:val="000000"/>
      <w:sz w:val="21"/>
      <w:szCs w:val="21"/>
      <w:u w:val="none"/>
    </w:rPr>
  </w:style>
  <w:style w:type="paragraph" w:customStyle="1" w:styleId="637">
    <w:name w:val="font5"/>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sz w:val="18"/>
      <w:szCs w:val="18"/>
    </w:rPr>
  </w:style>
  <w:style w:type="paragraph" w:customStyle="1" w:styleId="638">
    <w:name w:val="font529210"/>
    <w:basedOn w:val="1"/>
    <w:qFormat/>
    <w:uiPriority w:val="0"/>
    <w:pPr>
      <w:widowControl/>
      <w:adjustRightInd/>
      <w:snapToGrid/>
      <w:spacing w:beforeAutospacing="1" w:after="100" w:afterAutospacing="1" w:line="240" w:lineRule="auto"/>
      <w:ind w:firstLine="0" w:firstLineChars="0"/>
    </w:pPr>
    <w:rPr>
      <w:rFonts w:ascii="宋体" w:hAnsi="宋体" w:cs="宋体"/>
      <w:snapToGrid/>
      <w:sz w:val="18"/>
      <w:szCs w:val="18"/>
    </w:rPr>
  </w:style>
  <w:style w:type="paragraph" w:customStyle="1" w:styleId="639">
    <w:name w:val="font531255"/>
    <w:basedOn w:val="1"/>
    <w:qFormat/>
    <w:uiPriority w:val="0"/>
    <w:pPr>
      <w:widowControl/>
      <w:adjustRightInd/>
      <w:snapToGrid/>
      <w:spacing w:beforeAutospacing="1" w:after="100" w:afterAutospacing="1" w:line="240" w:lineRule="auto"/>
      <w:ind w:firstLine="0" w:firstLineChars="0"/>
    </w:pPr>
    <w:rPr>
      <w:rFonts w:ascii="宋体" w:hAnsi="宋体" w:cs="宋体"/>
      <w:snapToGrid/>
      <w:sz w:val="18"/>
      <w:szCs w:val="18"/>
    </w:rPr>
  </w:style>
  <w:style w:type="paragraph" w:customStyle="1" w:styleId="640">
    <w:name w:val="font6"/>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sz w:val="18"/>
      <w:szCs w:val="18"/>
    </w:rPr>
  </w:style>
  <w:style w:type="paragraph" w:customStyle="1" w:styleId="641">
    <w:name w:val="font629210"/>
    <w:basedOn w:val="1"/>
    <w:qFormat/>
    <w:uiPriority w:val="0"/>
    <w:pPr>
      <w:widowControl/>
      <w:adjustRightInd/>
      <w:snapToGrid/>
      <w:spacing w:beforeAutospacing="1" w:after="100" w:afterAutospacing="1" w:line="240" w:lineRule="auto"/>
      <w:ind w:firstLine="0" w:firstLineChars="0"/>
    </w:pPr>
    <w:rPr>
      <w:snapToGrid/>
      <w:sz w:val="18"/>
      <w:szCs w:val="18"/>
    </w:rPr>
  </w:style>
  <w:style w:type="paragraph" w:customStyle="1" w:styleId="642">
    <w:name w:val="font631255"/>
    <w:basedOn w:val="1"/>
    <w:uiPriority w:val="0"/>
    <w:pPr>
      <w:widowControl/>
      <w:adjustRightInd/>
      <w:snapToGrid/>
      <w:spacing w:beforeAutospacing="1" w:after="100" w:afterAutospacing="1" w:line="240" w:lineRule="auto"/>
      <w:ind w:firstLine="0" w:firstLineChars="0"/>
    </w:pPr>
    <w:rPr>
      <w:snapToGrid/>
      <w:sz w:val="18"/>
      <w:szCs w:val="18"/>
    </w:rPr>
  </w:style>
  <w:style w:type="paragraph" w:customStyle="1" w:styleId="643">
    <w:name w:val="font7"/>
    <w:basedOn w:val="1"/>
    <w:qFormat/>
    <w:uiPriority w:val="0"/>
    <w:pPr>
      <w:widowControl/>
      <w:adjustRightInd/>
      <w:snapToGrid/>
      <w:spacing w:beforeAutospacing="1" w:after="100" w:afterAutospacing="1" w:line="240" w:lineRule="auto"/>
      <w:ind w:firstLine="0" w:firstLineChars="0"/>
      <w:jc w:val="left"/>
    </w:pPr>
    <w:rPr>
      <w:rFonts w:ascii="Tahoma" w:hAnsi="Tahoma" w:cs="Tahoma"/>
      <w:b/>
      <w:bCs/>
      <w:snapToGrid/>
      <w:color w:val="000000"/>
      <w:sz w:val="20"/>
      <w:szCs w:val="20"/>
    </w:rPr>
  </w:style>
  <w:style w:type="paragraph" w:customStyle="1" w:styleId="644">
    <w:name w:val="font729210"/>
    <w:basedOn w:val="1"/>
    <w:uiPriority w:val="0"/>
    <w:pPr>
      <w:widowControl/>
      <w:adjustRightInd/>
      <w:snapToGrid/>
      <w:spacing w:beforeAutospacing="1" w:after="100" w:afterAutospacing="1" w:line="240" w:lineRule="auto"/>
      <w:ind w:firstLine="0" w:firstLineChars="0"/>
    </w:pPr>
    <w:rPr>
      <w:rFonts w:ascii="宋体" w:hAnsi="宋体" w:cs="宋体"/>
      <w:snapToGrid/>
      <w:color w:val="000000"/>
      <w:sz w:val="18"/>
      <w:szCs w:val="18"/>
    </w:rPr>
  </w:style>
  <w:style w:type="paragraph" w:customStyle="1" w:styleId="645">
    <w:name w:val="font731255"/>
    <w:basedOn w:val="1"/>
    <w:uiPriority w:val="0"/>
    <w:pPr>
      <w:widowControl/>
      <w:adjustRightInd/>
      <w:snapToGrid/>
      <w:spacing w:beforeAutospacing="1" w:after="100" w:afterAutospacing="1" w:line="240" w:lineRule="auto"/>
      <w:ind w:firstLine="0" w:firstLineChars="0"/>
    </w:pPr>
    <w:rPr>
      <w:rFonts w:ascii="宋体" w:hAnsi="宋体" w:cs="宋体"/>
      <w:snapToGrid/>
      <w:color w:val="000000"/>
      <w:sz w:val="18"/>
      <w:szCs w:val="18"/>
    </w:rPr>
  </w:style>
  <w:style w:type="paragraph" w:customStyle="1" w:styleId="646">
    <w:name w:val="font8"/>
    <w:basedOn w:val="1"/>
    <w:uiPriority w:val="0"/>
    <w:pPr>
      <w:widowControl/>
      <w:adjustRightInd/>
      <w:snapToGrid/>
      <w:spacing w:beforeAutospacing="1" w:after="100" w:afterAutospacing="1" w:line="240" w:lineRule="auto"/>
      <w:ind w:firstLine="0" w:firstLineChars="0"/>
      <w:jc w:val="left"/>
    </w:pPr>
    <w:rPr>
      <w:rFonts w:ascii="Tahoma" w:hAnsi="Tahoma" w:cs="Tahoma"/>
      <w:snapToGrid/>
      <w:color w:val="000000"/>
      <w:sz w:val="20"/>
      <w:szCs w:val="20"/>
    </w:rPr>
  </w:style>
  <w:style w:type="paragraph" w:customStyle="1" w:styleId="647">
    <w:name w:val="font829210"/>
    <w:basedOn w:val="1"/>
    <w:qFormat/>
    <w:uiPriority w:val="0"/>
    <w:pPr>
      <w:widowControl/>
      <w:adjustRightInd/>
      <w:snapToGrid/>
      <w:spacing w:beforeAutospacing="1" w:after="100" w:afterAutospacing="1" w:line="240" w:lineRule="auto"/>
      <w:ind w:firstLine="0" w:firstLineChars="0"/>
    </w:pPr>
    <w:rPr>
      <w:snapToGrid/>
      <w:color w:val="000000"/>
      <w:sz w:val="18"/>
      <w:szCs w:val="18"/>
    </w:rPr>
  </w:style>
  <w:style w:type="paragraph" w:customStyle="1" w:styleId="648">
    <w:name w:val="font831255"/>
    <w:basedOn w:val="1"/>
    <w:qFormat/>
    <w:uiPriority w:val="0"/>
    <w:pPr>
      <w:widowControl/>
      <w:adjustRightInd/>
      <w:snapToGrid/>
      <w:spacing w:beforeAutospacing="1" w:after="100" w:afterAutospacing="1" w:line="240" w:lineRule="auto"/>
      <w:ind w:firstLine="0" w:firstLineChars="0"/>
    </w:pPr>
    <w:rPr>
      <w:snapToGrid/>
      <w:color w:val="000000"/>
      <w:sz w:val="18"/>
      <w:szCs w:val="18"/>
    </w:rPr>
  </w:style>
  <w:style w:type="paragraph" w:customStyle="1" w:styleId="649">
    <w:name w:val="font9"/>
    <w:basedOn w:val="1"/>
    <w:uiPriority w:val="0"/>
    <w:pPr>
      <w:widowControl/>
      <w:adjustRightInd/>
      <w:snapToGrid/>
      <w:spacing w:beforeAutospacing="1" w:after="100" w:afterAutospacing="1" w:line="240" w:lineRule="auto"/>
      <w:ind w:firstLine="0" w:firstLineChars="0"/>
      <w:jc w:val="left"/>
    </w:pPr>
    <w:rPr>
      <w:rFonts w:ascii="宋体" w:hAnsi="宋体" w:cs="宋体"/>
      <w:snapToGrid/>
      <w:color w:val="000000"/>
      <w:sz w:val="20"/>
      <w:szCs w:val="20"/>
    </w:rPr>
  </w:style>
  <w:style w:type="paragraph" w:customStyle="1" w:styleId="650">
    <w:name w:val="font929210"/>
    <w:basedOn w:val="1"/>
    <w:uiPriority w:val="0"/>
    <w:pPr>
      <w:widowControl/>
      <w:adjustRightInd/>
      <w:snapToGrid/>
      <w:spacing w:beforeAutospacing="1" w:after="100" w:afterAutospacing="1" w:line="240" w:lineRule="auto"/>
      <w:ind w:firstLine="0" w:firstLineChars="0"/>
    </w:pPr>
    <w:rPr>
      <w:rFonts w:ascii="宋体" w:hAnsi="宋体" w:cs="宋体"/>
      <w:b/>
      <w:bCs/>
      <w:snapToGrid/>
      <w:color w:val="000000"/>
      <w:sz w:val="18"/>
      <w:szCs w:val="18"/>
    </w:rPr>
  </w:style>
  <w:style w:type="character" w:customStyle="1" w:styleId="651">
    <w:name w:val="font9black"/>
    <w:uiPriority w:val="0"/>
  </w:style>
  <w:style w:type="character" w:customStyle="1" w:styleId="652">
    <w:name w:val="fontstyle01"/>
    <w:uiPriority w:val="0"/>
    <w:rPr>
      <w:rFonts w:hint="default" w:ascii="Times New Roman" w:hAnsi="Times New Roman" w:cs="Times New Roman"/>
      <w:color w:val="000000"/>
      <w:sz w:val="26"/>
      <w:szCs w:val="26"/>
    </w:rPr>
  </w:style>
  <w:style w:type="character" w:customStyle="1" w:styleId="653">
    <w:name w:val="fontstyle11"/>
    <w:uiPriority w:val="0"/>
    <w:rPr>
      <w:rFonts w:hint="eastAsia" w:ascii="宋体" w:hAnsi="宋体" w:eastAsia="宋体"/>
      <w:color w:val="000000"/>
      <w:sz w:val="26"/>
      <w:szCs w:val="26"/>
    </w:rPr>
  </w:style>
  <w:style w:type="character" w:customStyle="1" w:styleId="654">
    <w:name w:val="fontstyle21"/>
    <w:uiPriority w:val="0"/>
    <w:rPr>
      <w:rFonts w:hint="default" w:ascii="Times New Roman" w:hAnsi="Times New Roman" w:cs="Times New Roman"/>
      <w:color w:val="000000"/>
      <w:sz w:val="26"/>
      <w:szCs w:val="26"/>
    </w:rPr>
  </w:style>
  <w:style w:type="character" w:customStyle="1" w:styleId="655">
    <w:name w:val="Footer Char"/>
    <w:locked/>
    <w:uiPriority w:val="0"/>
    <w:rPr>
      <w:rFonts w:ascii="Calibri" w:hAnsi="Calibri" w:eastAsia="宋体"/>
      <w:kern w:val="2"/>
      <w:sz w:val="18"/>
      <w:szCs w:val="18"/>
      <w:lang w:val="en-US" w:eastAsia="zh-CN" w:bidi="ar-SA"/>
    </w:rPr>
  </w:style>
  <w:style w:type="character" w:customStyle="1" w:styleId="656">
    <w:name w:val="Footnote Text Char"/>
    <w:locked/>
    <w:uiPriority w:val="0"/>
    <w:rPr>
      <w:rFonts w:ascii="Calibri" w:hAnsi="Calibri" w:eastAsia="宋体"/>
      <w:lang w:bidi="ar-SA"/>
    </w:rPr>
  </w:style>
  <w:style w:type="character" w:customStyle="1" w:styleId="657">
    <w:name w:val="frd1"/>
    <w:uiPriority w:val="0"/>
    <w:rPr>
      <w:color w:val="E10900"/>
    </w:rPr>
  </w:style>
  <w:style w:type="character" w:customStyle="1" w:styleId="658">
    <w:name w:val="fs"/>
    <w:uiPriority w:val="0"/>
  </w:style>
  <w:style w:type="character" w:customStyle="1" w:styleId="659">
    <w:name w:val="fwriter1"/>
    <w:uiPriority w:val="0"/>
    <w:rPr>
      <w:rFonts w:cs="Times New Roman"/>
      <w:color w:val="A50010"/>
    </w:rPr>
  </w:style>
  <w:style w:type="character" w:customStyle="1" w:styleId="660">
    <w:name w:val="g Char Char"/>
    <w:qFormat/>
    <w:uiPriority w:val="0"/>
    <w:rPr>
      <w:rFonts w:eastAsia="宋体"/>
      <w:kern w:val="2"/>
      <w:sz w:val="18"/>
      <w:szCs w:val="18"/>
      <w:lang w:val="en-US" w:eastAsia="zh-CN"/>
    </w:rPr>
  </w:style>
  <w:style w:type="paragraph" w:customStyle="1" w:styleId="661">
    <w:name w:val="g1"/>
    <w:basedOn w:val="1"/>
    <w:qFormat/>
    <w:uiPriority w:val="0"/>
    <w:pPr>
      <w:widowControl/>
      <w:adjustRightInd/>
      <w:snapToGrid/>
      <w:spacing w:beforeAutospacing="1" w:after="100" w:afterAutospacing="1" w:line="270" w:lineRule="atLeast"/>
      <w:ind w:firstLine="0" w:firstLineChars="0"/>
    </w:pPr>
    <w:rPr>
      <w:rFonts w:hint="eastAsia" w:ascii="宋体" w:hAnsi="宋体"/>
      <w:snapToGrid/>
      <w:color w:val="006600"/>
      <w:sz w:val="18"/>
      <w:szCs w:val="18"/>
    </w:rPr>
  </w:style>
  <w:style w:type="paragraph" w:customStyle="1" w:styleId="662">
    <w:name w:val="g2"/>
    <w:basedOn w:val="1"/>
    <w:uiPriority w:val="0"/>
    <w:pPr>
      <w:widowControl/>
      <w:adjustRightInd/>
      <w:snapToGrid/>
      <w:spacing w:beforeAutospacing="1" w:after="100" w:afterAutospacing="1" w:line="270" w:lineRule="atLeast"/>
      <w:ind w:firstLine="0" w:firstLineChars="0"/>
    </w:pPr>
    <w:rPr>
      <w:rFonts w:hint="eastAsia" w:ascii="宋体" w:hAnsi="宋体"/>
      <w:snapToGrid/>
      <w:color w:val="006600"/>
      <w:sz w:val="18"/>
      <w:szCs w:val="20"/>
    </w:rPr>
  </w:style>
  <w:style w:type="paragraph" w:customStyle="1" w:styleId="663">
    <w:name w:val="g3"/>
    <w:basedOn w:val="1"/>
    <w:qFormat/>
    <w:uiPriority w:val="0"/>
    <w:pPr>
      <w:widowControl/>
      <w:adjustRightInd/>
      <w:snapToGrid/>
      <w:spacing w:beforeAutospacing="1" w:after="100" w:afterAutospacing="1" w:line="270" w:lineRule="atLeast"/>
      <w:ind w:firstLine="0" w:firstLineChars="0"/>
    </w:pPr>
    <w:rPr>
      <w:rFonts w:hint="eastAsia" w:ascii="宋体" w:hAnsi="宋体"/>
      <w:snapToGrid/>
      <w:sz w:val="18"/>
      <w:szCs w:val="20"/>
    </w:rPr>
  </w:style>
  <w:style w:type="paragraph" w:customStyle="1" w:styleId="664">
    <w:name w:val="g4"/>
    <w:basedOn w:val="1"/>
    <w:uiPriority w:val="0"/>
    <w:pPr>
      <w:widowControl/>
      <w:adjustRightInd/>
      <w:snapToGrid/>
      <w:spacing w:beforeAutospacing="1" w:after="100" w:afterAutospacing="1" w:line="270" w:lineRule="atLeast"/>
      <w:ind w:firstLine="0" w:firstLineChars="0"/>
    </w:pPr>
    <w:rPr>
      <w:rFonts w:hint="eastAsia" w:ascii="宋体" w:hAnsi="宋体"/>
      <w:snapToGrid/>
      <w:color w:val="006600"/>
      <w:sz w:val="18"/>
      <w:szCs w:val="20"/>
    </w:rPr>
  </w:style>
  <w:style w:type="paragraph" w:customStyle="1" w:styleId="665">
    <w:name w:val="g5"/>
    <w:basedOn w:val="1"/>
    <w:uiPriority w:val="0"/>
    <w:pPr>
      <w:widowControl/>
      <w:adjustRightInd/>
      <w:snapToGrid/>
      <w:spacing w:beforeAutospacing="1" w:after="100" w:afterAutospacing="1" w:line="285" w:lineRule="atLeast"/>
      <w:ind w:firstLine="0" w:firstLineChars="0"/>
    </w:pPr>
    <w:rPr>
      <w:rFonts w:hint="eastAsia" w:ascii="宋体" w:hAnsi="宋体"/>
      <w:snapToGrid/>
      <w:color w:val="006600"/>
      <w:sz w:val="21"/>
      <w:szCs w:val="20"/>
    </w:rPr>
  </w:style>
  <w:style w:type="paragraph" w:customStyle="1" w:styleId="666">
    <w:name w:val="g6"/>
    <w:basedOn w:val="1"/>
    <w:uiPriority w:val="0"/>
    <w:pPr>
      <w:widowControl/>
      <w:adjustRightInd/>
      <w:snapToGrid/>
      <w:spacing w:beforeAutospacing="1" w:after="100" w:afterAutospacing="1" w:line="375" w:lineRule="atLeast"/>
      <w:ind w:firstLine="0" w:firstLineChars="0"/>
    </w:pPr>
    <w:rPr>
      <w:rFonts w:hint="eastAsia" w:ascii="宋体" w:hAnsi="宋体"/>
      <w:snapToGrid/>
      <w:color w:val="006600"/>
      <w:sz w:val="21"/>
      <w:szCs w:val="20"/>
    </w:rPr>
  </w:style>
  <w:style w:type="paragraph" w:customStyle="1" w:styleId="667">
    <w:name w:val="g7"/>
    <w:basedOn w:val="1"/>
    <w:uiPriority w:val="0"/>
    <w:pPr>
      <w:widowControl/>
      <w:adjustRightInd/>
      <w:snapToGrid/>
      <w:spacing w:beforeAutospacing="1" w:after="100" w:afterAutospacing="1" w:line="270" w:lineRule="atLeast"/>
      <w:ind w:firstLine="0" w:firstLineChars="0"/>
    </w:pPr>
    <w:rPr>
      <w:rFonts w:hint="eastAsia" w:ascii="宋体" w:hAnsi="宋体"/>
      <w:snapToGrid/>
      <w:sz w:val="21"/>
      <w:szCs w:val="20"/>
    </w:rPr>
  </w:style>
  <w:style w:type="paragraph" w:customStyle="1" w:styleId="668">
    <w:name w:val="gao 1"/>
    <w:basedOn w:val="1"/>
    <w:uiPriority w:val="0"/>
    <w:pPr>
      <w:numPr>
        <w:ilvl w:val="0"/>
        <w:numId w:val="14"/>
      </w:numPr>
      <w:tabs>
        <w:tab w:val="clear" w:pos="1571"/>
      </w:tabs>
      <w:adjustRightInd/>
      <w:snapToGrid/>
      <w:spacing w:line="240" w:lineRule="auto"/>
      <w:ind w:firstLine="0" w:firstLineChars="0"/>
    </w:pPr>
    <w:rPr>
      <w:rFonts w:eastAsia="方正大标宋简体"/>
      <w:snapToGrid/>
      <w:kern w:val="2"/>
      <w:sz w:val="28"/>
    </w:rPr>
  </w:style>
  <w:style w:type="paragraph" w:customStyle="1" w:styleId="669">
    <w:name w:val="gg_body"/>
    <w:basedOn w:val="1"/>
    <w:uiPriority w:val="0"/>
    <w:rPr>
      <w:rFonts w:ascii="宋体" w:hAnsi="宋体"/>
      <w:snapToGrid/>
      <w:kern w:val="2"/>
      <w:szCs w:val="22"/>
      <w:u w:color="000000"/>
    </w:rPr>
  </w:style>
  <w:style w:type="character" w:customStyle="1" w:styleId="670">
    <w:name w:val="gg_body Char"/>
    <w:uiPriority w:val="0"/>
    <w:rPr>
      <w:rFonts w:ascii="宋体" w:hAnsi="宋体" w:eastAsia="宋体"/>
      <w:kern w:val="2"/>
      <w:sz w:val="24"/>
      <w:szCs w:val="24"/>
      <w:lang w:val="en-US" w:eastAsia="zh-CN" w:bidi="ar-SA"/>
    </w:rPr>
  </w:style>
  <w:style w:type="character" w:customStyle="1" w:styleId="671">
    <w:name w:val="gg_body Char Char"/>
    <w:qFormat/>
    <w:uiPriority w:val="0"/>
    <w:rPr>
      <w:rFonts w:ascii="宋体" w:hAnsi="宋体" w:eastAsia="宋体"/>
      <w:kern w:val="2"/>
      <w:sz w:val="24"/>
      <w:szCs w:val="24"/>
      <w:lang w:val="en-US" w:eastAsia="zh-CN" w:bidi="ar-SA"/>
    </w:rPr>
  </w:style>
  <w:style w:type="character" w:customStyle="1" w:styleId="672">
    <w:name w:val="grame"/>
    <w:uiPriority w:val="0"/>
  </w:style>
  <w:style w:type="character" w:customStyle="1" w:styleId="673">
    <w:name w:val="gray12 c_time"/>
    <w:qFormat/>
    <w:uiPriority w:val="0"/>
  </w:style>
  <w:style w:type="paragraph" w:customStyle="1" w:styleId="674">
    <w:name w:val="gyy正文文字"/>
    <w:basedOn w:val="1"/>
    <w:uiPriority w:val="0"/>
    <w:pPr>
      <w:adjustRightInd/>
      <w:snapToGrid/>
      <w:spacing w:line="360" w:lineRule="auto"/>
      <w:ind w:firstLine="471" w:firstLineChars="0"/>
    </w:pPr>
    <w:rPr>
      <w:rFonts w:cs="宋体"/>
      <w:snapToGrid/>
      <w:color w:val="000000"/>
      <w:spacing w:val="14"/>
      <w:kern w:val="2"/>
    </w:rPr>
  </w:style>
  <w:style w:type="character" w:customStyle="1" w:styleId="675">
    <w:name w:val="H212 Char"/>
    <w:uiPriority w:val="0"/>
    <w:rPr>
      <w:rFonts w:ascii="宋体" w:hAnsi="宋体" w:eastAsia="宋体"/>
      <w:b/>
      <w:spacing w:val="-8"/>
      <w:kern w:val="2"/>
      <w:sz w:val="30"/>
      <w:lang w:val="en-US" w:eastAsia="zh-CN" w:bidi="ar-SA"/>
    </w:rPr>
  </w:style>
  <w:style w:type="character" w:customStyle="1" w:styleId="676">
    <w:name w:val="H4 Char1"/>
    <w:semiHidden/>
    <w:qFormat/>
    <w:uiPriority w:val="0"/>
    <w:rPr>
      <w:rFonts w:ascii="Cambria" w:hAnsi="Cambria" w:eastAsia="宋体" w:cs="Times New Roman"/>
      <w:b/>
      <w:bCs/>
      <w:kern w:val="2"/>
      <w:sz w:val="28"/>
      <w:szCs w:val="28"/>
      <w:u w:color="000000"/>
    </w:rPr>
  </w:style>
  <w:style w:type="character" w:customStyle="1" w:styleId="677">
    <w:name w:val="H9 Char"/>
    <w:qFormat/>
    <w:uiPriority w:val="0"/>
    <w:rPr>
      <w:rFonts w:ascii="Arial" w:hAnsi="Arial" w:eastAsia="黑体"/>
      <w:b/>
      <w:kern w:val="2"/>
      <w:sz w:val="28"/>
      <w:szCs w:val="21"/>
      <w:lang w:val="en-US" w:eastAsia="zh-CN" w:bidi="ar-SA"/>
    </w:rPr>
  </w:style>
  <w:style w:type="paragraph" w:customStyle="1" w:styleId="678">
    <w:name w:val="haha"/>
    <w:basedOn w:val="1"/>
    <w:qFormat/>
    <w:uiPriority w:val="0"/>
    <w:pPr>
      <w:adjustRightInd/>
      <w:snapToGrid/>
      <w:spacing w:beforeLines="20" w:afterLines="20" w:line="360" w:lineRule="auto"/>
    </w:pPr>
    <w:rPr>
      <w:rFonts w:eastAsia="仿宋_GB2312"/>
      <w:snapToGrid/>
      <w:kern w:val="2"/>
    </w:rPr>
  </w:style>
  <w:style w:type="character" w:customStyle="1" w:styleId="679">
    <w:name w:val="hang2"/>
    <w:qFormat/>
    <w:uiPriority w:val="0"/>
    <w:rPr>
      <w:rFonts w:hint="default" w:ascii="??" w:hAnsi="??"/>
      <w:color w:val="000000"/>
      <w:sz w:val="18"/>
      <w:szCs w:val="18"/>
      <w:u w:val="none"/>
    </w:rPr>
  </w:style>
  <w:style w:type="paragraph" w:customStyle="1" w:styleId="680">
    <w:name w:val="haydonli"/>
    <w:basedOn w:val="1"/>
    <w:link w:val="681"/>
    <w:qFormat/>
    <w:uiPriority w:val="0"/>
    <w:pPr>
      <w:adjustRightInd/>
      <w:spacing w:line="400" w:lineRule="exact"/>
      <w:ind w:firstLine="451"/>
    </w:pPr>
  </w:style>
  <w:style w:type="character" w:customStyle="1" w:styleId="681">
    <w:name w:val="haydonli Char Char"/>
    <w:link w:val="680"/>
    <w:uiPriority w:val="0"/>
    <w:rPr>
      <w:rFonts w:ascii="Times New Roman" w:hAnsi="Times New Roman" w:eastAsia="宋体" w:cs="Times New Roman"/>
      <w:snapToGrid w:val="0"/>
      <w:kern w:val="0"/>
      <w:sz w:val="26"/>
      <w:szCs w:val="24"/>
      <w14:ligatures w14:val="none"/>
    </w:rPr>
  </w:style>
  <w:style w:type="character" w:customStyle="1" w:styleId="682">
    <w:name w:val="haydonli Char"/>
    <w:uiPriority w:val="0"/>
    <w:rPr>
      <w:rFonts w:eastAsia="宋体"/>
      <w:snapToGrid w:val="0"/>
      <w:sz w:val="24"/>
      <w:szCs w:val="24"/>
      <w:lang w:val="en-US" w:eastAsia="zh-CN" w:bidi="ar-SA"/>
    </w:rPr>
  </w:style>
  <w:style w:type="character" w:customStyle="1" w:styleId="683">
    <w:name w:val="Header Char"/>
    <w:qFormat/>
    <w:locked/>
    <w:uiPriority w:val="0"/>
    <w:rPr>
      <w:rFonts w:ascii="Calibri" w:hAnsi="Calibri" w:eastAsia="宋体"/>
      <w:kern w:val="2"/>
      <w:sz w:val="18"/>
      <w:szCs w:val="18"/>
      <w:lang w:val="en-US" w:eastAsia="zh-CN" w:bidi="ar-SA"/>
    </w:rPr>
  </w:style>
  <w:style w:type="character" w:customStyle="1" w:styleId="684">
    <w:name w:val="Heading 1 Char"/>
    <w:qFormat/>
    <w:locked/>
    <w:uiPriority w:val="0"/>
    <w:rPr>
      <w:rFonts w:ascii="Calibri" w:hAnsi="Calibri" w:eastAsia="宋体"/>
      <w:b/>
      <w:bCs/>
      <w:kern w:val="44"/>
      <w:sz w:val="44"/>
      <w:szCs w:val="44"/>
      <w:lang w:val="en-US" w:eastAsia="zh-CN" w:bidi="ar-SA"/>
    </w:rPr>
  </w:style>
  <w:style w:type="character" w:customStyle="1" w:styleId="685">
    <w:name w:val="Heading 1 Char Char"/>
    <w:qFormat/>
    <w:uiPriority w:val="0"/>
    <w:rPr>
      <w:rFonts w:eastAsia="宋体" w:cs="Times New Roman"/>
      <w:b/>
      <w:bCs/>
      <w:kern w:val="44"/>
      <w:sz w:val="44"/>
      <w:szCs w:val="44"/>
      <w:lang w:val="en-US" w:eastAsia="zh-CN" w:bidi="ar-SA"/>
    </w:rPr>
  </w:style>
  <w:style w:type="character" w:customStyle="1" w:styleId="686">
    <w:name w:val="Heading 2 Char"/>
    <w:qFormat/>
    <w:locked/>
    <w:uiPriority w:val="0"/>
    <w:rPr>
      <w:rFonts w:ascii="Arial" w:hAnsi="Arial" w:eastAsia="黑体"/>
      <w:b/>
      <w:bCs/>
      <w:kern w:val="2"/>
      <w:sz w:val="32"/>
      <w:szCs w:val="32"/>
      <w:lang w:val="en-US" w:eastAsia="zh-CN" w:bidi="ar-SA"/>
    </w:rPr>
  </w:style>
  <w:style w:type="character" w:customStyle="1" w:styleId="687">
    <w:name w:val="Heading 3 Char"/>
    <w:qFormat/>
    <w:locked/>
    <w:uiPriority w:val="0"/>
    <w:rPr>
      <w:rFonts w:eastAsia="宋体"/>
      <w:b/>
      <w:bCs/>
      <w:kern w:val="2"/>
      <w:sz w:val="32"/>
      <w:szCs w:val="32"/>
      <w:lang w:val="en-US" w:eastAsia="zh-CN" w:bidi="ar-SA"/>
    </w:rPr>
  </w:style>
  <w:style w:type="character" w:customStyle="1" w:styleId="688">
    <w:name w:val="heading 3 Char"/>
    <w:qFormat/>
    <w:uiPriority w:val="0"/>
    <w:rPr>
      <w:rFonts w:ascii="宋体"/>
      <w:b/>
      <w:kern w:val="2"/>
      <w:sz w:val="32"/>
      <w:lang w:bidi="ar-SA"/>
    </w:rPr>
  </w:style>
  <w:style w:type="character" w:customStyle="1" w:styleId="689">
    <w:name w:val="Heading 4 Char"/>
    <w:locked/>
    <w:uiPriority w:val="0"/>
    <w:rPr>
      <w:rFonts w:ascii="Cambria" w:hAnsi="Cambria" w:eastAsia="宋体"/>
      <w:b/>
      <w:bCs/>
      <w:kern w:val="2"/>
      <w:sz w:val="28"/>
      <w:szCs w:val="28"/>
      <w:lang w:val="en-US" w:eastAsia="zh-CN" w:bidi="ar-SA"/>
    </w:rPr>
  </w:style>
  <w:style w:type="character" w:customStyle="1" w:styleId="690">
    <w:name w:val="hei141"/>
    <w:qFormat/>
    <w:uiPriority w:val="0"/>
    <w:rPr>
      <w:color w:val="000000"/>
      <w:sz w:val="21"/>
      <w:szCs w:val="21"/>
    </w:rPr>
  </w:style>
  <w:style w:type="paragraph" w:customStyle="1" w:styleId="691">
    <w:name w:val="height22px"/>
    <w:basedOn w:val="1"/>
    <w:qFormat/>
    <w:uiPriority w:val="0"/>
    <w:pPr>
      <w:widowControl/>
      <w:adjustRightInd/>
      <w:snapToGrid/>
      <w:spacing w:beforeAutospacing="1" w:after="100" w:afterAutospacing="1" w:line="240" w:lineRule="auto"/>
      <w:ind w:firstLine="0" w:firstLineChars="0"/>
    </w:pPr>
    <w:rPr>
      <w:rFonts w:ascii="宋体" w:hAnsi="宋体" w:cs="宋体"/>
      <w:snapToGrid/>
    </w:rPr>
  </w:style>
  <w:style w:type="character" w:customStyle="1" w:styleId="692">
    <w:name w:val="highlight"/>
    <w:qFormat/>
    <w:uiPriority w:val="0"/>
  </w:style>
  <w:style w:type="character" w:customStyle="1" w:styleId="693">
    <w:name w:val="highlight1"/>
    <w:qFormat/>
    <w:uiPriority w:val="0"/>
    <w:rPr>
      <w:sz w:val="21"/>
      <w:szCs w:val="21"/>
    </w:rPr>
  </w:style>
  <w:style w:type="character" w:customStyle="1" w:styleId="694">
    <w:name w:val="ht1"/>
    <w:qFormat/>
    <w:uiPriority w:val="0"/>
    <w:rPr>
      <w:rFonts w:ascii="黑体" w:eastAsia="黑体"/>
      <w:b/>
      <w:bCs/>
    </w:rPr>
  </w:style>
  <w:style w:type="character" w:customStyle="1" w:styleId="695">
    <w:name w:val="htd01"/>
    <w:uiPriority w:val="0"/>
  </w:style>
  <w:style w:type="character" w:customStyle="1" w:styleId="696">
    <w:name w:val="HTML 变量1"/>
    <w:qFormat/>
    <w:uiPriority w:val="0"/>
    <w:rPr>
      <w:i/>
      <w:iCs/>
    </w:rPr>
  </w:style>
  <w:style w:type="character" w:customStyle="1" w:styleId="697">
    <w:name w:val="HTML 打字机1"/>
    <w:uiPriority w:val="0"/>
    <w:rPr>
      <w:rFonts w:ascii="Courier New" w:hAnsi="Courier New" w:cs="Courier New"/>
      <w:sz w:val="20"/>
      <w:szCs w:val="20"/>
    </w:rPr>
  </w:style>
  <w:style w:type="character" w:customStyle="1" w:styleId="698">
    <w:name w:val="HTML 代码1"/>
    <w:qFormat/>
    <w:uiPriority w:val="0"/>
    <w:rPr>
      <w:rFonts w:ascii="Courier New" w:hAnsi="Courier New" w:cs="Courier New"/>
      <w:sz w:val="20"/>
      <w:szCs w:val="20"/>
    </w:rPr>
  </w:style>
  <w:style w:type="character" w:customStyle="1" w:styleId="699">
    <w:name w:val="HTML 地址 字符"/>
    <w:semiHidden/>
    <w:uiPriority w:val="0"/>
    <w:rPr>
      <w:i/>
      <w:iCs/>
      <w:snapToGrid w:val="0"/>
      <w:sz w:val="24"/>
      <w:szCs w:val="24"/>
    </w:rPr>
  </w:style>
  <w:style w:type="character" w:customStyle="1" w:styleId="700">
    <w:name w:val="HTML 地址 字符1"/>
    <w:link w:val="41"/>
    <w:qFormat/>
    <w:uiPriority w:val="0"/>
    <w:rPr>
      <w:rFonts w:ascii="Times New Roman" w:hAnsi="Times New Roman" w:eastAsia="宋体" w:cs="Times New Roman"/>
      <w:i/>
      <w:iCs/>
      <w:snapToGrid w:val="0"/>
      <w:kern w:val="0"/>
      <w:sz w:val="26"/>
      <w:szCs w:val="24"/>
      <w14:ligatures w14:val="none"/>
    </w:rPr>
  </w:style>
  <w:style w:type="character" w:customStyle="1" w:styleId="701">
    <w:name w:val="HTML 地址 Char1"/>
    <w:semiHidden/>
    <w:qFormat/>
    <w:uiPriority w:val="99"/>
    <w:rPr>
      <w:rFonts w:ascii="Times New Roman" w:hAnsi="Times New Roman"/>
      <w:i/>
      <w:iCs/>
      <w:kern w:val="2"/>
      <w:sz w:val="26"/>
      <w:szCs w:val="22"/>
    </w:rPr>
  </w:style>
  <w:style w:type="paragraph" w:customStyle="1" w:styleId="702">
    <w:name w:val="HTML 地址1"/>
    <w:basedOn w:val="1"/>
    <w:qFormat/>
    <w:uiPriority w:val="0"/>
    <w:pPr>
      <w:spacing w:before="31"/>
    </w:pPr>
    <w:rPr>
      <w:rFonts w:ascii="Calibri" w:hAnsi="Calibri"/>
      <w:i/>
      <w:iCs/>
    </w:rPr>
  </w:style>
  <w:style w:type="character" w:customStyle="1" w:styleId="703">
    <w:name w:val="HTML 定义1"/>
    <w:qFormat/>
    <w:uiPriority w:val="0"/>
    <w:rPr>
      <w:i/>
      <w:iCs/>
    </w:rPr>
  </w:style>
  <w:style w:type="character" w:customStyle="1" w:styleId="704">
    <w:name w:val="HTML 键盘1"/>
    <w:qFormat/>
    <w:uiPriority w:val="0"/>
    <w:rPr>
      <w:rFonts w:ascii="Courier New" w:hAnsi="Courier New" w:cs="Courier New"/>
      <w:sz w:val="20"/>
      <w:szCs w:val="20"/>
    </w:rPr>
  </w:style>
  <w:style w:type="character" w:customStyle="1" w:styleId="705">
    <w:name w:val="HTML 缩写1"/>
    <w:uiPriority w:val="0"/>
  </w:style>
  <w:style w:type="character" w:customStyle="1" w:styleId="706">
    <w:name w:val="HTML 样本1"/>
    <w:uiPriority w:val="0"/>
    <w:rPr>
      <w:rFonts w:ascii="Courier New" w:hAnsi="Courier New" w:cs="Courier New"/>
    </w:rPr>
  </w:style>
  <w:style w:type="character" w:customStyle="1" w:styleId="707">
    <w:name w:val="HTML 引文1"/>
    <w:uiPriority w:val="0"/>
    <w:rPr>
      <w:i/>
      <w:iCs/>
    </w:rPr>
  </w:style>
  <w:style w:type="character" w:customStyle="1" w:styleId="708">
    <w:name w:val="HTML 预设格式 Char1"/>
    <w:semiHidden/>
    <w:qFormat/>
    <w:uiPriority w:val="0"/>
    <w:rPr>
      <w:rFonts w:ascii="Courier New" w:hAnsi="Courier New" w:cs="Courier New"/>
      <w:kern w:val="2"/>
    </w:rPr>
  </w:style>
  <w:style w:type="character" w:customStyle="1" w:styleId="709">
    <w:name w:val="HTML 预设格式 字符"/>
    <w:semiHidden/>
    <w:qFormat/>
    <w:uiPriority w:val="0"/>
    <w:rPr>
      <w:rFonts w:ascii="Courier New" w:hAnsi="Courier New" w:cs="Courier New"/>
    </w:rPr>
  </w:style>
  <w:style w:type="character" w:customStyle="1" w:styleId="710">
    <w:name w:val="HTML 预设格式 字符1"/>
    <w:semiHidden/>
    <w:qFormat/>
    <w:locked/>
    <w:uiPriority w:val="0"/>
    <w:rPr>
      <w:rFonts w:ascii="Courier New" w:hAnsi="Courier New" w:cs="Courier New"/>
    </w:rPr>
  </w:style>
  <w:style w:type="character" w:customStyle="1" w:styleId="711">
    <w:name w:val="HTML 预设格式 字符2"/>
    <w:link w:val="80"/>
    <w:qFormat/>
    <w:uiPriority w:val="0"/>
    <w:rPr>
      <w:rFonts w:ascii="Courier New" w:hAnsi="Courier New" w:eastAsia="宋体" w:cs="Times New Roman"/>
      <w:snapToGrid w:val="0"/>
      <w:kern w:val="0"/>
      <w:sz w:val="20"/>
      <w:szCs w:val="20"/>
      <w14:ligatures w14:val="none"/>
    </w:rPr>
  </w:style>
  <w:style w:type="paragraph" w:customStyle="1" w:styleId="712">
    <w:name w:val="HTML 预设格式1"/>
    <w:basedOn w:val="1"/>
    <w:qFormat/>
    <w:uiPriority w:val="0"/>
    <w:pPr>
      <w:spacing w:before="31"/>
    </w:pPr>
    <w:rPr>
      <w:rFonts w:ascii="Courier New" w:hAnsi="Courier New"/>
      <w:sz w:val="20"/>
      <w:szCs w:val="20"/>
    </w:rPr>
  </w:style>
  <w:style w:type="character" w:customStyle="1" w:styleId="713">
    <w:name w:val="hx"/>
    <w:qFormat/>
    <w:uiPriority w:val="0"/>
  </w:style>
  <w:style w:type="character" w:customStyle="1" w:styleId="714">
    <w:name w:val="hzt21"/>
    <w:semiHidden/>
    <w:qFormat/>
    <w:uiPriority w:val="0"/>
    <w:rPr>
      <w:rFonts w:ascii="Tahoma" w:hAnsi="Tahoma" w:eastAsia="宋体"/>
      <w:color w:val="000000"/>
      <w:kern w:val="2"/>
      <w:sz w:val="24"/>
      <w:szCs w:val="24"/>
      <w:u w:val="none"/>
      <w:lang w:val="en-US" w:eastAsia="zh-CN" w:bidi="ar-SA"/>
    </w:rPr>
  </w:style>
  <w:style w:type="paragraph" w:customStyle="1" w:styleId="715">
    <w:name w:val="HZZH标题—1"/>
    <w:basedOn w:val="3"/>
    <w:next w:val="1"/>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716">
    <w:name w:val="HZZH标题—2"/>
    <w:basedOn w:val="4"/>
    <w:next w:val="1"/>
    <w:qFormat/>
    <w:uiPriority w:val="0"/>
    <w:pPr>
      <w:numPr>
        <w:ilvl w:val="0"/>
        <w:numId w:val="0"/>
      </w:numPr>
      <w:adjustRightInd/>
      <w:snapToGrid/>
      <w:spacing w:after="120" w:line="360" w:lineRule="auto"/>
    </w:pPr>
    <w:rPr>
      <w:rFonts w:ascii="Arial" w:hAnsi="Arial"/>
      <w:snapToGrid/>
    </w:rPr>
  </w:style>
  <w:style w:type="paragraph" w:customStyle="1" w:styleId="717">
    <w:name w:val="HZZH标题—3"/>
    <w:basedOn w:val="5"/>
    <w:next w:val="1"/>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718">
    <w:name w:val="HZZH表格内容"/>
    <w:basedOn w:val="1"/>
    <w:qFormat/>
    <w:uiPriority w:val="0"/>
    <w:pPr>
      <w:widowControl/>
      <w:adjustRightInd/>
      <w:snapToGrid/>
      <w:spacing w:line="240" w:lineRule="auto"/>
      <w:ind w:firstLine="0" w:firstLineChars="0"/>
      <w:jc w:val="center"/>
    </w:pPr>
    <w:rPr>
      <w:snapToGrid/>
      <w:sz w:val="20"/>
      <w:szCs w:val="20"/>
    </w:rPr>
  </w:style>
  <w:style w:type="paragraph" w:customStyle="1" w:styleId="719">
    <w:name w:val="HZZH正文"/>
    <w:basedOn w:val="1"/>
    <w:qFormat/>
    <w:uiPriority w:val="0"/>
    <w:pPr>
      <w:adjustRightInd/>
      <w:snapToGrid/>
      <w:spacing w:line="500" w:lineRule="exact"/>
      <w:ind w:firstLine="480"/>
    </w:pPr>
    <w:rPr>
      <w:bCs/>
      <w:snapToGrid/>
      <w:color w:val="0000FF"/>
      <w:kern w:val="2"/>
      <w:szCs w:val="20"/>
    </w:rPr>
  </w:style>
  <w:style w:type="character" w:customStyle="1" w:styleId="720">
    <w:name w:val="HZZH正文 Char"/>
    <w:qFormat/>
    <w:uiPriority w:val="0"/>
    <w:rPr>
      <w:rFonts w:ascii="宋体" w:hAnsi="宋体" w:eastAsia="宋体" w:cs="Courier New"/>
      <w:kern w:val="2"/>
      <w:sz w:val="24"/>
      <w:szCs w:val="21"/>
      <w:lang w:val="en-US" w:eastAsia="zh-CN" w:bidi="ar-SA"/>
    </w:rPr>
  </w:style>
  <w:style w:type="character" w:customStyle="1" w:styleId="721">
    <w:name w:val="HZZH正文 Char Char"/>
    <w:qFormat/>
    <w:uiPriority w:val="0"/>
    <w:rPr>
      <w:rFonts w:ascii="宋体" w:hAnsi="宋体" w:eastAsia="宋体" w:cs="Courier New"/>
      <w:kern w:val="2"/>
      <w:sz w:val="24"/>
      <w:szCs w:val="21"/>
      <w:lang w:val="en-US" w:eastAsia="zh-CN" w:bidi="ar-SA"/>
    </w:rPr>
  </w:style>
  <w:style w:type="paragraph" w:customStyle="1" w:styleId="722">
    <w:name w:val="identication Char1"/>
    <w:basedOn w:val="1"/>
    <w:qFormat/>
    <w:uiPriority w:val="0"/>
    <w:pPr>
      <w:adjustRightInd/>
      <w:snapToGrid/>
      <w:spacing w:line="360" w:lineRule="atLeast"/>
      <w:ind w:firstLine="420"/>
      <w:textAlignment w:val="baseline"/>
    </w:pPr>
    <w:rPr>
      <w:rFonts w:ascii="宋体"/>
      <w:snapToGrid/>
      <w:kern w:val="2"/>
    </w:rPr>
  </w:style>
  <w:style w:type="character" w:customStyle="1" w:styleId="723">
    <w:name w:val="infodetail1"/>
    <w:qFormat/>
    <w:uiPriority w:val="0"/>
    <w:rPr>
      <w:rFonts w:hint="default" w:ascii="ˎ̥" w:hAnsi="ˎ̥"/>
      <w:sz w:val="18"/>
      <w:szCs w:val="18"/>
    </w:rPr>
  </w:style>
  <w:style w:type="character" w:customStyle="1" w:styleId="724">
    <w:name w:val="itm"/>
    <w:qFormat/>
    <w:uiPriority w:val="0"/>
  </w:style>
  <w:style w:type="character" w:customStyle="1" w:styleId="725">
    <w:name w:val="javascript1"/>
    <w:qFormat/>
    <w:uiPriority w:val="0"/>
    <w:rPr>
      <w:rFonts w:hint="default" w:ascii="Tahoma" w:hAnsi="Tahoma" w:cs="Tahoma"/>
      <w:spacing w:val="320"/>
      <w:sz w:val="24"/>
      <w:szCs w:val="24"/>
    </w:rPr>
  </w:style>
  <w:style w:type="paragraph" w:customStyle="1" w:styleId="726">
    <w:name w:val="jiange1"/>
    <w:basedOn w:val="1"/>
    <w:qFormat/>
    <w:uiPriority w:val="0"/>
    <w:pPr>
      <w:widowControl/>
      <w:adjustRightInd/>
      <w:snapToGrid/>
      <w:spacing w:beforeAutospacing="1" w:after="100" w:afterAutospacing="1" w:line="240" w:lineRule="auto"/>
      <w:ind w:firstLine="0" w:firstLineChars="0"/>
    </w:pPr>
    <w:rPr>
      <w:rFonts w:ascii="Arial Unicode MS" w:hAnsi="Arial Unicode MS" w:eastAsia="Arial Unicode MS"/>
      <w:snapToGrid/>
      <w:szCs w:val="20"/>
    </w:rPr>
  </w:style>
  <w:style w:type="paragraph" w:customStyle="1" w:styleId="727">
    <w:name w:val="jint正文"/>
    <w:basedOn w:val="1"/>
    <w:semiHidden/>
    <w:qFormat/>
    <w:uiPriority w:val="0"/>
    <w:pPr>
      <w:adjustRightInd/>
      <w:snapToGrid/>
      <w:spacing w:line="240" w:lineRule="auto"/>
      <w:ind w:firstLine="0" w:firstLineChars="0"/>
    </w:pPr>
    <w:rPr>
      <w:rFonts w:ascii="Times" w:hAnsi="Times"/>
      <w:snapToGrid/>
      <w:kern w:val="2"/>
      <w:sz w:val="28"/>
      <w:szCs w:val="28"/>
    </w:rPr>
  </w:style>
  <w:style w:type="paragraph" w:customStyle="1" w:styleId="728">
    <w:name w:val="l_text"/>
    <w:basedOn w:val="1"/>
    <w:qFormat/>
    <w:uiPriority w:val="0"/>
    <w:pPr>
      <w:widowControl/>
      <w:overflowPunct w:val="0"/>
      <w:autoSpaceDE w:val="0"/>
      <w:autoSpaceDN w:val="0"/>
      <w:snapToGrid/>
      <w:spacing w:line="360" w:lineRule="auto"/>
      <w:ind w:firstLine="567" w:firstLineChars="0"/>
      <w:textAlignment w:val="baseline"/>
    </w:pPr>
    <w:rPr>
      <w:snapToGrid/>
      <w:sz w:val="28"/>
      <w:szCs w:val="20"/>
      <w:lang w:val="en-GB"/>
    </w:rPr>
  </w:style>
  <w:style w:type="character" w:customStyle="1" w:styleId="729">
    <w:name w:val="l15"/>
    <w:semiHidden/>
    <w:uiPriority w:val="0"/>
  </w:style>
  <w:style w:type="character" w:customStyle="1" w:styleId="730">
    <w:name w:val="large"/>
    <w:uiPriority w:val="0"/>
  </w:style>
  <w:style w:type="character" w:customStyle="1" w:styleId="731">
    <w:name w:val="latinname1"/>
    <w:uiPriority w:val="0"/>
    <w:rPr>
      <w:rFonts w:cs="Times New Roman"/>
      <w:i/>
      <w:iCs/>
    </w:rPr>
  </w:style>
  <w:style w:type="character" w:customStyle="1" w:styleId="732">
    <w:name w:val="lemmatitleh1"/>
    <w:qFormat/>
    <w:uiPriority w:val="0"/>
  </w:style>
  <w:style w:type="character" w:customStyle="1" w:styleId="733">
    <w:name w:val="level51"/>
    <w:qFormat/>
    <w:uiPriority w:val="0"/>
    <w:rPr>
      <w:rFonts w:hint="default" w:ascii="ˎ̥" w:hAnsi="ˎ̥"/>
      <w:color w:val="256E16"/>
      <w:spacing w:val="120"/>
    </w:rPr>
  </w:style>
  <w:style w:type="character" w:customStyle="1" w:styleId="734">
    <w:name w:val="lh131"/>
    <w:qFormat/>
    <w:uiPriority w:val="0"/>
  </w:style>
  <w:style w:type="character" w:customStyle="1" w:styleId="735">
    <w:name w:val="line1301"/>
    <w:qFormat/>
    <w:uiPriority w:val="0"/>
  </w:style>
  <w:style w:type="character" w:customStyle="1" w:styleId="736">
    <w:name w:val="lineheight"/>
    <w:semiHidden/>
    <w:qFormat/>
    <w:uiPriority w:val="0"/>
    <w:rPr>
      <w:rFonts w:ascii="Tahoma" w:hAnsi="Tahoma" w:eastAsia="宋体"/>
      <w:color w:val="FF0000"/>
      <w:kern w:val="2"/>
      <w:sz w:val="21"/>
      <w:szCs w:val="21"/>
      <w:lang w:val="en-US" w:eastAsia="zh-CN" w:bidi="ar-SA"/>
    </w:rPr>
  </w:style>
  <w:style w:type="character" w:customStyle="1" w:styleId="737">
    <w:name w:val="line-height"/>
    <w:qFormat/>
    <w:uiPriority w:val="0"/>
  </w:style>
  <w:style w:type="character" w:customStyle="1" w:styleId="738">
    <w:name w:val="llyf141"/>
    <w:qFormat/>
    <w:uiPriority w:val="0"/>
    <w:rPr>
      <w:sz w:val="21"/>
      <w:szCs w:val="21"/>
    </w:rPr>
  </w:style>
  <w:style w:type="character" w:customStyle="1" w:styleId="739">
    <w:name w:val="long_text1"/>
    <w:qFormat/>
    <w:uiPriority w:val="0"/>
    <w:rPr>
      <w:rFonts w:cs="Times New Roman"/>
      <w:sz w:val="20"/>
      <w:szCs w:val="20"/>
    </w:rPr>
  </w:style>
  <w:style w:type="character" w:customStyle="1" w:styleId="740">
    <w:name w:val="lxm11"/>
    <w:semiHidden/>
    <w:qFormat/>
    <w:uiPriority w:val="0"/>
    <w:rPr>
      <w:sz w:val="18"/>
      <w:szCs w:val="18"/>
    </w:rPr>
  </w:style>
  <w:style w:type="paragraph" w:customStyle="1" w:styleId="741">
    <w:name w:val="LY正文"/>
    <w:basedOn w:val="1"/>
    <w:uiPriority w:val="0"/>
    <w:pPr>
      <w:adjustRightInd/>
      <w:spacing w:line="300" w:lineRule="auto"/>
      <w:ind w:firstLine="567" w:firstLineChars="0"/>
    </w:pPr>
    <w:rPr>
      <w:snapToGrid/>
      <w:kern w:val="2"/>
      <w:sz w:val="28"/>
      <w:szCs w:val="20"/>
    </w:rPr>
  </w:style>
  <w:style w:type="character" w:customStyle="1" w:styleId="742">
    <w:name w:val="m lh15"/>
    <w:qFormat/>
    <w:uiPriority w:val="0"/>
  </w:style>
  <w:style w:type="character" w:customStyle="1" w:styleId="743">
    <w:name w:val="main_141"/>
    <w:qFormat/>
    <w:uiPriority w:val="0"/>
    <w:rPr>
      <w:rFonts w:hint="default" w:ascii="Verdana" w:hAnsi="Verdana"/>
      <w:color w:val="333333"/>
      <w:sz w:val="21"/>
      <w:szCs w:val="21"/>
    </w:rPr>
  </w:style>
  <w:style w:type="character" w:customStyle="1" w:styleId="744">
    <w:name w:val="main1"/>
    <w:qFormat/>
    <w:uiPriority w:val="0"/>
    <w:rPr>
      <w:color w:val="333333"/>
      <w:sz w:val="18"/>
      <w:szCs w:val="18"/>
    </w:rPr>
  </w:style>
  <w:style w:type="character" w:customStyle="1" w:styleId="745">
    <w:name w:val="medium_text1"/>
    <w:uiPriority w:val="0"/>
    <w:rPr>
      <w:rFonts w:cs="Times New Roman"/>
      <w:sz w:val="24"/>
      <w:szCs w:val="24"/>
    </w:rPr>
  </w:style>
  <w:style w:type="character" w:customStyle="1" w:styleId="746">
    <w:name w:val="menu"/>
    <w:qFormat/>
    <w:uiPriority w:val="0"/>
  </w:style>
  <w:style w:type="paragraph" w:customStyle="1" w:styleId="747">
    <w:name w:val="MFS表格表头 Char Char"/>
    <w:basedOn w:val="1"/>
    <w:semiHidden/>
    <w:qFormat/>
    <w:uiPriority w:val="0"/>
    <w:pPr>
      <w:adjustRightInd/>
      <w:snapToGrid/>
      <w:spacing w:beforeLines="50" w:afterLines="50" w:line="360" w:lineRule="auto"/>
      <w:ind w:firstLine="241" w:firstLineChars="100"/>
      <w:jc w:val="center"/>
    </w:pPr>
    <w:rPr>
      <w:b/>
      <w:snapToGrid/>
      <w:kern w:val="2"/>
    </w:rPr>
  </w:style>
  <w:style w:type="paragraph" w:customStyle="1" w:styleId="748">
    <w:name w:val="ML1"/>
    <w:basedOn w:val="59"/>
    <w:qFormat/>
    <w:uiPriority w:val="0"/>
    <w:pPr>
      <w:tabs>
        <w:tab w:val="right" w:leader="dot" w:pos="9174"/>
      </w:tabs>
      <w:adjustRightInd/>
      <w:snapToGrid/>
      <w:spacing w:line="240" w:lineRule="auto"/>
    </w:pPr>
    <w:rPr>
      <w:rFonts w:ascii="黑体" w:hAnsi="宋体" w:eastAsia="黑体"/>
      <w:snapToGrid/>
      <w:kern w:val="2"/>
      <w:szCs w:val="44"/>
    </w:rPr>
  </w:style>
  <w:style w:type="paragraph" w:customStyle="1" w:styleId="749">
    <w:name w:val="mqh"/>
    <w:basedOn w:val="1"/>
    <w:qFormat/>
    <w:uiPriority w:val="0"/>
    <w:pPr>
      <w:adjustRightInd/>
      <w:snapToGrid/>
      <w:spacing w:line="240" w:lineRule="auto"/>
      <w:ind w:firstLine="0" w:firstLineChars="0"/>
    </w:pPr>
    <w:rPr>
      <w:sz w:val="21"/>
      <w:szCs w:val="20"/>
      <w:lang w:val="en-GB"/>
    </w:rPr>
  </w:style>
  <w:style w:type="paragraph" w:customStyle="1" w:styleId="750">
    <w:name w:val="MTDisplayEquation"/>
    <w:basedOn w:val="1"/>
    <w:next w:val="1"/>
    <w:qFormat/>
    <w:uiPriority w:val="0"/>
    <w:pPr>
      <w:tabs>
        <w:tab w:val="center" w:pos="4160"/>
        <w:tab w:val="right" w:pos="8300"/>
      </w:tabs>
      <w:ind w:firstLine="480"/>
    </w:pPr>
    <w:rPr>
      <w:snapToGrid/>
      <w:kern w:val="2"/>
      <w:szCs w:val="22"/>
    </w:rPr>
  </w:style>
  <w:style w:type="character" w:customStyle="1" w:styleId="751">
    <w:name w:val="new"/>
    <w:qFormat/>
    <w:uiPriority w:val="0"/>
  </w:style>
  <w:style w:type="character" w:customStyle="1" w:styleId="752">
    <w:name w:val="news2"/>
    <w:qFormat/>
    <w:uiPriority w:val="0"/>
  </w:style>
  <w:style w:type="paragraph" w:customStyle="1" w:styleId="753">
    <w:name w:val="news3"/>
    <w:basedOn w:val="1"/>
    <w:qFormat/>
    <w:uiPriority w:val="0"/>
    <w:pPr>
      <w:widowControl/>
      <w:adjustRightInd/>
      <w:snapToGrid/>
      <w:spacing w:beforeAutospacing="1" w:after="100" w:afterAutospacing="1" w:line="336" w:lineRule="auto"/>
      <w:ind w:firstLine="0" w:firstLineChars="0"/>
    </w:pPr>
    <w:rPr>
      <w:rFonts w:ascii="宋体" w:hAnsi="宋体" w:cs="宋体"/>
      <w:snapToGrid/>
      <w:color w:val="000000"/>
      <w:sz w:val="18"/>
      <w:szCs w:val="18"/>
    </w:rPr>
  </w:style>
  <w:style w:type="character" w:customStyle="1" w:styleId="754">
    <w:name w:val="news31"/>
    <w:qFormat/>
    <w:uiPriority w:val="0"/>
    <w:rPr>
      <w:rFonts w:ascii="宋体" w:hAnsi="宋体" w:eastAsia="宋体" w:cs="宋体"/>
      <w:kern w:val="2"/>
      <w:sz w:val="18"/>
      <w:szCs w:val="18"/>
      <w:lang w:val="en-US" w:eastAsia="zh-CN" w:bidi="ar-SA"/>
    </w:rPr>
  </w:style>
  <w:style w:type="character" w:customStyle="1" w:styleId="755">
    <w:name w:val="newscontent1"/>
    <w:qFormat/>
    <w:uiPriority w:val="0"/>
    <w:rPr>
      <w:rFonts w:hint="default"/>
    </w:rPr>
  </w:style>
  <w:style w:type="character" w:customStyle="1" w:styleId="756">
    <w:name w:val="newsfont1"/>
    <w:uiPriority w:val="0"/>
    <w:rPr>
      <w:color w:val="000000"/>
      <w:sz w:val="20"/>
      <w:szCs w:val="20"/>
    </w:rPr>
  </w:style>
  <w:style w:type="character" w:customStyle="1" w:styleId="757">
    <w:name w:val="newstxt"/>
    <w:uiPriority w:val="0"/>
  </w:style>
  <w:style w:type="paragraph" w:customStyle="1" w:styleId="758">
    <w:name w:val="nilo_正文 Char Char Char Char Char"/>
    <w:basedOn w:val="1"/>
    <w:link w:val="759"/>
    <w:qFormat/>
    <w:uiPriority w:val="0"/>
    <w:pPr>
      <w:tabs>
        <w:tab w:val="left" w:pos="1320"/>
      </w:tabs>
      <w:adjustRightInd/>
      <w:snapToGrid/>
      <w:spacing w:line="360" w:lineRule="auto"/>
      <w:ind w:left="1211" w:hanging="851" w:firstLineChars="0"/>
    </w:pPr>
    <w:rPr>
      <w:rFonts w:ascii="Arial" w:hAnsi="Arial"/>
      <w:snapToGrid/>
      <w:kern w:val="2"/>
      <w:sz w:val="21"/>
      <w:szCs w:val="21"/>
    </w:rPr>
  </w:style>
  <w:style w:type="character" w:customStyle="1" w:styleId="759">
    <w:name w:val="nilo_正文 Char Char Char Char Char Char"/>
    <w:link w:val="758"/>
    <w:qFormat/>
    <w:locked/>
    <w:uiPriority w:val="0"/>
    <w:rPr>
      <w:rFonts w:ascii="Arial" w:hAnsi="Arial" w:eastAsia="宋体" w:cs="Times New Roman"/>
      <w:szCs w:val="21"/>
      <w14:ligatures w14:val="none"/>
    </w:rPr>
  </w:style>
  <w:style w:type="character" w:customStyle="1" w:styleId="760">
    <w:name w:val="No Spacing Char"/>
    <w:locked/>
    <w:uiPriority w:val="0"/>
    <w:rPr>
      <w:rFonts w:ascii="Times New Roman" w:hAnsi="Times New Roman" w:eastAsia="宋体" w:cs="Times New Roman"/>
      <w:kern w:val="0"/>
      <w:sz w:val="22"/>
    </w:rPr>
  </w:style>
  <w:style w:type="character" w:customStyle="1" w:styleId="761">
    <w:name w:val="normal1"/>
    <w:uiPriority w:val="0"/>
    <w:rPr>
      <w:color w:val="000000"/>
      <w:spacing w:val="0"/>
      <w:sz w:val="12"/>
      <w:szCs w:val="12"/>
    </w:rPr>
  </w:style>
  <w:style w:type="paragraph" w:customStyle="1" w:styleId="762">
    <w:name w:val="Normal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customStyle="1" w:styleId="763">
    <w:name w:val="normaltext1"/>
    <w:qFormat/>
    <w:uiPriority w:val="0"/>
    <w:rPr>
      <w:color w:val="000000"/>
      <w:sz w:val="24"/>
      <w:szCs w:val="24"/>
    </w:rPr>
  </w:style>
  <w:style w:type="paragraph" w:customStyle="1" w:styleId="764">
    <w:name w:val="NOTE"/>
    <w:basedOn w:val="1"/>
    <w:uiPriority w:val="0"/>
    <w:pPr>
      <w:snapToGrid/>
      <w:spacing w:line="420" w:lineRule="atLeast"/>
      <w:ind w:left="567" w:hanging="567" w:firstLineChars="0"/>
      <w:textAlignment w:val="baseline"/>
    </w:pPr>
    <w:rPr>
      <w:rFonts w:ascii="宋体"/>
      <w:snapToGrid/>
      <w:spacing w:val="30"/>
      <w:sz w:val="21"/>
      <w:szCs w:val="20"/>
    </w:rPr>
  </w:style>
  <w:style w:type="character" w:customStyle="1" w:styleId="765">
    <w:name w:val="oblog_text"/>
    <w:qFormat/>
    <w:uiPriority w:val="0"/>
  </w:style>
  <w:style w:type="character" w:customStyle="1" w:styleId="766">
    <w:name w:val="orange1"/>
    <w:qFormat/>
    <w:uiPriority w:val="0"/>
    <w:rPr>
      <w:b/>
      <w:bCs/>
      <w:color w:val="FF3300"/>
      <w:sz w:val="21"/>
      <w:szCs w:val="21"/>
      <w:u w:val="none"/>
    </w:rPr>
  </w:style>
  <w:style w:type="character" w:customStyle="1" w:styleId="767">
    <w:name w:val="ourfont1"/>
    <w:uiPriority w:val="0"/>
    <w:rPr>
      <w:color w:val="000000"/>
      <w:sz w:val="24"/>
      <w:szCs w:val="24"/>
    </w:rPr>
  </w:style>
  <w:style w:type="character" w:customStyle="1" w:styleId="768">
    <w:name w:val="ourfont2"/>
    <w:qFormat/>
    <w:uiPriority w:val="0"/>
  </w:style>
  <w:style w:type="character" w:customStyle="1" w:styleId="769">
    <w:name w:val="ourfont21"/>
    <w:qFormat/>
    <w:uiPriority w:val="0"/>
    <w:rPr>
      <w:spacing w:val="220"/>
      <w:sz w:val="18"/>
      <w:szCs w:val="18"/>
    </w:rPr>
  </w:style>
  <w:style w:type="paragraph" w:customStyle="1" w:styleId="770">
    <w:name w:val="ourfont3"/>
    <w:basedOn w:val="1"/>
    <w:qFormat/>
    <w:uiPriority w:val="0"/>
    <w:pPr>
      <w:widowControl/>
      <w:snapToGrid/>
      <w:spacing w:beforeAutospacing="1" w:after="100" w:afterAutospacing="1" w:line="340" w:lineRule="atLeast"/>
      <w:ind w:firstLine="0" w:firstLineChars="0"/>
      <w:textAlignment w:val="baseline"/>
    </w:pPr>
    <w:rPr>
      <w:rFonts w:ascii="宋体" w:hAnsi="宋体" w:cs="宋体"/>
      <w:snapToGrid/>
      <w:spacing w:val="20"/>
      <w:sz w:val="21"/>
      <w:szCs w:val="21"/>
    </w:rPr>
  </w:style>
  <w:style w:type="character" w:customStyle="1" w:styleId="771">
    <w:name w:val="Output"/>
    <w:qFormat/>
    <w:uiPriority w:val="0"/>
    <w:rPr>
      <w:rFonts w:ascii="Courier New" w:hAnsi="Courier New"/>
      <w:color w:val="0000FF"/>
      <w:sz w:val="20"/>
    </w:rPr>
  </w:style>
  <w:style w:type="paragraph" w:customStyle="1" w:styleId="772">
    <w:name w:val="P"/>
    <w:basedOn w:val="1"/>
    <w:qFormat/>
    <w:uiPriority w:val="0"/>
    <w:pPr>
      <w:snapToGrid/>
      <w:spacing w:line="420" w:lineRule="atLeast"/>
      <w:ind w:firstLine="567" w:firstLineChars="0"/>
      <w:textAlignment w:val="baseline"/>
    </w:pPr>
    <w:rPr>
      <w:rFonts w:ascii="宋体"/>
      <w:snapToGrid/>
      <w:spacing w:val="30"/>
      <w:szCs w:val="20"/>
    </w:rPr>
  </w:style>
  <w:style w:type="paragraph" w:customStyle="1" w:styleId="773">
    <w:name w:val="p0"/>
    <w:basedOn w:val="1"/>
    <w:qFormat/>
    <w:uiPriority w:val="0"/>
    <w:pPr>
      <w:widowControl/>
      <w:adjustRightInd/>
      <w:snapToGrid/>
      <w:spacing w:line="240" w:lineRule="auto"/>
      <w:ind w:firstLine="0" w:firstLineChars="0"/>
    </w:pPr>
    <w:rPr>
      <w:snapToGrid/>
      <w:sz w:val="21"/>
      <w:szCs w:val="21"/>
    </w:rPr>
  </w:style>
  <w:style w:type="character" w:customStyle="1" w:styleId="774">
    <w:name w:val="p1"/>
    <w:qFormat/>
    <w:uiPriority w:val="0"/>
  </w:style>
  <w:style w:type="character" w:customStyle="1" w:styleId="775">
    <w:name w:val="p11"/>
    <w:qFormat/>
    <w:uiPriority w:val="0"/>
    <w:rPr>
      <w:rFonts w:hint="eastAsia" w:ascii="宋体" w:hAnsi="宋体" w:eastAsia="宋体"/>
      <w:sz w:val="18"/>
      <w:szCs w:val="18"/>
    </w:rPr>
  </w:style>
  <w:style w:type="character" w:customStyle="1" w:styleId="776">
    <w:name w:val="p1481"/>
    <w:qFormat/>
    <w:uiPriority w:val="0"/>
    <w:rPr>
      <w:color w:val="515151"/>
      <w:sz w:val="22"/>
      <w:szCs w:val="22"/>
    </w:rPr>
  </w:style>
  <w:style w:type="paragraph" w:customStyle="1" w:styleId="777">
    <w:name w:val="p15"/>
    <w:basedOn w:val="1"/>
    <w:uiPriority w:val="0"/>
    <w:pPr>
      <w:widowControl/>
      <w:adjustRightInd/>
      <w:snapToGrid/>
      <w:spacing w:after="120" w:line="240" w:lineRule="atLeast"/>
      <w:ind w:firstLine="0" w:firstLineChars="0"/>
      <w:jc w:val="center"/>
    </w:pPr>
    <w:rPr>
      <w:b/>
      <w:bCs/>
      <w:snapToGrid/>
      <w:color w:val="0000FF"/>
      <w:sz w:val="21"/>
      <w:szCs w:val="21"/>
    </w:rPr>
  </w:style>
  <w:style w:type="paragraph" w:customStyle="1" w:styleId="778">
    <w:name w:val="p16"/>
    <w:basedOn w:val="1"/>
    <w:qFormat/>
    <w:uiPriority w:val="0"/>
    <w:pPr>
      <w:widowControl/>
      <w:adjustRightInd/>
      <w:snapToGrid/>
      <w:spacing w:line="240" w:lineRule="auto"/>
      <w:ind w:right="44" w:firstLine="570" w:firstLineChars="0"/>
    </w:pPr>
    <w:rPr>
      <w:snapToGrid/>
      <w:sz w:val="28"/>
      <w:szCs w:val="28"/>
    </w:rPr>
  </w:style>
  <w:style w:type="paragraph" w:customStyle="1" w:styleId="779">
    <w:name w:val="p18"/>
    <w:basedOn w:val="1"/>
    <w:qFormat/>
    <w:uiPriority w:val="0"/>
    <w:pPr>
      <w:widowControl/>
      <w:adjustRightInd/>
      <w:snapToGrid/>
      <w:spacing w:after="312" w:line="240" w:lineRule="auto"/>
      <w:ind w:left="420" w:right="420" w:firstLine="0" w:firstLineChars="0"/>
      <w:jc w:val="left"/>
    </w:pPr>
    <w:rPr>
      <w:b/>
      <w:bCs/>
      <w:snapToGrid/>
      <w:sz w:val="30"/>
      <w:szCs w:val="30"/>
    </w:rPr>
  </w:style>
  <w:style w:type="paragraph" w:customStyle="1" w:styleId="780">
    <w:name w:val="p19"/>
    <w:basedOn w:val="1"/>
    <w:uiPriority w:val="0"/>
    <w:pPr>
      <w:widowControl/>
      <w:adjustRightInd/>
      <w:snapToGrid/>
      <w:spacing w:line="240" w:lineRule="auto"/>
      <w:ind w:firstLine="567" w:firstLineChars="0"/>
    </w:pPr>
    <w:rPr>
      <w:rFonts w:cs="宋体"/>
      <w:snapToGrid/>
      <w:sz w:val="28"/>
      <w:szCs w:val="28"/>
    </w:rPr>
  </w:style>
  <w:style w:type="character" w:customStyle="1" w:styleId="781">
    <w:name w:val="p2"/>
    <w:qFormat/>
    <w:uiPriority w:val="0"/>
  </w:style>
  <w:style w:type="paragraph" w:customStyle="1" w:styleId="782">
    <w:name w:val="p20"/>
    <w:basedOn w:val="1"/>
    <w:qFormat/>
    <w:uiPriority w:val="0"/>
    <w:pPr>
      <w:widowControl/>
      <w:adjustRightInd/>
      <w:snapToGrid/>
      <w:spacing w:line="240" w:lineRule="auto"/>
      <w:ind w:firstLine="567" w:firstLineChars="0"/>
    </w:pPr>
    <w:rPr>
      <w:rFonts w:cs="宋体"/>
      <w:snapToGrid/>
      <w:sz w:val="28"/>
      <w:szCs w:val="28"/>
    </w:rPr>
  </w:style>
  <w:style w:type="character" w:customStyle="1" w:styleId="783">
    <w:name w:val="p201"/>
    <w:semiHidden/>
    <w:qFormat/>
    <w:uiPriority w:val="0"/>
    <w:rPr>
      <w:rFonts w:ascii="Tahoma" w:hAnsi="Tahoma" w:eastAsia="宋体"/>
      <w:color w:val="FF0000"/>
      <w:kern w:val="2"/>
      <w:sz w:val="21"/>
      <w:szCs w:val="21"/>
      <w:lang w:val="en-US" w:eastAsia="zh-CN" w:bidi="ar-SA"/>
    </w:rPr>
  </w:style>
  <w:style w:type="character" w:customStyle="1" w:styleId="784">
    <w:name w:val="p21"/>
    <w:qFormat/>
    <w:uiPriority w:val="0"/>
    <w:rPr>
      <w:rFonts w:hint="eastAsia" w:ascii="宋体" w:hAnsi="宋体" w:eastAsia="宋体"/>
      <w:sz w:val="18"/>
      <w:szCs w:val="18"/>
    </w:rPr>
  </w:style>
  <w:style w:type="paragraph" w:customStyle="1" w:styleId="785">
    <w:name w:val="p22"/>
    <w:basedOn w:val="1"/>
    <w:qFormat/>
    <w:uiPriority w:val="0"/>
    <w:pPr>
      <w:widowControl/>
      <w:adjustRightInd/>
      <w:snapToGrid/>
      <w:spacing w:line="360" w:lineRule="auto"/>
      <w:ind w:firstLine="420" w:firstLineChars="0"/>
    </w:pPr>
    <w:rPr>
      <w:rFonts w:ascii="宋体" w:hAnsi="宋体" w:cs="宋体"/>
      <w:snapToGrid/>
    </w:rPr>
  </w:style>
  <w:style w:type="paragraph" w:customStyle="1" w:styleId="786">
    <w:name w:val="p23"/>
    <w:basedOn w:val="1"/>
    <w:qFormat/>
    <w:uiPriority w:val="0"/>
    <w:pPr>
      <w:widowControl/>
      <w:adjustRightInd/>
      <w:spacing w:line="360" w:lineRule="atLeast"/>
      <w:ind w:firstLine="0" w:firstLineChars="0"/>
      <w:jc w:val="center"/>
    </w:pPr>
    <w:rPr>
      <w:rFonts w:ascii="宋体" w:hAnsi="宋体" w:cs="宋体"/>
      <w:snapToGrid/>
      <w:szCs w:val="21"/>
    </w:rPr>
  </w:style>
  <w:style w:type="paragraph" w:customStyle="1" w:styleId="787">
    <w:name w:val="p3"/>
    <w:basedOn w:val="1"/>
    <w:qFormat/>
    <w:uiPriority w:val="0"/>
    <w:pPr>
      <w:widowControl/>
      <w:snapToGrid/>
      <w:spacing w:beforeAutospacing="1" w:after="100" w:afterAutospacing="1" w:line="312" w:lineRule="atLeast"/>
      <w:ind w:firstLine="0" w:firstLineChars="0"/>
      <w:textAlignment w:val="baseline"/>
    </w:pPr>
    <w:rPr>
      <w:rFonts w:hint="eastAsia" w:ascii="宋体" w:hAnsi="宋体"/>
      <w:snapToGrid/>
      <w:color w:val="039F4B"/>
      <w:szCs w:val="20"/>
    </w:rPr>
  </w:style>
  <w:style w:type="character" w:customStyle="1" w:styleId="788">
    <w:name w:val="p91"/>
    <w:qFormat/>
    <w:uiPriority w:val="0"/>
    <w:rPr>
      <w:rFonts w:hint="eastAsia" w:ascii="宋体" w:hAnsi="宋体" w:eastAsia="宋体"/>
      <w:sz w:val="18"/>
      <w:szCs w:val="18"/>
    </w:rPr>
  </w:style>
  <w:style w:type="paragraph" w:customStyle="1" w:styleId="789">
    <w:name w:val="pa-0"/>
    <w:basedOn w:val="1"/>
    <w:qFormat/>
    <w:uiPriority w:val="0"/>
    <w:pPr>
      <w:widowControl/>
      <w:adjustRightInd/>
      <w:snapToGrid/>
      <w:spacing w:line="360" w:lineRule="atLeast"/>
      <w:ind w:firstLine="480"/>
      <w:jc w:val="center"/>
    </w:pPr>
    <w:rPr>
      <w:rFonts w:ascii="宋体" w:hAnsi="宋体"/>
      <w:snapToGrid/>
    </w:rPr>
  </w:style>
  <w:style w:type="paragraph" w:customStyle="1" w:styleId="790">
    <w:name w:val="pa-1"/>
    <w:basedOn w:val="1"/>
    <w:uiPriority w:val="0"/>
    <w:pPr>
      <w:widowControl/>
      <w:adjustRightInd/>
      <w:snapToGrid/>
      <w:spacing w:line="360" w:lineRule="atLeast"/>
      <w:ind w:firstLine="480"/>
    </w:pPr>
    <w:rPr>
      <w:rFonts w:ascii="宋体" w:hAnsi="宋体"/>
      <w:snapToGrid/>
    </w:rPr>
  </w:style>
  <w:style w:type="paragraph" w:customStyle="1" w:styleId="791">
    <w:name w:val="pa-2"/>
    <w:basedOn w:val="1"/>
    <w:qFormat/>
    <w:uiPriority w:val="0"/>
    <w:pPr>
      <w:widowControl/>
      <w:adjustRightInd/>
      <w:snapToGrid/>
      <w:spacing w:line="360" w:lineRule="atLeast"/>
      <w:ind w:firstLine="480"/>
    </w:pPr>
    <w:rPr>
      <w:rFonts w:ascii="宋体" w:hAnsi="宋体"/>
      <w:snapToGrid/>
    </w:rPr>
  </w:style>
  <w:style w:type="paragraph" w:customStyle="1" w:styleId="792">
    <w:name w:val="Paragraphe 3"/>
    <w:basedOn w:val="1"/>
    <w:semiHidden/>
    <w:qFormat/>
    <w:uiPriority w:val="0"/>
    <w:pPr>
      <w:widowControl/>
      <w:adjustRightInd/>
      <w:snapToGrid/>
      <w:spacing w:line="240" w:lineRule="auto"/>
      <w:ind w:firstLine="0" w:firstLineChars="0"/>
    </w:pPr>
    <w:rPr>
      <w:snapToGrid/>
      <w:lang w:val="en-GB"/>
    </w:rPr>
  </w:style>
  <w:style w:type="paragraph" w:customStyle="1" w:styleId="793">
    <w:name w:val="Paragraphy"/>
    <w:basedOn w:val="1"/>
    <w:qFormat/>
    <w:uiPriority w:val="0"/>
    <w:pPr>
      <w:adjustRightInd/>
      <w:snapToGrid/>
      <w:spacing w:beforeLines="50" w:line="312" w:lineRule="auto"/>
      <w:ind w:firstLine="250" w:firstLineChars="250"/>
    </w:pPr>
    <w:rPr>
      <w:snapToGrid/>
      <w:spacing w:val="6"/>
      <w:kern w:val="2"/>
      <w:sz w:val="28"/>
    </w:rPr>
  </w:style>
  <w:style w:type="character" w:customStyle="1" w:styleId="794">
    <w:name w:val="partialdisplay"/>
    <w:qFormat/>
    <w:uiPriority w:val="0"/>
    <w:rPr>
      <w:rFonts w:cs="Times New Roman"/>
    </w:rPr>
  </w:style>
  <w:style w:type="paragraph" w:customStyle="1" w:styleId="795">
    <w:name w:val="pic-info"/>
    <w:basedOn w:val="1"/>
    <w:uiPriority w:val="0"/>
    <w:pPr>
      <w:widowControl/>
      <w:spacing w:beforeAutospacing="1" w:after="100" w:afterAutospacing="1" w:line="240" w:lineRule="auto"/>
      <w:ind w:firstLine="0" w:firstLineChars="0"/>
    </w:pPr>
    <w:rPr>
      <w:rFonts w:ascii="宋体" w:hAnsi="宋体" w:cs="宋体"/>
      <w:snapToGrid/>
      <w:szCs w:val="22"/>
    </w:rPr>
  </w:style>
  <w:style w:type="paragraph" w:customStyle="1" w:styleId="796">
    <w:name w:val="Plain Text1"/>
    <w:basedOn w:val="1"/>
    <w:semiHidden/>
    <w:uiPriority w:val="0"/>
    <w:pPr>
      <w:snapToGrid/>
      <w:spacing w:line="240" w:lineRule="auto"/>
      <w:ind w:firstLine="0" w:firstLineChars="0"/>
      <w:textAlignment w:val="baseline"/>
    </w:pPr>
    <w:rPr>
      <w:rFonts w:ascii="宋体" w:hAnsi="Courier New"/>
      <w:snapToGrid/>
      <w:kern w:val="2"/>
      <w:sz w:val="28"/>
      <w:szCs w:val="20"/>
    </w:rPr>
  </w:style>
  <w:style w:type="character" w:customStyle="1" w:styleId="797">
    <w:name w:val="postbody"/>
    <w:qFormat/>
    <w:uiPriority w:val="0"/>
  </w:style>
  <w:style w:type="character" w:customStyle="1" w:styleId="798">
    <w:name w:val="postbody1"/>
    <w:qFormat/>
    <w:uiPriority w:val="0"/>
    <w:rPr>
      <w:sz w:val="28"/>
      <w:szCs w:val="28"/>
    </w:rPr>
  </w:style>
  <w:style w:type="character" w:customStyle="1" w:styleId="799">
    <w:name w:val="签名 字符"/>
    <w:semiHidden/>
    <w:qFormat/>
    <w:uiPriority w:val="0"/>
    <w:rPr>
      <w:snapToGrid w:val="0"/>
      <w:sz w:val="24"/>
      <w:szCs w:val="24"/>
    </w:rPr>
  </w:style>
  <w:style w:type="character" w:customStyle="1" w:styleId="800">
    <w:name w:val="签名 字符2"/>
    <w:link w:val="58"/>
    <w:uiPriority w:val="0"/>
    <w:rPr>
      <w:rFonts w:ascii="Times New Roman" w:hAnsi="Times New Roman" w:eastAsia="宋体" w:cs="Times New Roman"/>
      <w:snapToGrid w:val="0"/>
      <w:kern w:val="0"/>
      <w:sz w:val="26"/>
      <w:szCs w:val="24"/>
      <w14:ligatures w14:val="none"/>
    </w:rPr>
  </w:style>
  <w:style w:type="paragraph" w:customStyle="1" w:styleId="801">
    <w:name w:val="PP 行"/>
    <w:basedOn w:val="58"/>
    <w:qFormat/>
    <w:uiPriority w:val="0"/>
    <w:pPr>
      <w:adjustRightInd/>
      <w:snapToGrid/>
      <w:spacing w:line="240" w:lineRule="auto"/>
      <w:ind w:firstLine="0" w:firstLineChars="0"/>
    </w:pPr>
    <w:rPr>
      <w:snapToGrid/>
      <w:kern w:val="2"/>
      <w:sz w:val="21"/>
    </w:rPr>
  </w:style>
  <w:style w:type="paragraph" w:customStyle="1" w:styleId="802">
    <w:name w:val="pra"/>
    <w:basedOn w:val="1"/>
    <w:qFormat/>
    <w:uiPriority w:val="0"/>
    <w:pPr>
      <w:widowControl/>
      <w:adjustRightInd/>
      <w:snapToGrid/>
      <w:spacing w:beforeAutospacing="1" w:after="100" w:afterAutospacing="1" w:line="440" w:lineRule="exact"/>
      <w:ind w:firstLine="480"/>
    </w:pPr>
    <w:rPr>
      <w:rFonts w:ascii="Arial Unicode MS" w:hAnsi="Arial Unicode MS" w:eastAsia="Arial Unicode MS"/>
      <w:snapToGrid/>
      <w:szCs w:val="20"/>
    </w:rPr>
  </w:style>
  <w:style w:type="paragraph" w:customStyle="1" w:styleId="803">
    <w:name w:val="PSPSPSPS"/>
    <w:basedOn w:val="1"/>
    <w:qFormat/>
    <w:uiPriority w:val="0"/>
    <w:pPr>
      <w:snapToGrid/>
      <w:spacing w:line="600" w:lineRule="atLeast"/>
      <w:ind w:firstLine="0" w:firstLineChars="0"/>
      <w:textAlignment w:val="baseline"/>
    </w:pPr>
    <w:rPr>
      <w:snapToGrid/>
      <w:sz w:val="28"/>
      <w:szCs w:val="20"/>
    </w:rPr>
  </w:style>
  <w:style w:type="character" w:customStyle="1" w:styleId="804">
    <w:name w:val="pt101"/>
    <w:qFormat/>
    <w:uiPriority w:val="0"/>
    <w:rPr>
      <w:color w:val="000000"/>
      <w:sz w:val="21"/>
      <w:szCs w:val="21"/>
    </w:rPr>
  </w:style>
  <w:style w:type="character" w:customStyle="1" w:styleId="805">
    <w:name w:val="pt91"/>
    <w:uiPriority w:val="0"/>
    <w:rPr>
      <w:sz w:val="18"/>
      <w:szCs w:val="18"/>
    </w:rPr>
  </w:style>
  <w:style w:type="character" w:customStyle="1" w:styleId="806">
    <w:name w:val="pv110title"/>
    <w:qFormat/>
    <w:uiPriority w:val="0"/>
  </w:style>
  <w:style w:type="character" w:customStyle="1" w:styleId="807">
    <w:name w:val="px14"/>
    <w:uiPriority w:val="0"/>
  </w:style>
  <w:style w:type="character" w:customStyle="1" w:styleId="808">
    <w:name w:val="px14-zw1"/>
    <w:semiHidden/>
    <w:qFormat/>
    <w:uiPriority w:val="0"/>
    <w:rPr>
      <w:rFonts w:ascii="Tahoma" w:hAnsi="Tahoma" w:eastAsia="宋体"/>
      <w:color w:val="303030"/>
      <w:kern w:val="2"/>
      <w:sz w:val="21"/>
      <w:szCs w:val="21"/>
      <w:u w:val="none"/>
      <w:lang w:val="en-US" w:eastAsia="zh-CN" w:bidi="ar-SA"/>
    </w:rPr>
  </w:style>
  <w:style w:type="table" w:customStyle="1" w:styleId="809">
    <w:name w:val="qiu"/>
    <w:basedOn w:val="89"/>
    <w:uiPriority w:val="0"/>
    <w:pPr>
      <w:adjustRightInd/>
      <w:snapToGrid/>
      <w:spacing w:beforeLines="0" w:line="240" w:lineRule="auto"/>
      <w:ind w:firstLine="0" w:firstLineChars="0"/>
    </w:pPr>
    <w:tcPr>
      <w:shd w:val="clear" w:color="auto" w:fill="auto"/>
    </w:tcPr>
    <w:tblStylePr w:type="firstRow">
      <w:tcPr>
        <w:shd w:val="clear" w:color="auto" w:fill="99CCFF"/>
      </w:tcPr>
    </w:tblStylePr>
  </w:style>
  <w:style w:type="table" w:customStyle="1" w:styleId="810">
    <w:name w:val="qiu2"/>
    <w:basedOn w:val="89"/>
    <w:qFormat/>
    <w:uiPriority w:val="0"/>
    <w:pPr>
      <w:adjustRightInd/>
      <w:snapToGrid/>
      <w:spacing w:beforeLines="0" w:line="240" w:lineRule="auto"/>
      <w:ind w:firstLine="0" w:firstLineChars="0"/>
    </w:pPr>
    <w:tcPr>
      <w:shd w:val="clear" w:color="auto" w:fill="auto"/>
    </w:tcPr>
    <w:tblStylePr w:type="firstRow">
      <w:tcPr>
        <w:shd w:val="clear" w:color="auto" w:fill="99CCFF"/>
      </w:tcPr>
    </w:tblStylePr>
  </w:style>
  <w:style w:type="character" w:customStyle="1" w:styleId="811">
    <w:name w:val="question-title"/>
    <w:uiPriority w:val="0"/>
  </w:style>
  <w:style w:type="character" w:customStyle="1" w:styleId="812">
    <w:name w:val="r_c"/>
    <w:qFormat/>
    <w:uiPriority w:val="0"/>
  </w:style>
  <w:style w:type="character" w:customStyle="1" w:styleId="813">
    <w:name w:val="r1"/>
    <w:qFormat/>
    <w:uiPriority w:val="0"/>
    <w:rPr>
      <w:sz w:val="20"/>
      <w:szCs w:val="20"/>
    </w:rPr>
  </w:style>
  <w:style w:type="paragraph" w:customStyle="1" w:styleId="814">
    <w:name w:val="reader-word-layer"/>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15">
    <w:name w:val="reader-word-layer reader-word-s1-0 reader-word-s1-4"/>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16">
    <w:name w:val="reader-word-layer reader-word-s10-1"/>
    <w:basedOn w:val="1"/>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17">
    <w:name w:val="reader-word-layer reader-word-s10-4"/>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18">
    <w:name w:val="reader-word-layer reader-word-s10-5"/>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19">
    <w:name w:val="reader-word-layer reader-word-s10-6"/>
    <w:basedOn w:val="1"/>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20">
    <w:name w:val="reader-word-layer reader-word-s10-8"/>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21">
    <w:name w:val="reader-word-layer reader-word-s1-1"/>
    <w:basedOn w:val="1"/>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22">
    <w:name w:val="reader-word-layer reader-word-s1-3"/>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23">
    <w:name w:val="reader-word-layer reader-word-s1-4"/>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24">
    <w:name w:val="reader-word-layer reader-word-s1-6"/>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25">
    <w:name w:val="reader-word-layer reader-word-s1-7"/>
    <w:basedOn w:val="1"/>
    <w:qFormat/>
    <w:uiPriority w:val="0"/>
    <w:pPr>
      <w:widowControl/>
      <w:adjustRightInd/>
      <w:snapToGrid/>
      <w:spacing w:beforeAutospacing="1" w:after="100" w:afterAutospacing="1" w:line="240" w:lineRule="auto"/>
      <w:ind w:firstLine="0" w:firstLineChars="0"/>
    </w:pPr>
    <w:rPr>
      <w:rFonts w:ascii="宋体" w:hAnsi="宋体" w:cs="宋体"/>
      <w:snapToGrid/>
    </w:rPr>
  </w:style>
  <w:style w:type="paragraph" w:customStyle="1" w:styleId="826">
    <w:name w:val="reader-word-layer reader-word-s1-9"/>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27">
    <w:name w:val="reader-word-layer reader-word-s2-1"/>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28">
    <w:name w:val="reader-word-layer reader-word-s2-1 reader-word-s2-16"/>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29">
    <w:name w:val="reader-word-layer reader-word-s2-10"/>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0">
    <w:name w:val="reader-word-layer reader-word-s2-11"/>
    <w:basedOn w:val="1"/>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1">
    <w:name w:val="reader-word-layer reader-word-s2-13"/>
    <w:basedOn w:val="1"/>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2">
    <w:name w:val="reader-word-layer reader-word-s2-14"/>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3">
    <w:name w:val="reader-word-layer reader-word-s2-17"/>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4">
    <w:name w:val="reader-word-layer reader-word-s2-18"/>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5">
    <w:name w:val="reader-word-layer reader-word-s2-19"/>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6">
    <w:name w:val="reader-word-layer reader-word-s2-2"/>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7">
    <w:name w:val="reader-word-layer reader-word-s2-22"/>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8">
    <w:name w:val="reader-word-layer reader-word-s2-4"/>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39">
    <w:name w:val="reader-word-layer reader-word-s2-5"/>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40">
    <w:name w:val="reader-word-layer reader-word-s2-6"/>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41">
    <w:name w:val="reader-word-layer reader-word-s2-7"/>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42">
    <w:name w:val="reader-word-layer reader-word-s2-9"/>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43">
    <w:name w:val="reader-word-layer reader-word-s3-1"/>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44">
    <w:name w:val="reader-word-layer reader-word-s3-2"/>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45">
    <w:name w:val="reader-word-layer reader-word-s3-3"/>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paragraph" w:customStyle="1" w:styleId="846">
    <w:name w:val="reader-word-layer reader-word-s3-9"/>
    <w:basedOn w:val="1"/>
    <w:uiPriority w:val="0"/>
    <w:pPr>
      <w:widowControl/>
      <w:adjustRightInd/>
      <w:snapToGrid/>
      <w:spacing w:beforeAutospacing="1" w:after="100" w:afterAutospacing="1" w:line="240" w:lineRule="auto"/>
      <w:ind w:firstLine="0" w:firstLineChars="0"/>
      <w:jc w:val="left"/>
    </w:pPr>
    <w:rPr>
      <w:rFonts w:ascii="宋体" w:hAnsi="宋体" w:cs="宋体"/>
      <w:snapToGrid/>
    </w:rPr>
  </w:style>
  <w:style w:type="character" w:customStyle="1" w:styleId="847">
    <w:name w:val="rightword1"/>
    <w:uiPriority w:val="0"/>
    <w:rPr>
      <w:rFonts w:hint="eastAsia" w:ascii="宋体" w:hAnsi="宋体" w:eastAsia="宋体"/>
      <w:color w:val="595E00"/>
    </w:rPr>
  </w:style>
  <w:style w:type="paragraph" w:customStyle="1" w:styleId="848">
    <w:name w:val="RLC元件"/>
    <w:basedOn w:val="1"/>
    <w:next w:val="1"/>
    <w:uiPriority w:val="0"/>
    <w:pPr>
      <w:adjustRightInd/>
      <w:snapToGrid/>
      <w:spacing w:line="360" w:lineRule="exact"/>
      <w:ind w:firstLine="0" w:firstLineChars="0"/>
      <w:textAlignment w:val="center"/>
    </w:pPr>
    <w:rPr>
      <w:snapToGrid/>
      <w:kern w:val="2"/>
      <w:szCs w:val="20"/>
    </w:rPr>
  </w:style>
  <w:style w:type="character" w:customStyle="1" w:styleId="849">
    <w:name w:val="rs"/>
    <w:qFormat/>
    <w:uiPriority w:val="0"/>
    <w:rPr>
      <w:rFonts w:cs="Times New Roman"/>
    </w:rPr>
  </w:style>
  <w:style w:type="paragraph" w:customStyle="1" w:styleId="850">
    <w:name w:val="s18qcsl240slmult0nowidct"/>
    <w:uiPriority w:val="0"/>
    <w:pPr>
      <w:widowControl w:val="0"/>
      <w:adjustRightInd w:val="0"/>
      <w:textAlignment w:val="baseline"/>
    </w:pPr>
    <w:rPr>
      <w:rFonts w:ascii="宋体" w:hAnsi="Times New Roman" w:eastAsia="宋体" w:cs="Times New Roman"/>
      <w:lang w:val="en-US" w:eastAsia="zh-CN" w:bidi="ar-SA"/>
    </w:rPr>
  </w:style>
  <w:style w:type="character" w:customStyle="1" w:styleId="851">
    <w:name w:val="sell_title2"/>
    <w:qFormat/>
    <w:uiPriority w:val="0"/>
  </w:style>
  <w:style w:type="character" w:customStyle="1" w:styleId="852">
    <w:name w:val="short_text1"/>
    <w:uiPriority w:val="0"/>
    <w:rPr>
      <w:rFonts w:cs="Times New Roman"/>
      <w:sz w:val="29"/>
      <w:szCs w:val="29"/>
    </w:rPr>
  </w:style>
  <w:style w:type="character" w:customStyle="1" w:styleId="853">
    <w:name w:val="size13"/>
    <w:qFormat/>
    <w:uiPriority w:val="0"/>
  </w:style>
  <w:style w:type="character" w:customStyle="1" w:styleId="854">
    <w:name w:val="slkk"/>
    <w:qFormat/>
    <w:uiPriority w:val="0"/>
  </w:style>
  <w:style w:type="character" w:customStyle="1" w:styleId="855">
    <w:name w:val="small1"/>
    <w:qFormat/>
    <w:uiPriority w:val="0"/>
    <w:rPr>
      <w:sz w:val="18"/>
      <w:szCs w:val="18"/>
    </w:rPr>
  </w:style>
  <w:style w:type="character" w:customStyle="1" w:styleId="856">
    <w:name w:val="Sottoparagrafo Char Char"/>
    <w:qFormat/>
    <w:uiPriority w:val="0"/>
    <w:rPr>
      <w:rFonts w:eastAsia="黑体"/>
      <w:b/>
      <w:bCs/>
      <w:kern w:val="2"/>
      <w:sz w:val="28"/>
      <w:szCs w:val="28"/>
      <w:lang w:val="en-US" w:eastAsia="zh-CN" w:bidi="ar-SA"/>
    </w:rPr>
  </w:style>
  <w:style w:type="character" w:customStyle="1" w:styleId="857">
    <w:name w:val="spelle"/>
    <w:qFormat/>
    <w:uiPriority w:val="0"/>
  </w:style>
  <w:style w:type="character" w:customStyle="1" w:styleId="858">
    <w:name w:val="splatinnamesauthor1"/>
    <w:qFormat/>
    <w:uiPriority w:val="0"/>
    <w:rPr>
      <w:rFonts w:cs="Times New Roman"/>
      <w:b/>
      <w:bCs/>
      <w:color w:val="CC3300"/>
    </w:rPr>
  </w:style>
  <w:style w:type="character" w:customStyle="1" w:styleId="859">
    <w:name w:val="ss"/>
    <w:qFormat/>
    <w:uiPriority w:val="0"/>
  </w:style>
  <w:style w:type="character" w:customStyle="1" w:styleId="860">
    <w:name w:val="ss1"/>
    <w:uiPriority w:val="0"/>
    <w:rPr>
      <w:color w:val="0066CC"/>
      <w:sz w:val="28"/>
      <w:szCs w:val="28"/>
    </w:rPr>
  </w:style>
  <w:style w:type="paragraph" w:customStyle="1" w:styleId="861">
    <w:name w:val="ST20_5"/>
    <w:qFormat/>
    <w:uiPriority w:val="0"/>
    <w:pPr>
      <w:widowControl w:val="0"/>
      <w:autoSpaceDE w:val="0"/>
      <w:autoSpaceDN w:val="0"/>
      <w:adjustRightInd w:val="0"/>
      <w:jc w:val="both"/>
      <w:textAlignment w:val="baseline"/>
    </w:pPr>
    <w:rPr>
      <w:rFonts w:ascii="宋体" w:hAnsi="Tms Rmn" w:eastAsia="宋体" w:cs="Times New Roman"/>
      <w:sz w:val="21"/>
      <w:lang w:val="en-US" w:eastAsia="zh-CN" w:bidi="ar-SA"/>
    </w:rPr>
  </w:style>
  <w:style w:type="character" w:customStyle="1" w:styleId="862">
    <w:name w:val="正文文本缩进 字符"/>
    <w:semiHidden/>
    <w:uiPriority w:val="0"/>
    <w:rPr>
      <w:sz w:val="24"/>
      <w:szCs w:val="24"/>
    </w:rPr>
  </w:style>
  <w:style w:type="character" w:customStyle="1" w:styleId="863">
    <w:name w:val="正文文本缩进 字符3"/>
    <w:link w:val="35"/>
    <w:uiPriority w:val="0"/>
    <w:rPr>
      <w:rFonts w:ascii="Times New Roman" w:hAnsi="Times New Roman" w:eastAsia="宋体" w:cs="Times New Roman"/>
      <w:snapToGrid w:val="0"/>
      <w:kern w:val="0"/>
      <w:sz w:val="26"/>
      <w:szCs w:val="26"/>
      <w14:ligatures w14:val="none"/>
    </w:rPr>
  </w:style>
  <w:style w:type="paragraph" w:customStyle="1" w:styleId="864">
    <w:name w:val="Style Body Text Indent + 四号 First line:  2 ch After:  0.5 line L..."/>
    <w:basedOn w:val="35"/>
    <w:qFormat/>
    <w:uiPriority w:val="0"/>
    <w:pPr>
      <w:adjustRightInd/>
      <w:snapToGrid/>
      <w:spacing w:line="360" w:lineRule="exact"/>
      <w:ind w:firstLine="422"/>
    </w:pPr>
    <w:rPr>
      <w:rFonts w:ascii="宋体" w:hAnsi="宋体"/>
      <w:b/>
      <w:snapToGrid/>
      <w:kern w:val="2"/>
      <w:sz w:val="21"/>
      <w:szCs w:val="28"/>
    </w:rPr>
  </w:style>
  <w:style w:type="paragraph" w:customStyle="1" w:styleId="865">
    <w:name w:val="TZR Paragraph"/>
    <w:basedOn w:val="1"/>
    <w:qFormat/>
    <w:uiPriority w:val="0"/>
    <w:pPr>
      <w:widowControl/>
      <w:tabs>
        <w:tab w:val="left" w:pos="495"/>
      </w:tabs>
      <w:adjustRightInd/>
      <w:snapToGrid/>
      <w:spacing w:line="240" w:lineRule="auto"/>
      <w:ind w:left="495" w:hanging="495" w:firstLineChars="0"/>
    </w:pPr>
    <w:rPr>
      <w:rFonts w:ascii="Arial" w:hAnsi="Arial" w:cs="Arial"/>
      <w:b/>
      <w:bCs/>
      <w:snapToGrid/>
      <w:color w:val="000000"/>
      <w:sz w:val="22"/>
      <w:szCs w:val="22"/>
      <w:lang w:eastAsia="en-US"/>
    </w:rPr>
  </w:style>
  <w:style w:type="paragraph" w:customStyle="1" w:styleId="866">
    <w:name w:val="Style TZR Paragraph + Not Bold Justified"/>
    <w:basedOn w:val="865"/>
    <w:autoRedefine/>
    <w:uiPriority w:val="0"/>
    <w:pPr>
      <w:spacing w:after="240"/>
    </w:pPr>
    <w:rPr>
      <w:rFonts w:ascii="宋体" w:hAnsi="宋体" w:cs="Times New Roman"/>
      <w:b w:val="0"/>
      <w:color w:val="auto"/>
      <w:sz w:val="24"/>
      <w:szCs w:val="24"/>
      <w:lang w:eastAsia="zh-CN"/>
    </w:rPr>
  </w:style>
  <w:style w:type="paragraph" w:customStyle="1" w:styleId="867">
    <w:name w:val="style1"/>
    <w:basedOn w:val="1"/>
    <w:uiPriority w:val="0"/>
    <w:pPr>
      <w:widowControl/>
      <w:adjustRightInd/>
      <w:snapToGrid/>
      <w:spacing w:beforeAutospacing="1" w:after="100" w:afterAutospacing="1" w:line="240" w:lineRule="auto"/>
      <w:ind w:firstLine="0" w:firstLineChars="0"/>
    </w:pPr>
    <w:rPr>
      <w:rFonts w:ascii="Arial Unicode MS" w:hAnsi="Arial Unicode MS"/>
    </w:rPr>
  </w:style>
  <w:style w:type="paragraph" w:customStyle="1" w:styleId="868">
    <w:name w:val="Style1"/>
    <w:basedOn w:val="1"/>
    <w:qFormat/>
    <w:uiPriority w:val="0"/>
    <w:pPr>
      <w:widowControl/>
      <w:overflowPunct w:val="0"/>
      <w:autoSpaceDE w:val="0"/>
      <w:autoSpaceDN w:val="0"/>
      <w:snapToGrid/>
      <w:spacing w:line="360" w:lineRule="auto"/>
      <w:ind w:firstLine="0" w:firstLineChars="0"/>
      <w:textAlignment w:val="baseline"/>
    </w:pPr>
    <w:rPr>
      <w:rFonts w:ascii="宋体"/>
      <w:snapToGrid/>
      <w:spacing w:val="6"/>
      <w:szCs w:val="20"/>
    </w:rPr>
  </w:style>
  <w:style w:type="character" w:customStyle="1" w:styleId="869">
    <w:name w:val="style101"/>
    <w:qFormat/>
    <w:uiPriority w:val="0"/>
    <w:rPr>
      <w:sz w:val="21"/>
      <w:szCs w:val="21"/>
    </w:rPr>
  </w:style>
  <w:style w:type="paragraph" w:customStyle="1" w:styleId="870">
    <w:name w:val="style11"/>
    <w:basedOn w:val="1"/>
    <w:qFormat/>
    <w:uiPriority w:val="0"/>
    <w:pPr>
      <w:widowControl/>
      <w:adjustRightInd/>
      <w:snapToGrid/>
      <w:spacing w:beforeAutospacing="1" w:after="100" w:afterAutospacing="1" w:line="240" w:lineRule="auto"/>
      <w:ind w:firstLine="0" w:firstLineChars="0"/>
    </w:pPr>
    <w:rPr>
      <w:rFonts w:ascii="宋体" w:hAnsi="宋体" w:cs="宋体"/>
      <w:snapToGrid/>
      <w:color w:val="000000"/>
      <w:sz w:val="18"/>
      <w:szCs w:val="18"/>
    </w:rPr>
  </w:style>
  <w:style w:type="character" w:customStyle="1" w:styleId="871">
    <w:name w:val="style111"/>
    <w:qFormat/>
    <w:uiPriority w:val="0"/>
    <w:rPr>
      <w:sz w:val="21"/>
      <w:szCs w:val="21"/>
    </w:rPr>
  </w:style>
  <w:style w:type="character" w:customStyle="1" w:styleId="872">
    <w:name w:val="style121"/>
    <w:qFormat/>
    <w:uiPriority w:val="0"/>
    <w:rPr>
      <w:sz w:val="24"/>
      <w:szCs w:val="24"/>
    </w:rPr>
  </w:style>
  <w:style w:type="character" w:customStyle="1" w:styleId="873">
    <w:name w:val="style141"/>
    <w:qFormat/>
    <w:uiPriority w:val="0"/>
    <w:rPr>
      <w:sz w:val="23"/>
      <w:szCs w:val="23"/>
    </w:rPr>
  </w:style>
  <w:style w:type="character" w:customStyle="1" w:styleId="874">
    <w:name w:val="style151"/>
    <w:qFormat/>
    <w:uiPriority w:val="0"/>
    <w:rPr>
      <w:sz w:val="16"/>
      <w:szCs w:val="16"/>
    </w:rPr>
  </w:style>
  <w:style w:type="character" w:customStyle="1" w:styleId="875">
    <w:name w:val="style2"/>
    <w:qFormat/>
    <w:uiPriority w:val="0"/>
  </w:style>
  <w:style w:type="paragraph" w:customStyle="1" w:styleId="876">
    <w:name w:val="Style2"/>
    <w:basedOn w:val="1"/>
    <w:qFormat/>
    <w:uiPriority w:val="0"/>
    <w:pPr>
      <w:autoSpaceDE w:val="0"/>
      <w:autoSpaceDN w:val="0"/>
      <w:snapToGrid/>
      <w:spacing w:line="360" w:lineRule="auto"/>
      <w:ind w:firstLine="0" w:firstLineChars="0"/>
      <w:textAlignment w:val="baseline"/>
    </w:pPr>
    <w:rPr>
      <w:rFonts w:ascii="Arial" w:hAnsi="Arial" w:eastAsia="Times New Roman"/>
      <w:snapToGrid/>
      <w:spacing w:val="10"/>
      <w:sz w:val="28"/>
      <w:szCs w:val="20"/>
    </w:rPr>
  </w:style>
  <w:style w:type="character" w:customStyle="1" w:styleId="877">
    <w:name w:val="style2 style3"/>
    <w:semiHidden/>
    <w:uiPriority w:val="0"/>
    <w:rPr>
      <w:rFonts w:ascii="Tahoma" w:hAnsi="Tahoma" w:eastAsia="宋体"/>
      <w:color w:val="FF0000"/>
      <w:kern w:val="2"/>
      <w:sz w:val="21"/>
      <w:szCs w:val="21"/>
      <w:lang w:val="en-US" w:eastAsia="zh-CN" w:bidi="ar-SA"/>
    </w:rPr>
  </w:style>
  <w:style w:type="character" w:customStyle="1" w:styleId="878">
    <w:name w:val="style21"/>
    <w:qFormat/>
    <w:uiPriority w:val="0"/>
    <w:rPr>
      <w:b/>
      <w:bCs/>
      <w:color w:val="CC0000"/>
    </w:rPr>
  </w:style>
  <w:style w:type="character" w:customStyle="1" w:styleId="879">
    <w:name w:val="style231"/>
    <w:qFormat/>
    <w:uiPriority w:val="0"/>
    <w:rPr>
      <w:rFonts w:hint="eastAsia" w:ascii="宋体" w:hAnsi="宋体" w:eastAsia="宋体"/>
      <w:color w:val="000000"/>
      <w:sz w:val="18"/>
      <w:szCs w:val="18"/>
    </w:rPr>
  </w:style>
  <w:style w:type="character" w:customStyle="1" w:styleId="880">
    <w:name w:val="style2471"/>
    <w:qFormat/>
    <w:uiPriority w:val="0"/>
    <w:rPr>
      <w:color w:val="666666"/>
      <w:sz w:val="18"/>
      <w:szCs w:val="18"/>
    </w:rPr>
  </w:style>
  <w:style w:type="character" w:customStyle="1" w:styleId="881">
    <w:name w:val="style31"/>
    <w:qFormat/>
    <w:uiPriority w:val="0"/>
    <w:rPr>
      <w:sz w:val="21"/>
      <w:szCs w:val="21"/>
    </w:rPr>
  </w:style>
  <w:style w:type="character" w:customStyle="1" w:styleId="882">
    <w:name w:val="style41"/>
    <w:qFormat/>
    <w:uiPriority w:val="0"/>
    <w:rPr>
      <w:sz w:val="18"/>
      <w:szCs w:val="18"/>
    </w:rPr>
  </w:style>
  <w:style w:type="character" w:customStyle="1" w:styleId="883">
    <w:name w:val="style421"/>
    <w:uiPriority w:val="0"/>
    <w:rPr>
      <w:sz w:val="22"/>
      <w:szCs w:val="22"/>
    </w:rPr>
  </w:style>
  <w:style w:type="character" w:customStyle="1" w:styleId="884">
    <w:name w:val="style51"/>
    <w:qFormat/>
    <w:uiPriority w:val="0"/>
    <w:rPr>
      <w:b/>
      <w:bCs/>
      <w:color w:val="000066"/>
      <w:sz w:val="36"/>
      <w:szCs w:val="36"/>
    </w:rPr>
  </w:style>
  <w:style w:type="character" w:customStyle="1" w:styleId="885">
    <w:name w:val="style54"/>
    <w:uiPriority w:val="0"/>
  </w:style>
  <w:style w:type="character" w:customStyle="1" w:styleId="886">
    <w:name w:val="style71"/>
    <w:qFormat/>
    <w:uiPriority w:val="0"/>
    <w:rPr>
      <w:color w:val="333300"/>
    </w:rPr>
  </w:style>
  <w:style w:type="character" w:customStyle="1" w:styleId="887">
    <w:name w:val="style91"/>
    <w:uiPriority w:val="0"/>
    <w:rPr>
      <w:sz w:val="18"/>
      <w:szCs w:val="18"/>
    </w:rPr>
  </w:style>
  <w:style w:type="character" w:customStyle="1" w:styleId="888">
    <w:name w:val="styleliwei31"/>
    <w:qFormat/>
    <w:uiPriority w:val="0"/>
    <w:rPr>
      <w:rFonts w:hint="eastAsia" w:ascii="宋体" w:hAnsi="宋体" w:eastAsia="宋体"/>
      <w:color w:val="000000"/>
      <w:sz w:val="21"/>
      <w:szCs w:val="21"/>
      <w:u w:val="none"/>
    </w:rPr>
  </w:style>
  <w:style w:type="character" w:customStyle="1" w:styleId="889">
    <w:name w:val="subject31"/>
    <w:semiHidden/>
    <w:uiPriority w:val="0"/>
    <w:rPr>
      <w:rFonts w:ascii="Tahoma" w:hAnsi="Tahoma" w:eastAsia="宋体"/>
      <w:color w:val="FF0000"/>
      <w:kern w:val="2"/>
      <w:sz w:val="28"/>
      <w:szCs w:val="28"/>
      <w:lang w:val="en-US" w:eastAsia="zh-CN" w:bidi="ar-SA"/>
    </w:rPr>
  </w:style>
  <w:style w:type="character" w:customStyle="1" w:styleId="890">
    <w:name w:val="sun icon texticon"/>
    <w:qFormat/>
    <w:uiPriority w:val="0"/>
  </w:style>
  <w:style w:type="character" w:customStyle="1" w:styleId="891">
    <w:name w:val="sytle11"/>
    <w:uiPriority w:val="0"/>
    <w:rPr>
      <w:rFonts w:hint="default" w:ascii="ˎ̥" w:hAnsi="ˎ̥" w:eastAsia="宋体" w:cs="宋体"/>
      <w:color w:val="000000"/>
      <w:kern w:val="2"/>
      <w:sz w:val="24"/>
      <w:szCs w:val="24"/>
      <w:u w:val="none"/>
      <w:lang w:val="en-US" w:eastAsia="zh-CN" w:bidi="ar-SA"/>
    </w:rPr>
  </w:style>
  <w:style w:type="character" w:customStyle="1" w:styleId="892">
    <w:name w:val="t_tag"/>
    <w:qFormat/>
    <w:uiPriority w:val="0"/>
    <w:rPr>
      <w:rFonts w:cs="Times New Roman"/>
    </w:rPr>
  </w:style>
  <w:style w:type="character" w:customStyle="1" w:styleId="893">
    <w:name w:val="t1"/>
    <w:qFormat/>
    <w:uiPriority w:val="0"/>
  </w:style>
  <w:style w:type="character" w:customStyle="1" w:styleId="894">
    <w:name w:val="t11"/>
    <w:uiPriority w:val="0"/>
    <w:rPr>
      <w:b/>
      <w:bCs/>
      <w:sz w:val="24"/>
      <w:szCs w:val="24"/>
      <w:shd w:val="clear" w:color="auto" w:fill="FFFFFF"/>
    </w:rPr>
  </w:style>
  <w:style w:type="paragraph" w:customStyle="1" w:styleId="895">
    <w:name w:val="Table"/>
    <w:basedOn w:val="1"/>
    <w:uiPriority w:val="0"/>
    <w:pPr>
      <w:snapToGrid/>
      <w:spacing w:line="240" w:lineRule="auto"/>
      <w:ind w:firstLine="0" w:firstLineChars="0"/>
      <w:jc w:val="center"/>
      <w:textAlignment w:val="baseline"/>
    </w:pPr>
    <w:rPr>
      <w:rFonts w:ascii="宋体"/>
      <w:snapToGrid/>
      <w:spacing w:val="-10"/>
      <w:sz w:val="21"/>
      <w:szCs w:val="20"/>
    </w:rPr>
  </w:style>
  <w:style w:type="paragraph" w:customStyle="1" w:styleId="896">
    <w:name w:val="table"/>
    <w:basedOn w:val="1"/>
    <w:qFormat/>
    <w:uiPriority w:val="0"/>
    <w:pPr>
      <w:widowControl/>
      <w:overflowPunct w:val="0"/>
      <w:autoSpaceDE w:val="0"/>
      <w:autoSpaceDN w:val="0"/>
      <w:snapToGrid/>
      <w:spacing w:after="120" w:line="240" w:lineRule="auto"/>
      <w:ind w:firstLine="0" w:firstLineChars="0"/>
      <w:textAlignment w:val="baseline"/>
    </w:pPr>
    <w:rPr>
      <w:rFonts w:ascii="宋体" w:hAnsi="Calibri"/>
      <w:snapToGrid/>
    </w:rPr>
  </w:style>
  <w:style w:type="table" w:customStyle="1" w:styleId="897">
    <w:name w:val="Table Normal"/>
    <w:semiHidden/>
    <w:unhideWhenUsed/>
    <w:qFormat/>
    <w:uiPriority w:val="2"/>
    <w:pPr>
      <w:widowControl w:val="0"/>
    </w:pPr>
    <w:rPr>
      <w:rFonts w:ascii="Calibri" w:hAnsi="Calibri" w:eastAsia="宋体" w:cs="Times New Roman"/>
      <w:sz w:val="22"/>
      <w:lang w:eastAsia="en-US"/>
    </w:rPr>
    <w:tblPr>
      <w:tblCellMar>
        <w:top w:w="0" w:type="dxa"/>
        <w:left w:w="0" w:type="dxa"/>
        <w:bottom w:w="0" w:type="dxa"/>
        <w:right w:w="0" w:type="dxa"/>
      </w:tblCellMar>
    </w:tblPr>
  </w:style>
  <w:style w:type="paragraph" w:customStyle="1" w:styleId="898">
    <w:name w:val="Table Paragraph"/>
    <w:basedOn w:val="1"/>
    <w:qFormat/>
    <w:uiPriority w:val="1"/>
    <w:pPr>
      <w:adjustRightInd/>
      <w:snapToGrid/>
      <w:spacing w:line="240" w:lineRule="auto"/>
      <w:ind w:firstLine="0" w:firstLineChars="0"/>
    </w:pPr>
    <w:rPr>
      <w:rFonts w:ascii="Calibri" w:hAnsi="Calibri"/>
      <w:snapToGrid/>
      <w:sz w:val="22"/>
      <w:szCs w:val="22"/>
      <w:lang w:eastAsia="en-US"/>
    </w:rPr>
  </w:style>
  <w:style w:type="paragraph" w:customStyle="1" w:styleId="899">
    <w:name w:val="Table Title"/>
    <w:basedOn w:val="1"/>
    <w:next w:val="1"/>
    <w:qFormat/>
    <w:uiPriority w:val="0"/>
    <w:pPr>
      <w:widowControl/>
      <w:adjustRightInd/>
      <w:snapToGrid/>
      <w:spacing w:line="240" w:lineRule="auto"/>
      <w:ind w:firstLine="0" w:firstLineChars="0"/>
      <w:jc w:val="center"/>
    </w:pPr>
    <w:rPr>
      <w:rFonts w:ascii="Arial" w:hAnsi="Arial" w:cs="Arial"/>
      <w:b/>
      <w:bCs/>
      <w:snapToGrid/>
      <w:sz w:val="22"/>
    </w:rPr>
  </w:style>
  <w:style w:type="paragraph" w:customStyle="1" w:styleId="900">
    <w:name w:val="table1"/>
    <w:basedOn w:val="1"/>
    <w:qFormat/>
    <w:uiPriority w:val="0"/>
    <w:pPr>
      <w:snapToGrid/>
      <w:spacing w:line="240" w:lineRule="atLeast"/>
      <w:ind w:firstLine="0" w:firstLineChars="0"/>
      <w:jc w:val="center"/>
      <w:textAlignment w:val="baseline"/>
    </w:pPr>
    <w:rPr>
      <w:rFonts w:eastAsia="黑体"/>
      <w:snapToGrid/>
    </w:rPr>
  </w:style>
  <w:style w:type="character" w:customStyle="1" w:styleId="901">
    <w:name w:val="table-xiayou"/>
    <w:qFormat/>
    <w:uiPriority w:val="0"/>
  </w:style>
  <w:style w:type="paragraph" w:customStyle="1" w:styleId="902">
    <w:name w:val="tc"/>
    <w:basedOn w:val="1"/>
    <w:qFormat/>
    <w:uiPriority w:val="0"/>
    <w:pPr>
      <w:widowControl/>
      <w:adjustRightInd/>
      <w:snapToGrid/>
      <w:spacing w:line="240" w:lineRule="auto"/>
      <w:ind w:firstLine="0" w:firstLineChars="0"/>
      <w:jc w:val="center"/>
    </w:pPr>
    <w:rPr>
      <w:rFonts w:ascii="黑体" w:hAnsi="宋体" w:eastAsia="黑体"/>
      <w:snapToGrid/>
      <w:color w:val="000000"/>
      <w:sz w:val="36"/>
      <w:szCs w:val="36"/>
    </w:rPr>
  </w:style>
  <w:style w:type="paragraph" w:customStyle="1" w:styleId="903">
    <w:name w:val="td1"/>
    <w:basedOn w:val="1"/>
    <w:qFormat/>
    <w:uiPriority w:val="0"/>
    <w:pPr>
      <w:widowControl/>
      <w:spacing w:beforeAutospacing="1" w:after="100" w:afterAutospacing="1" w:line="300" w:lineRule="atLeast"/>
      <w:ind w:firstLine="0" w:firstLineChars="0"/>
    </w:pPr>
    <w:rPr>
      <w:snapToGrid/>
      <w:color w:val="000000"/>
      <w:sz w:val="18"/>
      <w:szCs w:val="18"/>
    </w:rPr>
  </w:style>
  <w:style w:type="character" w:customStyle="1" w:styleId="904">
    <w:name w:val="tdhui011"/>
    <w:qFormat/>
    <w:uiPriority w:val="0"/>
    <w:rPr>
      <w:color w:val="000000"/>
      <w:sz w:val="18"/>
      <w:szCs w:val="18"/>
    </w:rPr>
  </w:style>
  <w:style w:type="paragraph" w:customStyle="1" w:styleId="905">
    <w:name w:val="text"/>
    <w:basedOn w:val="1"/>
    <w:qFormat/>
    <w:uiPriority w:val="0"/>
    <w:pPr>
      <w:widowControl/>
      <w:adjustRightInd/>
      <w:snapToGrid/>
      <w:spacing w:after="150" w:line="240" w:lineRule="auto"/>
      <w:ind w:firstLine="480" w:firstLineChars="0"/>
    </w:pPr>
    <w:rPr>
      <w:rFonts w:ascii="ˎ̥" w:hAnsi="ˎ̥"/>
      <w:snapToGrid/>
      <w:color w:val="486B8A"/>
      <w:sz w:val="18"/>
      <w:szCs w:val="18"/>
    </w:rPr>
  </w:style>
  <w:style w:type="character" w:customStyle="1" w:styleId="906">
    <w:name w:val="text1"/>
    <w:qFormat/>
    <w:uiPriority w:val="0"/>
    <w:rPr>
      <w:sz w:val="21"/>
      <w:szCs w:val="21"/>
    </w:rPr>
  </w:style>
  <w:style w:type="character" w:customStyle="1" w:styleId="907">
    <w:name w:val="text1-11"/>
    <w:qFormat/>
    <w:uiPriority w:val="0"/>
    <w:rPr>
      <w:rFonts w:hint="default" w:ascii="ˎ̥" w:hAnsi="ˎ̥"/>
      <w:color w:val="FF0000"/>
      <w:sz w:val="20"/>
      <w:szCs w:val="20"/>
    </w:rPr>
  </w:style>
  <w:style w:type="character" w:customStyle="1" w:styleId="908">
    <w:name w:val="text21"/>
    <w:qFormat/>
    <w:uiPriority w:val="0"/>
    <w:rPr>
      <w:rFonts w:eastAsia="宋体"/>
      <w:color w:val="000000"/>
      <w:spacing w:val="0"/>
      <w:w w:val="100"/>
      <w:sz w:val="21"/>
      <w:u w:val="none" w:color="000000"/>
      <w:vertAlign w:val="baseline"/>
      <w:lang w:val="en-US" w:eastAsia="zh-CN"/>
    </w:rPr>
  </w:style>
  <w:style w:type="character" w:customStyle="1" w:styleId="909">
    <w:name w:val="textblack1"/>
    <w:uiPriority w:val="0"/>
    <w:rPr>
      <w:color w:val="000000"/>
      <w:sz w:val="24"/>
      <w:szCs w:val="24"/>
      <w:u w:val="none"/>
    </w:rPr>
  </w:style>
  <w:style w:type="character" w:customStyle="1" w:styleId="910">
    <w:name w:val="textcontents"/>
    <w:qFormat/>
    <w:uiPriority w:val="0"/>
  </w:style>
  <w:style w:type="character" w:customStyle="1" w:styleId="911">
    <w:name w:val="textindent"/>
    <w:qFormat/>
    <w:uiPriority w:val="0"/>
  </w:style>
  <w:style w:type="character" w:customStyle="1" w:styleId="912">
    <w:name w:val="textpt9"/>
    <w:qFormat/>
    <w:uiPriority w:val="0"/>
  </w:style>
  <w:style w:type="character" w:customStyle="1" w:styleId="913">
    <w:name w:val="text-s1"/>
    <w:qFormat/>
    <w:uiPriority w:val="0"/>
    <w:rPr>
      <w:sz w:val="20"/>
      <w:szCs w:val="20"/>
    </w:rPr>
  </w:style>
  <w:style w:type="paragraph" w:customStyle="1" w:styleId="914">
    <w:name w:val="tgt2"/>
    <w:basedOn w:val="1"/>
    <w:qFormat/>
    <w:uiPriority w:val="0"/>
    <w:pPr>
      <w:widowControl/>
      <w:adjustRightInd/>
      <w:snapToGrid/>
      <w:spacing w:after="150" w:line="360" w:lineRule="auto"/>
      <w:ind w:firstLine="0" w:firstLineChars="0"/>
      <w:jc w:val="left"/>
    </w:pPr>
    <w:rPr>
      <w:rFonts w:ascii="宋体" w:hAnsi="宋体" w:cs="宋体"/>
      <w:b/>
      <w:bCs/>
      <w:snapToGrid/>
      <w:sz w:val="36"/>
      <w:szCs w:val="36"/>
    </w:rPr>
  </w:style>
  <w:style w:type="character" w:customStyle="1" w:styleId="915">
    <w:name w:val="th_text"/>
    <w:qFormat/>
    <w:uiPriority w:val="0"/>
  </w:style>
  <w:style w:type="character" w:customStyle="1" w:styleId="916">
    <w:name w:val="time style7"/>
    <w:qFormat/>
    <w:uiPriority w:val="0"/>
  </w:style>
  <w:style w:type="character" w:customStyle="1" w:styleId="917">
    <w:name w:val="tit"/>
    <w:qFormat/>
    <w:uiPriority w:val="0"/>
  </w:style>
  <w:style w:type="character" w:customStyle="1" w:styleId="918">
    <w:name w:val="tit2"/>
    <w:qFormat/>
    <w:uiPriority w:val="0"/>
    <w:rPr>
      <w:b/>
      <w:bCs/>
      <w:sz w:val="48"/>
      <w:szCs w:val="48"/>
    </w:rPr>
  </w:style>
  <w:style w:type="character" w:customStyle="1" w:styleId="919">
    <w:name w:val="Title Char"/>
    <w:qFormat/>
    <w:locked/>
    <w:uiPriority w:val="0"/>
    <w:rPr>
      <w:rFonts w:ascii="Cambria" w:hAnsi="Cambria" w:eastAsia="宋体"/>
      <w:caps/>
      <w:color w:val="632423"/>
      <w:spacing w:val="50"/>
      <w:sz w:val="44"/>
      <w:szCs w:val="44"/>
      <w:lang w:val="en-US" w:eastAsia="en-US" w:bidi="ar-SA"/>
    </w:rPr>
  </w:style>
  <w:style w:type="character" w:customStyle="1" w:styleId="920">
    <w:name w:val="title_span3"/>
    <w:qFormat/>
    <w:uiPriority w:val="0"/>
    <w:rPr>
      <w:rFonts w:hint="default"/>
      <w:sz w:val="24"/>
      <w:szCs w:val="24"/>
    </w:rPr>
  </w:style>
  <w:style w:type="character" w:customStyle="1" w:styleId="921">
    <w:name w:val="title1"/>
    <w:qFormat/>
    <w:uiPriority w:val="0"/>
  </w:style>
  <w:style w:type="paragraph" w:customStyle="1" w:styleId="922">
    <w:name w:val="TOC 标题1"/>
    <w:basedOn w:val="3"/>
    <w:next w:val="1"/>
    <w:qFormat/>
    <w:uiPriority w:val="0"/>
    <w:pPr>
      <w:keepNext/>
      <w:keepLines/>
      <w:widowControl/>
      <w:numPr>
        <w:numId w:val="0"/>
      </w:numPr>
      <w:adjustRightInd/>
      <w:snapToGrid/>
      <w:spacing w:before="480" w:line="276" w:lineRule="auto"/>
      <w:outlineLvl w:val="9"/>
    </w:pPr>
    <w:rPr>
      <w:rFonts w:ascii="Cambria" w:hAnsi="Cambria" w:eastAsia="宋体"/>
      <w:snapToGrid/>
      <w:color w:val="365F91"/>
      <w:sz w:val="28"/>
      <w:szCs w:val="28"/>
    </w:rPr>
  </w:style>
  <w:style w:type="paragraph" w:customStyle="1" w:styleId="923">
    <w:name w:val="TOC 标题12"/>
    <w:basedOn w:val="3"/>
    <w:next w:val="1"/>
    <w:qFormat/>
    <w:uiPriority w:val="0"/>
    <w:pPr>
      <w:keepNext/>
      <w:keepLines/>
      <w:numPr>
        <w:numId w:val="0"/>
      </w:numPr>
      <w:adjustRightInd/>
      <w:snapToGrid/>
      <w:spacing w:before="480" w:afterLines="0" w:line="240" w:lineRule="auto"/>
      <w:jc w:val="both"/>
      <w:outlineLvl w:val="9"/>
    </w:pPr>
    <w:rPr>
      <w:rFonts w:ascii="Cambria" w:hAnsi="Cambria" w:eastAsia="宋体"/>
      <w:snapToGrid/>
      <w:color w:val="365F91"/>
      <w:kern w:val="2"/>
      <w:sz w:val="28"/>
      <w:szCs w:val="28"/>
    </w:rPr>
  </w:style>
  <w:style w:type="paragraph" w:customStyle="1" w:styleId="924">
    <w:name w:val="TOC 标题11"/>
    <w:basedOn w:val="3"/>
    <w:next w:val="1"/>
    <w:qFormat/>
    <w:uiPriority w:val="0"/>
    <w:pPr>
      <w:keepNext/>
      <w:keepLines/>
      <w:widowControl/>
      <w:numPr>
        <w:numId w:val="0"/>
      </w:numPr>
      <w:adjustRightInd/>
      <w:snapToGrid/>
      <w:spacing w:before="480" w:afterLines="0" w:line="276" w:lineRule="auto"/>
      <w:jc w:val="left"/>
      <w:outlineLvl w:val="9"/>
    </w:pPr>
    <w:rPr>
      <w:rFonts w:ascii="Cambria" w:hAnsi="Cambria" w:eastAsia="宋体"/>
      <w:snapToGrid/>
      <w:color w:val="365F91"/>
      <w:sz w:val="28"/>
      <w:szCs w:val="28"/>
    </w:rPr>
  </w:style>
  <w:style w:type="paragraph" w:customStyle="1" w:styleId="925">
    <w:name w:val="TOC 标题2"/>
    <w:basedOn w:val="3"/>
    <w:next w:val="1"/>
    <w:qFormat/>
    <w:uiPriority w:val="0"/>
    <w:pPr>
      <w:numPr>
        <w:numId w:val="0"/>
      </w:numPr>
      <w:pBdr>
        <w:bottom w:val="thinThickSmallGap" w:color="943634" w:sz="12" w:space="1"/>
      </w:pBdr>
      <w:adjustRightInd/>
      <w:snapToGrid/>
      <w:spacing w:before="200" w:afterLines="0" w:line="360" w:lineRule="auto"/>
      <w:outlineLvl w:val="9"/>
    </w:pPr>
    <w:rPr>
      <w:rFonts w:eastAsia="宋体"/>
      <w:b w:val="0"/>
      <w:bCs w:val="0"/>
      <w:caps/>
      <w:snapToGrid/>
      <w:spacing w:val="20"/>
      <w:sz w:val="28"/>
      <w:szCs w:val="28"/>
    </w:rPr>
  </w:style>
  <w:style w:type="character" w:customStyle="1" w:styleId="926">
    <w:name w:val="tpc_content"/>
    <w:qFormat/>
    <w:uiPriority w:val="0"/>
  </w:style>
  <w:style w:type="character" w:customStyle="1" w:styleId="927">
    <w:name w:val="tpc_content1"/>
    <w:qFormat/>
    <w:uiPriority w:val="0"/>
    <w:rPr>
      <w:sz w:val="21"/>
      <w:szCs w:val="21"/>
    </w:rPr>
  </w:style>
  <w:style w:type="character" w:customStyle="1" w:styleId="928">
    <w:name w:val="tt Char Char"/>
    <w:semiHidden/>
    <w:qFormat/>
    <w:uiPriority w:val="0"/>
    <w:rPr>
      <w:rFonts w:ascii="Times New Roman" w:hAnsi="Times New Roman" w:eastAsia="宋体" w:cs="Times New Roman"/>
      <w:sz w:val="18"/>
      <w:szCs w:val="18"/>
    </w:rPr>
  </w:style>
  <w:style w:type="character" w:customStyle="1" w:styleId="929">
    <w:name w:val="tt3"/>
    <w:qFormat/>
    <w:uiPriority w:val="0"/>
    <w:rPr>
      <w:color w:val="000000"/>
    </w:rPr>
  </w:style>
  <w:style w:type="character" w:customStyle="1" w:styleId="930">
    <w:name w:val="txt"/>
    <w:qFormat/>
    <w:uiPriority w:val="0"/>
  </w:style>
  <w:style w:type="character" w:customStyle="1" w:styleId="931">
    <w:name w:val="txt_281"/>
    <w:qFormat/>
    <w:uiPriority w:val="0"/>
    <w:rPr>
      <w:rFonts w:cs="Times New Roman"/>
    </w:rPr>
  </w:style>
  <w:style w:type="character" w:customStyle="1" w:styleId="932">
    <w:name w:val="txt1"/>
    <w:qFormat/>
    <w:uiPriority w:val="0"/>
    <w:rPr>
      <w:rFonts w:hint="eastAsia" w:ascii="宋体" w:hAnsi="宋体" w:eastAsia="宋体"/>
      <w:color w:val="003300"/>
      <w:sz w:val="20"/>
      <w:szCs w:val="20"/>
      <w:u w:val="none"/>
    </w:rPr>
  </w:style>
  <w:style w:type="character" w:customStyle="1" w:styleId="933">
    <w:name w:val="txt141"/>
    <w:semiHidden/>
    <w:qFormat/>
    <w:uiPriority w:val="0"/>
    <w:rPr>
      <w:rFonts w:hint="default" w:ascii="Arial" w:hAnsi="Arial" w:cs="Arial"/>
      <w:color w:val="000000"/>
      <w:sz w:val="21"/>
      <w:szCs w:val="21"/>
      <w:u w:val="none"/>
    </w:rPr>
  </w:style>
  <w:style w:type="character" w:customStyle="1" w:styleId="934">
    <w:name w:val="txtbreak"/>
    <w:qFormat/>
    <w:uiPriority w:val="0"/>
  </w:style>
  <w:style w:type="character" w:customStyle="1" w:styleId="935">
    <w:name w:val="unamed1"/>
    <w:qFormat/>
    <w:uiPriority w:val="0"/>
    <w:rPr>
      <w:rFonts w:cs="Times New Roman"/>
    </w:rPr>
  </w:style>
  <w:style w:type="paragraph" w:customStyle="1" w:styleId="936">
    <w:name w:val="union"/>
    <w:basedOn w:val="1"/>
    <w:qFormat/>
    <w:uiPriority w:val="0"/>
    <w:pPr>
      <w:widowControl/>
      <w:adjustRightInd/>
      <w:snapToGrid/>
      <w:spacing w:beforeAutospacing="1" w:after="100" w:afterAutospacing="1" w:line="240" w:lineRule="auto"/>
      <w:ind w:firstLine="0" w:firstLineChars="0"/>
    </w:pPr>
    <w:rPr>
      <w:rFonts w:ascii="Arial Unicode MS" w:hAnsi="Arial Unicode MS" w:eastAsia="Arial Unicode MS" w:cs="Arial Unicode MS"/>
      <w:snapToGrid/>
    </w:rPr>
  </w:style>
  <w:style w:type="character" w:customStyle="1" w:styleId="937">
    <w:name w:val="unnamed1"/>
    <w:qFormat/>
    <w:uiPriority w:val="0"/>
  </w:style>
  <w:style w:type="character" w:customStyle="1" w:styleId="938">
    <w:name w:val="unnamed11"/>
    <w:qFormat/>
    <w:uiPriority w:val="0"/>
    <w:rPr>
      <w:rFonts w:hint="eastAsia" w:ascii="宋体" w:hAnsi="宋体" w:eastAsia="宋体"/>
      <w:b/>
      <w:bCs/>
      <w:sz w:val="18"/>
      <w:szCs w:val="18"/>
    </w:rPr>
  </w:style>
  <w:style w:type="character" w:customStyle="1" w:styleId="939">
    <w:name w:val="unnamed21"/>
    <w:qFormat/>
    <w:uiPriority w:val="0"/>
    <w:rPr>
      <w:sz w:val="16"/>
      <w:szCs w:val="16"/>
    </w:rPr>
  </w:style>
  <w:style w:type="character" w:customStyle="1" w:styleId="940">
    <w:name w:val="unnamed31"/>
    <w:qFormat/>
    <w:uiPriority w:val="0"/>
    <w:rPr>
      <w:color w:val="000000"/>
      <w:sz w:val="20"/>
      <w:szCs w:val="20"/>
      <w:u w:val="none"/>
    </w:rPr>
  </w:style>
  <w:style w:type="character" w:customStyle="1" w:styleId="941">
    <w:name w:val="unnamed6"/>
    <w:qFormat/>
    <w:uiPriority w:val="0"/>
  </w:style>
  <w:style w:type="character" w:customStyle="1" w:styleId="942">
    <w:name w:val="unnamed61"/>
    <w:qFormat/>
    <w:uiPriority w:val="0"/>
    <w:rPr>
      <w:color w:val="000000"/>
      <w:sz w:val="20"/>
      <w:szCs w:val="20"/>
    </w:rPr>
  </w:style>
  <w:style w:type="character" w:customStyle="1" w:styleId="943">
    <w:name w:val="unnamed81"/>
    <w:qFormat/>
    <w:uiPriority w:val="0"/>
    <w:rPr>
      <w:color w:val="CC6633"/>
      <w:sz w:val="18"/>
      <w:szCs w:val="18"/>
    </w:rPr>
  </w:style>
  <w:style w:type="paragraph" w:customStyle="1" w:styleId="944">
    <w:name w:val="w（一）"/>
    <w:basedOn w:val="3"/>
    <w:semiHidden/>
    <w:qFormat/>
    <w:uiPriority w:val="0"/>
    <w:pPr>
      <w:numPr>
        <w:numId w:val="0"/>
      </w:numPr>
      <w:adjustRightInd/>
      <w:snapToGrid/>
      <w:spacing w:afterLines="0" w:line="240" w:lineRule="auto"/>
      <w:ind w:firstLine="200" w:firstLineChars="200"/>
      <w:jc w:val="both"/>
      <w:outlineLvl w:val="2"/>
    </w:pPr>
    <w:rPr>
      <w:rFonts w:ascii="楷体_GB2312" w:eastAsia="楷体_GB2312"/>
      <w:snapToGrid/>
      <w:sz w:val="28"/>
      <w:szCs w:val="28"/>
    </w:rPr>
  </w:style>
  <w:style w:type="character" w:customStyle="1" w:styleId="945">
    <w:name w:val="wdjh"/>
    <w:qFormat/>
    <w:uiPriority w:val="0"/>
  </w:style>
  <w:style w:type="character" w:customStyle="1" w:styleId="946">
    <w:name w:val="wen1"/>
    <w:qFormat/>
    <w:uiPriority w:val="0"/>
  </w:style>
  <w:style w:type="character" w:customStyle="1" w:styleId="947">
    <w:name w:val="word"/>
    <w:qFormat/>
    <w:uiPriority w:val="0"/>
  </w:style>
  <w:style w:type="character" w:customStyle="1" w:styleId="948">
    <w:name w:val="word1"/>
    <w:qFormat/>
    <w:uiPriority w:val="0"/>
    <w:rPr>
      <w:rFonts w:hint="default" w:ascii="ˎ̥" w:hAnsi="ˎ̥"/>
      <w:color w:val="000000"/>
      <w:sz w:val="23"/>
      <w:szCs w:val="23"/>
      <w:u w:val="none"/>
    </w:rPr>
  </w:style>
  <w:style w:type="paragraph" w:customStyle="1" w:styleId="949">
    <w:name w:val="WPS Plain"/>
    <w:qFormat/>
    <w:uiPriority w:val="0"/>
    <w:rPr>
      <w:rFonts w:ascii="Times New Roman" w:hAnsi="Times New Roman" w:eastAsia="宋体" w:cs="Times New Roman"/>
      <w:lang w:val="en-US" w:eastAsia="zh-CN" w:bidi="ar-SA"/>
    </w:rPr>
  </w:style>
  <w:style w:type="paragraph" w:customStyle="1" w:styleId="950">
    <w:name w:val="wtext"/>
    <w:basedOn w:val="1"/>
    <w:qFormat/>
    <w:uiPriority w:val="0"/>
    <w:pPr>
      <w:widowControl/>
      <w:snapToGrid/>
      <w:spacing w:beforeAutospacing="1" w:after="100" w:afterAutospacing="1" w:line="312" w:lineRule="atLeast"/>
      <w:ind w:firstLine="480" w:firstLineChars="0"/>
      <w:textAlignment w:val="baseline"/>
    </w:pPr>
    <w:rPr>
      <w:snapToGrid/>
      <w:color w:val="000000"/>
      <w:sz w:val="22"/>
      <w:szCs w:val="22"/>
    </w:rPr>
  </w:style>
  <w:style w:type="paragraph" w:customStyle="1" w:styleId="951">
    <w:name w:val="www"/>
    <w:basedOn w:val="1"/>
    <w:qFormat/>
    <w:uiPriority w:val="0"/>
    <w:pPr>
      <w:widowControl/>
      <w:adjustRightInd/>
      <w:snapToGrid/>
      <w:spacing w:beforeAutospacing="1" w:after="100" w:afterAutospacing="1" w:line="240" w:lineRule="auto"/>
      <w:ind w:firstLine="0" w:firstLineChars="0"/>
    </w:pPr>
    <w:rPr>
      <w:rFonts w:ascii="宋体" w:hAnsi="宋体" w:cs="宋体"/>
      <w:snapToGrid/>
    </w:rPr>
  </w:style>
  <w:style w:type="character" w:customStyle="1" w:styleId="952">
    <w:name w:val="wz141"/>
    <w:qFormat/>
    <w:uiPriority w:val="0"/>
    <w:rPr>
      <w:rFonts w:hint="default" w:ascii="Arial" w:hAnsi="Arial" w:cs="Arial"/>
      <w:color w:val="245182"/>
      <w:sz w:val="21"/>
      <w:szCs w:val="21"/>
    </w:rPr>
  </w:style>
  <w:style w:type="paragraph" w:customStyle="1" w:styleId="953">
    <w:name w:val="w正文"/>
    <w:basedOn w:val="1"/>
    <w:qFormat/>
    <w:uiPriority w:val="0"/>
    <w:pPr>
      <w:adjustRightInd/>
      <w:snapToGrid/>
      <w:spacing w:line="360" w:lineRule="auto"/>
      <w:ind w:firstLine="496"/>
    </w:pPr>
    <w:rPr>
      <w:snapToGrid/>
      <w:spacing w:val="4"/>
      <w:kern w:val="2"/>
      <w:szCs w:val="20"/>
    </w:rPr>
  </w:style>
  <w:style w:type="paragraph" w:customStyle="1" w:styleId="954">
    <w:name w:val="w正文1"/>
    <w:basedOn w:val="953"/>
    <w:qFormat/>
    <w:uiPriority w:val="0"/>
    <w:pPr>
      <w:ind w:firstLine="0" w:firstLineChars="0"/>
    </w:pPr>
  </w:style>
  <w:style w:type="paragraph" w:customStyle="1" w:styleId="955">
    <w:name w:val="x1"/>
    <w:basedOn w:val="1"/>
    <w:qFormat/>
    <w:uiPriority w:val="0"/>
    <w:pPr>
      <w:adjustRightInd/>
      <w:snapToGrid/>
      <w:spacing w:line="240" w:lineRule="auto"/>
      <w:ind w:firstLine="0" w:firstLineChars="0"/>
      <w:jc w:val="center"/>
    </w:pPr>
    <w:rPr>
      <w:snapToGrid/>
      <w:kern w:val="2"/>
      <w:sz w:val="15"/>
      <w:szCs w:val="20"/>
    </w:rPr>
  </w:style>
  <w:style w:type="character" w:customStyle="1" w:styleId="956">
    <w:name w:val="x2"/>
    <w:qFormat/>
    <w:uiPriority w:val="0"/>
    <w:rPr>
      <w:color w:val="000000"/>
      <w:sz w:val="16"/>
      <w:szCs w:val="16"/>
    </w:rPr>
  </w:style>
  <w:style w:type="paragraph" w:customStyle="1" w:styleId="957">
    <w:name w:val="XCHG论文节"/>
    <w:basedOn w:val="1"/>
    <w:qFormat/>
    <w:uiPriority w:val="0"/>
    <w:pPr>
      <w:adjustRightInd/>
      <w:snapToGrid/>
      <w:spacing w:beforeLines="100" w:afterLines="100" w:line="240" w:lineRule="auto"/>
      <w:ind w:firstLine="0" w:firstLineChars="0"/>
    </w:pPr>
    <w:rPr>
      <w:rFonts w:ascii="方正姚体" w:eastAsia="方正姚体"/>
      <w:b/>
      <w:bCs/>
      <w:snapToGrid/>
      <w:kern w:val="2"/>
      <w:sz w:val="36"/>
    </w:rPr>
  </w:style>
  <w:style w:type="paragraph" w:customStyle="1" w:styleId="958">
    <w:name w:val="XCHG论文正文"/>
    <w:basedOn w:val="1"/>
    <w:qFormat/>
    <w:uiPriority w:val="0"/>
    <w:pPr>
      <w:adjustRightInd/>
      <w:snapToGrid/>
      <w:spacing w:line="288" w:lineRule="auto"/>
      <w:ind w:firstLine="480"/>
    </w:pPr>
    <w:rPr>
      <w:snapToGrid/>
      <w:color w:val="000000"/>
      <w:kern w:val="2"/>
    </w:rPr>
  </w:style>
  <w:style w:type="paragraph" w:customStyle="1" w:styleId="959">
    <w:name w:val="XCHG论文正文 Char"/>
    <w:basedOn w:val="1"/>
    <w:qFormat/>
    <w:uiPriority w:val="0"/>
    <w:pPr>
      <w:adjustRightInd/>
      <w:snapToGrid/>
      <w:spacing w:line="288" w:lineRule="auto"/>
      <w:ind w:firstLine="480"/>
    </w:pPr>
    <w:rPr>
      <w:snapToGrid/>
      <w:color w:val="000000"/>
      <w:kern w:val="2"/>
    </w:rPr>
  </w:style>
  <w:style w:type="paragraph" w:customStyle="1" w:styleId="960">
    <w:name w:val="XCHG论文正文 Char Char Char"/>
    <w:basedOn w:val="1"/>
    <w:link w:val="961"/>
    <w:qFormat/>
    <w:uiPriority w:val="0"/>
    <w:pPr>
      <w:adjustRightInd/>
      <w:snapToGrid/>
      <w:spacing w:line="288" w:lineRule="auto"/>
      <w:ind w:firstLine="480"/>
    </w:pPr>
    <w:rPr>
      <w:snapToGrid/>
      <w:color w:val="000000"/>
    </w:rPr>
  </w:style>
  <w:style w:type="character" w:customStyle="1" w:styleId="961">
    <w:name w:val="XCHG论文正文 Char Char Char Char Char"/>
    <w:link w:val="960"/>
    <w:qFormat/>
    <w:uiPriority w:val="0"/>
    <w:rPr>
      <w:rFonts w:ascii="Times New Roman" w:hAnsi="Times New Roman" w:eastAsia="宋体" w:cs="Times New Roman"/>
      <w:color w:val="000000"/>
      <w:kern w:val="0"/>
      <w:sz w:val="26"/>
      <w:szCs w:val="24"/>
      <w14:ligatures w14:val="none"/>
    </w:rPr>
  </w:style>
  <w:style w:type="character" w:customStyle="1" w:styleId="962">
    <w:name w:val="XCHG论文正文 Char Char Char Char"/>
    <w:qFormat/>
    <w:uiPriority w:val="0"/>
    <w:rPr>
      <w:rFonts w:eastAsia="宋体"/>
      <w:color w:val="000000"/>
      <w:kern w:val="2"/>
      <w:sz w:val="24"/>
      <w:szCs w:val="24"/>
      <w:lang w:val="en-US" w:eastAsia="zh-CN" w:bidi="ar-SA"/>
    </w:rPr>
  </w:style>
  <w:style w:type="paragraph" w:customStyle="1" w:styleId="963">
    <w:name w:val="xl10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snapToGrid/>
      <w:sz w:val="18"/>
      <w:szCs w:val="18"/>
    </w:rPr>
  </w:style>
  <w:style w:type="paragraph" w:customStyle="1" w:styleId="964">
    <w:name w:val="xl10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rFonts w:ascii="宋体" w:hAnsi="宋体" w:cs="宋体"/>
      <w:snapToGrid/>
      <w:sz w:val="18"/>
      <w:szCs w:val="18"/>
    </w:rPr>
  </w:style>
  <w:style w:type="paragraph" w:customStyle="1" w:styleId="965">
    <w:name w:val="xl10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textAlignment w:val="top"/>
    </w:pPr>
    <w:rPr>
      <w:rFonts w:ascii="宋体" w:hAnsi="宋体" w:cs="宋体"/>
      <w:snapToGrid/>
      <w:sz w:val="18"/>
      <w:szCs w:val="18"/>
    </w:rPr>
  </w:style>
  <w:style w:type="paragraph" w:customStyle="1" w:styleId="966">
    <w:name w:val="xl10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b/>
      <w:bCs/>
      <w:snapToGrid/>
      <w:sz w:val="18"/>
      <w:szCs w:val="18"/>
    </w:rPr>
  </w:style>
  <w:style w:type="paragraph" w:customStyle="1" w:styleId="967">
    <w:name w:val="xl10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snapToGrid/>
      <w:color w:val="FF0000"/>
      <w:sz w:val="18"/>
      <w:szCs w:val="18"/>
    </w:rPr>
  </w:style>
  <w:style w:type="paragraph" w:customStyle="1" w:styleId="968">
    <w:name w:val="xl105"/>
    <w:basedOn w:val="1"/>
    <w:qFormat/>
    <w:uiPriority w:val="0"/>
    <w:pPr>
      <w:widowControl/>
      <w:pBdr>
        <w:bottom w:val="single" w:color="auto" w:sz="8" w:space="0"/>
        <w:right w:val="single" w:color="auto" w:sz="12" w:space="0"/>
      </w:pBdr>
      <w:adjustRightInd/>
      <w:snapToGrid/>
      <w:spacing w:beforeAutospacing="1" w:after="100" w:afterAutospacing="1" w:line="240" w:lineRule="auto"/>
      <w:ind w:firstLine="0" w:firstLineChars="0"/>
      <w:jc w:val="center"/>
    </w:pPr>
    <w:rPr>
      <w:rFonts w:ascii="楷体_GB2312" w:hAnsi="宋体" w:eastAsia="楷体_GB2312" w:cs="宋体"/>
      <w:snapToGrid/>
      <w:sz w:val="21"/>
      <w:szCs w:val="21"/>
    </w:rPr>
  </w:style>
  <w:style w:type="paragraph" w:customStyle="1" w:styleId="969">
    <w:name w:val="xl106"/>
    <w:basedOn w:val="1"/>
    <w:qFormat/>
    <w:uiPriority w:val="0"/>
    <w:pPr>
      <w:widowControl/>
      <w:pBdr>
        <w:bottom w:val="single" w:color="auto" w:sz="8" w:space="0"/>
        <w:right w:val="single" w:color="auto" w:sz="8" w:space="0"/>
      </w:pBdr>
      <w:adjustRightInd/>
      <w:snapToGrid/>
      <w:spacing w:beforeAutospacing="1" w:after="100" w:afterAutospacing="1" w:line="240" w:lineRule="auto"/>
      <w:ind w:firstLine="0" w:firstLineChars="0"/>
      <w:jc w:val="center"/>
      <w:textAlignment w:val="bottom"/>
    </w:pPr>
    <w:rPr>
      <w:rFonts w:ascii="楷体_GB2312" w:hAnsi="宋体" w:eastAsia="楷体_GB2312" w:cs="宋体"/>
      <w:snapToGrid/>
      <w:sz w:val="21"/>
      <w:szCs w:val="21"/>
    </w:rPr>
  </w:style>
  <w:style w:type="paragraph" w:customStyle="1" w:styleId="970">
    <w:name w:val="xl107"/>
    <w:basedOn w:val="1"/>
    <w:qFormat/>
    <w:uiPriority w:val="0"/>
    <w:pPr>
      <w:widowControl/>
      <w:pBdr>
        <w:bottom w:val="single" w:color="auto" w:sz="8" w:space="0"/>
      </w:pBdr>
      <w:adjustRightInd/>
      <w:snapToGrid/>
      <w:spacing w:beforeAutospacing="1" w:after="100" w:afterAutospacing="1" w:line="240" w:lineRule="auto"/>
      <w:ind w:firstLine="0" w:firstLineChars="0"/>
      <w:jc w:val="center"/>
    </w:pPr>
    <w:rPr>
      <w:rFonts w:ascii="楷体_GB2312" w:hAnsi="宋体" w:eastAsia="楷体_GB2312" w:cs="宋体"/>
      <w:snapToGrid/>
      <w:sz w:val="21"/>
      <w:szCs w:val="21"/>
    </w:rPr>
  </w:style>
  <w:style w:type="paragraph" w:customStyle="1" w:styleId="971">
    <w:name w:val="xl108"/>
    <w:basedOn w:val="1"/>
    <w:qFormat/>
    <w:uiPriority w:val="0"/>
    <w:pPr>
      <w:widowControl/>
      <w:pBdr>
        <w:bottom w:val="single" w:color="auto" w:sz="8" w:space="0"/>
        <w:right w:val="single" w:color="auto" w:sz="12" w:space="0"/>
      </w:pBdr>
      <w:adjustRightInd/>
      <w:snapToGrid/>
      <w:spacing w:beforeAutospacing="1" w:after="100" w:afterAutospacing="1" w:line="240" w:lineRule="auto"/>
      <w:ind w:firstLine="0" w:firstLineChars="0"/>
      <w:jc w:val="center"/>
    </w:pPr>
    <w:rPr>
      <w:rFonts w:ascii="楷体_GB2312" w:hAnsi="宋体" w:eastAsia="楷体_GB2312" w:cs="宋体"/>
      <w:b/>
      <w:bCs/>
      <w:snapToGrid/>
      <w:sz w:val="21"/>
      <w:szCs w:val="21"/>
    </w:rPr>
  </w:style>
  <w:style w:type="paragraph" w:customStyle="1" w:styleId="972">
    <w:name w:val="xl109"/>
    <w:basedOn w:val="1"/>
    <w:qFormat/>
    <w:uiPriority w:val="0"/>
    <w:pPr>
      <w:widowControl/>
      <w:pBdr>
        <w:bottom w:val="single" w:color="auto" w:sz="8" w:space="0"/>
        <w:right w:val="single" w:color="auto" w:sz="8" w:space="0"/>
      </w:pBdr>
      <w:adjustRightInd/>
      <w:snapToGrid/>
      <w:spacing w:beforeAutospacing="1" w:after="100" w:afterAutospacing="1" w:line="240" w:lineRule="auto"/>
      <w:ind w:firstLine="0" w:firstLineChars="0"/>
      <w:jc w:val="center"/>
    </w:pPr>
    <w:rPr>
      <w:rFonts w:ascii="楷体_GB2312" w:hAnsi="宋体" w:eastAsia="楷体_GB2312" w:cs="宋体"/>
      <w:snapToGrid/>
      <w:sz w:val="21"/>
      <w:szCs w:val="21"/>
    </w:rPr>
  </w:style>
  <w:style w:type="paragraph" w:customStyle="1" w:styleId="973">
    <w:name w:val="xl110"/>
    <w:basedOn w:val="1"/>
    <w:qFormat/>
    <w:uiPriority w:val="0"/>
    <w:pPr>
      <w:widowControl/>
      <w:pBdr>
        <w:bottom w:val="single" w:color="auto" w:sz="8" w:space="0"/>
        <w:right w:val="single" w:color="auto" w:sz="8" w:space="0"/>
      </w:pBdr>
      <w:adjustRightInd/>
      <w:snapToGrid/>
      <w:spacing w:beforeAutospacing="1" w:after="100" w:afterAutospacing="1" w:line="240" w:lineRule="auto"/>
      <w:ind w:firstLine="0" w:firstLineChars="0"/>
      <w:jc w:val="center"/>
    </w:pPr>
    <w:rPr>
      <w:rFonts w:ascii="楷体_GB2312" w:hAnsi="宋体" w:eastAsia="楷体_GB2312" w:cs="宋体"/>
      <w:b/>
      <w:bCs/>
      <w:snapToGrid/>
      <w:sz w:val="21"/>
      <w:szCs w:val="21"/>
    </w:rPr>
  </w:style>
  <w:style w:type="paragraph" w:customStyle="1" w:styleId="974">
    <w:name w:val="xl111"/>
    <w:basedOn w:val="1"/>
    <w:qFormat/>
    <w:uiPriority w:val="0"/>
    <w:pPr>
      <w:widowControl/>
      <w:pBdr>
        <w:bottom w:val="single" w:color="auto" w:sz="12" w:space="0"/>
        <w:right w:val="single" w:color="auto" w:sz="8" w:space="0"/>
      </w:pBdr>
      <w:adjustRightInd/>
      <w:snapToGrid/>
      <w:spacing w:beforeAutospacing="1" w:after="100" w:afterAutospacing="1" w:line="240" w:lineRule="auto"/>
      <w:ind w:firstLine="0" w:firstLineChars="0"/>
      <w:jc w:val="center"/>
    </w:pPr>
    <w:rPr>
      <w:rFonts w:ascii="楷体_GB2312" w:hAnsi="宋体" w:eastAsia="楷体_GB2312" w:cs="宋体"/>
      <w:b/>
      <w:bCs/>
      <w:snapToGrid/>
      <w:sz w:val="21"/>
      <w:szCs w:val="21"/>
    </w:rPr>
  </w:style>
  <w:style w:type="paragraph" w:customStyle="1" w:styleId="975">
    <w:name w:val="xl112"/>
    <w:basedOn w:val="1"/>
    <w:qFormat/>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黑体" w:hAnsi="宋体" w:eastAsia="黑体" w:cs="宋体"/>
      <w:snapToGrid/>
      <w:color w:val="0000FF"/>
      <w:sz w:val="18"/>
      <w:szCs w:val="18"/>
    </w:rPr>
  </w:style>
  <w:style w:type="paragraph" w:customStyle="1" w:styleId="976">
    <w:name w:val="xl113"/>
    <w:basedOn w:val="1"/>
    <w:qFormat/>
    <w:uiPriority w:val="0"/>
    <w:pPr>
      <w:widowControl/>
      <w:pBdr>
        <w:top w:val="single" w:color="auto" w:sz="4" w:space="0"/>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黑体" w:hAnsi="宋体" w:eastAsia="黑体" w:cs="宋体"/>
      <w:snapToGrid/>
      <w:color w:val="000000"/>
      <w:sz w:val="18"/>
      <w:szCs w:val="18"/>
    </w:rPr>
  </w:style>
  <w:style w:type="paragraph" w:customStyle="1" w:styleId="977">
    <w:name w:val="xl114"/>
    <w:basedOn w:val="1"/>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黑体" w:hAnsi="宋体" w:eastAsia="黑体" w:cs="宋体"/>
      <w:snapToGrid/>
      <w:color w:val="000000"/>
      <w:sz w:val="18"/>
      <w:szCs w:val="18"/>
    </w:rPr>
  </w:style>
  <w:style w:type="paragraph" w:customStyle="1" w:styleId="978">
    <w:name w:val="xl115"/>
    <w:basedOn w:val="1"/>
    <w:qFormat/>
    <w:uiPriority w:val="0"/>
    <w:pPr>
      <w:widowControl/>
      <w:pBdr>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黑体" w:hAnsi="宋体" w:eastAsia="黑体" w:cs="宋体"/>
      <w:snapToGrid/>
      <w:color w:val="000000"/>
      <w:sz w:val="18"/>
      <w:szCs w:val="18"/>
    </w:rPr>
  </w:style>
  <w:style w:type="paragraph" w:customStyle="1" w:styleId="979">
    <w:name w:val="xl116"/>
    <w:basedOn w:val="1"/>
    <w:qFormat/>
    <w:uiPriority w:val="0"/>
    <w:pPr>
      <w:widowControl/>
      <w:pBdr>
        <w:top w:val="single" w:color="auto" w:sz="4" w:space="0"/>
        <w:left w:val="single" w:color="auto" w:sz="4" w:space="0"/>
        <w:bottom w:val="single" w:color="auto" w:sz="8" w:space="0"/>
        <w:right w:val="single" w:color="auto" w:sz="4" w:space="0"/>
      </w:pBdr>
      <w:adjustRightInd/>
      <w:snapToGrid/>
      <w:spacing w:beforeAutospacing="1" w:after="100" w:afterAutospacing="1" w:line="240" w:lineRule="auto"/>
      <w:ind w:firstLine="0" w:firstLineChars="0"/>
      <w:jc w:val="center"/>
    </w:pPr>
    <w:rPr>
      <w:rFonts w:ascii="Arial Unicode MS" w:hAnsi="Arial Unicode MS"/>
      <w:snapToGrid/>
      <w:sz w:val="20"/>
      <w:szCs w:val="20"/>
    </w:rPr>
  </w:style>
  <w:style w:type="paragraph" w:customStyle="1" w:styleId="980">
    <w:name w:val="xl117"/>
    <w:basedOn w:val="1"/>
    <w:qFormat/>
    <w:uiPriority w:val="0"/>
    <w:pPr>
      <w:widowControl/>
      <w:adjustRightInd/>
      <w:snapToGrid/>
      <w:spacing w:beforeAutospacing="1" w:after="100" w:afterAutospacing="1" w:line="240" w:lineRule="auto"/>
      <w:ind w:firstLine="0" w:firstLineChars="0"/>
    </w:pPr>
    <w:rPr>
      <w:rFonts w:ascii="Arial Unicode MS" w:hAnsi="Arial Unicode MS"/>
      <w:snapToGrid/>
      <w:sz w:val="20"/>
      <w:szCs w:val="20"/>
    </w:rPr>
  </w:style>
  <w:style w:type="paragraph" w:customStyle="1" w:styleId="981">
    <w:name w:val="xl118"/>
    <w:basedOn w:val="1"/>
    <w:qFormat/>
    <w:uiPriority w:val="0"/>
    <w:pPr>
      <w:widowControl/>
      <w:pBdr>
        <w:top w:val="single" w:color="auto" w:sz="4" w:space="0"/>
        <w:left w:val="single" w:color="auto" w:sz="8" w:space="0"/>
        <w:bottom w:val="single" w:color="auto" w:sz="4" w:space="0"/>
        <w:right w:val="single" w:color="auto" w:sz="4" w:space="0"/>
      </w:pBdr>
      <w:adjustRightInd/>
      <w:snapToGrid/>
      <w:spacing w:beforeAutospacing="1" w:after="100" w:afterAutospacing="1" w:line="240" w:lineRule="auto"/>
      <w:ind w:firstLine="0" w:firstLineChars="0"/>
    </w:pPr>
    <w:rPr>
      <w:rFonts w:ascii="Arial Unicode MS" w:hAnsi="Arial Unicode MS"/>
      <w:snapToGrid/>
      <w:sz w:val="20"/>
      <w:szCs w:val="20"/>
    </w:rPr>
  </w:style>
  <w:style w:type="paragraph" w:customStyle="1" w:styleId="982">
    <w:name w:val="xl119"/>
    <w:basedOn w:val="1"/>
    <w:qFormat/>
    <w:uiPriority w:val="0"/>
    <w:pPr>
      <w:widowControl/>
      <w:pBdr>
        <w:top w:val="single" w:color="auto" w:sz="4" w:space="0"/>
        <w:left w:val="single" w:color="auto" w:sz="8" w:space="0"/>
        <w:bottom w:val="single" w:color="auto" w:sz="8" w:space="0"/>
        <w:right w:val="single" w:color="auto" w:sz="4" w:space="0"/>
      </w:pBdr>
      <w:adjustRightInd/>
      <w:snapToGrid/>
      <w:spacing w:beforeAutospacing="1" w:after="100" w:afterAutospacing="1" w:line="240" w:lineRule="auto"/>
      <w:ind w:firstLine="0" w:firstLineChars="0"/>
    </w:pPr>
    <w:rPr>
      <w:rFonts w:ascii="Arial Unicode MS" w:hAnsi="Arial Unicode MS"/>
      <w:snapToGrid/>
      <w:sz w:val="20"/>
      <w:szCs w:val="20"/>
    </w:rPr>
  </w:style>
  <w:style w:type="paragraph" w:customStyle="1" w:styleId="983">
    <w:name w:val="xl120"/>
    <w:basedOn w:val="1"/>
    <w:qFormat/>
    <w:uiPriority w:val="0"/>
    <w:pPr>
      <w:widowControl/>
      <w:pBdr>
        <w:bottom w:val="single" w:color="auto" w:sz="4" w:space="0"/>
      </w:pBdr>
      <w:adjustRightInd/>
      <w:snapToGrid/>
      <w:spacing w:beforeAutospacing="1" w:after="100" w:afterAutospacing="1" w:line="240" w:lineRule="auto"/>
      <w:ind w:firstLine="0" w:firstLineChars="0"/>
    </w:pPr>
    <w:rPr>
      <w:rFonts w:ascii="Arial Unicode MS" w:hAnsi="Arial Unicode MS"/>
      <w:snapToGrid/>
      <w:sz w:val="20"/>
      <w:szCs w:val="20"/>
    </w:rPr>
  </w:style>
  <w:style w:type="paragraph" w:customStyle="1" w:styleId="984">
    <w:name w:val="xl12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pPr>
    <w:rPr>
      <w:rFonts w:ascii="Arial Unicode MS" w:hAnsi="Arial Unicode MS"/>
      <w:snapToGrid/>
      <w:sz w:val="20"/>
      <w:szCs w:val="20"/>
    </w:rPr>
  </w:style>
  <w:style w:type="paragraph" w:customStyle="1" w:styleId="985">
    <w:name w:val="xl122"/>
    <w:basedOn w:val="1"/>
    <w:qFormat/>
    <w:uiPriority w:val="0"/>
    <w:pPr>
      <w:widowControl/>
      <w:pBdr>
        <w:top w:val="single" w:color="auto" w:sz="4" w:space="0"/>
        <w:bottom w:val="single" w:color="auto" w:sz="4" w:space="0"/>
      </w:pBdr>
      <w:adjustRightInd/>
      <w:snapToGrid/>
      <w:spacing w:beforeAutospacing="1" w:after="100" w:afterAutospacing="1" w:line="240" w:lineRule="auto"/>
      <w:ind w:firstLine="0" w:firstLineChars="0"/>
      <w:jc w:val="right"/>
    </w:pPr>
    <w:rPr>
      <w:rFonts w:ascii="Arial Unicode MS" w:hAnsi="Arial Unicode MS"/>
      <w:snapToGrid/>
      <w:sz w:val="20"/>
      <w:szCs w:val="20"/>
    </w:rPr>
  </w:style>
  <w:style w:type="paragraph" w:customStyle="1" w:styleId="986">
    <w:name w:val="xl123"/>
    <w:basedOn w:val="1"/>
    <w:qFormat/>
    <w:uiPriority w:val="0"/>
    <w:pPr>
      <w:widowControl/>
      <w:pBdr>
        <w:top w:val="single" w:color="auto" w:sz="4" w:space="0"/>
        <w:left w:val="single" w:color="auto" w:sz="4" w:space="0"/>
        <w:bottom w:val="single" w:color="auto" w:sz="8" w:space="0"/>
        <w:right w:val="single" w:color="auto" w:sz="4" w:space="0"/>
      </w:pBdr>
      <w:adjustRightInd/>
      <w:snapToGrid/>
      <w:spacing w:beforeAutospacing="1" w:after="100" w:afterAutospacing="1" w:line="240" w:lineRule="auto"/>
      <w:ind w:firstLine="0" w:firstLineChars="0"/>
      <w:jc w:val="center"/>
    </w:pPr>
    <w:rPr>
      <w:rFonts w:ascii="Arial Unicode MS" w:hAnsi="Arial Unicode MS"/>
      <w:snapToGrid/>
      <w:sz w:val="20"/>
      <w:szCs w:val="20"/>
    </w:rPr>
  </w:style>
  <w:style w:type="paragraph" w:customStyle="1" w:styleId="987">
    <w:name w:val="xl124"/>
    <w:basedOn w:val="1"/>
    <w:qFormat/>
    <w:uiPriority w:val="0"/>
    <w:pPr>
      <w:widowControl/>
      <w:pBdr>
        <w:top w:val="single" w:color="auto" w:sz="4" w:space="0"/>
        <w:bottom w:val="single" w:color="auto" w:sz="8" w:space="0"/>
      </w:pBdr>
      <w:adjustRightInd/>
      <w:snapToGrid/>
      <w:spacing w:beforeAutospacing="1" w:after="100" w:afterAutospacing="1" w:line="240" w:lineRule="auto"/>
      <w:ind w:firstLine="0" w:firstLineChars="0"/>
    </w:pPr>
    <w:rPr>
      <w:rFonts w:ascii="Arial Unicode MS" w:hAnsi="Arial Unicode MS"/>
      <w:snapToGrid/>
      <w:sz w:val="20"/>
      <w:szCs w:val="20"/>
    </w:rPr>
  </w:style>
  <w:style w:type="paragraph" w:customStyle="1" w:styleId="988">
    <w:name w:val="xl125"/>
    <w:basedOn w:val="1"/>
    <w:qFormat/>
    <w:uiPriority w:val="0"/>
    <w:pPr>
      <w:widowControl/>
      <w:pBdr>
        <w:top w:val="single" w:color="auto" w:sz="4" w:space="0"/>
        <w:left w:val="single" w:color="auto" w:sz="4" w:space="0"/>
        <w:bottom w:val="single" w:color="auto" w:sz="8" w:space="0"/>
      </w:pBdr>
      <w:adjustRightInd/>
      <w:snapToGrid/>
      <w:spacing w:beforeAutospacing="1" w:after="100" w:afterAutospacing="1" w:line="240" w:lineRule="auto"/>
      <w:ind w:firstLine="0" w:firstLineChars="0"/>
      <w:jc w:val="center"/>
    </w:pPr>
    <w:rPr>
      <w:rFonts w:ascii="Arial Unicode MS" w:hAnsi="Arial Unicode MS"/>
      <w:snapToGrid/>
      <w:sz w:val="20"/>
      <w:szCs w:val="20"/>
    </w:rPr>
  </w:style>
  <w:style w:type="paragraph" w:customStyle="1" w:styleId="989">
    <w:name w:val="xl126"/>
    <w:basedOn w:val="1"/>
    <w:qFormat/>
    <w:uiPriority w:val="0"/>
    <w:pPr>
      <w:widowControl/>
      <w:pBdr>
        <w:top w:val="single" w:color="auto" w:sz="4" w:space="0"/>
        <w:bottom w:val="single" w:color="auto" w:sz="8" w:space="0"/>
      </w:pBdr>
      <w:adjustRightInd/>
      <w:snapToGrid/>
      <w:spacing w:beforeAutospacing="1" w:after="100" w:afterAutospacing="1" w:line="240" w:lineRule="auto"/>
      <w:ind w:firstLine="0" w:firstLineChars="0"/>
      <w:jc w:val="center"/>
    </w:pPr>
    <w:rPr>
      <w:rFonts w:ascii="Arial Unicode MS" w:hAnsi="Arial Unicode MS"/>
      <w:snapToGrid/>
      <w:sz w:val="20"/>
      <w:szCs w:val="20"/>
    </w:rPr>
  </w:style>
  <w:style w:type="paragraph" w:customStyle="1" w:styleId="990">
    <w:name w:val="xl127"/>
    <w:basedOn w:val="1"/>
    <w:qFormat/>
    <w:uiPriority w:val="0"/>
    <w:pPr>
      <w:widowControl/>
      <w:pBdr>
        <w:top w:val="single" w:color="auto" w:sz="4" w:space="0"/>
        <w:bottom w:val="single" w:color="auto" w:sz="8" w:space="0"/>
        <w:right w:val="single" w:color="auto" w:sz="4" w:space="0"/>
      </w:pBdr>
      <w:adjustRightInd/>
      <w:snapToGrid/>
      <w:spacing w:beforeAutospacing="1" w:after="100" w:afterAutospacing="1" w:line="240" w:lineRule="auto"/>
      <w:ind w:firstLine="0" w:firstLineChars="0"/>
      <w:jc w:val="center"/>
    </w:pPr>
    <w:rPr>
      <w:rFonts w:ascii="Arial Unicode MS" w:hAnsi="Arial Unicode MS"/>
      <w:snapToGrid/>
      <w:sz w:val="20"/>
      <w:szCs w:val="20"/>
    </w:rPr>
  </w:style>
  <w:style w:type="paragraph" w:customStyle="1" w:styleId="991">
    <w:name w:val="xl128"/>
    <w:basedOn w:val="1"/>
    <w:qFormat/>
    <w:uiPriority w:val="0"/>
    <w:pPr>
      <w:widowControl/>
      <w:pBdr>
        <w:top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rFonts w:ascii="Arial Unicode MS" w:hAnsi="Arial Unicode MS"/>
      <w:snapToGrid/>
      <w:sz w:val="20"/>
      <w:szCs w:val="20"/>
    </w:rPr>
  </w:style>
  <w:style w:type="paragraph" w:customStyle="1" w:styleId="992">
    <w:name w:val="xl129"/>
    <w:basedOn w:val="1"/>
    <w:qFormat/>
    <w:uiPriority w:val="0"/>
    <w:pPr>
      <w:widowControl/>
      <w:pBdr>
        <w:top w:val="single" w:color="auto" w:sz="8" w:space="0"/>
        <w:bottom w:val="single" w:color="auto" w:sz="4" w:space="0"/>
      </w:pBdr>
      <w:adjustRightInd/>
      <w:snapToGrid/>
      <w:spacing w:beforeAutospacing="1" w:after="100" w:afterAutospacing="1" w:line="240" w:lineRule="auto"/>
      <w:ind w:firstLine="0" w:firstLineChars="0"/>
      <w:jc w:val="center"/>
    </w:pPr>
    <w:rPr>
      <w:rFonts w:ascii="Arial Unicode MS" w:hAnsi="Arial Unicode MS"/>
      <w:snapToGrid/>
      <w:sz w:val="20"/>
      <w:szCs w:val="20"/>
    </w:rPr>
  </w:style>
  <w:style w:type="paragraph" w:customStyle="1" w:styleId="993">
    <w:name w:val="xl130"/>
    <w:basedOn w:val="1"/>
    <w:qFormat/>
    <w:uiPriority w:val="0"/>
    <w:pPr>
      <w:widowControl/>
      <w:pBdr>
        <w:top w:val="single" w:color="auto" w:sz="4" w:space="0"/>
        <w:bottom w:val="single" w:color="auto" w:sz="4" w:space="0"/>
      </w:pBdr>
      <w:shd w:val="clear" w:color="auto" w:fill="FFFFFF"/>
      <w:adjustRightInd/>
      <w:snapToGrid/>
      <w:spacing w:beforeAutospacing="1" w:after="100" w:afterAutospacing="1" w:line="240" w:lineRule="auto"/>
      <w:ind w:firstLine="0" w:firstLineChars="0"/>
    </w:pPr>
    <w:rPr>
      <w:rFonts w:ascii="宋体" w:hAnsi="宋体" w:cs="宋体"/>
      <w:snapToGrid/>
    </w:rPr>
  </w:style>
  <w:style w:type="paragraph" w:customStyle="1" w:styleId="994">
    <w:name w:val="xl131"/>
    <w:basedOn w:val="1"/>
    <w:qFormat/>
    <w:uiPriority w:val="0"/>
    <w:pPr>
      <w:widowControl/>
      <w:pBdr>
        <w:top w:val="single" w:color="auto" w:sz="4" w:space="0"/>
        <w:left w:val="single" w:color="auto" w:sz="8"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995">
    <w:name w:val="xl132"/>
    <w:basedOn w:val="1"/>
    <w:qFormat/>
    <w:uiPriority w:val="0"/>
    <w:pPr>
      <w:widowControl/>
      <w:pBdr>
        <w:top w:val="single" w:color="auto" w:sz="4" w:space="0"/>
        <w:left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996">
    <w:name w:val="xl133"/>
    <w:basedOn w:val="1"/>
    <w:qFormat/>
    <w:uiPriority w:val="0"/>
    <w:pPr>
      <w:widowControl/>
      <w:pBdr>
        <w:top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997">
    <w:name w:val="xl134"/>
    <w:basedOn w:val="1"/>
    <w:qFormat/>
    <w:uiPriority w:val="0"/>
    <w:pPr>
      <w:widowControl/>
      <w:pBdr>
        <w:top w:val="single" w:color="auto" w:sz="4" w:space="0"/>
      </w:pBdr>
      <w:shd w:val="clear" w:color="auto" w:fill="FFFFFF"/>
      <w:adjustRightInd/>
      <w:snapToGrid/>
      <w:spacing w:beforeAutospacing="1" w:after="100" w:afterAutospacing="1" w:line="240" w:lineRule="auto"/>
      <w:ind w:firstLine="0" w:firstLineChars="0"/>
    </w:pPr>
    <w:rPr>
      <w:rFonts w:ascii="宋体" w:hAnsi="宋体" w:cs="宋体"/>
      <w:snapToGrid/>
      <w:sz w:val="22"/>
      <w:szCs w:val="22"/>
    </w:rPr>
  </w:style>
  <w:style w:type="paragraph" w:customStyle="1" w:styleId="998">
    <w:name w:val="xl1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textAlignment w:val="center"/>
    </w:pPr>
    <w:rPr>
      <w:rFonts w:ascii="宋体" w:hAnsi="宋体" w:cs="宋体"/>
      <w:snapToGrid/>
    </w:rPr>
  </w:style>
  <w:style w:type="paragraph" w:customStyle="1" w:styleId="999">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pPr>
    <w:rPr>
      <w:rFonts w:ascii="宋体" w:hAnsi="宋体" w:cs="宋体"/>
      <w:snapToGrid/>
    </w:rPr>
  </w:style>
  <w:style w:type="paragraph" w:customStyle="1" w:styleId="1000">
    <w:name w:val="xl137"/>
    <w:basedOn w:val="1"/>
    <w:qFormat/>
    <w:uiPriority w:val="0"/>
    <w:pPr>
      <w:widowControl/>
      <w:pBdr>
        <w:top w:val="single" w:color="auto" w:sz="4" w:space="0"/>
        <w:left w:val="single" w:color="auto" w:sz="4" w:space="0"/>
        <w:bottom w:val="single" w:color="auto" w:sz="8" w:space="0"/>
        <w:right w:val="single" w:color="auto" w:sz="4" w:space="0"/>
      </w:pBdr>
      <w:shd w:val="clear" w:color="auto" w:fill="FFFFFF"/>
      <w:adjustRightInd/>
      <w:snapToGrid/>
      <w:spacing w:beforeAutospacing="1" w:after="100" w:afterAutospacing="1" w:line="240" w:lineRule="auto"/>
      <w:ind w:firstLine="0" w:firstLineChars="0"/>
      <w:textAlignment w:val="center"/>
    </w:pPr>
    <w:rPr>
      <w:rFonts w:ascii="宋体" w:hAnsi="宋体" w:cs="宋体"/>
      <w:snapToGrid/>
    </w:rPr>
  </w:style>
  <w:style w:type="paragraph" w:customStyle="1" w:styleId="1001">
    <w:name w:val="xl138"/>
    <w:basedOn w:val="1"/>
    <w:qFormat/>
    <w:uiPriority w:val="0"/>
    <w:pPr>
      <w:widowControl/>
      <w:pBdr>
        <w:top w:val="single" w:color="auto" w:sz="4" w:space="0"/>
        <w:left w:val="single" w:color="auto" w:sz="4" w:space="0"/>
        <w:bottom w:val="single" w:color="auto" w:sz="8" w:space="0"/>
        <w:right w:val="single" w:color="auto" w:sz="4" w:space="0"/>
      </w:pBdr>
      <w:shd w:val="clear" w:color="auto" w:fill="FFFFFF"/>
      <w:adjustRightInd/>
      <w:snapToGrid/>
      <w:spacing w:beforeAutospacing="1" w:after="100" w:afterAutospacing="1" w:line="240" w:lineRule="auto"/>
      <w:ind w:firstLine="0" w:firstLineChars="0"/>
    </w:pPr>
    <w:rPr>
      <w:rFonts w:ascii="宋体" w:hAnsi="宋体" w:cs="宋体"/>
      <w:snapToGrid/>
    </w:rPr>
  </w:style>
  <w:style w:type="paragraph" w:customStyle="1" w:styleId="1002">
    <w:name w:val="xl139"/>
    <w:basedOn w:val="1"/>
    <w:qFormat/>
    <w:uiPriority w:val="0"/>
    <w:pPr>
      <w:widowControl/>
      <w:pBdr>
        <w:top w:val="single" w:color="auto" w:sz="4" w:space="0"/>
      </w:pBdr>
      <w:shd w:val="clear" w:color="auto" w:fill="FFFFFF"/>
      <w:adjustRightInd/>
      <w:snapToGrid/>
      <w:spacing w:beforeAutospacing="1" w:after="100" w:afterAutospacing="1" w:line="240" w:lineRule="auto"/>
      <w:ind w:firstLine="0" w:firstLineChars="0"/>
      <w:textAlignment w:val="center"/>
    </w:pPr>
    <w:rPr>
      <w:rFonts w:ascii="宋体" w:hAnsi="宋体" w:cs="宋体"/>
      <w:snapToGrid/>
      <w:sz w:val="22"/>
      <w:szCs w:val="22"/>
    </w:rPr>
  </w:style>
  <w:style w:type="paragraph" w:customStyle="1" w:styleId="1003">
    <w:name w:val="xl140"/>
    <w:basedOn w:val="1"/>
    <w:qFormat/>
    <w:uiPriority w:val="0"/>
    <w:pPr>
      <w:widowControl/>
      <w:pBdr>
        <w:top w:val="single" w:color="auto" w:sz="8" w:space="0"/>
        <w:left w:val="single" w:color="auto" w:sz="4" w:space="0"/>
        <w:bottom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04">
    <w:name w:val="xl141"/>
    <w:basedOn w:val="1"/>
    <w:qFormat/>
    <w:uiPriority w:val="0"/>
    <w:pPr>
      <w:widowControl/>
      <w:pBdr>
        <w:top w:val="single" w:color="auto" w:sz="8"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05">
    <w:name w:val="xl142"/>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06">
    <w:name w:val="xl143"/>
    <w:basedOn w:val="1"/>
    <w:qFormat/>
    <w:uiPriority w:val="0"/>
    <w:pPr>
      <w:widowControl/>
      <w:pBdr>
        <w:top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07">
    <w:name w:val="xl144"/>
    <w:basedOn w:val="1"/>
    <w:qFormat/>
    <w:uiPriority w:val="0"/>
    <w:pPr>
      <w:widowControl/>
      <w:pBdr>
        <w:top w:val="single" w:color="auto" w:sz="4" w:space="0"/>
        <w:left w:val="single" w:color="auto" w:sz="8"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08">
    <w:name w:val="xl1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09">
    <w:name w:val="xl146"/>
    <w:basedOn w:val="1"/>
    <w:qFormat/>
    <w:uiPriority w:val="0"/>
    <w:pPr>
      <w:widowControl/>
      <w:pBdr>
        <w:top w:val="single" w:color="auto" w:sz="8" w:space="0"/>
        <w:left w:val="single" w:color="auto" w:sz="8"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10">
    <w:name w:val="xl147"/>
    <w:basedOn w:val="1"/>
    <w:qFormat/>
    <w:uiPriority w:val="0"/>
    <w:pPr>
      <w:widowControl/>
      <w:pBdr>
        <w:top w:val="single" w:color="auto" w:sz="4" w:space="0"/>
        <w:left w:val="single" w:color="auto" w:sz="8"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pPr>
    <w:rPr>
      <w:rFonts w:ascii="宋体" w:hAnsi="宋体" w:cs="宋体"/>
      <w:snapToGrid/>
      <w:sz w:val="22"/>
      <w:szCs w:val="22"/>
    </w:rPr>
  </w:style>
  <w:style w:type="paragraph" w:customStyle="1" w:styleId="1011">
    <w:name w:val="xl148"/>
    <w:basedOn w:val="1"/>
    <w:qFormat/>
    <w:uiPriority w:val="0"/>
    <w:pPr>
      <w:widowControl/>
      <w:pBdr>
        <w:top w:val="single" w:color="auto" w:sz="8" w:space="0"/>
        <w:left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12">
    <w:name w:val="xl149"/>
    <w:basedOn w:val="1"/>
    <w:qFormat/>
    <w:uiPriority w:val="0"/>
    <w:pPr>
      <w:widowControl/>
      <w:pBdr>
        <w:top w:val="single" w:color="auto" w:sz="4" w:space="0"/>
        <w:left w:val="single" w:color="auto" w:sz="4" w:space="0"/>
        <w:bottom w:val="single" w:color="auto" w:sz="4" w:space="0"/>
        <w:right w:val="single" w:color="auto" w:sz="8" w:space="0"/>
      </w:pBdr>
      <w:shd w:val="clear" w:color="auto" w:fill="FFFFFF"/>
      <w:adjustRightInd/>
      <w:snapToGrid/>
      <w:spacing w:beforeAutospacing="1" w:after="100" w:afterAutospacing="1" w:line="240" w:lineRule="auto"/>
      <w:ind w:firstLine="0" w:firstLineChars="0"/>
      <w:textAlignment w:val="center"/>
    </w:pPr>
    <w:rPr>
      <w:rFonts w:ascii="宋体" w:hAnsi="宋体" w:cs="宋体"/>
      <w:snapToGrid/>
      <w:sz w:val="22"/>
      <w:szCs w:val="22"/>
    </w:rPr>
  </w:style>
  <w:style w:type="paragraph" w:customStyle="1" w:styleId="1013">
    <w:name w:val="xl150"/>
    <w:basedOn w:val="1"/>
    <w:qFormat/>
    <w:uiPriority w:val="0"/>
    <w:pPr>
      <w:widowControl/>
      <w:pBdr>
        <w:top w:val="single" w:color="auto" w:sz="4" w:space="0"/>
        <w:left w:val="single" w:color="auto" w:sz="4" w:space="0"/>
        <w:bottom w:val="single" w:color="auto" w:sz="4" w:space="0"/>
        <w:right w:val="single" w:color="auto" w:sz="8"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14">
    <w:name w:val="xl151"/>
    <w:basedOn w:val="1"/>
    <w:qFormat/>
    <w:uiPriority w:val="0"/>
    <w:pPr>
      <w:widowControl/>
      <w:pBdr>
        <w:top w:val="single" w:color="auto" w:sz="4" w:space="0"/>
        <w:bottom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15">
    <w:name w:val="xl152"/>
    <w:basedOn w:val="1"/>
    <w:qFormat/>
    <w:uiPriority w:val="0"/>
    <w:pPr>
      <w:widowControl/>
      <w:pBdr>
        <w:top w:val="single" w:color="auto" w:sz="4" w:space="0"/>
        <w:bottom w:val="single" w:color="auto" w:sz="4" w:space="0"/>
      </w:pBdr>
      <w:shd w:val="clear" w:color="auto" w:fill="FFFFFF"/>
      <w:adjustRightInd/>
      <w:snapToGrid/>
      <w:spacing w:beforeAutospacing="1" w:after="100" w:afterAutospacing="1" w:line="240" w:lineRule="auto"/>
      <w:ind w:firstLine="0" w:firstLineChars="0"/>
    </w:pPr>
    <w:rPr>
      <w:rFonts w:ascii="宋体" w:hAnsi="宋体" w:cs="宋体"/>
      <w:snapToGrid/>
      <w:sz w:val="22"/>
      <w:szCs w:val="22"/>
    </w:rPr>
  </w:style>
  <w:style w:type="paragraph" w:customStyle="1" w:styleId="1016">
    <w:name w:val="xl153"/>
    <w:basedOn w:val="1"/>
    <w:qFormat/>
    <w:uiPriority w:val="0"/>
    <w:pPr>
      <w:widowControl/>
      <w:pBdr>
        <w:top w:val="single" w:color="auto" w:sz="4" w:space="0"/>
        <w:bottom w:val="single" w:color="auto" w:sz="4" w:space="0"/>
      </w:pBdr>
      <w:shd w:val="clear" w:color="auto" w:fill="FFFFFF"/>
      <w:adjustRightInd/>
      <w:snapToGrid/>
      <w:spacing w:beforeAutospacing="1" w:after="100" w:afterAutospacing="1" w:line="240" w:lineRule="auto"/>
      <w:ind w:firstLine="0" w:firstLineChars="0"/>
    </w:pPr>
    <w:rPr>
      <w:rFonts w:ascii="宋体" w:hAnsi="宋体" w:cs="宋体"/>
      <w:snapToGrid/>
    </w:rPr>
  </w:style>
  <w:style w:type="paragraph" w:customStyle="1" w:styleId="1017">
    <w:name w:val="xl154"/>
    <w:basedOn w:val="1"/>
    <w:qFormat/>
    <w:uiPriority w:val="0"/>
    <w:pPr>
      <w:widowControl/>
      <w:pBdr>
        <w:top w:val="single" w:color="auto" w:sz="4" w:space="0"/>
        <w:bottom w:val="single" w:color="auto" w:sz="4" w:space="0"/>
        <w:right w:val="single" w:color="auto" w:sz="8" w:space="0"/>
      </w:pBdr>
      <w:shd w:val="clear" w:color="auto" w:fill="FFFFFF"/>
      <w:adjustRightInd/>
      <w:snapToGrid/>
      <w:spacing w:beforeAutospacing="1" w:after="100" w:afterAutospacing="1" w:line="240" w:lineRule="auto"/>
      <w:ind w:firstLine="0" w:firstLineChars="0"/>
    </w:pPr>
    <w:rPr>
      <w:rFonts w:ascii="宋体" w:hAnsi="宋体" w:cs="宋体"/>
      <w:snapToGrid/>
    </w:rPr>
  </w:style>
  <w:style w:type="paragraph" w:customStyle="1" w:styleId="1018">
    <w:name w:val="xl155"/>
    <w:basedOn w:val="1"/>
    <w:qFormat/>
    <w:uiPriority w:val="0"/>
    <w:pPr>
      <w:widowControl/>
      <w:pBdr>
        <w:top w:val="single" w:color="auto" w:sz="4" w:space="0"/>
        <w:left w:val="single" w:color="auto" w:sz="4" w:space="0"/>
        <w:bottom w:val="single" w:color="auto" w:sz="8"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0"/>
      <w:szCs w:val="20"/>
    </w:rPr>
  </w:style>
  <w:style w:type="paragraph" w:customStyle="1" w:styleId="1019">
    <w:name w:val="xl156"/>
    <w:basedOn w:val="1"/>
    <w:qFormat/>
    <w:uiPriority w:val="0"/>
    <w:pPr>
      <w:widowControl/>
      <w:pBdr>
        <w:top w:val="single" w:color="auto" w:sz="4" w:space="0"/>
        <w:left w:val="single" w:color="auto" w:sz="4" w:space="0"/>
        <w:bottom w:val="single" w:color="auto" w:sz="8" w:space="0"/>
        <w:right w:val="single" w:color="auto" w:sz="8"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0"/>
      <w:szCs w:val="20"/>
    </w:rPr>
  </w:style>
  <w:style w:type="paragraph" w:customStyle="1" w:styleId="1020">
    <w:name w:val="xl157"/>
    <w:basedOn w:val="1"/>
    <w:qFormat/>
    <w:uiPriority w:val="0"/>
    <w:pPr>
      <w:widowControl/>
      <w:pBdr>
        <w:top w:val="single" w:color="auto" w:sz="8" w:space="0"/>
        <w:left w:val="single" w:color="auto" w:sz="4" w:space="0"/>
        <w:bottom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21">
    <w:name w:val="xl158"/>
    <w:basedOn w:val="1"/>
    <w:qFormat/>
    <w:uiPriority w:val="0"/>
    <w:pPr>
      <w:widowControl/>
      <w:pBdr>
        <w:top w:val="single" w:color="auto" w:sz="8"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22">
    <w:name w:val="xl159"/>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23">
    <w:name w:val="xl159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rFonts w:ascii="宋体" w:hAnsi="宋体" w:cs="宋体"/>
      <w:snapToGrid/>
      <w:sz w:val="20"/>
      <w:szCs w:val="20"/>
    </w:rPr>
  </w:style>
  <w:style w:type="paragraph" w:customStyle="1" w:styleId="1024">
    <w:name w:val="xl159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rFonts w:ascii="宋体" w:hAnsi="宋体" w:cs="宋体"/>
      <w:snapToGrid/>
      <w:sz w:val="20"/>
      <w:szCs w:val="20"/>
    </w:rPr>
  </w:style>
  <w:style w:type="paragraph" w:customStyle="1" w:styleId="1025">
    <w:name w:val="xl160"/>
    <w:basedOn w:val="1"/>
    <w:qFormat/>
    <w:uiPriority w:val="0"/>
    <w:pPr>
      <w:widowControl/>
      <w:pBdr>
        <w:top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26">
    <w:name w:val="xl161"/>
    <w:basedOn w:val="1"/>
    <w:qFormat/>
    <w:uiPriority w:val="0"/>
    <w:pPr>
      <w:widowControl/>
      <w:pBdr>
        <w:top w:val="single" w:color="auto" w:sz="8" w:space="0"/>
        <w:left w:val="single" w:color="auto" w:sz="8"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27">
    <w:name w:val="xl162"/>
    <w:basedOn w:val="1"/>
    <w:qFormat/>
    <w:uiPriority w:val="0"/>
    <w:pPr>
      <w:widowControl/>
      <w:pBdr>
        <w:top w:val="single" w:color="auto" w:sz="4" w:space="0"/>
        <w:left w:val="single" w:color="auto" w:sz="8"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pPr>
    <w:rPr>
      <w:rFonts w:ascii="宋体" w:hAnsi="宋体" w:cs="宋体"/>
      <w:snapToGrid/>
      <w:sz w:val="22"/>
      <w:szCs w:val="22"/>
    </w:rPr>
  </w:style>
  <w:style w:type="paragraph" w:customStyle="1" w:styleId="1028">
    <w:name w:val="xl163"/>
    <w:basedOn w:val="1"/>
    <w:qFormat/>
    <w:uiPriority w:val="0"/>
    <w:pPr>
      <w:widowControl/>
      <w:pBdr>
        <w:top w:val="single" w:color="auto" w:sz="8" w:space="0"/>
        <w:left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29">
    <w:name w:val="xl164"/>
    <w:basedOn w:val="1"/>
    <w:qFormat/>
    <w:uiPriority w:val="0"/>
    <w:pPr>
      <w:widowControl/>
      <w:pBdr>
        <w:top w:val="single" w:color="auto" w:sz="8" w:space="0"/>
        <w:left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30">
    <w:name w:val="xl165"/>
    <w:basedOn w:val="1"/>
    <w:qFormat/>
    <w:uiPriority w:val="0"/>
    <w:pPr>
      <w:widowControl/>
      <w:pBdr>
        <w:left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31">
    <w:name w:val="xl166"/>
    <w:basedOn w:val="1"/>
    <w:qFormat/>
    <w:uiPriority w:val="0"/>
    <w:pPr>
      <w:widowControl/>
      <w:pBdr>
        <w:top w:val="single" w:color="auto" w:sz="8" w:space="0"/>
        <w:left w:val="single" w:color="auto" w:sz="4" w:space="0"/>
        <w:right w:val="single" w:color="auto" w:sz="8"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32">
    <w:name w:val="xl167"/>
    <w:basedOn w:val="1"/>
    <w:qFormat/>
    <w:uiPriority w:val="0"/>
    <w:pPr>
      <w:widowControl/>
      <w:pBdr>
        <w:top w:val="single" w:color="auto" w:sz="8" w:space="0"/>
        <w:left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textAlignment w:val="center"/>
    </w:pPr>
    <w:rPr>
      <w:rFonts w:ascii="宋体" w:hAnsi="宋体" w:cs="宋体"/>
      <w:snapToGrid/>
      <w:sz w:val="22"/>
      <w:szCs w:val="22"/>
    </w:rPr>
  </w:style>
  <w:style w:type="paragraph" w:customStyle="1" w:styleId="1033">
    <w:name w:val="xl168"/>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Autospacing="1" w:after="100" w:afterAutospacing="1" w:line="240" w:lineRule="auto"/>
      <w:ind w:firstLine="0" w:firstLineChars="0"/>
      <w:jc w:val="right"/>
    </w:pPr>
    <w:rPr>
      <w:rFonts w:ascii="Arial Unicode MS" w:hAnsi="Arial Unicode MS" w:eastAsia="Arial Unicode MS" w:cs="Arial Unicode MS"/>
      <w:snapToGrid/>
      <w:color w:val="FF0000"/>
      <w:sz w:val="22"/>
      <w:szCs w:val="22"/>
    </w:rPr>
  </w:style>
  <w:style w:type="paragraph" w:customStyle="1" w:styleId="1034">
    <w:name w:val="xl169"/>
    <w:basedOn w:val="1"/>
    <w:qFormat/>
    <w:uiPriority w:val="0"/>
    <w:pPr>
      <w:widowControl/>
      <w:pBdr>
        <w:top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right"/>
    </w:pPr>
    <w:rPr>
      <w:rFonts w:ascii="Arial Unicode MS" w:hAnsi="Arial Unicode MS" w:eastAsia="Arial Unicode MS" w:cs="Arial Unicode MS"/>
      <w:snapToGrid/>
      <w:color w:val="FF0000"/>
      <w:sz w:val="22"/>
      <w:szCs w:val="22"/>
    </w:rPr>
  </w:style>
  <w:style w:type="paragraph" w:customStyle="1" w:styleId="1035">
    <w:name w:val="xl170"/>
    <w:basedOn w:val="1"/>
    <w:qFormat/>
    <w:uiPriority w:val="0"/>
    <w:pPr>
      <w:widowControl/>
      <w:pBdr>
        <w:top w:val="single" w:color="auto" w:sz="4" w:space="0"/>
        <w:bottom w:val="single" w:color="auto" w:sz="4" w:space="0"/>
      </w:pBdr>
      <w:shd w:val="clear" w:color="auto" w:fill="FFFFFF"/>
      <w:adjustRightInd/>
      <w:snapToGrid/>
      <w:spacing w:beforeAutospacing="1" w:after="100" w:afterAutospacing="1" w:line="240" w:lineRule="auto"/>
      <w:ind w:firstLine="0" w:firstLineChars="0"/>
      <w:jc w:val="right"/>
    </w:pPr>
    <w:rPr>
      <w:rFonts w:ascii="Arial Unicode MS" w:hAnsi="Arial Unicode MS" w:eastAsia="Arial Unicode MS" w:cs="Arial Unicode MS"/>
      <w:snapToGrid/>
      <w:color w:val="000000"/>
      <w:sz w:val="22"/>
      <w:szCs w:val="22"/>
    </w:rPr>
  </w:style>
  <w:style w:type="paragraph" w:customStyle="1" w:styleId="1036">
    <w:name w:val="xl171"/>
    <w:basedOn w:val="1"/>
    <w:qFormat/>
    <w:uiPriority w:val="0"/>
    <w:pPr>
      <w:widowControl/>
      <w:pBdr>
        <w:top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right"/>
    </w:pPr>
    <w:rPr>
      <w:rFonts w:ascii="Arial Unicode MS" w:hAnsi="Arial Unicode MS" w:eastAsia="Arial Unicode MS" w:cs="Arial Unicode MS"/>
      <w:snapToGrid/>
      <w:color w:val="FF0000"/>
      <w:sz w:val="22"/>
      <w:szCs w:val="22"/>
    </w:rPr>
  </w:style>
  <w:style w:type="paragraph" w:customStyle="1" w:styleId="1037">
    <w:name w:val="xl172"/>
    <w:basedOn w:val="1"/>
    <w:qFormat/>
    <w:uiPriority w:val="0"/>
    <w:pPr>
      <w:widowControl/>
      <w:pBdr>
        <w:top w:val="single" w:color="auto" w:sz="4" w:space="0"/>
        <w:bottom w:val="single" w:color="auto" w:sz="4" w:space="0"/>
      </w:pBdr>
      <w:shd w:val="clear" w:color="auto" w:fill="FFFFFF"/>
      <w:adjustRightInd/>
      <w:snapToGrid/>
      <w:spacing w:beforeAutospacing="1" w:after="100" w:afterAutospacing="1" w:line="240" w:lineRule="auto"/>
      <w:ind w:firstLine="0" w:firstLineChars="0"/>
      <w:jc w:val="right"/>
    </w:pPr>
    <w:rPr>
      <w:rFonts w:ascii="Arial Unicode MS" w:hAnsi="Arial Unicode MS" w:eastAsia="Arial Unicode MS" w:cs="Arial Unicode MS"/>
      <w:snapToGrid/>
      <w:color w:val="000000"/>
      <w:sz w:val="22"/>
      <w:szCs w:val="22"/>
    </w:rPr>
  </w:style>
  <w:style w:type="paragraph" w:customStyle="1" w:styleId="1038">
    <w:name w:val="xl173"/>
    <w:basedOn w:val="1"/>
    <w:qFormat/>
    <w:uiPriority w:val="0"/>
    <w:pPr>
      <w:widowControl/>
      <w:pBdr>
        <w:top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pPr>
    <w:rPr>
      <w:rFonts w:ascii="Arial Unicode MS" w:hAnsi="Arial Unicode MS" w:eastAsia="Arial Unicode MS" w:cs="Arial Unicode MS"/>
      <w:b/>
      <w:bCs/>
      <w:snapToGrid/>
      <w:color w:val="000000"/>
      <w:sz w:val="22"/>
      <w:szCs w:val="22"/>
    </w:rPr>
  </w:style>
  <w:style w:type="paragraph" w:customStyle="1" w:styleId="1039">
    <w:name w:val="xl174"/>
    <w:basedOn w:val="1"/>
    <w:qFormat/>
    <w:uiPriority w:val="0"/>
    <w:pPr>
      <w:widowControl/>
      <w:pBdr>
        <w:top w:val="single" w:color="auto" w:sz="4" w:space="0"/>
        <w:bottom w:val="single" w:color="auto" w:sz="4" w:space="0"/>
      </w:pBdr>
      <w:shd w:val="clear" w:color="auto" w:fill="FFFFFF"/>
      <w:adjustRightInd/>
      <w:snapToGrid/>
      <w:spacing w:beforeAutospacing="1" w:after="100" w:afterAutospacing="1" w:line="240" w:lineRule="auto"/>
      <w:ind w:firstLine="0" w:firstLineChars="0"/>
      <w:jc w:val="right"/>
    </w:pPr>
    <w:rPr>
      <w:rFonts w:ascii="Arial Unicode MS" w:hAnsi="Arial Unicode MS" w:eastAsia="Arial Unicode MS" w:cs="Arial Unicode MS"/>
      <w:snapToGrid/>
      <w:color w:val="000000"/>
      <w:sz w:val="22"/>
      <w:szCs w:val="22"/>
    </w:rPr>
  </w:style>
  <w:style w:type="paragraph" w:customStyle="1" w:styleId="1040">
    <w:name w:val="xl175"/>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Autospacing="1" w:after="100" w:afterAutospacing="1" w:line="240" w:lineRule="auto"/>
      <w:ind w:firstLine="0" w:firstLineChars="0"/>
      <w:jc w:val="center"/>
    </w:pPr>
    <w:rPr>
      <w:rFonts w:ascii="宋体" w:hAnsi="宋体" w:cs="宋体"/>
      <w:b/>
      <w:bCs/>
      <w:snapToGrid/>
      <w:color w:val="000000"/>
      <w:sz w:val="22"/>
      <w:szCs w:val="22"/>
    </w:rPr>
  </w:style>
  <w:style w:type="paragraph" w:customStyle="1" w:styleId="1041">
    <w:name w:val="xl176"/>
    <w:basedOn w:val="1"/>
    <w:qFormat/>
    <w:uiPriority w:val="0"/>
    <w:pPr>
      <w:widowControl/>
      <w:pBdr>
        <w:top w:val="single" w:color="auto" w:sz="4" w:space="0"/>
        <w:bottom w:val="single" w:color="auto" w:sz="4" w:space="0"/>
      </w:pBdr>
      <w:shd w:val="clear" w:color="auto" w:fill="FFFFFF"/>
      <w:adjustRightInd/>
      <w:snapToGrid/>
      <w:spacing w:beforeAutospacing="1" w:after="100" w:afterAutospacing="1" w:line="240" w:lineRule="auto"/>
      <w:ind w:firstLine="0" w:firstLineChars="0"/>
      <w:jc w:val="center"/>
    </w:pPr>
    <w:rPr>
      <w:rFonts w:ascii="宋体" w:hAnsi="宋体" w:cs="宋体"/>
      <w:b/>
      <w:bCs/>
      <w:snapToGrid/>
      <w:color w:val="000000"/>
      <w:sz w:val="22"/>
      <w:szCs w:val="22"/>
    </w:rPr>
  </w:style>
  <w:style w:type="paragraph" w:customStyle="1" w:styleId="1042">
    <w:name w:val="xl177"/>
    <w:basedOn w:val="1"/>
    <w:qFormat/>
    <w:uiPriority w:val="0"/>
    <w:pPr>
      <w:widowControl/>
      <w:pBdr>
        <w:top w:val="single" w:color="auto" w:sz="4" w:space="0"/>
        <w:bottom w:val="single" w:color="auto" w:sz="4" w:space="0"/>
        <w:right w:val="single" w:color="auto" w:sz="4" w:space="0"/>
      </w:pBdr>
      <w:shd w:val="clear" w:color="auto" w:fill="FFFFFF"/>
      <w:adjustRightInd/>
      <w:snapToGrid/>
      <w:spacing w:beforeAutospacing="1" w:after="100" w:afterAutospacing="1" w:line="240" w:lineRule="auto"/>
      <w:ind w:firstLine="0" w:firstLineChars="0"/>
      <w:jc w:val="center"/>
    </w:pPr>
    <w:rPr>
      <w:rFonts w:ascii="宋体" w:hAnsi="宋体" w:cs="宋体"/>
      <w:b/>
      <w:bCs/>
      <w:snapToGrid/>
      <w:color w:val="000000"/>
      <w:sz w:val="22"/>
      <w:szCs w:val="22"/>
    </w:rPr>
  </w:style>
  <w:style w:type="paragraph" w:customStyle="1" w:styleId="1043">
    <w:name w:val="xl18"/>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Autospacing="1" w:after="100" w:afterAutospacing="1" w:line="240" w:lineRule="auto"/>
      <w:ind w:firstLine="0" w:firstLineChars="0"/>
      <w:jc w:val="center"/>
      <w:textAlignment w:val="center"/>
    </w:pPr>
    <w:rPr>
      <w:rFonts w:ascii="楷体_GB2312" w:hAnsi="宋体" w:eastAsia="楷体_GB2312" w:cs="宋体"/>
      <w:snapToGrid/>
      <w:sz w:val="20"/>
      <w:szCs w:val="20"/>
    </w:rPr>
  </w:style>
  <w:style w:type="paragraph" w:customStyle="1" w:styleId="1044">
    <w:name w:val="xl19"/>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045">
    <w:name w:val="xl20"/>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Autospacing="1" w:after="100" w:afterAutospacing="1" w:line="240" w:lineRule="auto"/>
      <w:ind w:firstLine="0" w:firstLineChars="0"/>
      <w:textAlignment w:val="center"/>
    </w:pPr>
    <w:rPr>
      <w:snapToGrid/>
      <w:sz w:val="20"/>
      <w:szCs w:val="20"/>
    </w:rPr>
  </w:style>
  <w:style w:type="paragraph" w:customStyle="1" w:styleId="1046">
    <w:name w:val="xl21"/>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Autospacing="1" w:after="100" w:afterAutospacing="1" w:line="240" w:lineRule="auto"/>
      <w:ind w:firstLine="0" w:firstLineChars="0"/>
      <w:textAlignment w:val="center"/>
    </w:pPr>
    <w:rPr>
      <w:rFonts w:ascii="宋体" w:hAnsi="宋体" w:cs="宋体"/>
      <w:snapToGrid/>
      <w:sz w:val="20"/>
      <w:szCs w:val="20"/>
    </w:rPr>
  </w:style>
  <w:style w:type="paragraph" w:customStyle="1" w:styleId="1047">
    <w:name w:val="xl22"/>
    <w:basedOn w:val="1"/>
    <w:qFormat/>
    <w:uiPriority w:val="0"/>
    <w:pPr>
      <w:widowControl/>
      <w:spacing w:beforeAutospacing="1" w:after="100" w:afterAutospacing="1" w:line="240" w:lineRule="auto"/>
      <w:ind w:firstLine="0" w:firstLineChars="0"/>
      <w:jc w:val="center"/>
    </w:pPr>
    <w:rPr>
      <w:rFonts w:ascii="宋体" w:hAnsi="宋体"/>
      <w:snapToGrid/>
      <w:szCs w:val="22"/>
    </w:rPr>
  </w:style>
  <w:style w:type="paragraph" w:customStyle="1" w:styleId="1048">
    <w:name w:val="xl23"/>
    <w:basedOn w:val="1"/>
    <w:qFormat/>
    <w:uiPriority w:val="0"/>
    <w:pPr>
      <w:widowControl/>
      <w:spacing w:beforeAutospacing="1" w:after="100" w:afterAutospacing="1" w:line="240" w:lineRule="auto"/>
      <w:ind w:firstLine="0" w:firstLineChars="0"/>
      <w:jc w:val="center"/>
    </w:pPr>
    <w:rPr>
      <w:rFonts w:ascii="宋体" w:hAnsi="宋体"/>
      <w:snapToGrid/>
      <w:sz w:val="20"/>
      <w:szCs w:val="20"/>
    </w:rPr>
  </w:style>
  <w:style w:type="paragraph" w:customStyle="1" w:styleId="1049">
    <w:name w:val="xl24"/>
    <w:basedOn w:val="1"/>
    <w:qFormat/>
    <w:uiPriority w:val="0"/>
    <w:pPr>
      <w:widowControl/>
      <w:adjustRightInd/>
      <w:snapToGrid/>
      <w:spacing w:beforeAutospacing="1" w:after="100" w:afterAutospacing="1" w:line="240" w:lineRule="auto"/>
      <w:ind w:firstLine="0" w:firstLineChars="0"/>
      <w:jc w:val="center"/>
      <w:textAlignment w:val="center"/>
    </w:pPr>
    <w:rPr>
      <w:rFonts w:ascii="Arial Unicode MS" w:hAnsi="Arial Unicode MS" w:eastAsia="Arial Unicode MS" w:cs="Arial Unicode MS"/>
      <w:snapToGrid/>
      <w:sz w:val="22"/>
      <w:szCs w:val="22"/>
    </w:rPr>
  </w:style>
  <w:style w:type="paragraph" w:customStyle="1" w:styleId="1050">
    <w:name w:val="xl2429210"/>
    <w:basedOn w:val="1"/>
    <w:qFormat/>
    <w:uiPriority w:val="0"/>
    <w:pPr>
      <w:widowControl/>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51">
    <w:name w:val="xl2431255"/>
    <w:basedOn w:val="1"/>
    <w:qFormat/>
    <w:uiPriority w:val="0"/>
    <w:pPr>
      <w:widowControl/>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52">
    <w:name w:val="xl25"/>
    <w:basedOn w:val="1"/>
    <w:qFormat/>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textAlignment w:val="top"/>
    </w:pPr>
    <w:rPr>
      <w:rFonts w:ascii="宋体"/>
      <w:snapToGrid/>
      <w:sz w:val="21"/>
      <w:szCs w:val="21"/>
    </w:rPr>
  </w:style>
  <w:style w:type="paragraph" w:customStyle="1" w:styleId="1053">
    <w:name w:val="xl2529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54">
    <w:name w:val="xl2531255"/>
    <w:basedOn w:val="1"/>
    <w:qFormat/>
    <w:uiPriority w:val="0"/>
    <w:pPr>
      <w:widowControl/>
      <w:pBdr>
        <w:top w:val="single" w:color="auto" w:sz="4" w:space="1"/>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55">
    <w:name w:val="xl26"/>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color w:val="FF0000"/>
      <w:szCs w:val="20"/>
    </w:rPr>
  </w:style>
  <w:style w:type="paragraph" w:customStyle="1" w:styleId="1056">
    <w:name w:val="xl2629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57">
    <w:name w:val="xl2631255"/>
    <w:basedOn w:val="1"/>
    <w:qFormat/>
    <w:uiPriority w:val="0"/>
    <w:pPr>
      <w:widowControl/>
      <w:pBdr>
        <w:top w:val="single" w:color="auto" w:sz="4" w:space="1"/>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58">
    <w:name w:val="xl2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rFonts w:ascii="Arial Unicode MS" w:hAnsi="Arial Unicode MS" w:eastAsia="Arial Unicode MS"/>
      <w:snapToGrid/>
    </w:rPr>
  </w:style>
  <w:style w:type="paragraph" w:customStyle="1" w:styleId="1059">
    <w:name w:val="xl2729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60">
    <w:name w:val="xl2731255"/>
    <w:basedOn w:val="1"/>
    <w:qFormat/>
    <w:uiPriority w:val="0"/>
    <w:pPr>
      <w:widowControl/>
      <w:pBdr>
        <w:top w:val="single" w:color="auto" w:sz="4" w:space="1"/>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61">
    <w:name w:val="xl28"/>
    <w:basedOn w:val="1"/>
    <w:qFormat/>
    <w:uiPriority w:val="0"/>
    <w:pPr>
      <w:widowControl/>
      <w:adjustRightInd/>
      <w:snapToGrid/>
      <w:spacing w:beforeAutospacing="1" w:after="100" w:afterAutospacing="1" w:line="240" w:lineRule="auto"/>
      <w:ind w:firstLine="0" w:firstLineChars="0"/>
      <w:jc w:val="center"/>
    </w:pPr>
    <w:rPr>
      <w:rFonts w:ascii="Arial Unicode MS" w:hAnsi="Arial Unicode MS" w:eastAsia="Arial Unicode MS"/>
      <w:snapToGrid/>
    </w:rPr>
  </w:style>
  <w:style w:type="paragraph" w:customStyle="1" w:styleId="1062">
    <w:name w:val="xl2829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63">
    <w:name w:val="xl2831255"/>
    <w:basedOn w:val="1"/>
    <w:qFormat/>
    <w:uiPriority w:val="0"/>
    <w:pPr>
      <w:widowControl/>
      <w:pBdr>
        <w:top w:val="single" w:color="auto" w:sz="4" w:space="1"/>
        <w:left w:val="single" w:color="auto" w:sz="4" w:space="1"/>
        <w:bottom w:val="single" w:color="auto" w:sz="4" w:space="0"/>
        <w:right w:val="single" w:color="auto" w:sz="4" w:space="1"/>
      </w:pBdr>
      <w:shd w:val="clear" w:color="auto" w:fill="FFFF00"/>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64">
    <w:name w:val="xl2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22"/>
      <w:szCs w:val="22"/>
    </w:rPr>
  </w:style>
  <w:style w:type="paragraph" w:customStyle="1" w:styleId="1065">
    <w:name w:val="xl2929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66">
    <w:name w:val="xl2931255"/>
    <w:basedOn w:val="1"/>
    <w:qFormat/>
    <w:uiPriority w:val="0"/>
    <w:pPr>
      <w:widowControl/>
      <w:pBdr>
        <w:top w:val="single" w:color="auto" w:sz="4" w:space="1"/>
        <w:left w:val="single" w:color="auto" w:sz="4" w:space="1"/>
        <w:bottom w:val="single" w:color="auto" w:sz="4" w:space="0"/>
        <w:right w:val="single" w:color="auto" w:sz="4" w:space="1"/>
      </w:pBdr>
      <w:shd w:val="clear" w:color="auto" w:fill="FFFF00"/>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67">
    <w:name w:val="xl3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pPr>
    <w:rPr>
      <w:rFonts w:eastAsia="Arial Unicode MS"/>
      <w:snapToGrid/>
    </w:rPr>
  </w:style>
  <w:style w:type="paragraph" w:customStyle="1" w:styleId="1068">
    <w:name w:val="xl3029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69">
    <w:name w:val="xl3031255"/>
    <w:basedOn w:val="1"/>
    <w:qFormat/>
    <w:uiPriority w:val="0"/>
    <w:pPr>
      <w:widowControl/>
      <w:pBdr>
        <w:top w:val="single" w:color="auto" w:sz="4" w:space="1"/>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70">
    <w:name w:val="xl31"/>
    <w:basedOn w:val="1"/>
    <w:qFormat/>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textAlignment w:val="top"/>
    </w:pPr>
    <w:rPr>
      <w:snapToGrid/>
      <w:sz w:val="28"/>
      <w:szCs w:val="28"/>
    </w:rPr>
  </w:style>
  <w:style w:type="paragraph" w:customStyle="1" w:styleId="1071">
    <w:name w:val="xl3129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color w:val="000000"/>
      <w:sz w:val="18"/>
      <w:szCs w:val="18"/>
    </w:rPr>
  </w:style>
  <w:style w:type="paragraph" w:customStyle="1" w:styleId="1072">
    <w:name w:val="xl3131255"/>
    <w:basedOn w:val="1"/>
    <w:qFormat/>
    <w:uiPriority w:val="0"/>
    <w:pPr>
      <w:widowControl/>
      <w:pBdr>
        <w:top w:val="single" w:color="auto" w:sz="4" w:space="1"/>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color w:val="000000"/>
      <w:sz w:val="18"/>
      <w:szCs w:val="18"/>
    </w:rPr>
  </w:style>
  <w:style w:type="paragraph" w:customStyle="1" w:styleId="1073">
    <w:name w:val="xl32"/>
    <w:basedOn w:val="1"/>
    <w:uiPriority w:val="0"/>
    <w:pPr>
      <w:widowControl/>
      <w:adjustRightInd/>
      <w:snapToGrid/>
      <w:spacing w:beforeAutospacing="1" w:after="100" w:afterAutospacing="1" w:line="240" w:lineRule="auto"/>
      <w:ind w:firstLine="0" w:firstLineChars="0"/>
      <w:jc w:val="center"/>
    </w:pPr>
    <w:rPr>
      <w:rFonts w:hint="eastAsia" w:ascii="仿宋_GB2312" w:hAnsi="宋体" w:eastAsia="仿宋_GB2312"/>
      <w:snapToGrid/>
    </w:rPr>
  </w:style>
  <w:style w:type="paragraph" w:customStyle="1" w:styleId="1074">
    <w:name w:val="xl322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rFonts w:ascii="宋体" w:hAnsi="宋体" w:cs="宋体"/>
      <w:b/>
      <w:bCs/>
      <w:snapToGrid/>
      <w:sz w:val="20"/>
      <w:szCs w:val="20"/>
    </w:rPr>
  </w:style>
  <w:style w:type="paragraph" w:customStyle="1" w:styleId="1075">
    <w:name w:val="xl3229210"/>
    <w:basedOn w:val="1"/>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76">
    <w:name w:val="xl3231255"/>
    <w:basedOn w:val="1"/>
    <w:qFormat/>
    <w:uiPriority w:val="0"/>
    <w:pPr>
      <w:widowControl/>
      <w:pBdr>
        <w:top w:val="single" w:color="auto" w:sz="4" w:space="1"/>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77">
    <w:name w:val="xl33"/>
    <w:basedOn w:val="1"/>
    <w:qFormat/>
    <w:uiPriority w:val="0"/>
    <w:pPr>
      <w:widowControl/>
      <w:adjustRightInd/>
      <w:snapToGrid/>
      <w:spacing w:beforeAutospacing="1" w:after="100" w:afterAutospacing="1" w:line="240" w:lineRule="auto"/>
      <w:ind w:firstLine="0" w:firstLineChars="0"/>
      <w:jc w:val="center"/>
    </w:pPr>
    <w:rPr>
      <w:snapToGrid/>
    </w:rPr>
  </w:style>
  <w:style w:type="paragraph" w:customStyle="1" w:styleId="1078">
    <w:name w:val="xl3329210"/>
    <w:basedOn w:val="1"/>
    <w:qFormat/>
    <w:uiPriority w:val="0"/>
    <w:pPr>
      <w:widowControl/>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79">
    <w:name w:val="xl3331255"/>
    <w:basedOn w:val="1"/>
    <w:qFormat/>
    <w:uiPriority w:val="0"/>
    <w:pPr>
      <w:widowControl/>
      <w:adjustRightInd/>
      <w:snapToGrid/>
      <w:spacing w:beforeAutospacing="1" w:after="100" w:afterAutospacing="1" w:line="240" w:lineRule="auto"/>
      <w:ind w:firstLine="0" w:firstLineChars="0"/>
      <w:jc w:val="center"/>
      <w:textAlignment w:val="center"/>
    </w:pPr>
    <w:rPr>
      <w:rFonts w:ascii="宋体" w:hAnsi="宋体" w:cs="宋体"/>
      <w:snapToGrid/>
      <w:color w:val="FF0000"/>
      <w:sz w:val="18"/>
      <w:szCs w:val="18"/>
    </w:rPr>
  </w:style>
  <w:style w:type="paragraph" w:customStyle="1" w:styleId="1080">
    <w:name w:val="xl34"/>
    <w:basedOn w:val="1"/>
    <w:qFormat/>
    <w:uiPriority w:val="0"/>
    <w:pPr>
      <w:widowControl/>
      <w:pBdr>
        <w:top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eastAsia="Arial Unicode MS"/>
      <w:snapToGrid/>
    </w:rPr>
  </w:style>
  <w:style w:type="paragraph" w:customStyle="1" w:styleId="1081">
    <w:name w:val="xl340"/>
    <w:basedOn w:val="1"/>
    <w:qFormat/>
    <w:uiPriority w:val="0"/>
    <w:pPr>
      <w:widowControl/>
      <w:adjustRightInd/>
      <w:spacing w:after="100" w:line="360" w:lineRule="auto"/>
      <w:ind w:firstLine="590"/>
      <w:textAlignment w:val="center"/>
    </w:pPr>
    <w:rPr>
      <w:rFonts w:ascii="宋体" w:hAnsi="宋体"/>
      <w:snapToGrid/>
      <w:szCs w:val="20"/>
    </w:rPr>
  </w:style>
  <w:style w:type="paragraph" w:customStyle="1" w:styleId="1082">
    <w:name w:val="xl3429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83">
    <w:name w:val="xl3431255"/>
    <w:basedOn w:val="1"/>
    <w:qFormat/>
    <w:uiPriority w:val="0"/>
    <w:pPr>
      <w:widowControl/>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84">
    <w:name w:val="xl35"/>
    <w:basedOn w:val="1"/>
    <w:qFormat/>
    <w:uiPriority w:val="0"/>
    <w:pPr>
      <w:widowControl/>
      <w:pBdr>
        <w:top w:val="single" w:color="auto" w:sz="4" w:space="0"/>
        <w:left w:val="single" w:color="auto" w:sz="4" w:space="0"/>
        <w:bottom w:val="single" w:color="auto" w:sz="4" w:space="0"/>
      </w:pBdr>
      <w:adjustRightInd/>
      <w:snapToGrid/>
      <w:spacing w:beforeAutospacing="1" w:after="100" w:afterAutospacing="1" w:line="240" w:lineRule="auto"/>
      <w:ind w:firstLine="0" w:firstLineChars="0"/>
      <w:jc w:val="center"/>
    </w:pPr>
    <w:rPr>
      <w:rFonts w:ascii="Arial Unicode MS" w:hAnsi="Arial Unicode MS" w:eastAsia="Arial Unicode MS"/>
      <w:snapToGrid/>
    </w:rPr>
  </w:style>
  <w:style w:type="paragraph" w:customStyle="1" w:styleId="1085">
    <w:name w:val="xl3529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86">
    <w:name w:val="xl3531255"/>
    <w:basedOn w:val="1"/>
    <w:uiPriority w:val="0"/>
    <w:pPr>
      <w:widowControl/>
      <w:pBdr>
        <w:top w:val="single" w:color="auto" w:sz="4" w:space="1"/>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87">
    <w:name w:val="xl36"/>
    <w:basedOn w:val="1"/>
    <w:qFormat/>
    <w:uiPriority w:val="0"/>
    <w:pPr>
      <w:widowControl/>
      <w:pBdr>
        <w:left w:val="single" w:color="auto" w:sz="4" w:space="0"/>
        <w:bottom w:val="single" w:color="auto" w:sz="4" w:space="0"/>
        <w:right w:val="single" w:color="auto" w:sz="4" w:space="0"/>
      </w:pBdr>
      <w:adjustRightInd/>
      <w:snapToGrid/>
      <w:spacing w:after="100" w:line="240" w:lineRule="auto"/>
      <w:ind w:firstLine="0" w:firstLineChars="0"/>
      <w:jc w:val="center"/>
    </w:pPr>
    <w:rPr>
      <w:rFonts w:ascii="Arial Unicode MS" w:hAnsi="Arial Unicode MS" w:eastAsia="Arial Unicode MS"/>
      <w:snapToGrid/>
      <w:szCs w:val="20"/>
    </w:rPr>
  </w:style>
  <w:style w:type="paragraph" w:customStyle="1" w:styleId="1088">
    <w:name w:val="xl3629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color w:val="FF0000"/>
      <w:sz w:val="18"/>
      <w:szCs w:val="18"/>
    </w:rPr>
  </w:style>
  <w:style w:type="paragraph" w:customStyle="1" w:styleId="1089">
    <w:name w:val="xl3631255"/>
    <w:basedOn w:val="1"/>
    <w:qFormat/>
    <w:uiPriority w:val="0"/>
    <w:pPr>
      <w:widowControl/>
      <w:pBdr>
        <w:top w:val="single" w:color="auto" w:sz="4" w:space="1"/>
        <w:left w:val="single" w:color="auto" w:sz="4" w:space="1"/>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90">
    <w:name w:val="xl3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rFonts w:eastAsia="Arial Unicode MS"/>
      <w:snapToGrid/>
    </w:rPr>
  </w:style>
  <w:style w:type="paragraph" w:customStyle="1" w:styleId="1091">
    <w:name w:val="xl3729210"/>
    <w:basedOn w:val="1"/>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92">
    <w:name w:val="xl3731255"/>
    <w:basedOn w:val="1"/>
    <w:qFormat/>
    <w:uiPriority w:val="0"/>
    <w:pPr>
      <w:widowControl/>
      <w:pBdr>
        <w:left w:val="single" w:color="auto" w:sz="4" w:space="1"/>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93">
    <w:name w:val="xl38"/>
    <w:basedOn w:val="1"/>
    <w:qFormat/>
    <w:uiPriority w:val="0"/>
    <w:pPr>
      <w:widowControl/>
      <w:adjustRightInd/>
      <w:snapToGrid/>
      <w:spacing w:beforeAutospacing="1" w:after="100" w:afterAutospacing="1" w:line="240" w:lineRule="auto"/>
      <w:ind w:firstLine="0" w:firstLineChars="0"/>
      <w:jc w:val="center"/>
    </w:pPr>
    <w:rPr>
      <w:rFonts w:ascii="Arial Unicode MS" w:hAnsi="Arial Unicode MS" w:eastAsia="Arial Unicode MS"/>
      <w:snapToGrid/>
      <w:sz w:val="36"/>
      <w:szCs w:val="36"/>
    </w:rPr>
  </w:style>
  <w:style w:type="paragraph" w:customStyle="1" w:styleId="1094">
    <w:name w:val="xl3829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color w:val="0000FF"/>
      <w:sz w:val="18"/>
      <w:szCs w:val="18"/>
    </w:rPr>
  </w:style>
  <w:style w:type="paragraph" w:customStyle="1" w:styleId="1095">
    <w:name w:val="xl3831255"/>
    <w:basedOn w:val="1"/>
    <w:uiPriority w:val="0"/>
    <w:pPr>
      <w:widowControl/>
      <w:pBdr>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96">
    <w:name w:val="xl3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Arial Unicode MS" w:hAnsi="Arial Unicode MS" w:eastAsia="Arial Unicode MS"/>
      <w:snapToGrid/>
    </w:rPr>
  </w:style>
  <w:style w:type="paragraph" w:customStyle="1" w:styleId="1097">
    <w:name w:val="xl3929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098">
    <w:name w:val="xl3931255"/>
    <w:basedOn w:val="1"/>
    <w:qFormat/>
    <w:uiPriority w:val="0"/>
    <w:pPr>
      <w:widowControl/>
      <w:pBdr>
        <w:top w:val="single" w:color="auto" w:sz="4" w:space="1"/>
        <w:left w:val="single" w:color="auto" w:sz="4" w:space="1"/>
        <w:right w:val="single" w:color="auto" w:sz="4" w:space="1"/>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099">
    <w:name w:val="xl40"/>
    <w:basedOn w:val="1"/>
    <w:qFormat/>
    <w:uiPriority w:val="0"/>
    <w:pPr>
      <w:widowControl/>
      <w:pBdr>
        <w:top w:val="single" w:color="auto" w:sz="4" w:space="0"/>
        <w:left w:val="single" w:color="auto" w:sz="4" w:space="0"/>
        <w:bottom w:val="single" w:color="auto" w:sz="4" w:space="0"/>
      </w:pBdr>
      <w:adjustRightInd/>
      <w:snapToGrid/>
      <w:spacing w:beforeAutospacing="1" w:after="100" w:afterAutospacing="1" w:line="240" w:lineRule="auto"/>
      <w:ind w:firstLine="0" w:firstLineChars="0"/>
      <w:jc w:val="center"/>
      <w:textAlignment w:val="center"/>
    </w:pPr>
    <w:rPr>
      <w:rFonts w:ascii="Arial Unicode MS" w:hAnsi="Arial Unicode MS" w:eastAsia="Arial Unicode MS"/>
      <w:snapToGrid/>
    </w:rPr>
  </w:style>
  <w:style w:type="paragraph" w:customStyle="1" w:styleId="1100">
    <w:name w:val="xl4029210"/>
    <w:basedOn w:val="1"/>
    <w:qFormat/>
    <w:uiPriority w:val="0"/>
    <w:pPr>
      <w:widowControl/>
      <w:pBdr>
        <w:top w:val="single" w:color="auto" w:sz="4" w:space="0"/>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01">
    <w:name w:val="xl4031255"/>
    <w:basedOn w:val="1"/>
    <w:qFormat/>
    <w:uiPriority w:val="0"/>
    <w:pPr>
      <w:widowControl/>
      <w:pBdr>
        <w:left w:val="single" w:color="auto" w:sz="4" w:space="1"/>
        <w:right w:val="single" w:color="auto" w:sz="4" w:space="1"/>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102">
    <w:name w:val="xl41"/>
    <w:basedOn w:val="1"/>
    <w:qFormat/>
    <w:uiPriority w:val="0"/>
    <w:pPr>
      <w:widowControl/>
      <w:pBdr>
        <w:top w:val="single" w:color="auto" w:sz="4" w:space="0"/>
        <w:left w:val="single" w:color="auto" w:sz="4" w:space="0"/>
        <w:bottom w:val="single" w:color="auto" w:sz="4" w:space="0"/>
      </w:pBdr>
      <w:adjustRightInd/>
      <w:snapToGrid/>
      <w:spacing w:beforeAutospacing="1" w:after="100" w:afterAutospacing="1" w:line="240" w:lineRule="auto"/>
      <w:ind w:firstLine="0" w:firstLineChars="0"/>
      <w:jc w:val="center"/>
      <w:textAlignment w:val="center"/>
    </w:pPr>
    <w:rPr>
      <w:rFonts w:ascii="Arial Unicode MS" w:hAnsi="Arial Unicode MS" w:eastAsia="Arial Unicode MS"/>
      <w:snapToGrid/>
    </w:rPr>
  </w:style>
  <w:style w:type="paragraph" w:customStyle="1" w:styleId="1103">
    <w:name w:val="xl4129210"/>
    <w:basedOn w:val="1"/>
    <w:uiPriority w:val="0"/>
    <w:pPr>
      <w:widowControl/>
      <w:pBdr>
        <w:top w:val="single" w:color="auto" w:sz="4" w:space="0"/>
        <w:left w:val="single" w:color="auto" w:sz="4" w:space="0"/>
        <w:bottom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color w:val="000000"/>
      <w:sz w:val="18"/>
      <w:szCs w:val="18"/>
    </w:rPr>
  </w:style>
  <w:style w:type="paragraph" w:customStyle="1" w:styleId="1104">
    <w:name w:val="xl4131255"/>
    <w:basedOn w:val="1"/>
    <w:qFormat/>
    <w:uiPriority w:val="0"/>
    <w:pPr>
      <w:widowControl/>
      <w:pBdr>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105">
    <w:name w:val="xl42"/>
    <w:basedOn w:val="1"/>
    <w:qFormat/>
    <w:uiPriority w:val="0"/>
    <w:pPr>
      <w:widowControl/>
      <w:pBdr>
        <w:right w:val="single" w:color="auto" w:sz="4" w:space="0"/>
      </w:pBdr>
      <w:adjustRightInd/>
      <w:snapToGrid/>
      <w:spacing w:beforeAutospacing="1" w:after="100" w:afterAutospacing="1" w:line="240" w:lineRule="auto"/>
      <w:ind w:firstLine="0" w:firstLineChars="0"/>
    </w:pPr>
    <w:rPr>
      <w:rFonts w:ascii="Arial Unicode MS" w:hAnsi="Arial Unicode MS" w:eastAsia="Arial Unicode MS"/>
      <w:snapToGrid/>
      <w:color w:val="000000"/>
      <w:sz w:val="21"/>
      <w:szCs w:val="21"/>
    </w:rPr>
  </w:style>
  <w:style w:type="paragraph" w:customStyle="1" w:styleId="1106">
    <w:name w:val="xl4229210"/>
    <w:basedOn w:val="1"/>
    <w:uiPriority w:val="0"/>
    <w:pPr>
      <w:widowControl/>
      <w:pBdr>
        <w:top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color w:val="000000"/>
      <w:sz w:val="18"/>
      <w:szCs w:val="18"/>
    </w:rPr>
  </w:style>
  <w:style w:type="paragraph" w:customStyle="1" w:styleId="1107">
    <w:name w:val="xl4231255"/>
    <w:basedOn w:val="1"/>
    <w:qFormat/>
    <w:uiPriority w:val="0"/>
    <w:pPr>
      <w:widowControl/>
      <w:pBdr>
        <w:top w:val="single" w:color="auto" w:sz="4" w:space="1"/>
        <w:left w:val="single" w:color="auto" w:sz="4" w:space="1"/>
        <w:right w:val="single" w:color="auto" w:sz="4" w:space="1"/>
      </w:pBdr>
      <w:shd w:val="clear" w:color="auto" w:fill="FFFF00"/>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08">
    <w:name w:val="xl4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textAlignment w:val="center"/>
    </w:pPr>
    <w:rPr>
      <w:rFonts w:ascii="宋体" w:hAnsi="宋体"/>
      <w:b/>
      <w:bCs/>
      <w:snapToGrid/>
      <w:sz w:val="22"/>
      <w:szCs w:val="22"/>
    </w:rPr>
  </w:style>
  <w:style w:type="paragraph" w:customStyle="1" w:styleId="1109">
    <w:name w:val="xl4329210"/>
    <w:basedOn w:val="1"/>
    <w:uiPriority w:val="0"/>
    <w:pPr>
      <w:widowControl/>
      <w:pBdr>
        <w:top w:val="single" w:color="auto" w:sz="4" w:space="0"/>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110">
    <w:name w:val="xl4331255"/>
    <w:basedOn w:val="1"/>
    <w:qFormat/>
    <w:uiPriority w:val="0"/>
    <w:pPr>
      <w:widowControl/>
      <w:pBdr>
        <w:left w:val="single" w:color="auto" w:sz="4" w:space="1"/>
        <w:right w:val="single" w:color="auto" w:sz="4" w:space="1"/>
      </w:pBdr>
      <w:shd w:val="clear" w:color="auto" w:fill="FFFF00"/>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11">
    <w:name w:val="xl44"/>
    <w:basedOn w:val="1"/>
    <w:qFormat/>
    <w:uiPriority w:val="0"/>
    <w:pPr>
      <w:widowControl/>
      <w:pBdr>
        <w:right w:val="single" w:color="auto" w:sz="12" w:space="0"/>
      </w:pBdr>
      <w:adjustRightInd/>
      <w:snapToGrid/>
      <w:spacing w:beforeAutospacing="1" w:after="100" w:afterAutospacing="1" w:line="240" w:lineRule="auto"/>
      <w:ind w:firstLine="0" w:firstLineChars="0"/>
    </w:pPr>
    <w:rPr>
      <w:rFonts w:ascii="Arial Unicode MS" w:hAnsi="Arial Unicode MS" w:eastAsia="Arial Unicode MS"/>
      <w:snapToGrid/>
      <w:color w:val="000000"/>
      <w:sz w:val="21"/>
      <w:szCs w:val="21"/>
    </w:rPr>
  </w:style>
  <w:style w:type="paragraph" w:customStyle="1" w:styleId="1112">
    <w:name w:val="xl4429210"/>
    <w:basedOn w:val="1"/>
    <w:uiPriority w:val="0"/>
    <w:pPr>
      <w:widowControl/>
      <w:pBdr>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113">
    <w:name w:val="xl4431255"/>
    <w:basedOn w:val="1"/>
    <w:uiPriority w:val="0"/>
    <w:pPr>
      <w:widowControl/>
      <w:pBdr>
        <w:left w:val="single" w:color="auto" w:sz="4" w:space="1"/>
        <w:bottom w:val="single" w:color="auto" w:sz="4" w:space="0"/>
        <w:right w:val="single" w:color="auto" w:sz="4" w:space="1"/>
      </w:pBdr>
      <w:shd w:val="clear" w:color="auto" w:fill="FFFF00"/>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14">
    <w:name w:val="xl4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pPr>
    <w:rPr>
      <w:rFonts w:ascii="Arial Unicode MS" w:hAnsi="Arial Unicode MS" w:eastAsia="Arial Unicode MS"/>
      <w:b/>
      <w:bCs/>
      <w:snapToGrid/>
      <w:color w:val="000000"/>
      <w:sz w:val="21"/>
      <w:szCs w:val="21"/>
    </w:rPr>
  </w:style>
  <w:style w:type="paragraph" w:customStyle="1" w:styleId="1115">
    <w:name w:val="xl4529210"/>
    <w:basedOn w:val="1"/>
    <w:qFormat/>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18"/>
      <w:szCs w:val="18"/>
    </w:rPr>
  </w:style>
  <w:style w:type="paragraph" w:customStyle="1" w:styleId="1116">
    <w:name w:val="xl4531255"/>
    <w:basedOn w:val="1"/>
    <w:qFormat/>
    <w:uiPriority w:val="0"/>
    <w:pPr>
      <w:widowControl/>
      <w:pBdr>
        <w:top w:val="single" w:color="auto" w:sz="4" w:space="1"/>
        <w:left w:val="single" w:color="auto" w:sz="4" w:space="1"/>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color w:val="FF0000"/>
      <w:sz w:val="18"/>
      <w:szCs w:val="18"/>
    </w:rPr>
  </w:style>
  <w:style w:type="paragraph" w:customStyle="1" w:styleId="1117">
    <w:name w:val="xl4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rFonts w:eastAsia="Arial Unicode MS"/>
      <w:b/>
      <w:bCs/>
      <w:snapToGrid/>
      <w:color w:val="000000"/>
      <w:sz w:val="21"/>
      <w:szCs w:val="21"/>
    </w:rPr>
  </w:style>
  <w:style w:type="paragraph" w:customStyle="1" w:styleId="1118">
    <w:name w:val="xl4629210"/>
    <w:basedOn w:val="1"/>
    <w:qFormat/>
    <w:uiPriority w:val="0"/>
    <w:pPr>
      <w:widowControl/>
      <w:pBdr>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19">
    <w:name w:val="xl4631255"/>
    <w:basedOn w:val="1"/>
    <w:qFormat/>
    <w:uiPriority w:val="0"/>
    <w:pPr>
      <w:widowControl/>
      <w:pBdr>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color w:val="FF0000"/>
      <w:sz w:val="18"/>
      <w:szCs w:val="18"/>
    </w:rPr>
  </w:style>
  <w:style w:type="paragraph" w:customStyle="1" w:styleId="1120">
    <w:name w:val="xl4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pPr>
    <w:rPr>
      <w:rFonts w:ascii="Arial Unicode MS" w:hAnsi="Arial Unicode MS" w:eastAsia="Arial Unicode MS"/>
      <w:snapToGrid/>
      <w:color w:val="000000"/>
      <w:sz w:val="21"/>
      <w:szCs w:val="21"/>
    </w:rPr>
  </w:style>
  <w:style w:type="paragraph" w:customStyle="1" w:styleId="1121">
    <w:name w:val="xl4729210"/>
    <w:basedOn w:val="1"/>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22">
    <w:name w:val="xl4731255"/>
    <w:basedOn w:val="1"/>
    <w:uiPriority w:val="0"/>
    <w:pPr>
      <w:widowControl/>
      <w:pBdr>
        <w:left w:val="single" w:color="auto" w:sz="4" w:space="1"/>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color w:val="FF0000"/>
      <w:sz w:val="18"/>
      <w:szCs w:val="18"/>
    </w:rPr>
  </w:style>
  <w:style w:type="paragraph" w:customStyle="1" w:styleId="1123">
    <w:name w:val="xl48"/>
    <w:basedOn w:val="1"/>
    <w:qFormat/>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Arial Unicode MS" w:hAnsi="Arial Unicode MS" w:eastAsia="Arial Unicode MS" w:cs="Arial Unicode MS"/>
      <w:snapToGrid/>
      <w:sz w:val="21"/>
      <w:szCs w:val="21"/>
    </w:rPr>
  </w:style>
  <w:style w:type="paragraph" w:customStyle="1" w:styleId="1124">
    <w:name w:val="xl4829210"/>
    <w:basedOn w:val="1"/>
    <w:qFormat/>
    <w:uiPriority w:val="0"/>
    <w:pPr>
      <w:widowControl/>
      <w:pBdr>
        <w:top w:val="single" w:color="auto" w:sz="4" w:space="0"/>
        <w:left w:val="single" w:color="auto" w:sz="4" w:space="0"/>
        <w:right w:val="single" w:color="auto" w:sz="4" w:space="0"/>
      </w:pBdr>
      <w:shd w:val="clear" w:color="auto" w:fill="FFFF00"/>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25">
    <w:name w:val="xl4831255"/>
    <w:basedOn w:val="1"/>
    <w:uiPriority w:val="0"/>
    <w:pPr>
      <w:widowControl/>
      <w:pBdr>
        <w:top w:val="single" w:color="auto" w:sz="4" w:space="1"/>
        <w:left w:val="single" w:color="auto" w:sz="4" w:space="1"/>
        <w:bottom w:val="single" w:color="auto" w:sz="4" w:space="0"/>
        <w:right w:val="single" w:color="auto" w:sz="4" w:space="1"/>
      </w:pBdr>
      <w:adjustRightInd/>
      <w:snapToGrid/>
      <w:spacing w:beforeAutospacing="1" w:after="100" w:afterAutospacing="1" w:line="240" w:lineRule="auto"/>
      <w:ind w:firstLine="0" w:firstLineChars="0"/>
      <w:jc w:val="center"/>
      <w:textAlignment w:val="center"/>
    </w:pPr>
    <w:rPr>
      <w:rFonts w:ascii="宋体" w:hAnsi="宋体" w:cs="宋体"/>
      <w:snapToGrid/>
      <w:color w:val="000000"/>
      <w:sz w:val="18"/>
      <w:szCs w:val="18"/>
    </w:rPr>
  </w:style>
  <w:style w:type="paragraph" w:customStyle="1" w:styleId="1126">
    <w:name w:val="xl49"/>
    <w:basedOn w:val="1"/>
    <w:uiPriority w:val="0"/>
    <w:pPr>
      <w:widowControl/>
      <w:pBdr>
        <w:top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rFonts w:eastAsia="Arial Unicode MS"/>
      <w:b/>
      <w:bCs/>
      <w:snapToGrid/>
      <w:color w:val="000000"/>
      <w:sz w:val="21"/>
      <w:szCs w:val="21"/>
    </w:rPr>
  </w:style>
  <w:style w:type="paragraph" w:customStyle="1" w:styleId="1127">
    <w:name w:val="xl4929210"/>
    <w:basedOn w:val="1"/>
    <w:qFormat/>
    <w:uiPriority w:val="0"/>
    <w:pPr>
      <w:widowControl/>
      <w:pBdr>
        <w:left w:val="single" w:color="auto" w:sz="4" w:space="0"/>
        <w:right w:val="single" w:color="auto" w:sz="4" w:space="0"/>
      </w:pBdr>
      <w:shd w:val="clear" w:color="auto" w:fill="FFFF00"/>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28">
    <w:name w:val="xl4931255"/>
    <w:basedOn w:val="1"/>
    <w:qFormat/>
    <w:uiPriority w:val="0"/>
    <w:pPr>
      <w:widowControl/>
      <w:pBdr>
        <w:bottom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b/>
      <w:bCs/>
      <w:snapToGrid/>
      <w:sz w:val="18"/>
      <w:szCs w:val="18"/>
    </w:rPr>
  </w:style>
  <w:style w:type="paragraph" w:customStyle="1" w:styleId="1129">
    <w:name w:val="xl50"/>
    <w:basedOn w:val="1"/>
    <w:qFormat/>
    <w:uiPriority w:val="0"/>
    <w:pPr>
      <w:widowControl/>
      <w:pBdr>
        <w:right w:val="single" w:color="auto" w:sz="4" w:space="0"/>
      </w:pBdr>
      <w:adjustRightInd/>
      <w:snapToGrid/>
      <w:spacing w:beforeAutospacing="1" w:after="100" w:afterAutospacing="1" w:line="240" w:lineRule="auto"/>
      <w:ind w:firstLine="0" w:firstLineChars="0"/>
    </w:pPr>
    <w:rPr>
      <w:rFonts w:ascii="Arial Unicode MS" w:hAnsi="Arial Unicode MS" w:eastAsia="Arial Unicode MS"/>
      <w:b/>
      <w:bCs/>
      <w:snapToGrid/>
      <w:color w:val="000000"/>
      <w:sz w:val="21"/>
      <w:szCs w:val="21"/>
    </w:rPr>
  </w:style>
  <w:style w:type="paragraph" w:customStyle="1" w:styleId="1130">
    <w:name w:val="xl5029210"/>
    <w:basedOn w:val="1"/>
    <w:qFormat/>
    <w:uiPriority w:val="0"/>
    <w:pPr>
      <w:widowControl/>
      <w:pBdr>
        <w:left w:val="single" w:color="auto" w:sz="4" w:space="0"/>
        <w:bottom w:val="single" w:color="auto" w:sz="4" w:space="0"/>
        <w:right w:val="single" w:color="auto" w:sz="4" w:space="0"/>
      </w:pBdr>
      <w:shd w:val="clear" w:color="auto" w:fill="FFFF00"/>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31">
    <w:name w:val="xl51"/>
    <w:basedOn w:val="1"/>
    <w:link w:val="1132"/>
    <w:qFormat/>
    <w:uiPriority w:val="0"/>
    <w:pPr>
      <w:widowControl/>
      <w:pBdr>
        <w:bottom w:val="single" w:color="auto" w:sz="12" w:space="0"/>
      </w:pBdr>
      <w:adjustRightInd/>
      <w:snapToGrid/>
      <w:spacing w:beforeAutospacing="1" w:after="100" w:afterAutospacing="1" w:line="240" w:lineRule="auto"/>
      <w:ind w:firstLine="0" w:firstLineChars="0"/>
      <w:jc w:val="center"/>
    </w:pPr>
    <w:rPr>
      <w:rFonts w:ascii="Arial Unicode MS" w:hAnsi="Arial Unicode MS" w:eastAsia="Arial Unicode MS"/>
      <w:snapToGrid/>
      <w:color w:val="000000"/>
      <w:sz w:val="28"/>
      <w:szCs w:val="28"/>
    </w:rPr>
  </w:style>
  <w:style w:type="character" w:customStyle="1" w:styleId="1132">
    <w:name w:val="xl51 Char"/>
    <w:link w:val="1131"/>
    <w:qFormat/>
    <w:uiPriority w:val="0"/>
    <w:rPr>
      <w:rFonts w:ascii="Arial Unicode MS" w:hAnsi="Arial Unicode MS" w:eastAsia="Arial Unicode MS" w:cs="Times New Roman"/>
      <w:color w:val="000000"/>
      <w:kern w:val="0"/>
      <w:sz w:val="28"/>
      <w:szCs w:val="28"/>
      <w14:ligatures w14:val="none"/>
    </w:rPr>
  </w:style>
  <w:style w:type="character" w:customStyle="1" w:styleId="1133">
    <w:name w:val="xl51 Char Char"/>
    <w:qFormat/>
    <w:uiPriority w:val="0"/>
    <w:rPr>
      <w:rFonts w:ascii="Arial Unicode MS" w:hAnsi="Arial Unicode MS" w:eastAsia="宋体"/>
      <w:b/>
      <w:bCs/>
      <w:sz w:val="24"/>
      <w:szCs w:val="24"/>
      <w:lang w:val="en-US" w:eastAsia="zh-CN" w:bidi="ar-SA"/>
    </w:rPr>
  </w:style>
  <w:style w:type="paragraph" w:customStyle="1" w:styleId="1134">
    <w:name w:val="xl512921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color w:val="000000"/>
      <w:sz w:val="18"/>
      <w:szCs w:val="18"/>
    </w:rPr>
  </w:style>
  <w:style w:type="paragraph" w:customStyle="1" w:styleId="1135">
    <w:name w:val="xl52"/>
    <w:basedOn w:val="1"/>
    <w:qFormat/>
    <w:uiPriority w:val="0"/>
    <w:pPr>
      <w:widowControl/>
      <w:pBdr>
        <w:left w:val="single" w:color="auto" w:sz="8" w:space="0"/>
      </w:pBdr>
      <w:adjustRightInd/>
      <w:snapToGrid/>
      <w:spacing w:beforeAutospacing="1" w:after="100" w:afterAutospacing="1" w:line="240" w:lineRule="auto"/>
      <w:ind w:firstLine="0" w:firstLineChars="0"/>
      <w:jc w:val="center"/>
      <w:textAlignment w:val="center"/>
    </w:pPr>
    <w:rPr>
      <w:rFonts w:ascii="Arial Unicode MS" w:hAnsi="Arial Unicode MS" w:eastAsia="Arial Unicode MS" w:cs="Arial Unicode MS"/>
      <w:snapToGrid/>
    </w:rPr>
  </w:style>
  <w:style w:type="paragraph" w:customStyle="1" w:styleId="1136">
    <w:name w:val="xl5229210"/>
    <w:basedOn w:val="1"/>
    <w:qFormat/>
    <w:uiPriority w:val="0"/>
    <w:pPr>
      <w:widowControl/>
      <w:pBdr>
        <w:top w:val="single" w:color="auto" w:sz="4" w:space="0"/>
        <w:left w:val="single" w:color="auto" w:sz="4" w:space="0"/>
        <w:bottom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37">
    <w:name w:val="xl53"/>
    <w:basedOn w:val="1"/>
    <w:qFormat/>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rFonts w:eastAsia="Arial Unicode MS"/>
      <w:snapToGrid/>
      <w:sz w:val="21"/>
      <w:szCs w:val="21"/>
    </w:rPr>
  </w:style>
  <w:style w:type="paragraph" w:customStyle="1" w:styleId="1138">
    <w:name w:val="xl5329210"/>
    <w:basedOn w:val="1"/>
    <w:qFormat/>
    <w:uiPriority w:val="0"/>
    <w:pPr>
      <w:widowControl/>
      <w:pBdr>
        <w:top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18"/>
      <w:szCs w:val="18"/>
    </w:rPr>
  </w:style>
  <w:style w:type="paragraph" w:customStyle="1" w:styleId="1139">
    <w:name w:val="xl54"/>
    <w:basedOn w:val="1"/>
    <w:qFormat/>
    <w:uiPriority w:val="0"/>
    <w:pPr>
      <w:widowControl/>
      <w:pBdr>
        <w:top w:val="single" w:color="auto" w:sz="12" w:space="0"/>
        <w:left w:val="single" w:color="000000" w:sz="4" w:space="0"/>
        <w:bottom w:val="single" w:color="auto" w:sz="4" w:space="0"/>
      </w:pBdr>
      <w:adjustRightInd/>
      <w:snapToGrid/>
      <w:spacing w:beforeAutospacing="1" w:after="100" w:afterAutospacing="1" w:line="240" w:lineRule="auto"/>
      <w:ind w:firstLine="0" w:firstLineChars="0"/>
      <w:jc w:val="center"/>
    </w:pPr>
    <w:rPr>
      <w:rFonts w:ascii="Arial Unicode MS" w:hAnsi="Arial Unicode MS" w:eastAsia="Arial Unicode MS"/>
      <w:snapToGrid/>
      <w:color w:val="000000"/>
      <w:sz w:val="20"/>
      <w:szCs w:val="20"/>
    </w:rPr>
  </w:style>
  <w:style w:type="paragraph" w:customStyle="1" w:styleId="1140">
    <w:name w:val="xl55"/>
    <w:basedOn w:val="1"/>
    <w:qFormat/>
    <w:uiPriority w:val="0"/>
    <w:pPr>
      <w:widowControl/>
      <w:pBdr>
        <w:top w:val="single" w:color="auto" w:sz="12" w:space="0"/>
        <w:bottom w:val="single" w:color="auto" w:sz="4" w:space="0"/>
      </w:pBdr>
      <w:adjustRightInd/>
      <w:snapToGrid/>
      <w:spacing w:beforeAutospacing="1" w:after="100" w:afterAutospacing="1" w:line="240" w:lineRule="auto"/>
      <w:ind w:firstLine="0" w:firstLineChars="0"/>
      <w:jc w:val="center"/>
    </w:pPr>
    <w:rPr>
      <w:rFonts w:ascii="Arial Unicode MS" w:hAnsi="Arial Unicode MS" w:eastAsia="Arial Unicode MS"/>
      <w:snapToGrid/>
      <w:color w:val="000000"/>
      <w:sz w:val="20"/>
      <w:szCs w:val="20"/>
    </w:rPr>
  </w:style>
  <w:style w:type="paragraph" w:customStyle="1" w:styleId="1141">
    <w:name w:val="xl56"/>
    <w:basedOn w:val="1"/>
    <w:qFormat/>
    <w:uiPriority w:val="0"/>
    <w:pPr>
      <w:widowControl/>
      <w:pBdr>
        <w:top w:val="single" w:color="auto" w:sz="12" w:space="0"/>
        <w:bottom w:val="single" w:color="auto" w:sz="4" w:space="0"/>
        <w:right w:val="single" w:color="auto" w:sz="4" w:space="0"/>
      </w:pBdr>
      <w:adjustRightInd/>
      <w:snapToGrid/>
      <w:spacing w:beforeAutospacing="1" w:after="100" w:afterAutospacing="1" w:line="240" w:lineRule="auto"/>
      <w:ind w:firstLine="0" w:firstLineChars="0"/>
      <w:jc w:val="center"/>
    </w:pPr>
    <w:rPr>
      <w:rFonts w:ascii="Arial Unicode MS" w:hAnsi="Arial Unicode MS" w:eastAsia="Arial Unicode MS"/>
      <w:snapToGrid/>
      <w:color w:val="000000"/>
      <w:sz w:val="20"/>
      <w:szCs w:val="20"/>
    </w:rPr>
  </w:style>
  <w:style w:type="paragraph" w:customStyle="1" w:styleId="1142">
    <w:name w:val="xl57"/>
    <w:basedOn w:val="1"/>
    <w:qFormat/>
    <w:uiPriority w:val="0"/>
    <w:pPr>
      <w:widowControl/>
      <w:pBdr>
        <w:top w:val="single" w:color="auto" w:sz="12" w:space="0"/>
        <w:left w:val="single" w:color="auto" w:sz="4" w:space="0"/>
        <w:right w:val="single" w:color="auto" w:sz="12" w:space="0"/>
      </w:pBdr>
      <w:adjustRightInd/>
      <w:snapToGrid/>
      <w:spacing w:beforeAutospacing="1" w:after="100" w:afterAutospacing="1" w:line="240" w:lineRule="auto"/>
      <w:ind w:firstLine="0" w:firstLineChars="0"/>
      <w:jc w:val="center"/>
    </w:pPr>
    <w:rPr>
      <w:rFonts w:ascii="Arial Unicode MS" w:hAnsi="Arial Unicode MS" w:eastAsia="Arial Unicode MS"/>
      <w:snapToGrid/>
      <w:color w:val="000000"/>
      <w:sz w:val="20"/>
      <w:szCs w:val="20"/>
    </w:rPr>
  </w:style>
  <w:style w:type="paragraph" w:customStyle="1" w:styleId="1143">
    <w:name w:val="xl58"/>
    <w:basedOn w:val="1"/>
    <w:qFormat/>
    <w:uiPriority w:val="0"/>
    <w:pPr>
      <w:widowControl/>
      <w:pBdr>
        <w:left w:val="single" w:color="auto" w:sz="4" w:space="0"/>
        <w:bottom w:val="single" w:color="auto" w:sz="4" w:space="0"/>
        <w:right w:val="single" w:color="auto" w:sz="12" w:space="0"/>
      </w:pBdr>
      <w:adjustRightInd/>
      <w:snapToGrid/>
      <w:spacing w:beforeAutospacing="1" w:after="100" w:afterAutospacing="1" w:line="240" w:lineRule="auto"/>
      <w:ind w:firstLine="0" w:firstLineChars="0"/>
      <w:jc w:val="center"/>
    </w:pPr>
    <w:rPr>
      <w:rFonts w:ascii="Arial Unicode MS" w:hAnsi="Arial Unicode MS" w:eastAsia="Arial Unicode MS"/>
      <w:snapToGrid/>
      <w:color w:val="000000"/>
      <w:sz w:val="20"/>
      <w:szCs w:val="20"/>
    </w:rPr>
  </w:style>
  <w:style w:type="paragraph" w:customStyle="1" w:styleId="1144">
    <w:name w:val="xl59"/>
    <w:basedOn w:val="1"/>
    <w:qFormat/>
    <w:uiPriority w:val="0"/>
    <w:pPr>
      <w:widowControl/>
      <w:pBdr>
        <w:bottom w:val="single" w:color="auto" w:sz="12" w:space="0"/>
      </w:pBdr>
      <w:adjustRightInd/>
      <w:snapToGrid/>
      <w:spacing w:beforeAutospacing="1" w:after="100" w:afterAutospacing="1" w:line="240" w:lineRule="auto"/>
      <w:ind w:firstLine="0" w:firstLineChars="0"/>
      <w:jc w:val="center"/>
    </w:pPr>
    <w:rPr>
      <w:rFonts w:ascii="Arial Unicode MS" w:hAnsi="Arial Unicode MS" w:eastAsia="Arial Unicode MS"/>
      <w:snapToGrid/>
      <w:color w:val="000000"/>
      <w:sz w:val="28"/>
      <w:szCs w:val="28"/>
    </w:rPr>
  </w:style>
  <w:style w:type="paragraph" w:customStyle="1" w:styleId="1145">
    <w:name w:val="xl60"/>
    <w:basedOn w:val="1"/>
    <w:qFormat/>
    <w:uiPriority w:val="0"/>
    <w:pPr>
      <w:widowControl/>
      <w:pBdr>
        <w:left w:val="single" w:color="auto" w:sz="4" w:space="0"/>
        <w:right w:val="single" w:color="auto" w:sz="8" w:space="0"/>
      </w:pBdr>
      <w:snapToGrid/>
      <w:spacing w:beforeAutospacing="1" w:after="100" w:afterAutospacing="1" w:line="312" w:lineRule="atLeast"/>
      <w:ind w:firstLine="0" w:firstLineChars="0"/>
      <w:textAlignment w:val="center"/>
    </w:pPr>
    <w:rPr>
      <w:rFonts w:ascii="Arial Unicode MS" w:hAnsi="Arial Unicode MS" w:eastAsia="Arial Unicode MS" w:cs="Arial Unicode MS"/>
      <w:snapToGrid/>
      <w:sz w:val="20"/>
      <w:szCs w:val="20"/>
    </w:rPr>
  </w:style>
  <w:style w:type="paragraph" w:customStyle="1" w:styleId="1146">
    <w:name w:val="xl61"/>
    <w:basedOn w:val="1"/>
    <w:qFormat/>
    <w:uiPriority w:val="0"/>
    <w:pPr>
      <w:widowControl/>
      <w:pBdr>
        <w:top w:val="single" w:color="auto" w:sz="4" w:space="0"/>
        <w:left w:val="single" w:color="auto" w:sz="4" w:space="0"/>
        <w:bottom w:val="single" w:color="auto" w:sz="4" w:space="0"/>
        <w:right w:val="single" w:color="auto" w:sz="8" w:space="0"/>
      </w:pBdr>
      <w:adjustRightInd/>
      <w:snapToGrid/>
      <w:spacing w:beforeAutospacing="1" w:after="100" w:afterAutospacing="1" w:line="240" w:lineRule="auto"/>
      <w:ind w:firstLine="0" w:firstLineChars="0"/>
      <w:jc w:val="center"/>
      <w:textAlignment w:val="center"/>
    </w:pPr>
    <w:rPr>
      <w:rFonts w:eastAsia="Arial Unicode MS"/>
      <w:snapToGrid/>
      <w:color w:val="FF00FF"/>
      <w:sz w:val="20"/>
      <w:szCs w:val="20"/>
    </w:rPr>
  </w:style>
  <w:style w:type="paragraph" w:customStyle="1" w:styleId="1147">
    <w:name w:val="xl62"/>
    <w:basedOn w:val="1"/>
    <w:qFormat/>
    <w:uiPriority w:val="0"/>
    <w:pPr>
      <w:widowControl/>
      <w:pBdr>
        <w:top w:val="single" w:color="auto" w:sz="4" w:space="0"/>
        <w:left w:val="single" w:color="auto" w:sz="4" w:space="0"/>
        <w:bottom w:val="single" w:color="auto" w:sz="4" w:space="0"/>
        <w:right w:val="single" w:color="auto" w:sz="8" w:space="0"/>
      </w:pBdr>
      <w:adjustRightInd/>
      <w:snapToGrid/>
      <w:spacing w:beforeAutospacing="1" w:after="100" w:afterAutospacing="1" w:line="240" w:lineRule="auto"/>
      <w:ind w:firstLine="0" w:firstLineChars="0"/>
      <w:jc w:val="center"/>
      <w:textAlignment w:val="center"/>
    </w:pPr>
    <w:rPr>
      <w:rFonts w:ascii="Arial Unicode MS" w:hAnsi="Arial Unicode MS" w:eastAsia="Arial Unicode MS" w:cs="Arial Unicode MS"/>
      <w:snapToGrid/>
      <w:color w:val="FF0000"/>
      <w:sz w:val="20"/>
      <w:szCs w:val="20"/>
    </w:rPr>
  </w:style>
  <w:style w:type="paragraph" w:customStyle="1" w:styleId="1148">
    <w:name w:val="xl63"/>
    <w:basedOn w:val="1"/>
    <w:qFormat/>
    <w:uiPriority w:val="0"/>
    <w:pPr>
      <w:widowControl/>
      <w:adjustRightInd/>
      <w:snapToGrid/>
      <w:spacing w:beforeAutospacing="1" w:after="100" w:afterAutospacing="1" w:line="240" w:lineRule="auto"/>
      <w:ind w:firstLine="0" w:firstLineChars="0"/>
      <w:jc w:val="left"/>
    </w:pPr>
    <w:rPr>
      <w:snapToGrid/>
    </w:rPr>
  </w:style>
  <w:style w:type="paragraph" w:customStyle="1" w:styleId="1149">
    <w:name w:val="xl6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rFonts w:ascii="宋体" w:hAnsi="宋体" w:cs="宋体"/>
      <w:snapToGrid/>
      <w:sz w:val="18"/>
      <w:szCs w:val="18"/>
    </w:rPr>
  </w:style>
  <w:style w:type="paragraph" w:customStyle="1" w:styleId="1150">
    <w:name w:val="xl65"/>
    <w:basedOn w:val="1"/>
    <w:qFormat/>
    <w:uiPriority w:val="0"/>
    <w:pPr>
      <w:widowControl/>
      <w:pBdr>
        <w:bottom w:val="single" w:color="000000" w:sz="8" w:space="0"/>
        <w:right w:val="single" w:color="000000" w:sz="8" w:space="0"/>
      </w:pBdr>
      <w:adjustRightInd/>
      <w:snapToGrid/>
      <w:spacing w:beforeAutospacing="1" w:after="100" w:afterAutospacing="1" w:line="240" w:lineRule="auto"/>
      <w:ind w:firstLine="0" w:firstLineChars="0"/>
      <w:jc w:val="center"/>
    </w:pPr>
    <w:rPr>
      <w:rFonts w:ascii="宋体" w:hAnsi="宋体" w:cs="宋体"/>
      <w:snapToGrid/>
      <w:color w:val="000000"/>
    </w:rPr>
  </w:style>
  <w:style w:type="paragraph" w:customStyle="1" w:styleId="1151">
    <w:name w:val="xl6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152">
    <w:name w:val="xl67"/>
    <w:basedOn w:val="1"/>
    <w:qFormat/>
    <w:uiPriority w:val="0"/>
    <w:pPr>
      <w:widowControl/>
      <w:pBdr>
        <w:top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153">
    <w:name w:val="xl68"/>
    <w:basedOn w:val="1"/>
    <w:qFormat/>
    <w:uiPriority w:val="0"/>
    <w:pPr>
      <w:widowControl/>
      <w:adjustRightInd/>
      <w:snapToGrid/>
      <w:spacing w:beforeAutospacing="1" w:after="100" w:afterAutospacing="1" w:line="240" w:lineRule="auto"/>
      <w:ind w:firstLine="0" w:firstLineChars="0"/>
      <w:jc w:val="left"/>
    </w:pPr>
    <w:rPr>
      <w:snapToGrid/>
      <w:sz w:val="20"/>
      <w:szCs w:val="20"/>
    </w:rPr>
  </w:style>
  <w:style w:type="paragraph" w:customStyle="1" w:styleId="1154">
    <w:name w:val="xl6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textAlignment w:val="center"/>
    </w:pPr>
    <w:rPr>
      <w:snapToGrid/>
      <w:sz w:val="20"/>
      <w:szCs w:val="20"/>
    </w:rPr>
  </w:style>
  <w:style w:type="paragraph" w:customStyle="1" w:styleId="1155">
    <w:name w:val="xl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textAlignment w:val="center"/>
    </w:pPr>
    <w:rPr>
      <w:snapToGrid/>
      <w:sz w:val="20"/>
      <w:szCs w:val="20"/>
    </w:rPr>
  </w:style>
  <w:style w:type="paragraph" w:customStyle="1" w:styleId="1156">
    <w:name w:val="xl7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157">
    <w:name w:val="xl72"/>
    <w:basedOn w:val="1"/>
    <w:qFormat/>
    <w:uiPriority w:val="0"/>
    <w:pPr>
      <w:widowControl/>
      <w:adjustRightInd/>
      <w:snapToGrid/>
      <w:spacing w:beforeAutospacing="1" w:after="100" w:afterAutospacing="1" w:line="240" w:lineRule="auto"/>
      <w:ind w:firstLine="0" w:firstLineChars="0"/>
      <w:jc w:val="left"/>
      <w:textAlignment w:val="center"/>
    </w:pPr>
    <w:rPr>
      <w:snapToGrid/>
      <w:sz w:val="20"/>
      <w:szCs w:val="20"/>
    </w:rPr>
  </w:style>
  <w:style w:type="paragraph" w:customStyle="1" w:styleId="1158">
    <w:name w:val="xl73"/>
    <w:basedOn w:val="1"/>
    <w:qFormat/>
    <w:uiPriority w:val="0"/>
    <w:pPr>
      <w:widowControl/>
      <w:shd w:val="clear" w:color="000000" w:fill="00B0F0"/>
      <w:adjustRightInd/>
      <w:snapToGrid/>
      <w:spacing w:beforeAutospacing="1" w:after="100" w:afterAutospacing="1" w:line="240" w:lineRule="auto"/>
      <w:ind w:firstLine="0" w:firstLineChars="0"/>
      <w:jc w:val="left"/>
    </w:pPr>
    <w:rPr>
      <w:snapToGrid/>
      <w:sz w:val="20"/>
      <w:szCs w:val="20"/>
    </w:rPr>
  </w:style>
  <w:style w:type="paragraph" w:customStyle="1" w:styleId="1159">
    <w:name w:val="xl74"/>
    <w:basedOn w:val="1"/>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snapToGrid/>
      <w:sz w:val="20"/>
      <w:szCs w:val="20"/>
    </w:rPr>
  </w:style>
  <w:style w:type="paragraph" w:customStyle="1" w:styleId="1160">
    <w:name w:val="xl75"/>
    <w:basedOn w:val="1"/>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textAlignment w:val="center"/>
    </w:pPr>
    <w:rPr>
      <w:snapToGrid/>
      <w:sz w:val="20"/>
      <w:szCs w:val="20"/>
    </w:rPr>
  </w:style>
  <w:style w:type="paragraph" w:customStyle="1" w:styleId="1161">
    <w:name w:val="xl7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snapToGrid/>
      <w:sz w:val="20"/>
      <w:szCs w:val="20"/>
    </w:rPr>
  </w:style>
  <w:style w:type="paragraph" w:customStyle="1" w:styleId="1162">
    <w:name w:val="xl7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pPr>
    <w:rPr>
      <w:snapToGrid/>
      <w:sz w:val="20"/>
      <w:szCs w:val="20"/>
    </w:rPr>
  </w:style>
  <w:style w:type="paragraph" w:customStyle="1" w:styleId="1163">
    <w:name w:val="xl78"/>
    <w:basedOn w:val="1"/>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164">
    <w:name w:val="xl7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snapToGrid/>
      <w:sz w:val="20"/>
      <w:szCs w:val="20"/>
    </w:rPr>
  </w:style>
  <w:style w:type="paragraph" w:customStyle="1" w:styleId="1165">
    <w:name w:val="xl8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snapToGrid/>
      <w:sz w:val="20"/>
      <w:szCs w:val="20"/>
    </w:rPr>
  </w:style>
  <w:style w:type="paragraph" w:customStyle="1" w:styleId="1166">
    <w:name w:val="xl81"/>
    <w:basedOn w:val="1"/>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textAlignment w:val="center"/>
    </w:pPr>
    <w:rPr>
      <w:snapToGrid/>
      <w:sz w:val="20"/>
      <w:szCs w:val="20"/>
    </w:rPr>
  </w:style>
  <w:style w:type="paragraph" w:customStyle="1" w:styleId="1167">
    <w:name w:val="xl8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168">
    <w:name w:val="xl8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169">
    <w:name w:val="xl84"/>
    <w:basedOn w:val="1"/>
    <w:uiPriority w:val="0"/>
    <w:pPr>
      <w:widowControl/>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170">
    <w:name w:val="xl85"/>
    <w:basedOn w:val="1"/>
    <w:qFormat/>
    <w:uiPriority w:val="0"/>
    <w:pPr>
      <w:widowControl/>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171">
    <w:name w:val="xl8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textAlignment w:val="center"/>
    </w:pPr>
    <w:rPr>
      <w:rFonts w:ascii="宋体" w:hAnsi="宋体" w:cs="宋体"/>
      <w:snapToGrid/>
      <w:sz w:val="20"/>
      <w:szCs w:val="20"/>
    </w:rPr>
  </w:style>
  <w:style w:type="paragraph" w:customStyle="1" w:styleId="1172">
    <w:name w:val="xl87"/>
    <w:basedOn w:val="1"/>
    <w:qFormat/>
    <w:uiPriority w:val="0"/>
    <w:pPr>
      <w:widowControl/>
      <w:pBdr>
        <w:top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snapToGrid/>
      <w:sz w:val="20"/>
      <w:szCs w:val="20"/>
    </w:rPr>
  </w:style>
  <w:style w:type="paragraph" w:customStyle="1" w:styleId="1173">
    <w:name w:val="xl8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20"/>
      <w:szCs w:val="20"/>
    </w:rPr>
  </w:style>
  <w:style w:type="paragraph" w:customStyle="1" w:styleId="1174">
    <w:name w:val="xl89"/>
    <w:basedOn w:val="1"/>
    <w:qFormat/>
    <w:uiPriority w:val="0"/>
    <w:pPr>
      <w:widowControl/>
      <w:pBdr>
        <w:top w:val="single" w:color="auto" w:sz="4" w:space="0"/>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20"/>
      <w:szCs w:val="20"/>
    </w:rPr>
  </w:style>
  <w:style w:type="paragraph" w:customStyle="1" w:styleId="1175">
    <w:name w:val="xl90"/>
    <w:basedOn w:val="1"/>
    <w:qFormat/>
    <w:uiPriority w:val="0"/>
    <w:pPr>
      <w:widowControl/>
      <w:pBdr>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20"/>
      <w:szCs w:val="20"/>
    </w:rPr>
  </w:style>
  <w:style w:type="paragraph" w:customStyle="1" w:styleId="1176">
    <w:name w:val="xl91"/>
    <w:basedOn w:val="1"/>
    <w:qFormat/>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20"/>
      <w:szCs w:val="20"/>
    </w:rPr>
  </w:style>
  <w:style w:type="paragraph" w:customStyle="1" w:styleId="1177">
    <w:name w:val="xl92"/>
    <w:basedOn w:val="1"/>
    <w:uiPriority w:val="0"/>
    <w:pPr>
      <w:widowControl/>
      <w:pBdr>
        <w:top w:val="single" w:color="auto" w:sz="4" w:space="0"/>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20"/>
      <w:szCs w:val="20"/>
    </w:rPr>
  </w:style>
  <w:style w:type="paragraph" w:customStyle="1" w:styleId="1178">
    <w:name w:val="xl93"/>
    <w:basedOn w:val="1"/>
    <w:uiPriority w:val="0"/>
    <w:pPr>
      <w:widowControl/>
      <w:pBdr>
        <w:left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20"/>
      <w:szCs w:val="20"/>
    </w:rPr>
  </w:style>
  <w:style w:type="paragraph" w:customStyle="1" w:styleId="1179">
    <w:name w:val="xl94"/>
    <w:basedOn w:val="1"/>
    <w:uiPriority w:val="0"/>
    <w:pPr>
      <w:widowControl/>
      <w:pBdr>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textAlignment w:val="center"/>
    </w:pPr>
    <w:rPr>
      <w:rFonts w:ascii="宋体" w:hAnsi="宋体" w:cs="宋体"/>
      <w:snapToGrid/>
      <w:sz w:val="20"/>
      <w:szCs w:val="20"/>
    </w:rPr>
  </w:style>
  <w:style w:type="paragraph" w:customStyle="1" w:styleId="1180">
    <w:name w:val="xl9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center"/>
    </w:pPr>
    <w:rPr>
      <w:snapToGrid/>
      <w:sz w:val="20"/>
      <w:szCs w:val="20"/>
    </w:rPr>
  </w:style>
  <w:style w:type="paragraph" w:customStyle="1" w:styleId="1181">
    <w:name w:val="xl96"/>
    <w:basedOn w:val="1"/>
    <w:qFormat/>
    <w:uiPriority w:val="0"/>
    <w:pPr>
      <w:widowControl/>
      <w:adjustRightInd/>
      <w:snapToGrid/>
      <w:spacing w:beforeAutospacing="1" w:after="100" w:afterAutospacing="1" w:line="240" w:lineRule="auto"/>
      <w:ind w:firstLine="0" w:firstLineChars="0"/>
      <w:jc w:val="center"/>
    </w:pPr>
    <w:rPr>
      <w:snapToGrid/>
      <w:sz w:val="20"/>
      <w:szCs w:val="20"/>
    </w:rPr>
  </w:style>
  <w:style w:type="paragraph" w:customStyle="1" w:styleId="1182">
    <w:name w:val="xl97"/>
    <w:basedOn w:val="1"/>
    <w:qFormat/>
    <w:uiPriority w:val="0"/>
    <w:pPr>
      <w:widowControl/>
      <w:adjustRightInd/>
      <w:snapToGrid/>
      <w:spacing w:beforeAutospacing="1" w:after="100" w:afterAutospacing="1" w:line="240" w:lineRule="auto"/>
      <w:ind w:firstLine="0" w:firstLineChars="0"/>
      <w:jc w:val="left"/>
    </w:pPr>
    <w:rPr>
      <w:rFonts w:ascii="宋体" w:hAnsi="宋体" w:cs="宋体"/>
      <w:snapToGrid/>
      <w:sz w:val="18"/>
      <w:szCs w:val="18"/>
    </w:rPr>
  </w:style>
  <w:style w:type="paragraph" w:customStyle="1" w:styleId="1183">
    <w:name w:val="xl9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rFonts w:ascii="宋体" w:hAnsi="宋体" w:cs="宋体"/>
      <w:b/>
      <w:bCs/>
      <w:snapToGrid/>
      <w:sz w:val="18"/>
      <w:szCs w:val="18"/>
    </w:rPr>
  </w:style>
  <w:style w:type="paragraph" w:customStyle="1" w:styleId="1184">
    <w:name w:val="xl9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Autospacing="1" w:after="100" w:afterAutospacing="1" w:line="240" w:lineRule="auto"/>
      <w:ind w:firstLine="0" w:firstLineChars="0"/>
      <w:jc w:val="left"/>
    </w:pPr>
    <w:rPr>
      <w:rFonts w:ascii="宋体" w:hAnsi="宋体" w:cs="宋体"/>
      <w:snapToGrid/>
      <w:sz w:val="18"/>
      <w:szCs w:val="18"/>
    </w:rPr>
  </w:style>
  <w:style w:type="paragraph" w:customStyle="1" w:styleId="1185">
    <w:name w:val="样式 宋体 五号 蓝色 居中 行距: 单倍行距"/>
    <w:basedOn w:val="1"/>
    <w:link w:val="1186"/>
    <w:qFormat/>
    <w:uiPriority w:val="0"/>
    <w:pPr>
      <w:adjustRightInd/>
      <w:snapToGrid/>
      <w:spacing w:line="240" w:lineRule="auto"/>
      <w:ind w:firstLine="0" w:firstLineChars="0"/>
      <w:jc w:val="center"/>
    </w:pPr>
    <w:rPr>
      <w:rFonts w:ascii="宋体" w:hAnsi="宋体" w:cs="宋体"/>
      <w:snapToGrid/>
      <w:color w:val="0000FF"/>
      <w:sz w:val="20"/>
      <w:szCs w:val="20"/>
    </w:rPr>
  </w:style>
  <w:style w:type="character" w:customStyle="1" w:styleId="1186">
    <w:name w:val="样式 宋体 五号 蓝色 居中 行距: 单倍行距 Char1"/>
    <w:link w:val="1185"/>
    <w:qFormat/>
    <w:uiPriority w:val="0"/>
    <w:rPr>
      <w:rFonts w:ascii="宋体" w:hAnsi="宋体" w:eastAsia="宋体" w:cs="宋体"/>
      <w:color w:val="0000FF"/>
      <w:kern w:val="0"/>
      <w:sz w:val="20"/>
      <w:szCs w:val="20"/>
      <w14:ligatures w14:val="none"/>
    </w:rPr>
  </w:style>
  <w:style w:type="paragraph" w:customStyle="1" w:styleId="1187">
    <w:name w:val="样式 样式 宋体 五号 蓝色 居中 行距: 单倍行距 + Times New Roman 自动设置"/>
    <w:basedOn w:val="1185"/>
    <w:link w:val="1188"/>
    <w:qFormat/>
    <w:uiPriority w:val="0"/>
  </w:style>
  <w:style w:type="character" w:customStyle="1" w:styleId="1188">
    <w:name w:val="样式 样式 宋体 五号 蓝色 居中 行距: 单倍行距 + Times New Roman 自动设置 Char Char"/>
    <w:link w:val="1187"/>
    <w:qFormat/>
    <w:uiPriority w:val="0"/>
    <w:rPr>
      <w:rFonts w:ascii="宋体" w:hAnsi="宋体" w:eastAsia="宋体" w:cs="宋体"/>
      <w:color w:val="0000FF"/>
      <w:kern w:val="0"/>
      <w:sz w:val="20"/>
      <w:szCs w:val="20"/>
      <w14:ligatures w14:val="none"/>
    </w:rPr>
  </w:style>
  <w:style w:type="paragraph" w:customStyle="1" w:styleId="1189">
    <w:name w:val="样式 样式 样式 宋体 五号 蓝色 居中 行距: 单倍行距 + Times New Roman 自动设置 + 蓝色"/>
    <w:basedOn w:val="1187"/>
    <w:uiPriority w:val="0"/>
  </w:style>
  <w:style w:type="paragraph" w:customStyle="1" w:styleId="1190">
    <w:name w:val="xns表格"/>
    <w:basedOn w:val="1189"/>
    <w:qFormat/>
    <w:uiPriority w:val="0"/>
    <w:rPr>
      <w:color w:val="auto"/>
    </w:rPr>
  </w:style>
  <w:style w:type="character" w:customStyle="1" w:styleId="1191">
    <w:name w:val="xw1"/>
    <w:qFormat/>
    <w:uiPriority w:val="0"/>
  </w:style>
  <w:style w:type="paragraph" w:customStyle="1" w:styleId="1192">
    <w:name w:val="xyb自建表格名称"/>
    <w:basedOn w:val="1"/>
    <w:qFormat/>
    <w:uiPriority w:val="0"/>
    <w:pPr>
      <w:adjustRightInd/>
      <w:snapToGrid/>
      <w:spacing w:line="360" w:lineRule="auto"/>
      <w:ind w:firstLine="480"/>
    </w:pPr>
    <w:rPr>
      <w:rFonts w:ascii="宋体" w:hAnsi="宋体"/>
      <w:snapToGrid/>
      <w:kern w:val="2"/>
    </w:rPr>
  </w:style>
  <w:style w:type="paragraph" w:customStyle="1" w:styleId="1193">
    <w:name w:val="xyb自建表格名称 Char"/>
    <w:basedOn w:val="1"/>
    <w:autoRedefine/>
    <w:uiPriority w:val="0"/>
    <w:pPr>
      <w:adjustRightInd/>
      <w:snapToGrid/>
      <w:spacing w:line="360" w:lineRule="auto"/>
      <w:ind w:firstLine="0" w:firstLineChars="0"/>
      <w:jc w:val="center"/>
    </w:pPr>
    <w:rPr>
      <w:rFonts w:ascii="宋体" w:hAnsi="宋体"/>
      <w:snapToGrid/>
      <w:kern w:val="2"/>
    </w:rPr>
  </w:style>
  <w:style w:type="character" w:customStyle="1" w:styleId="1194">
    <w:name w:val="xyb自建表格名称 Char Char"/>
    <w:qFormat/>
    <w:uiPriority w:val="0"/>
    <w:rPr>
      <w:rFonts w:ascii="宋体" w:hAnsi="宋体" w:eastAsia="宋体"/>
      <w:kern w:val="2"/>
      <w:sz w:val="24"/>
      <w:szCs w:val="24"/>
      <w:lang w:val="en-US" w:eastAsia="zh-CN" w:bidi="ar-SA"/>
    </w:rPr>
  </w:style>
  <w:style w:type="paragraph" w:customStyle="1" w:styleId="1195">
    <w:name w:val="xyb自建表格名称 Char Char Char"/>
    <w:basedOn w:val="1"/>
    <w:qFormat/>
    <w:uiPriority w:val="0"/>
    <w:pPr>
      <w:adjustRightInd/>
      <w:snapToGrid/>
      <w:spacing w:line="360" w:lineRule="auto"/>
      <w:ind w:firstLine="0" w:firstLineChars="0"/>
      <w:jc w:val="center"/>
    </w:pPr>
    <w:rPr>
      <w:rFonts w:ascii="宋体" w:hAnsi="宋体"/>
      <w:snapToGrid/>
      <w:kern w:val="2"/>
    </w:rPr>
  </w:style>
  <w:style w:type="character" w:customStyle="1" w:styleId="1196">
    <w:name w:val="xyb自建表格名称 Char Char Char Char"/>
    <w:uiPriority w:val="0"/>
    <w:rPr>
      <w:rFonts w:ascii="宋体" w:hAnsi="宋体" w:eastAsia="宋体"/>
      <w:kern w:val="2"/>
      <w:sz w:val="24"/>
      <w:szCs w:val="24"/>
      <w:lang w:val="en-US" w:eastAsia="zh-CN" w:bidi="ar-SA"/>
    </w:rPr>
  </w:style>
  <w:style w:type="character" w:customStyle="1" w:styleId="1197">
    <w:name w:val="xyb自建表格名称 Char Char Char Char Char"/>
    <w:qFormat/>
    <w:uiPriority w:val="0"/>
    <w:rPr>
      <w:rFonts w:ascii="宋体" w:hAnsi="宋体" w:eastAsia="宋体"/>
      <w:kern w:val="2"/>
      <w:sz w:val="24"/>
      <w:szCs w:val="24"/>
      <w:lang w:val="en-US" w:eastAsia="zh-CN" w:bidi="ar-SA"/>
    </w:rPr>
  </w:style>
  <w:style w:type="character" w:customStyle="1" w:styleId="1198">
    <w:name w:val="xyb自建表格名称 Char Char1"/>
    <w:uiPriority w:val="0"/>
    <w:rPr>
      <w:rFonts w:hint="eastAsia" w:ascii="宋体" w:hAnsi="宋体" w:eastAsia="宋体"/>
      <w:kern w:val="2"/>
      <w:sz w:val="24"/>
      <w:lang w:val="en-US" w:eastAsia="zh-CN"/>
    </w:rPr>
  </w:style>
  <w:style w:type="paragraph" w:customStyle="1" w:styleId="1199">
    <w:name w:val="xyb自建四级标题"/>
    <w:basedOn w:val="1"/>
    <w:qFormat/>
    <w:uiPriority w:val="0"/>
    <w:pPr>
      <w:tabs>
        <w:tab w:val="left" w:pos="8280"/>
      </w:tabs>
      <w:adjustRightInd/>
      <w:snapToGrid/>
      <w:spacing w:after="100" w:line="415" w:lineRule="auto"/>
      <w:ind w:firstLine="0" w:firstLineChars="0"/>
      <w:outlineLvl w:val="3"/>
    </w:pPr>
    <w:rPr>
      <w:rFonts w:ascii="楷体_GB2312" w:hAnsi="宋体" w:eastAsia="楷体_GB2312"/>
      <w:b/>
      <w:bCs/>
      <w:snapToGrid/>
      <w:kern w:val="2"/>
    </w:rPr>
  </w:style>
  <w:style w:type="paragraph" w:customStyle="1" w:styleId="1200">
    <w:name w:val="xyb自建正文"/>
    <w:basedOn w:val="1"/>
    <w:uiPriority w:val="0"/>
    <w:pPr>
      <w:tabs>
        <w:tab w:val="left" w:pos="8280"/>
      </w:tabs>
      <w:adjustRightInd/>
      <w:snapToGrid/>
      <w:spacing w:line="360" w:lineRule="auto"/>
      <w:ind w:firstLine="480"/>
    </w:pPr>
    <w:rPr>
      <w:rFonts w:ascii="宋体" w:hAnsi="宋体"/>
      <w:snapToGrid/>
      <w:kern w:val="2"/>
    </w:rPr>
  </w:style>
  <w:style w:type="character" w:customStyle="1" w:styleId="1201">
    <w:name w:val="xyb自建正文 Char"/>
    <w:uiPriority w:val="0"/>
    <w:rPr>
      <w:rFonts w:ascii="宋体" w:hAnsi="宋体" w:eastAsia="宋体"/>
      <w:sz w:val="24"/>
      <w:szCs w:val="24"/>
      <w:lang w:val="en-US" w:eastAsia="zh-CN" w:bidi="ar-SA"/>
    </w:rPr>
  </w:style>
  <w:style w:type="character" w:customStyle="1" w:styleId="1202">
    <w:name w:val="xyb自建正文 Char Char"/>
    <w:qFormat/>
    <w:uiPriority w:val="0"/>
    <w:rPr>
      <w:rFonts w:ascii="宋体" w:hAnsi="宋体" w:eastAsia="宋体"/>
      <w:kern w:val="2"/>
      <w:sz w:val="24"/>
      <w:szCs w:val="24"/>
      <w:lang w:val="en-US" w:eastAsia="zh-CN" w:bidi="ar-SA"/>
    </w:rPr>
  </w:style>
  <w:style w:type="paragraph" w:customStyle="1" w:styleId="1203">
    <w:name w:val="xyb自建正文 Char Char Char"/>
    <w:basedOn w:val="1"/>
    <w:uiPriority w:val="0"/>
    <w:pPr>
      <w:tabs>
        <w:tab w:val="left" w:pos="1440"/>
        <w:tab w:val="left" w:pos="8280"/>
      </w:tabs>
      <w:adjustRightInd/>
      <w:snapToGrid/>
      <w:spacing w:line="360" w:lineRule="auto"/>
      <w:ind w:firstLine="472"/>
    </w:pPr>
    <w:rPr>
      <w:rFonts w:ascii="宋体" w:hAnsi="宋体" w:cs="宋体"/>
      <w:snapToGrid/>
      <w:spacing w:val="-2"/>
      <w:kern w:val="2"/>
    </w:rPr>
  </w:style>
  <w:style w:type="character" w:customStyle="1" w:styleId="1204">
    <w:name w:val="xyb自建正文 Char Char Char Char"/>
    <w:uiPriority w:val="0"/>
    <w:rPr>
      <w:rFonts w:ascii="宋体" w:hAnsi="宋体" w:eastAsia="宋体" w:cs="宋体"/>
      <w:spacing w:val="-2"/>
      <w:kern w:val="2"/>
      <w:sz w:val="24"/>
      <w:szCs w:val="24"/>
      <w:lang w:val="en-US" w:eastAsia="zh-CN" w:bidi="ar-SA"/>
    </w:rPr>
  </w:style>
  <w:style w:type="character" w:customStyle="1" w:styleId="1205">
    <w:name w:val="xyb自建正文 Char Char Char Char Char"/>
    <w:qFormat/>
    <w:uiPriority w:val="0"/>
    <w:rPr>
      <w:rFonts w:ascii="宋体" w:hAnsi="宋体" w:eastAsia="宋体" w:cs="宋体"/>
      <w:spacing w:val="-2"/>
      <w:kern w:val="2"/>
      <w:sz w:val="24"/>
      <w:szCs w:val="24"/>
      <w:lang w:val="en-US" w:eastAsia="zh-CN" w:bidi="ar-SA"/>
    </w:rPr>
  </w:style>
  <w:style w:type="character" w:customStyle="1" w:styleId="1206">
    <w:name w:val="xyb自建正文 Char Char1"/>
    <w:qFormat/>
    <w:uiPriority w:val="0"/>
    <w:rPr>
      <w:rFonts w:ascii="宋体" w:hAnsi="宋体" w:eastAsia="宋体" w:cs="宋体"/>
      <w:kern w:val="2"/>
      <w:sz w:val="24"/>
      <w:szCs w:val="24"/>
      <w:lang w:val="en-US" w:eastAsia="zh-CN" w:bidi="ar-SA"/>
    </w:rPr>
  </w:style>
  <w:style w:type="paragraph" w:customStyle="1" w:styleId="1207">
    <w:name w:val="Y2"/>
    <w:basedOn w:val="1"/>
    <w:qFormat/>
    <w:uiPriority w:val="0"/>
    <w:pPr>
      <w:adjustRightInd/>
      <w:snapToGrid/>
      <w:spacing w:line="360" w:lineRule="auto"/>
      <w:ind w:firstLine="0" w:firstLineChars="0"/>
    </w:pPr>
    <w:rPr>
      <w:rFonts w:ascii="宋体"/>
      <w:snapToGrid/>
      <w:kern w:val="2"/>
      <w:szCs w:val="20"/>
    </w:rPr>
  </w:style>
  <w:style w:type="character" w:customStyle="1" w:styleId="1208">
    <w:name w:val="y21"/>
    <w:semiHidden/>
    <w:uiPriority w:val="0"/>
    <w:rPr>
      <w:rFonts w:hint="eastAsia" w:ascii="新宋体" w:hAnsi="Tahoma" w:eastAsia="新宋体"/>
      <w:color w:val="FF0000"/>
      <w:kern w:val="2"/>
      <w:sz w:val="18"/>
      <w:szCs w:val="18"/>
      <w:lang w:val="en-US" w:eastAsia="zh-CN" w:bidi="ar-SA"/>
    </w:rPr>
  </w:style>
  <w:style w:type="paragraph" w:customStyle="1" w:styleId="1209">
    <w:name w:val="yy"/>
    <w:basedOn w:val="1"/>
    <w:qFormat/>
    <w:uiPriority w:val="0"/>
    <w:pPr>
      <w:snapToGrid/>
      <w:spacing w:after="60" w:line="269" w:lineRule="auto"/>
      <w:ind w:firstLine="510" w:firstLineChars="0"/>
      <w:textAlignment w:val="baseline"/>
    </w:pPr>
    <w:rPr>
      <w:snapToGrid/>
      <w:szCs w:val="20"/>
    </w:rPr>
  </w:style>
  <w:style w:type="paragraph" w:customStyle="1" w:styleId="1210">
    <w:name w:val="yyp"/>
    <w:basedOn w:val="1"/>
    <w:link w:val="1211"/>
    <w:qFormat/>
    <w:uiPriority w:val="0"/>
    <w:pPr>
      <w:adjustRightInd/>
      <w:snapToGrid/>
      <w:spacing w:after="120" w:line="360" w:lineRule="auto"/>
      <w:ind w:firstLine="480"/>
      <w:jc w:val="left"/>
    </w:pPr>
    <w:rPr>
      <w:rFonts w:ascii="Calibri" w:hAnsi="Calibri"/>
      <w:snapToGrid/>
      <w:szCs w:val="20"/>
    </w:rPr>
  </w:style>
  <w:style w:type="character" w:customStyle="1" w:styleId="1211">
    <w:name w:val="yyp Char"/>
    <w:link w:val="1210"/>
    <w:qFormat/>
    <w:uiPriority w:val="0"/>
    <w:rPr>
      <w:rFonts w:ascii="Calibri" w:hAnsi="Calibri" w:eastAsia="宋体" w:cs="Times New Roman"/>
      <w:kern w:val="0"/>
      <w:sz w:val="26"/>
      <w:szCs w:val="20"/>
      <w14:ligatures w14:val="none"/>
    </w:rPr>
  </w:style>
  <w:style w:type="character" w:customStyle="1" w:styleId="1212">
    <w:name w:val="zb_c1"/>
    <w:qFormat/>
    <w:uiPriority w:val="0"/>
    <w:rPr>
      <w:rFonts w:cs="Times New Roman"/>
    </w:rPr>
  </w:style>
  <w:style w:type="paragraph" w:customStyle="1" w:styleId="1213">
    <w:name w:val="zhang正文"/>
    <w:basedOn w:val="35"/>
    <w:qFormat/>
    <w:uiPriority w:val="0"/>
    <w:pPr>
      <w:autoSpaceDE w:val="0"/>
      <w:autoSpaceDN w:val="0"/>
      <w:spacing w:line="360" w:lineRule="auto"/>
      <w:ind w:firstLine="539" w:firstLineChars="0"/>
      <w:textAlignment w:val="baseline"/>
    </w:pPr>
    <w:rPr>
      <w:rFonts w:eastAsia="楷体_GB2312"/>
      <w:snapToGrid/>
      <w:sz w:val="28"/>
      <w:szCs w:val="20"/>
    </w:rPr>
  </w:style>
  <w:style w:type="character" w:customStyle="1" w:styleId="1214">
    <w:name w:val="zhengw1"/>
    <w:semiHidden/>
    <w:uiPriority w:val="0"/>
    <w:rPr>
      <w:rFonts w:hint="default"/>
      <w:spacing w:val="450"/>
      <w:sz w:val="24"/>
      <w:szCs w:val="24"/>
    </w:rPr>
  </w:style>
  <w:style w:type="paragraph" w:customStyle="1" w:styleId="1215">
    <w:name w:val="zhengwen"/>
    <w:basedOn w:val="1"/>
    <w:qFormat/>
    <w:uiPriority w:val="0"/>
    <w:pPr>
      <w:adjustRightInd/>
      <w:snapToGrid/>
      <w:spacing w:afterLines="20" w:line="400" w:lineRule="exact"/>
      <w:ind w:firstLine="480"/>
    </w:pPr>
    <w:rPr>
      <w:snapToGrid/>
      <w:kern w:val="2"/>
    </w:rPr>
  </w:style>
  <w:style w:type="character" w:customStyle="1" w:styleId="1216">
    <w:name w:val="zhenwen1"/>
    <w:semiHidden/>
    <w:qFormat/>
    <w:uiPriority w:val="0"/>
    <w:rPr>
      <w:rFonts w:hint="eastAsia" w:ascii="宋体" w:hAnsi="宋体" w:eastAsia="宋体"/>
      <w:color w:val="000000"/>
      <w:kern w:val="2"/>
      <w:sz w:val="24"/>
      <w:szCs w:val="24"/>
      <w:lang w:val="en-US" w:eastAsia="zh-CN" w:bidi="ar-SA"/>
    </w:rPr>
  </w:style>
  <w:style w:type="paragraph" w:customStyle="1" w:styleId="1217">
    <w:name w:val="zh正文"/>
    <w:basedOn w:val="1"/>
    <w:qFormat/>
    <w:uiPriority w:val="0"/>
    <w:pPr>
      <w:adjustRightInd/>
      <w:snapToGrid/>
      <w:spacing w:line="360" w:lineRule="exact"/>
      <w:ind w:firstLine="560"/>
    </w:pPr>
    <w:rPr>
      <w:rFonts w:ascii="宋体" w:hAnsi="宋体"/>
      <w:snapToGrid/>
      <w:kern w:val="2"/>
      <w:sz w:val="28"/>
      <w:szCs w:val="20"/>
    </w:rPr>
  </w:style>
  <w:style w:type="character" w:customStyle="1" w:styleId="1218">
    <w:name w:val="zh正文 Char"/>
    <w:qFormat/>
    <w:uiPriority w:val="0"/>
    <w:rPr>
      <w:rFonts w:ascii="宋体" w:hAnsi="宋体" w:eastAsia="宋体"/>
      <w:kern w:val="2"/>
      <w:sz w:val="28"/>
      <w:lang w:val="en-US" w:eastAsia="zh-CN" w:bidi="ar-SA"/>
    </w:rPr>
  </w:style>
  <w:style w:type="character" w:customStyle="1" w:styleId="1219">
    <w:name w:val="zh正文 Char Char"/>
    <w:qFormat/>
    <w:uiPriority w:val="0"/>
    <w:rPr>
      <w:rFonts w:ascii="宋体" w:hAnsi="宋体" w:eastAsia="宋体"/>
      <w:kern w:val="2"/>
      <w:sz w:val="28"/>
      <w:lang w:val="en-US" w:eastAsia="zh-CN" w:bidi="ar-SA"/>
    </w:rPr>
  </w:style>
  <w:style w:type="character" w:customStyle="1" w:styleId="1220">
    <w:name w:val="zi41"/>
    <w:qFormat/>
    <w:uiPriority w:val="0"/>
    <w:rPr>
      <w:rFonts w:ascii="???" w:eastAsia="宋体"/>
      <w:color w:val="FFFFFF"/>
      <w:spacing w:val="0"/>
      <w:w w:val="100"/>
      <w:sz w:val="24"/>
      <w:u w:val="none" w:color="000000"/>
      <w:vertAlign w:val="baseline"/>
      <w:lang w:val="en-US" w:eastAsia="zh-CN"/>
    </w:rPr>
  </w:style>
  <w:style w:type="paragraph" w:customStyle="1" w:styleId="1221">
    <w:name w:val="zr"/>
    <w:basedOn w:val="1"/>
    <w:qFormat/>
    <w:uiPriority w:val="0"/>
    <w:pPr>
      <w:tabs>
        <w:tab w:val="left" w:pos="360"/>
      </w:tabs>
      <w:snapToGrid/>
      <w:spacing w:line="312" w:lineRule="atLeast"/>
      <w:ind w:left="360" w:hanging="360" w:firstLineChars="0"/>
      <w:textAlignment w:val="baseline"/>
    </w:pPr>
    <w:rPr>
      <w:rFonts w:ascii="Calibri" w:hAnsi="Calibri" w:eastAsia="黑体"/>
      <w:b/>
      <w:bCs/>
      <w:snapToGrid/>
      <w:sz w:val="32"/>
      <w:szCs w:val="32"/>
    </w:rPr>
  </w:style>
  <w:style w:type="paragraph" w:customStyle="1" w:styleId="1222">
    <w:name w:val="zw1"/>
    <w:basedOn w:val="1"/>
    <w:qFormat/>
    <w:uiPriority w:val="0"/>
    <w:pPr>
      <w:widowControl/>
      <w:adjustRightInd/>
      <w:snapToGrid/>
      <w:spacing w:beforeAutospacing="1" w:after="100" w:afterAutospacing="1" w:line="375" w:lineRule="atLeast"/>
      <w:ind w:firstLine="0" w:firstLineChars="0"/>
      <w:jc w:val="left"/>
    </w:pPr>
    <w:rPr>
      <w:rFonts w:ascii="宋体" w:hAnsi="宋体"/>
      <w:snapToGrid/>
      <w:color w:val="000000"/>
      <w:sz w:val="21"/>
      <w:szCs w:val="21"/>
    </w:rPr>
  </w:style>
  <w:style w:type="character" w:customStyle="1" w:styleId="1223">
    <w:name w:val="zwsx"/>
    <w:uiPriority w:val="0"/>
  </w:style>
  <w:style w:type="paragraph" w:customStyle="1" w:styleId="1224">
    <w:name w:val="zz"/>
    <w:basedOn w:val="1"/>
    <w:uiPriority w:val="0"/>
    <w:pPr>
      <w:snapToGrid/>
      <w:spacing w:line="360" w:lineRule="auto"/>
      <w:ind w:firstLine="567" w:firstLineChars="0"/>
      <w:textAlignment w:val="baseline"/>
    </w:pPr>
    <w:rPr>
      <w:rFonts w:ascii="宋体"/>
      <w:snapToGrid/>
      <w:kern w:val="28"/>
      <w:sz w:val="28"/>
      <w:szCs w:val="20"/>
    </w:rPr>
  </w:style>
  <w:style w:type="paragraph" w:customStyle="1" w:styleId="1225">
    <w:name w:val="Z表格标题"/>
    <w:basedOn w:val="1"/>
    <w:uiPriority w:val="0"/>
    <w:pPr>
      <w:tabs>
        <w:tab w:val="left" w:pos="4260"/>
      </w:tabs>
      <w:spacing w:line="240" w:lineRule="auto"/>
      <w:ind w:left="4260" w:hanging="420" w:firstLineChars="0"/>
      <w:jc w:val="center"/>
      <w:outlineLvl w:val="8"/>
    </w:pPr>
    <w:rPr>
      <w:rFonts w:ascii="黑体" w:eastAsia="黑体"/>
      <w:snapToGrid/>
      <w:kern w:val="2"/>
      <w:sz w:val="28"/>
    </w:rPr>
  </w:style>
  <w:style w:type="paragraph" w:customStyle="1" w:styleId="1226">
    <w:name w:val="z-窗体底端1"/>
    <w:basedOn w:val="1"/>
    <w:next w:val="1"/>
    <w:link w:val="1227"/>
    <w:qFormat/>
    <w:uiPriority w:val="0"/>
    <w:pPr>
      <w:widowControl/>
      <w:pBdr>
        <w:top w:val="single" w:color="auto" w:sz="6" w:space="1"/>
      </w:pBdr>
      <w:adjustRightInd/>
      <w:snapToGrid/>
      <w:spacing w:line="240" w:lineRule="auto"/>
      <w:ind w:firstLine="0" w:firstLineChars="0"/>
      <w:jc w:val="center"/>
    </w:pPr>
    <w:rPr>
      <w:rFonts w:ascii="Arial" w:hAnsi="Arial"/>
      <w:snapToGrid/>
      <w:vanish/>
      <w:sz w:val="16"/>
      <w:szCs w:val="16"/>
    </w:rPr>
  </w:style>
  <w:style w:type="character" w:customStyle="1" w:styleId="1227">
    <w:name w:val="z-窗体底端 字符"/>
    <w:link w:val="1226"/>
    <w:qFormat/>
    <w:uiPriority w:val="0"/>
    <w:rPr>
      <w:rFonts w:ascii="Arial" w:hAnsi="Arial" w:eastAsia="宋体" w:cs="Times New Roman"/>
      <w:vanish/>
      <w:kern w:val="0"/>
      <w:sz w:val="16"/>
      <w:szCs w:val="16"/>
      <w14:ligatures w14:val="none"/>
    </w:rPr>
  </w:style>
  <w:style w:type="paragraph" w:customStyle="1" w:styleId="1228">
    <w:name w:val="z-窗体顶端1"/>
    <w:basedOn w:val="1"/>
    <w:next w:val="1"/>
    <w:link w:val="1229"/>
    <w:qFormat/>
    <w:uiPriority w:val="0"/>
    <w:pPr>
      <w:widowControl/>
      <w:pBdr>
        <w:bottom w:val="single" w:color="auto" w:sz="6" w:space="1"/>
      </w:pBdr>
      <w:adjustRightInd/>
      <w:snapToGrid/>
      <w:spacing w:line="240" w:lineRule="auto"/>
      <w:ind w:firstLine="0" w:firstLineChars="0"/>
      <w:jc w:val="center"/>
    </w:pPr>
    <w:rPr>
      <w:rFonts w:ascii="Arial" w:hAnsi="Arial"/>
      <w:snapToGrid/>
      <w:vanish/>
      <w:sz w:val="16"/>
      <w:szCs w:val="16"/>
    </w:rPr>
  </w:style>
  <w:style w:type="character" w:customStyle="1" w:styleId="1229">
    <w:name w:val="z-窗体顶端 字符"/>
    <w:link w:val="1228"/>
    <w:uiPriority w:val="0"/>
    <w:rPr>
      <w:rFonts w:ascii="Arial" w:hAnsi="Arial" w:eastAsia="宋体" w:cs="Times New Roman"/>
      <w:vanish/>
      <w:kern w:val="0"/>
      <w:sz w:val="16"/>
      <w:szCs w:val="16"/>
      <w14:ligatures w14:val="none"/>
    </w:rPr>
  </w:style>
  <w:style w:type="paragraph" w:customStyle="1" w:styleId="1230">
    <w:name w:val="Z章标题"/>
    <w:basedOn w:val="3"/>
    <w:next w:val="3"/>
    <w:uiPriority w:val="0"/>
    <w:pPr>
      <w:keepNext/>
      <w:keepLines/>
      <w:numPr>
        <w:numId w:val="0"/>
      </w:numPr>
      <w:tabs>
        <w:tab w:val="left" w:pos="432"/>
        <w:tab w:val="left" w:pos="840"/>
      </w:tabs>
      <w:adjustRightInd/>
      <w:snapToGrid/>
      <w:spacing w:before="340" w:afterLines="0" w:line="360" w:lineRule="auto"/>
      <w:ind w:left="840" w:hanging="360"/>
    </w:pPr>
    <w:rPr>
      <w:rFonts w:ascii="仿宋_GB2312" w:eastAsia="仿宋_GB2312"/>
      <w:snapToGrid/>
    </w:rPr>
  </w:style>
  <w:style w:type="paragraph" w:customStyle="1" w:styleId="1231">
    <w:name w:val="Z节标题"/>
    <w:basedOn w:val="1230"/>
    <w:qFormat/>
    <w:uiPriority w:val="0"/>
    <w:pPr>
      <w:tabs>
        <w:tab w:val="left" w:pos="1320"/>
        <w:tab w:val="clear" w:pos="840"/>
      </w:tabs>
      <w:spacing w:after="100" w:afterAutospacing="1" w:line="240" w:lineRule="auto"/>
      <w:ind w:left="1320" w:hanging="420"/>
      <w:jc w:val="left"/>
      <w:outlineLvl w:val="1"/>
    </w:pPr>
    <w:rPr>
      <w:rFonts w:eastAsia="黑体"/>
      <w:b w:val="0"/>
      <w:sz w:val="32"/>
    </w:rPr>
  </w:style>
  <w:style w:type="paragraph" w:customStyle="1" w:styleId="1232">
    <w:name w:val="Z小节标题"/>
    <w:basedOn w:val="1231"/>
    <w:next w:val="1"/>
    <w:qFormat/>
    <w:uiPriority w:val="0"/>
    <w:pPr>
      <w:numPr>
        <w:ilvl w:val="2"/>
      </w:numPr>
      <w:ind w:left="1320" w:hanging="420"/>
      <w:outlineLvl w:val="2"/>
    </w:pPr>
    <w:rPr>
      <w:sz w:val="30"/>
    </w:rPr>
  </w:style>
  <w:style w:type="paragraph" w:customStyle="1" w:styleId="1233">
    <w:name w:val="Z小小节标题"/>
    <w:basedOn w:val="1232"/>
    <w:qFormat/>
    <w:uiPriority w:val="0"/>
    <w:pPr>
      <w:numPr>
        <w:ilvl w:val="3"/>
      </w:numPr>
      <w:ind w:left="1320" w:hanging="420"/>
      <w:outlineLvl w:val="3"/>
    </w:pPr>
    <w:rPr>
      <w:rFonts w:eastAsia="仿宋_GB2312"/>
    </w:rPr>
  </w:style>
  <w:style w:type="paragraph" w:customStyle="1" w:styleId="1234">
    <w:name w:val="Z正文"/>
    <w:autoRedefine/>
    <w:uiPriority w:val="0"/>
    <w:pPr>
      <w:widowControl w:val="0"/>
      <w:adjustRightInd w:val="0"/>
      <w:spacing w:after="200"/>
      <w:ind w:firstLine="560" w:firstLineChars="200"/>
      <w:jc w:val="both"/>
    </w:pPr>
    <w:rPr>
      <w:rFonts w:ascii="Cambria" w:hAnsi="Cambria" w:eastAsia="仿宋_GB2312" w:cs="Times New Roman"/>
      <w:kern w:val="2"/>
      <w:sz w:val="28"/>
      <w:szCs w:val="28"/>
      <w:lang w:val="en-US" w:eastAsia="en-US" w:bidi="ar-SA"/>
    </w:rPr>
  </w:style>
  <w:style w:type="paragraph" w:customStyle="1" w:styleId="1235">
    <w:name w:val="z正文 Char Char Char"/>
    <w:basedOn w:val="1"/>
    <w:qFormat/>
    <w:uiPriority w:val="0"/>
    <w:pPr>
      <w:adjustRightInd/>
      <w:snapToGrid/>
      <w:spacing w:line="360" w:lineRule="auto"/>
    </w:pPr>
    <w:rPr>
      <w:rFonts w:ascii="宋体" w:hAnsi="宋体" w:eastAsia="仿宋_GB2312" w:cs="宋体"/>
      <w:snapToGrid/>
      <w:kern w:val="2"/>
      <w:sz w:val="28"/>
      <w:szCs w:val="28"/>
    </w:rPr>
  </w:style>
  <w:style w:type="paragraph" w:customStyle="1" w:styleId="1236">
    <w:name w:val="报告"/>
    <w:basedOn w:val="1"/>
    <w:qFormat/>
    <w:uiPriority w:val="0"/>
    <w:pPr>
      <w:adjustRightInd/>
      <w:snapToGrid/>
      <w:spacing w:line="300" w:lineRule="auto"/>
      <w:ind w:firstLine="539" w:firstLineChars="0"/>
    </w:pPr>
    <w:rPr>
      <w:snapToGrid/>
      <w:kern w:val="2"/>
    </w:rPr>
  </w:style>
  <w:style w:type="character" w:customStyle="1" w:styleId="1237">
    <w:name w:val="报告 Char"/>
    <w:uiPriority w:val="0"/>
    <w:rPr>
      <w:rFonts w:eastAsia="宋体"/>
      <w:kern w:val="2"/>
      <w:sz w:val="24"/>
      <w:szCs w:val="24"/>
      <w:lang w:val="en-US" w:eastAsia="zh-CN" w:bidi="ar-SA"/>
    </w:rPr>
  </w:style>
  <w:style w:type="paragraph" w:customStyle="1" w:styleId="1238">
    <w:name w:val="报告 Char Char"/>
    <w:basedOn w:val="1"/>
    <w:link w:val="1239"/>
    <w:qFormat/>
    <w:uiPriority w:val="0"/>
    <w:pPr>
      <w:adjustRightInd/>
      <w:snapToGrid/>
      <w:spacing w:line="300" w:lineRule="auto"/>
      <w:ind w:firstLine="539" w:firstLineChars="0"/>
    </w:pPr>
    <w:rPr>
      <w:snapToGrid/>
    </w:rPr>
  </w:style>
  <w:style w:type="character" w:customStyle="1" w:styleId="1239">
    <w:name w:val="报告 Char Char Char Char Char"/>
    <w:link w:val="1238"/>
    <w:qFormat/>
    <w:uiPriority w:val="0"/>
    <w:rPr>
      <w:rFonts w:ascii="Times New Roman" w:hAnsi="Times New Roman" w:eastAsia="宋体" w:cs="Times New Roman"/>
      <w:kern w:val="0"/>
      <w:sz w:val="26"/>
      <w:szCs w:val="24"/>
      <w14:ligatures w14:val="none"/>
    </w:rPr>
  </w:style>
  <w:style w:type="character" w:customStyle="1" w:styleId="1240">
    <w:name w:val="报告 Char Char Char"/>
    <w:qFormat/>
    <w:uiPriority w:val="0"/>
    <w:rPr>
      <w:rFonts w:eastAsia="宋体"/>
      <w:kern w:val="2"/>
      <w:sz w:val="24"/>
      <w:szCs w:val="24"/>
      <w:lang w:val="en-US" w:eastAsia="zh-CN" w:bidi="ar-SA"/>
    </w:rPr>
  </w:style>
  <w:style w:type="character" w:customStyle="1" w:styleId="1241">
    <w:name w:val="报告 Char Char Char Char"/>
    <w:qFormat/>
    <w:uiPriority w:val="0"/>
    <w:rPr>
      <w:rFonts w:eastAsia="宋体"/>
      <w:kern w:val="2"/>
      <w:sz w:val="24"/>
      <w:szCs w:val="24"/>
      <w:lang w:val="en-US" w:eastAsia="zh-CN" w:bidi="ar-SA"/>
    </w:rPr>
  </w:style>
  <w:style w:type="paragraph" w:customStyle="1" w:styleId="1242">
    <w:name w:val="报告表格"/>
    <w:basedOn w:val="1"/>
    <w:qFormat/>
    <w:uiPriority w:val="0"/>
    <w:pPr>
      <w:autoSpaceDE w:val="0"/>
      <w:autoSpaceDN w:val="0"/>
      <w:snapToGrid/>
      <w:spacing w:after="40" w:line="240" w:lineRule="auto"/>
      <w:ind w:firstLine="0" w:firstLineChars="0"/>
      <w:jc w:val="center"/>
      <w:textAlignment w:val="bottom"/>
    </w:pPr>
    <w:rPr>
      <w:snapToGrid/>
      <w:sz w:val="21"/>
      <w:szCs w:val="20"/>
    </w:rPr>
  </w:style>
  <w:style w:type="paragraph" w:customStyle="1" w:styleId="1243">
    <w:name w:val="报告表正文"/>
    <w:basedOn w:val="1"/>
    <w:uiPriority w:val="0"/>
    <w:pPr>
      <w:snapToGrid/>
      <w:spacing w:line="300" w:lineRule="auto"/>
      <w:ind w:left="113" w:right="113" w:firstLine="0" w:firstLineChars="0"/>
      <w:textAlignment w:val="baseline"/>
    </w:pPr>
    <w:rPr>
      <w:snapToGrid/>
      <w:szCs w:val="20"/>
    </w:rPr>
  </w:style>
  <w:style w:type="paragraph" w:customStyle="1" w:styleId="1244">
    <w:name w:val="报告表中"/>
    <w:basedOn w:val="1"/>
    <w:uiPriority w:val="0"/>
    <w:pPr>
      <w:adjustRightInd/>
      <w:snapToGrid/>
      <w:spacing w:line="240" w:lineRule="auto"/>
      <w:ind w:firstLine="0" w:firstLineChars="0"/>
      <w:jc w:val="center"/>
    </w:pPr>
    <w:rPr>
      <w:snapToGrid/>
      <w:kern w:val="2"/>
      <w:sz w:val="18"/>
      <w:szCs w:val="20"/>
    </w:rPr>
  </w:style>
  <w:style w:type="paragraph" w:customStyle="1" w:styleId="1245">
    <w:name w:val="报告正文"/>
    <w:basedOn w:val="1"/>
    <w:qFormat/>
    <w:uiPriority w:val="0"/>
    <w:pPr>
      <w:adjustRightInd/>
      <w:snapToGrid/>
      <w:spacing w:line="360" w:lineRule="auto"/>
      <w:ind w:firstLine="0" w:firstLineChars="0"/>
      <w:jc w:val="center"/>
    </w:pPr>
    <w:rPr>
      <w:snapToGrid/>
      <w:color w:val="000000"/>
      <w:kern w:val="2"/>
      <w:sz w:val="21"/>
      <w:szCs w:val="21"/>
    </w:rPr>
  </w:style>
  <w:style w:type="paragraph" w:customStyle="1" w:styleId="1246">
    <w:name w:val="报告插图"/>
    <w:basedOn w:val="1245"/>
    <w:next w:val="1245"/>
    <w:uiPriority w:val="0"/>
    <w:pPr>
      <w:ind w:firstLine="617"/>
    </w:pPr>
    <w:rPr>
      <w:rFonts w:hAnsi="宋体"/>
      <w:b/>
      <w:color w:val="auto"/>
      <w:kern w:val="0"/>
      <w:sz w:val="28"/>
      <w:szCs w:val="28"/>
    </w:rPr>
  </w:style>
  <w:style w:type="paragraph" w:customStyle="1" w:styleId="1247">
    <w:name w:val="报告书"/>
    <w:basedOn w:val="1"/>
    <w:uiPriority w:val="0"/>
    <w:pPr>
      <w:adjustRightInd/>
      <w:snapToGrid/>
      <w:spacing w:line="300" w:lineRule="auto"/>
      <w:ind w:firstLine="480"/>
    </w:pPr>
    <w:rPr>
      <w:snapToGrid/>
      <w:kern w:val="2"/>
    </w:rPr>
  </w:style>
  <w:style w:type="paragraph" w:customStyle="1" w:styleId="1248">
    <w:name w:val="报告书表格"/>
    <w:basedOn w:val="1"/>
    <w:uiPriority w:val="0"/>
    <w:pPr>
      <w:snapToGrid/>
      <w:spacing w:after="60" w:line="240" w:lineRule="atLeast"/>
      <w:ind w:firstLine="0" w:firstLineChars="0"/>
      <w:jc w:val="center"/>
    </w:pPr>
    <w:rPr>
      <w:rFonts w:eastAsia="汉仪仿宋简"/>
      <w:snapToGrid/>
      <w:sz w:val="28"/>
      <w:szCs w:val="20"/>
    </w:rPr>
  </w:style>
  <w:style w:type="paragraph" w:customStyle="1" w:styleId="1249">
    <w:name w:val="报告书二级标题"/>
    <w:basedOn w:val="4"/>
    <w:uiPriority w:val="0"/>
    <w:pPr>
      <w:numPr>
        <w:ilvl w:val="0"/>
        <w:numId w:val="0"/>
      </w:numPr>
      <w:adjustRightInd/>
      <w:snapToGrid/>
      <w:spacing w:after="120" w:line="360" w:lineRule="auto"/>
    </w:pPr>
    <w:rPr>
      <w:rFonts w:ascii="Arial" w:hAnsi="Arial"/>
      <w:snapToGrid/>
    </w:rPr>
  </w:style>
  <w:style w:type="paragraph" w:customStyle="1" w:styleId="1250">
    <w:name w:val="报告书副标题"/>
    <w:basedOn w:val="1"/>
    <w:qFormat/>
    <w:uiPriority w:val="0"/>
    <w:pPr>
      <w:widowControl/>
      <w:tabs>
        <w:tab w:val="left" w:pos="-24"/>
      </w:tabs>
      <w:adjustRightInd/>
      <w:snapToGrid/>
      <w:spacing w:line="240" w:lineRule="auto"/>
      <w:ind w:firstLine="0" w:firstLineChars="0"/>
      <w:jc w:val="center"/>
      <w:textAlignment w:val="baseline"/>
      <w:outlineLvl w:val="4"/>
    </w:pPr>
    <w:rPr>
      <w:rFonts w:ascii="宋体" w:hAnsi="宋体"/>
      <w:b/>
      <w:bCs/>
      <w:snapToGrid/>
      <w:color w:val="000000"/>
      <w:w w:val="83"/>
      <w:sz w:val="48"/>
      <w:szCs w:val="20"/>
      <w:u w:color="000000"/>
    </w:rPr>
  </w:style>
  <w:style w:type="paragraph" w:customStyle="1" w:styleId="1251">
    <w:name w:val="报告书排版正式"/>
    <w:basedOn w:val="1"/>
    <w:uiPriority w:val="0"/>
    <w:pPr>
      <w:adjustRightInd/>
      <w:snapToGrid/>
      <w:spacing w:line="360" w:lineRule="auto"/>
      <w:textAlignment w:val="baseline"/>
    </w:pPr>
    <w:rPr>
      <w:rFonts w:hint="eastAsia" w:ascii="宋体"/>
      <w:snapToGrid/>
      <w:color w:val="000000"/>
      <w:szCs w:val="20"/>
    </w:rPr>
  </w:style>
  <w:style w:type="paragraph" w:customStyle="1" w:styleId="1252">
    <w:name w:val="报告书正文"/>
    <w:basedOn w:val="1"/>
    <w:qFormat/>
    <w:uiPriority w:val="0"/>
    <w:pPr>
      <w:snapToGrid/>
      <w:spacing w:line="240" w:lineRule="auto"/>
      <w:ind w:left="-17" w:leftChars="-19" w:hanging="23" w:hangingChars="11"/>
    </w:pPr>
    <w:rPr>
      <w:rFonts w:ascii="宋体" w:hAnsi="宋体"/>
      <w:sz w:val="21"/>
      <w:szCs w:val="21"/>
    </w:rPr>
  </w:style>
  <w:style w:type="paragraph" w:customStyle="1" w:styleId="1253">
    <w:name w:val="样式 报告书正文 + Times New Roman"/>
    <w:basedOn w:val="1252"/>
    <w:link w:val="1254"/>
    <w:qFormat/>
    <w:uiPriority w:val="0"/>
    <w:pPr>
      <w:tabs>
        <w:tab w:val="left" w:pos="180"/>
      </w:tabs>
      <w:adjustRightInd/>
      <w:snapToGrid w:val="0"/>
      <w:spacing w:line="360" w:lineRule="auto"/>
      <w:ind w:left="0" w:leftChars="0" w:firstLine="200" w:firstLineChars="200"/>
      <w:textAlignment w:val="baseline"/>
    </w:pPr>
    <w:rPr>
      <w:rFonts w:ascii="黑体"/>
      <w:snapToGrid/>
      <w:sz w:val="24"/>
      <w:szCs w:val="20"/>
    </w:rPr>
  </w:style>
  <w:style w:type="character" w:customStyle="1" w:styleId="1254">
    <w:name w:val="样式 报告书正文 + Times New Roman Char Char"/>
    <w:link w:val="1253"/>
    <w:qFormat/>
    <w:uiPriority w:val="0"/>
    <w:rPr>
      <w:rFonts w:ascii="黑体" w:hAnsi="宋体" w:eastAsia="宋体" w:cs="Times New Roman"/>
      <w:kern w:val="0"/>
      <w:sz w:val="24"/>
      <w:szCs w:val="20"/>
      <w14:ligatures w14:val="none"/>
    </w:rPr>
  </w:style>
  <w:style w:type="paragraph" w:customStyle="1" w:styleId="1255">
    <w:name w:val="报告书排版正文"/>
    <w:basedOn w:val="1253"/>
    <w:qFormat/>
    <w:uiPriority w:val="0"/>
    <w:pPr>
      <w:snapToGrid/>
    </w:pPr>
  </w:style>
  <w:style w:type="paragraph" w:customStyle="1" w:styleId="1256">
    <w:name w:val="报告书三级标题"/>
    <w:basedOn w:val="5"/>
    <w:qFormat/>
    <w:uiPriority w:val="0"/>
    <w:pPr>
      <w:keepNext/>
      <w:keepLines/>
      <w:numPr>
        <w:ilvl w:val="0"/>
        <w:numId w:val="0"/>
      </w:numPr>
      <w:adjustRightInd/>
      <w:snapToGrid/>
      <w:spacing w:line="360" w:lineRule="auto"/>
      <w:ind w:left="720" w:hanging="432"/>
      <w:jc w:val="both"/>
    </w:pPr>
    <w:rPr>
      <w:snapToGrid/>
      <w:kern w:val="2"/>
    </w:rPr>
  </w:style>
  <w:style w:type="character" w:customStyle="1" w:styleId="1257">
    <w:name w:val="标题 字符"/>
    <w:uiPriority w:val="0"/>
    <w:rPr>
      <w:rFonts w:hint="eastAsia" w:ascii="等线 Light" w:hAnsi="等线 Light" w:eastAsia="等线 Light" w:cs="Times New Roman"/>
      <w:b/>
      <w:bCs/>
      <w:snapToGrid/>
      <w:sz w:val="32"/>
      <w:szCs w:val="32"/>
    </w:rPr>
  </w:style>
  <w:style w:type="character" w:customStyle="1" w:styleId="1258">
    <w:name w:val="标题 字符3"/>
    <w:link w:val="84"/>
    <w:qFormat/>
    <w:uiPriority w:val="0"/>
    <w:rPr>
      <w:rFonts w:ascii="Times New Roman" w:hAnsi="Times New Roman" w:eastAsia="宋体" w:cs="Times New Roman"/>
      <w:color w:val="000000"/>
      <w:spacing w:val="8"/>
      <w:kern w:val="0"/>
      <w:sz w:val="26"/>
      <w14:ligatures w14:val="none"/>
    </w:rPr>
  </w:style>
  <w:style w:type="paragraph" w:customStyle="1" w:styleId="1259">
    <w:name w:val="报告书题目"/>
    <w:basedOn w:val="84"/>
    <w:qFormat/>
    <w:uiPriority w:val="0"/>
    <w:pPr>
      <w:adjustRightInd/>
      <w:snapToGrid/>
      <w:spacing w:line="240" w:lineRule="auto"/>
      <w:ind w:firstLine="643"/>
    </w:pPr>
    <w:rPr>
      <w:rFonts w:cs="Arial"/>
      <w:snapToGrid w:val="0"/>
      <w:kern w:val="2"/>
      <w:sz w:val="84"/>
    </w:rPr>
  </w:style>
  <w:style w:type="paragraph" w:customStyle="1" w:styleId="1260">
    <w:name w:val="报告书征文"/>
    <w:basedOn w:val="1"/>
    <w:qFormat/>
    <w:uiPriority w:val="0"/>
    <w:pPr>
      <w:adjustRightInd/>
      <w:snapToGrid/>
      <w:spacing w:line="360" w:lineRule="auto"/>
      <w:ind w:firstLine="0" w:firstLineChars="0"/>
    </w:pPr>
    <w:rPr>
      <w:snapToGrid/>
      <w:kern w:val="2"/>
      <w:szCs w:val="21"/>
    </w:rPr>
  </w:style>
  <w:style w:type="paragraph" w:customStyle="1" w:styleId="1261">
    <w:name w:val="报告书正标题"/>
    <w:basedOn w:val="1"/>
    <w:uiPriority w:val="0"/>
    <w:pPr>
      <w:widowControl/>
      <w:tabs>
        <w:tab w:val="left" w:pos="-24"/>
      </w:tabs>
      <w:adjustRightInd/>
      <w:snapToGrid/>
      <w:spacing w:after="120" w:line="240" w:lineRule="auto"/>
      <w:ind w:firstLine="0" w:firstLineChars="0"/>
      <w:jc w:val="center"/>
      <w:textAlignment w:val="baseline"/>
    </w:pPr>
    <w:rPr>
      <w:rFonts w:ascii="黑体" w:hAnsi="宋体" w:eastAsia="黑体"/>
      <w:snapToGrid/>
      <w:color w:val="000000"/>
      <w:spacing w:val="120"/>
      <w:sz w:val="72"/>
      <w:szCs w:val="20"/>
      <w:u w:color="000000"/>
    </w:rPr>
  </w:style>
  <w:style w:type="paragraph" w:customStyle="1" w:styleId="1262">
    <w:name w:val="报告书正文 Char"/>
    <w:basedOn w:val="1"/>
    <w:qFormat/>
    <w:uiPriority w:val="0"/>
    <w:pPr>
      <w:adjustRightInd/>
      <w:snapToGrid/>
      <w:spacing w:line="360" w:lineRule="auto"/>
      <w:ind w:firstLine="0" w:firstLineChars="0"/>
    </w:pPr>
    <w:rPr>
      <w:snapToGrid/>
      <w:kern w:val="2"/>
    </w:rPr>
  </w:style>
  <w:style w:type="paragraph" w:customStyle="1" w:styleId="1263">
    <w:name w:val="报告书正文 Char Char"/>
    <w:basedOn w:val="1"/>
    <w:qFormat/>
    <w:uiPriority w:val="0"/>
    <w:pPr>
      <w:adjustRightInd/>
      <w:snapToGrid/>
      <w:spacing w:line="300" w:lineRule="auto"/>
      <w:ind w:firstLine="480"/>
    </w:pPr>
    <w:rPr>
      <w:snapToGrid/>
      <w:color w:val="000000"/>
      <w:kern w:val="2"/>
    </w:rPr>
  </w:style>
  <w:style w:type="paragraph" w:customStyle="1" w:styleId="1264">
    <w:name w:val="报告书正文 Char Char Char"/>
    <w:basedOn w:val="1"/>
    <w:uiPriority w:val="0"/>
    <w:pPr>
      <w:adjustRightInd/>
      <w:snapToGrid/>
      <w:spacing w:line="360" w:lineRule="auto"/>
      <w:ind w:firstLine="0" w:firstLineChars="0"/>
    </w:pPr>
    <w:rPr>
      <w:snapToGrid/>
      <w:kern w:val="2"/>
    </w:rPr>
  </w:style>
  <w:style w:type="character" w:customStyle="1" w:styleId="1265">
    <w:name w:val="报告书正文 Char Char Char Char"/>
    <w:qFormat/>
    <w:uiPriority w:val="0"/>
    <w:rPr>
      <w:rFonts w:eastAsia="宋体"/>
      <w:kern w:val="2"/>
      <w:sz w:val="24"/>
      <w:szCs w:val="24"/>
      <w:lang w:val="en-US" w:eastAsia="zh-CN" w:bidi="ar-SA"/>
    </w:rPr>
  </w:style>
  <w:style w:type="paragraph" w:customStyle="1" w:styleId="1266">
    <w:name w:val="报告书正文 Char Char Char Char Char"/>
    <w:basedOn w:val="1"/>
    <w:qFormat/>
    <w:uiPriority w:val="0"/>
    <w:pPr>
      <w:adjustRightInd/>
      <w:snapToGrid/>
      <w:spacing w:line="300" w:lineRule="auto"/>
      <w:ind w:firstLine="480"/>
    </w:pPr>
    <w:rPr>
      <w:snapToGrid/>
      <w:color w:val="000000"/>
      <w:kern w:val="2"/>
    </w:rPr>
  </w:style>
  <w:style w:type="character" w:customStyle="1" w:styleId="1267">
    <w:name w:val="报告书正文 Char Char Char Char Char Char"/>
    <w:qFormat/>
    <w:uiPriority w:val="0"/>
    <w:rPr>
      <w:rFonts w:eastAsia="宋体"/>
      <w:color w:val="000000"/>
      <w:kern w:val="2"/>
      <w:sz w:val="24"/>
      <w:szCs w:val="24"/>
      <w:lang w:val="en-US" w:eastAsia="zh-CN" w:bidi="ar-SA"/>
    </w:rPr>
  </w:style>
  <w:style w:type="paragraph" w:customStyle="1" w:styleId="1268">
    <w:name w:val="报告书正文 Char Char Char Char Char Char Char"/>
    <w:basedOn w:val="1"/>
    <w:qFormat/>
    <w:uiPriority w:val="0"/>
    <w:pPr>
      <w:adjustRightInd/>
      <w:snapToGrid/>
      <w:spacing w:line="300" w:lineRule="auto"/>
      <w:ind w:firstLine="480"/>
    </w:pPr>
    <w:rPr>
      <w:snapToGrid/>
      <w:color w:val="000000"/>
      <w:kern w:val="2"/>
    </w:rPr>
  </w:style>
  <w:style w:type="paragraph" w:customStyle="1" w:styleId="1269">
    <w:name w:val="报告书正文 Char Char Char Char Char Char Char Char"/>
    <w:basedOn w:val="1"/>
    <w:qFormat/>
    <w:uiPriority w:val="0"/>
    <w:pPr>
      <w:adjustRightInd/>
      <w:snapToGrid/>
      <w:spacing w:line="300" w:lineRule="auto"/>
      <w:ind w:firstLine="480"/>
    </w:pPr>
    <w:rPr>
      <w:snapToGrid/>
      <w:color w:val="000000"/>
      <w:kern w:val="2"/>
    </w:rPr>
  </w:style>
  <w:style w:type="paragraph" w:customStyle="1" w:styleId="1270">
    <w:name w:val="报告书正文 Char Char Char Char Char Char Char Char Char"/>
    <w:basedOn w:val="1"/>
    <w:link w:val="1271"/>
    <w:uiPriority w:val="0"/>
    <w:pPr>
      <w:adjustRightInd/>
      <w:snapToGrid/>
      <w:spacing w:line="300" w:lineRule="auto"/>
      <w:ind w:firstLine="480"/>
    </w:pPr>
    <w:rPr>
      <w:snapToGrid/>
      <w:color w:val="000000"/>
    </w:rPr>
  </w:style>
  <w:style w:type="character" w:customStyle="1" w:styleId="1271">
    <w:name w:val="报告书正文 Char Char Char Char Char Char Char Char Char Char Char Char"/>
    <w:link w:val="1270"/>
    <w:uiPriority w:val="0"/>
    <w:rPr>
      <w:rFonts w:ascii="Times New Roman" w:hAnsi="Times New Roman" w:eastAsia="宋体" w:cs="Times New Roman"/>
      <w:color w:val="000000"/>
      <w:kern w:val="0"/>
      <w:sz w:val="26"/>
      <w:szCs w:val="24"/>
      <w14:ligatures w14:val="none"/>
    </w:rPr>
  </w:style>
  <w:style w:type="paragraph" w:customStyle="1" w:styleId="1272">
    <w:name w:val="报告书正文 Char Char Char Char Char Char Char Char Char Char"/>
    <w:basedOn w:val="1"/>
    <w:qFormat/>
    <w:uiPriority w:val="0"/>
    <w:pPr>
      <w:adjustRightInd/>
      <w:snapToGrid/>
      <w:spacing w:line="300" w:lineRule="auto"/>
      <w:ind w:firstLine="480"/>
    </w:pPr>
    <w:rPr>
      <w:snapToGrid/>
      <w:color w:val="000000"/>
      <w:kern w:val="2"/>
    </w:rPr>
  </w:style>
  <w:style w:type="character" w:customStyle="1" w:styleId="1273">
    <w:name w:val="报告书正文 Char Char Char Char Char Char Char Char Char Char Char"/>
    <w:qFormat/>
    <w:uiPriority w:val="0"/>
    <w:rPr>
      <w:rFonts w:eastAsia="宋体"/>
      <w:color w:val="000000"/>
      <w:kern w:val="2"/>
      <w:sz w:val="24"/>
      <w:szCs w:val="24"/>
      <w:lang w:val="en-US" w:eastAsia="zh-CN" w:bidi="ar-SA"/>
    </w:rPr>
  </w:style>
  <w:style w:type="paragraph" w:customStyle="1" w:styleId="1274">
    <w:name w:val="报告书正文 Char Char Char Char Char Char Char Char Char Char Char Char Char"/>
    <w:basedOn w:val="1"/>
    <w:qFormat/>
    <w:uiPriority w:val="0"/>
    <w:pPr>
      <w:adjustRightInd/>
      <w:snapToGrid/>
      <w:spacing w:line="300" w:lineRule="auto"/>
      <w:ind w:firstLine="480"/>
    </w:pPr>
    <w:rPr>
      <w:snapToGrid/>
      <w:color w:val="000000"/>
      <w:kern w:val="2"/>
    </w:rPr>
  </w:style>
  <w:style w:type="character" w:customStyle="1" w:styleId="1275">
    <w:name w:val="报告书正文 Char Char Char Char Char Char Char Char Char Char Char Char Char Char"/>
    <w:qFormat/>
    <w:uiPriority w:val="0"/>
    <w:rPr>
      <w:rFonts w:eastAsia="宋体"/>
      <w:color w:val="000000"/>
      <w:kern w:val="2"/>
      <w:sz w:val="24"/>
      <w:szCs w:val="24"/>
      <w:lang w:val="en-US" w:eastAsia="zh-CN" w:bidi="ar-SA"/>
    </w:rPr>
  </w:style>
  <w:style w:type="character" w:customStyle="1" w:styleId="1276">
    <w:name w:val="报告书正文 Char Char Char Char Char Char Char Char Char Char Char Char Char Char Char"/>
    <w:uiPriority w:val="0"/>
    <w:rPr>
      <w:rFonts w:eastAsia="宋体"/>
      <w:color w:val="000000"/>
      <w:kern w:val="2"/>
      <w:sz w:val="24"/>
      <w:szCs w:val="24"/>
      <w:lang w:val="en-US" w:eastAsia="zh-CN" w:bidi="ar-SA"/>
    </w:rPr>
  </w:style>
  <w:style w:type="character" w:customStyle="1" w:styleId="1277">
    <w:name w:val="报告书正文 Char Char Char Char Char Char Char Char Char Char Char Char Char Char Char Char"/>
    <w:qFormat/>
    <w:uiPriority w:val="0"/>
    <w:rPr>
      <w:rFonts w:eastAsia="宋体"/>
      <w:color w:val="000000"/>
      <w:kern w:val="2"/>
      <w:sz w:val="24"/>
      <w:szCs w:val="24"/>
      <w:lang w:val="en-US" w:eastAsia="zh-CN" w:bidi="ar-SA"/>
    </w:rPr>
  </w:style>
  <w:style w:type="paragraph" w:customStyle="1" w:styleId="1278">
    <w:name w:val="报告书正文 Char Char Char Char Char Char Char Char Char1"/>
    <w:basedOn w:val="1"/>
    <w:uiPriority w:val="0"/>
    <w:pPr>
      <w:adjustRightInd/>
      <w:snapToGrid/>
      <w:spacing w:line="300" w:lineRule="auto"/>
      <w:ind w:firstLine="480"/>
    </w:pPr>
    <w:rPr>
      <w:snapToGrid/>
      <w:color w:val="000000"/>
      <w:kern w:val="2"/>
    </w:rPr>
  </w:style>
  <w:style w:type="paragraph" w:customStyle="1" w:styleId="1279">
    <w:name w:val="报告书正文 Char Char Char Char Char1"/>
    <w:basedOn w:val="1"/>
    <w:link w:val="1280"/>
    <w:qFormat/>
    <w:uiPriority w:val="0"/>
    <w:pPr>
      <w:adjustRightInd/>
      <w:snapToGrid/>
      <w:spacing w:line="300" w:lineRule="auto"/>
      <w:ind w:firstLine="480"/>
    </w:pPr>
    <w:rPr>
      <w:snapToGrid/>
      <w:color w:val="000000"/>
    </w:rPr>
  </w:style>
  <w:style w:type="character" w:customStyle="1" w:styleId="1280">
    <w:name w:val="报告书正文 Char Char Char Char Char Char1"/>
    <w:link w:val="1279"/>
    <w:qFormat/>
    <w:uiPriority w:val="0"/>
    <w:rPr>
      <w:rFonts w:ascii="Times New Roman" w:hAnsi="Times New Roman" w:eastAsia="宋体" w:cs="Times New Roman"/>
      <w:color w:val="000000"/>
      <w:kern w:val="0"/>
      <w:sz w:val="26"/>
      <w:szCs w:val="24"/>
      <w14:ligatures w14:val="none"/>
    </w:rPr>
  </w:style>
  <w:style w:type="character" w:customStyle="1" w:styleId="1281">
    <w:name w:val="报告书正文 Char Char Char Char1"/>
    <w:uiPriority w:val="0"/>
    <w:rPr>
      <w:rFonts w:eastAsia="宋体"/>
      <w:kern w:val="2"/>
      <w:sz w:val="24"/>
      <w:szCs w:val="24"/>
      <w:lang w:val="en-US" w:eastAsia="zh-CN" w:bidi="ar-SA"/>
    </w:rPr>
  </w:style>
  <w:style w:type="paragraph" w:customStyle="1" w:styleId="1282">
    <w:name w:val="报告书正文 Char Char Char1"/>
    <w:basedOn w:val="1"/>
    <w:qFormat/>
    <w:uiPriority w:val="0"/>
    <w:pPr>
      <w:adjustRightInd/>
      <w:snapToGrid/>
      <w:spacing w:line="300" w:lineRule="auto"/>
      <w:ind w:firstLine="480"/>
      <w:textAlignment w:val="baseline"/>
    </w:pPr>
    <w:rPr>
      <w:rFonts w:hint="eastAsia" w:ascii="宋体"/>
      <w:snapToGrid/>
      <w:color w:val="000000"/>
      <w:szCs w:val="20"/>
    </w:rPr>
  </w:style>
  <w:style w:type="character" w:customStyle="1" w:styleId="1283">
    <w:name w:val="报告书正文 Char Char1"/>
    <w:qFormat/>
    <w:uiPriority w:val="0"/>
    <w:rPr>
      <w:rFonts w:hint="default" w:eastAsia="宋体"/>
      <w:kern w:val="2"/>
      <w:sz w:val="24"/>
      <w:lang w:val="en-US" w:eastAsia="zh-CN"/>
    </w:rPr>
  </w:style>
  <w:style w:type="paragraph" w:customStyle="1" w:styleId="1284">
    <w:name w:val="报告书正文 Char Char2"/>
    <w:basedOn w:val="1"/>
    <w:qFormat/>
    <w:uiPriority w:val="0"/>
    <w:pPr>
      <w:adjustRightInd/>
      <w:snapToGrid/>
      <w:spacing w:line="432" w:lineRule="auto"/>
      <w:ind w:firstLine="480"/>
    </w:pPr>
    <w:rPr>
      <w:snapToGrid/>
      <w:color w:val="000000"/>
      <w:kern w:val="2"/>
    </w:rPr>
  </w:style>
  <w:style w:type="paragraph" w:customStyle="1" w:styleId="1285">
    <w:name w:val="报告书正文 Char1"/>
    <w:basedOn w:val="1"/>
    <w:qFormat/>
    <w:uiPriority w:val="0"/>
    <w:pPr>
      <w:adjustRightInd/>
      <w:snapToGrid/>
      <w:spacing w:line="300" w:lineRule="auto"/>
    </w:pPr>
    <w:rPr>
      <w:snapToGrid/>
      <w:kern w:val="2"/>
      <w:szCs w:val="20"/>
    </w:rPr>
  </w:style>
  <w:style w:type="paragraph" w:customStyle="1" w:styleId="1286">
    <w:name w:val="报告书正文2"/>
    <w:basedOn w:val="1"/>
    <w:qFormat/>
    <w:uiPriority w:val="0"/>
    <w:pPr>
      <w:wordWrap w:val="0"/>
      <w:topLinePunct/>
      <w:adjustRightInd/>
      <w:snapToGrid/>
      <w:spacing w:line="480" w:lineRule="exact"/>
      <w:ind w:firstLine="480"/>
    </w:pPr>
    <w:rPr>
      <w:rFonts w:ascii="宋体" w:hAnsi="宋体" w:eastAsia="Times New Roman" w:cs="宋体"/>
      <w:snapToGrid/>
      <w:color w:val="000000"/>
      <w:kern w:val="2"/>
    </w:rPr>
  </w:style>
  <w:style w:type="paragraph" w:customStyle="1" w:styleId="1287">
    <w:name w:val="报告书正文2 Char"/>
    <w:basedOn w:val="1"/>
    <w:link w:val="1288"/>
    <w:autoRedefine/>
    <w:qFormat/>
    <w:uiPriority w:val="0"/>
    <w:pPr>
      <w:wordWrap w:val="0"/>
      <w:topLinePunct/>
      <w:adjustRightInd/>
      <w:snapToGrid/>
      <w:spacing w:line="480" w:lineRule="exact"/>
      <w:ind w:firstLine="480"/>
    </w:pPr>
    <w:rPr>
      <w:rFonts w:hAnsi="宋体"/>
      <w:snapToGrid/>
    </w:rPr>
  </w:style>
  <w:style w:type="character" w:customStyle="1" w:styleId="1288">
    <w:name w:val="报告书正文2 Char Char"/>
    <w:link w:val="1287"/>
    <w:uiPriority w:val="0"/>
    <w:rPr>
      <w:rFonts w:ascii="Times New Roman" w:hAnsi="宋体" w:eastAsia="宋体" w:cs="Times New Roman"/>
      <w:kern w:val="0"/>
      <w:sz w:val="26"/>
      <w:szCs w:val="24"/>
      <w14:ligatures w14:val="none"/>
    </w:rPr>
  </w:style>
  <w:style w:type="paragraph" w:customStyle="1" w:styleId="1289">
    <w:name w:val="报告书正文居中"/>
    <w:basedOn w:val="1252"/>
    <w:autoRedefine/>
    <w:qFormat/>
    <w:uiPriority w:val="0"/>
    <w:pPr>
      <w:tabs>
        <w:tab w:val="left" w:pos="180"/>
      </w:tabs>
      <w:adjustRightInd/>
      <w:snapToGrid w:val="0"/>
      <w:spacing w:line="360" w:lineRule="auto"/>
      <w:ind w:left="0" w:leftChars="0" w:right="-64" w:firstLine="0" w:firstLineChars="0"/>
      <w:jc w:val="center"/>
      <w:textAlignment w:val="baseline"/>
    </w:pPr>
    <w:rPr>
      <w:rFonts w:hint="eastAsia" w:ascii="Times New Roman" w:hAnsi="Times New Roman"/>
      <w:snapToGrid/>
      <w:kern w:val="2"/>
      <w:sz w:val="24"/>
      <w:szCs w:val="20"/>
    </w:rPr>
  </w:style>
  <w:style w:type="paragraph" w:customStyle="1" w:styleId="1290">
    <w:name w:val="报告题目"/>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1291">
    <w:name w:val="报告图题"/>
    <w:basedOn w:val="1"/>
    <w:next w:val="1"/>
    <w:uiPriority w:val="0"/>
    <w:pPr>
      <w:adjustRightInd/>
      <w:snapToGrid/>
      <w:spacing w:after="120" w:line="400" w:lineRule="exact"/>
      <w:ind w:firstLine="0" w:firstLineChars="0"/>
      <w:jc w:val="center"/>
    </w:pPr>
    <w:rPr>
      <w:rFonts w:ascii="黑体" w:eastAsia="黑体"/>
      <w:snapToGrid/>
      <w:kern w:val="2"/>
      <w:sz w:val="21"/>
      <w:szCs w:val="20"/>
    </w:rPr>
  </w:style>
  <w:style w:type="paragraph" w:customStyle="1" w:styleId="1292">
    <w:name w:val="报告无缩进"/>
    <w:basedOn w:val="1247"/>
    <w:qFormat/>
    <w:uiPriority w:val="0"/>
    <w:pPr>
      <w:ind w:firstLine="0" w:firstLineChars="0"/>
    </w:pPr>
  </w:style>
  <w:style w:type="paragraph" w:customStyle="1" w:styleId="1293">
    <w:name w:val="报告正文 Char"/>
    <w:basedOn w:val="1"/>
    <w:link w:val="1294"/>
    <w:autoRedefine/>
    <w:qFormat/>
    <w:uiPriority w:val="0"/>
    <w:pPr>
      <w:adjustRightInd/>
      <w:snapToGrid/>
      <w:spacing w:line="360" w:lineRule="auto"/>
      <w:ind w:firstLine="0" w:firstLineChars="0"/>
      <w:jc w:val="center"/>
    </w:pPr>
    <w:rPr>
      <w:snapToGrid/>
      <w:color w:val="000000"/>
      <w:sz w:val="20"/>
      <w:szCs w:val="21"/>
    </w:rPr>
  </w:style>
  <w:style w:type="character" w:customStyle="1" w:styleId="1294">
    <w:name w:val="报告正文 Char Char"/>
    <w:link w:val="1293"/>
    <w:qFormat/>
    <w:uiPriority w:val="0"/>
    <w:rPr>
      <w:rFonts w:ascii="Times New Roman" w:hAnsi="Times New Roman" w:eastAsia="宋体" w:cs="Times New Roman"/>
      <w:color w:val="000000"/>
      <w:kern w:val="0"/>
      <w:sz w:val="20"/>
      <w:szCs w:val="21"/>
      <w14:ligatures w14:val="none"/>
    </w:rPr>
  </w:style>
  <w:style w:type="paragraph" w:customStyle="1" w:styleId="1295">
    <w:name w:val="报告正文文字"/>
    <w:basedOn w:val="1"/>
    <w:qFormat/>
    <w:uiPriority w:val="0"/>
    <w:pPr>
      <w:snapToGrid/>
      <w:spacing w:line="360" w:lineRule="auto"/>
      <w:ind w:firstLine="560"/>
    </w:pPr>
    <w:rPr>
      <w:rFonts w:ascii="仿宋_GB2312" w:eastAsia="仿宋_GB2312"/>
      <w:snapToGrid/>
      <w:kern w:val="2"/>
      <w:sz w:val="28"/>
      <w:szCs w:val="20"/>
    </w:rPr>
  </w:style>
  <w:style w:type="paragraph" w:customStyle="1" w:styleId="1296">
    <w:name w:val="报告正文小四"/>
    <w:basedOn w:val="1"/>
    <w:qFormat/>
    <w:uiPriority w:val="0"/>
    <w:pPr>
      <w:spacing w:line="420" w:lineRule="atLeast"/>
      <w:ind w:firstLine="510" w:firstLineChars="0"/>
    </w:pPr>
    <w:rPr>
      <w:snapToGrid/>
      <w:kern w:val="2"/>
      <w:szCs w:val="20"/>
    </w:rPr>
  </w:style>
  <w:style w:type="paragraph" w:customStyle="1" w:styleId="1297">
    <w:name w:val="备注"/>
    <w:basedOn w:val="1"/>
    <w:qFormat/>
    <w:uiPriority w:val="0"/>
    <w:pPr>
      <w:adjustRightInd/>
      <w:snapToGrid/>
      <w:spacing w:line="360" w:lineRule="auto"/>
    </w:pPr>
    <w:rPr>
      <w:snapToGrid/>
      <w:spacing w:val="6"/>
      <w:kern w:val="2"/>
      <w:sz w:val="21"/>
    </w:rPr>
  </w:style>
  <w:style w:type="paragraph" w:customStyle="1" w:styleId="1298">
    <w:name w:val="本项目正文"/>
    <w:basedOn w:val="1"/>
    <w:link w:val="1299"/>
    <w:qFormat/>
    <w:uiPriority w:val="0"/>
    <w:pPr>
      <w:widowControl/>
      <w:adjustRightInd/>
      <w:snapToGrid/>
      <w:spacing w:line="360" w:lineRule="auto"/>
    </w:pPr>
    <w:rPr>
      <w:rFonts w:cs="宋体"/>
      <w:snapToGrid/>
    </w:rPr>
  </w:style>
  <w:style w:type="character" w:customStyle="1" w:styleId="1299">
    <w:name w:val="本项目正文 Char"/>
    <w:link w:val="1298"/>
    <w:qFormat/>
    <w:uiPriority w:val="0"/>
    <w:rPr>
      <w:rFonts w:ascii="Times New Roman" w:hAnsi="Times New Roman" w:eastAsia="宋体" w:cs="宋体"/>
      <w:kern w:val="0"/>
      <w:sz w:val="26"/>
      <w:szCs w:val="24"/>
      <w14:ligatures w14:val="none"/>
    </w:rPr>
  </w:style>
  <w:style w:type="paragraph" w:customStyle="1" w:styleId="1300">
    <w:name w:val="编号1"/>
    <w:basedOn w:val="1"/>
    <w:next w:val="1"/>
    <w:qFormat/>
    <w:uiPriority w:val="0"/>
    <w:pPr>
      <w:tabs>
        <w:tab w:val="left" w:pos="0"/>
      </w:tabs>
      <w:spacing w:line="360" w:lineRule="auto"/>
      <w:ind w:firstLine="0" w:firstLineChars="0"/>
    </w:pPr>
    <w:rPr>
      <w:snapToGrid/>
      <w:color w:val="000000"/>
      <w:kern w:val="2"/>
      <w:sz w:val="21"/>
      <w:szCs w:val="22"/>
      <w:lang w:val="zh-CN"/>
    </w:rPr>
  </w:style>
  <w:style w:type="paragraph" w:customStyle="1" w:styleId="1301">
    <w:name w:val="编号-1"/>
    <w:basedOn w:val="1"/>
    <w:qFormat/>
    <w:uiPriority w:val="0"/>
    <w:pPr>
      <w:spacing w:line="520" w:lineRule="exact"/>
      <w:ind w:firstLine="0" w:firstLineChars="0"/>
    </w:pPr>
    <w:rPr>
      <w:rFonts w:eastAsia="黑体"/>
      <w:snapToGrid/>
      <w:kern w:val="2"/>
      <w:szCs w:val="20"/>
    </w:rPr>
  </w:style>
  <w:style w:type="paragraph" w:customStyle="1" w:styleId="1302">
    <w:name w:val="编号杨"/>
    <w:basedOn w:val="1"/>
    <w:qFormat/>
    <w:uiPriority w:val="0"/>
    <w:pPr>
      <w:numPr>
        <w:ilvl w:val="0"/>
        <w:numId w:val="15"/>
      </w:numPr>
      <w:adjustRightInd/>
      <w:snapToGrid/>
      <w:spacing w:beforeLines="20" w:afterLines="20" w:line="312" w:lineRule="auto"/>
      <w:ind w:firstLine="0" w:firstLineChars="0"/>
    </w:pPr>
    <w:rPr>
      <w:snapToGrid/>
      <w:kern w:val="2"/>
    </w:rPr>
  </w:style>
  <w:style w:type="character" w:customStyle="1" w:styleId="1303">
    <w:name w:val="正文文本 字符"/>
    <w:semiHidden/>
    <w:qFormat/>
    <w:uiPriority w:val="0"/>
    <w:rPr>
      <w:sz w:val="24"/>
      <w:szCs w:val="24"/>
    </w:rPr>
  </w:style>
  <w:style w:type="character" w:customStyle="1" w:styleId="1304">
    <w:name w:val="正文文本 字符2"/>
    <w:link w:val="34"/>
    <w:qFormat/>
    <w:uiPriority w:val="99"/>
    <w:rPr>
      <w:rFonts w:ascii="Times New Roman" w:hAnsi="Times New Roman" w:eastAsia="宋体" w:cs="Times New Roman"/>
      <w:snapToGrid w:val="0"/>
      <w:kern w:val="0"/>
      <w:sz w:val="26"/>
      <w:szCs w:val="24"/>
      <w14:ligatures w14:val="none"/>
    </w:rPr>
  </w:style>
  <w:style w:type="paragraph" w:customStyle="1" w:styleId="1305">
    <w:name w:val="编制单位"/>
    <w:basedOn w:val="34"/>
    <w:qFormat/>
    <w:uiPriority w:val="0"/>
    <w:pPr>
      <w:tabs>
        <w:tab w:val="left" w:pos="1935"/>
        <w:tab w:val="left" w:pos="5400"/>
      </w:tabs>
      <w:adjustRightInd/>
      <w:snapToGrid/>
      <w:spacing w:after="120" w:line="240" w:lineRule="auto"/>
      <w:jc w:val="center"/>
    </w:pPr>
    <w:rPr>
      <w:rFonts w:ascii="Calibri" w:hAnsi="Calibri" w:eastAsia="黑体"/>
      <w:snapToGrid/>
      <w:color w:val="000000"/>
      <w:kern w:val="2"/>
      <w:sz w:val="36"/>
      <w:szCs w:val="21"/>
    </w:rPr>
  </w:style>
  <w:style w:type="paragraph" w:customStyle="1" w:styleId="1306">
    <w:name w:val="编制日期"/>
    <w:basedOn w:val="84"/>
    <w:qFormat/>
    <w:uiPriority w:val="0"/>
    <w:pPr>
      <w:tabs>
        <w:tab w:val="left" w:pos="1935"/>
        <w:tab w:val="left" w:pos="5400"/>
      </w:tabs>
      <w:adjustRightInd/>
      <w:snapToGrid/>
      <w:spacing w:after="240" w:line="240" w:lineRule="auto"/>
    </w:pPr>
    <w:rPr>
      <w:rFonts w:cs="Arial"/>
      <w:b/>
      <w:snapToGrid w:val="0"/>
      <w:kern w:val="2"/>
    </w:rPr>
  </w:style>
  <w:style w:type="paragraph" w:customStyle="1" w:styleId="1307">
    <w:name w:val="标0"/>
    <w:basedOn w:val="1"/>
    <w:semiHidden/>
    <w:qFormat/>
    <w:uiPriority w:val="0"/>
    <w:pPr>
      <w:adjustRightInd/>
      <w:snapToGrid/>
      <w:spacing w:beforeLines="50" w:afterLines="50" w:line="240" w:lineRule="auto"/>
      <w:ind w:firstLine="0" w:firstLineChars="0"/>
      <w:jc w:val="center"/>
      <w:outlineLvl w:val="0"/>
    </w:pPr>
    <w:rPr>
      <w:rFonts w:ascii="宋体" w:hAnsi="宋体"/>
      <w:b/>
      <w:snapToGrid/>
      <w:kern w:val="2"/>
      <w:sz w:val="32"/>
      <w:szCs w:val="32"/>
    </w:rPr>
  </w:style>
  <w:style w:type="paragraph" w:customStyle="1" w:styleId="1308">
    <w:name w:val="标2"/>
    <w:basedOn w:val="1"/>
    <w:next w:val="34"/>
    <w:link w:val="1309"/>
    <w:qFormat/>
    <w:uiPriority w:val="0"/>
    <w:pPr>
      <w:tabs>
        <w:tab w:val="left" w:pos="7875"/>
      </w:tabs>
      <w:spacing w:after="120"/>
      <w:ind w:firstLine="510" w:firstLineChars="0"/>
      <w:outlineLvl w:val="1"/>
    </w:pPr>
    <w:rPr>
      <w:rFonts w:ascii="黑体" w:eastAsia="黑体"/>
      <w:b/>
      <w:bCs/>
      <w:snapToGrid/>
      <w:kern w:val="2"/>
    </w:rPr>
  </w:style>
  <w:style w:type="character" w:customStyle="1" w:styleId="1309">
    <w:name w:val="标2 Char"/>
    <w:link w:val="1308"/>
    <w:qFormat/>
    <w:uiPriority w:val="0"/>
    <w:rPr>
      <w:rFonts w:ascii="黑体" w:hAnsi="Times New Roman" w:eastAsia="黑体" w:cs="Times New Roman"/>
      <w:b/>
      <w:bCs/>
      <w:sz w:val="26"/>
      <w:szCs w:val="24"/>
      <w14:ligatures w14:val="none"/>
    </w:rPr>
  </w:style>
  <w:style w:type="paragraph" w:customStyle="1" w:styleId="1310">
    <w:name w:val="标3"/>
    <w:basedOn w:val="1"/>
    <w:link w:val="1311"/>
    <w:semiHidden/>
    <w:qFormat/>
    <w:uiPriority w:val="0"/>
    <w:pPr>
      <w:adjustRightInd/>
      <w:snapToGrid/>
      <w:spacing w:line="240" w:lineRule="auto"/>
    </w:pPr>
    <w:rPr>
      <w:rFonts w:ascii="宋体" w:hAnsi="宋体"/>
      <w:b/>
      <w:color w:val="000000"/>
      <w:kern w:val="2"/>
    </w:rPr>
  </w:style>
  <w:style w:type="character" w:customStyle="1" w:styleId="1311">
    <w:name w:val="标3 Char"/>
    <w:link w:val="1310"/>
    <w:semiHidden/>
    <w:qFormat/>
    <w:uiPriority w:val="0"/>
    <w:rPr>
      <w:rFonts w:ascii="宋体" w:hAnsi="宋体" w:eastAsia="宋体" w:cs="Times New Roman"/>
      <w:b/>
      <w:snapToGrid w:val="0"/>
      <w:color w:val="000000"/>
      <w:sz w:val="26"/>
      <w:szCs w:val="24"/>
      <w14:ligatures w14:val="none"/>
    </w:rPr>
  </w:style>
  <w:style w:type="paragraph" w:customStyle="1" w:styleId="1312">
    <w:name w:val="样式1"/>
    <w:basedOn w:val="1"/>
    <w:link w:val="1313"/>
    <w:qFormat/>
    <w:uiPriority w:val="99"/>
    <w:pPr>
      <w:spacing w:line="480" w:lineRule="exact"/>
      <w:ind w:firstLine="520"/>
    </w:pPr>
    <w:rPr>
      <w:snapToGrid/>
      <w:kern w:val="2"/>
      <w:szCs w:val="26"/>
    </w:rPr>
  </w:style>
  <w:style w:type="character" w:customStyle="1" w:styleId="1313">
    <w:name w:val="样式1 Char"/>
    <w:link w:val="1312"/>
    <w:qFormat/>
    <w:uiPriority w:val="99"/>
    <w:rPr>
      <w:rFonts w:ascii="Times New Roman" w:hAnsi="Times New Roman" w:eastAsia="宋体" w:cs="Times New Roman"/>
      <w:sz w:val="26"/>
      <w:szCs w:val="26"/>
      <w14:ligatures w14:val="none"/>
    </w:rPr>
  </w:style>
  <w:style w:type="paragraph" w:customStyle="1" w:styleId="1314">
    <w:name w:val="标4"/>
    <w:basedOn w:val="1312"/>
    <w:link w:val="1315"/>
    <w:qFormat/>
    <w:uiPriority w:val="0"/>
    <w:pPr>
      <w:adjustRightInd/>
      <w:snapToGrid/>
      <w:spacing w:line="560" w:lineRule="atLeast"/>
      <w:ind w:firstLine="0" w:firstLineChars="0"/>
      <w:outlineLvl w:val="3"/>
    </w:pPr>
    <w:rPr>
      <w:rFonts w:ascii="宋体" w:hAnsi="宋体"/>
      <w:sz w:val="24"/>
      <w:szCs w:val="30"/>
    </w:rPr>
  </w:style>
  <w:style w:type="character" w:customStyle="1" w:styleId="1315">
    <w:name w:val="标4 Char"/>
    <w:link w:val="1314"/>
    <w:qFormat/>
    <w:uiPriority w:val="0"/>
    <w:rPr>
      <w:rFonts w:ascii="宋体" w:hAnsi="宋体" w:eastAsia="宋体" w:cs="Times New Roman"/>
      <w:sz w:val="24"/>
      <w:szCs w:val="30"/>
      <w14:ligatures w14:val="none"/>
    </w:rPr>
  </w:style>
  <w:style w:type="paragraph" w:customStyle="1" w:styleId="1316">
    <w:name w:val="标4 Char Char Char"/>
    <w:basedOn w:val="1312"/>
    <w:qFormat/>
    <w:uiPriority w:val="0"/>
    <w:pPr>
      <w:adjustRightInd/>
      <w:snapToGrid/>
      <w:spacing w:line="560" w:lineRule="atLeast"/>
      <w:ind w:firstLine="0" w:firstLineChars="0"/>
      <w:outlineLvl w:val="3"/>
    </w:pPr>
    <w:rPr>
      <w:rFonts w:ascii="宋体" w:hAnsi="宋体"/>
      <w:sz w:val="24"/>
      <w:szCs w:val="30"/>
    </w:rPr>
  </w:style>
  <w:style w:type="character" w:customStyle="1" w:styleId="1317">
    <w:name w:val="标4 Char Char Char Char"/>
    <w:qFormat/>
    <w:uiPriority w:val="0"/>
    <w:rPr>
      <w:rFonts w:ascii="宋体" w:hAnsi="宋体" w:eastAsia="宋体"/>
      <w:kern w:val="2"/>
      <w:sz w:val="24"/>
      <w:szCs w:val="30"/>
      <w:lang w:val="en-US" w:eastAsia="zh-CN" w:bidi="ar-SA"/>
    </w:rPr>
  </w:style>
  <w:style w:type="character" w:customStyle="1" w:styleId="1318">
    <w:name w:val="标4 Char Char Char Char Char"/>
    <w:qFormat/>
    <w:uiPriority w:val="0"/>
    <w:rPr>
      <w:rFonts w:ascii="宋体" w:hAnsi="宋体" w:eastAsia="宋体"/>
      <w:kern w:val="2"/>
      <w:sz w:val="24"/>
      <w:szCs w:val="30"/>
      <w:lang w:val="en-US" w:eastAsia="zh-CN" w:bidi="ar-SA"/>
    </w:rPr>
  </w:style>
  <w:style w:type="paragraph" w:customStyle="1" w:styleId="1319">
    <w:name w:val="标书标题1"/>
    <w:basedOn w:val="3"/>
    <w:autoRedefine/>
    <w:qFormat/>
    <w:uiPriority w:val="0"/>
    <w:pPr>
      <w:numPr>
        <w:numId w:val="0"/>
      </w:numPr>
      <w:spacing w:before="480" w:afterLines="0" w:line="360" w:lineRule="auto"/>
    </w:pPr>
    <w:rPr>
      <w:rFonts w:ascii="黑体" w:hAnsi="Arial Narrow"/>
      <w:snapToGrid/>
      <w:kern w:val="2"/>
      <w:sz w:val="36"/>
      <w:szCs w:val="20"/>
    </w:rPr>
  </w:style>
  <w:style w:type="paragraph" w:customStyle="1" w:styleId="1320">
    <w:name w:val="标书标题2"/>
    <w:basedOn w:val="4"/>
    <w:autoRedefine/>
    <w:qFormat/>
    <w:uiPriority w:val="0"/>
    <w:pPr>
      <w:numPr>
        <w:ilvl w:val="0"/>
        <w:numId w:val="0"/>
      </w:numPr>
      <w:tabs>
        <w:tab w:val="left" w:pos="420"/>
        <w:tab w:val="left" w:pos="630"/>
        <w:tab w:val="left" w:pos="840"/>
        <w:tab w:val="left" w:pos="1680"/>
        <w:tab w:val="left" w:pos="6720"/>
      </w:tabs>
      <w:spacing w:line="360" w:lineRule="auto"/>
    </w:pPr>
    <w:rPr>
      <w:b w:val="0"/>
      <w:bCs/>
      <w:snapToGrid/>
      <w:szCs w:val="28"/>
    </w:rPr>
  </w:style>
  <w:style w:type="paragraph" w:customStyle="1" w:styleId="1321">
    <w:name w:val="标书标题3"/>
    <w:basedOn w:val="5"/>
    <w:autoRedefine/>
    <w:qFormat/>
    <w:uiPriority w:val="0"/>
    <w:pPr>
      <w:numPr>
        <w:ilvl w:val="0"/>
        <w:numId w:val="0"/>
      </w:numPr>
      <w:spacing w:after="60" w:line="300" w:lineRule="auto"/>
    </w:pPr>
    <w:rPr>
      <w:rFonts w:ascii="黑体" w:hAnsi="Arial Narrow" w:eastAsia="黑体"/>
      <w:b w:val="0"/>
      <w:snapToGrid/>
      <w:sz w:val="28"/>
      <w:szCs w:val="20"/>
    </w:rPr>
  </w:style>
  <w:style w:type="paragraph" w:customStyle="1" w:styleId="1322">
    <w:name w:val="标书图表"/>
    <w:basedOn w:val="1"/>
    <w:next w:val="1"/>
    <w:qFormat/>
    <w:uiPriority w:val="0"/>
    <w:pPr>
      <w:adjustRightInd/>
      <w:snapToGrid/>
      <w:spacing w:line="300" w:lineRule="auto"/>
      <w:ind w:firstLine="0" w:firstLineChars="0"/>
      <w:jc w:val="center"/>
    </w:pPr>
    <w:rPr>
      <w:rFonts w:ascii="Arial" w:hAnsi="Arial"/>
      <w:snapToGrid/>
      <w:kern w:val="2"/>
      <w:sz w:val="21"/>
      <w:szCs w:val="44"/>
    </w:rPr>
  </w:style>
  <w:style w:type="paragraph" w:customStyle="1" w:styleId="1323">
    <w:name w:val="标书正文"/>
    <w:basedOn w:val="34"/>
    <w:link w:val="1324"/>
    <w:autoRedefine/>
    <w:qFormat/>
    <w:uiPriority w:val="0"/>
    <w:pPr>
      <w:tabs>
        <w:tab w:val="left" w:pos="3555"/>
      </w:tabs>
      <w:spacing w:beforeLines="50" w:line="240" w:lineRule="auto"/>
      <w:ind w:firstLine="560" w:firstLineChars="200"/>
    </w:pPr>
    <w:rPr>
      <w:rFonts w:ascii="Calibri" w:hAnsi="Calibri"/>
      <w:snapToGrid/>
      <w:sz w:val="28"/>
      <w:szCs w:val="28"/>
    </w:rPr>
  </w:style>
  <w:style w:type="character" w:customStyle="1" w:styleId="1324">
    <w:name w:val="标书正文 Char"/>
    <w:link w:val="1323"/>
    <w:qFormat/>
    <w:uiPriority w:val="0"/>
    <w:rPr>
      <w:rFonts w:ascii="Calibri" w:hAnsi="Calibri" w:eastAsia="宋体" w:cs="Times New Roman"/>
      <w:kern w:val="0"/>
      <w:sz w:val="28"/>
      <w:szCs w:val="28"/>
      <w14:ligatures w14:val="none"/>
    </w:rPr>
  </w:style>
  <w:style w:type="paragraph" w:customStyle="1" w:styleId="1325">
    <w:name w:val="标题  4"/>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character" w:customStyle="1" w:styleId="1326">
    <w:name w:val="标题  Char"/>
    <w:qFormat/>
    <w:uiPriority w:val="0"/>
    <w:rPr>
      <w:rFonts w:ascii="楷体_GB2312" w:hAnsi="Arial" w:eastAsia="楷体_GB2312"/>
      <w:bCs/>
      <w:kern w:val="2"/>
      <w:sz w:val="28"/>
      <w:szCs w:val="28"/>
      <w:lang w:val="en-US" w:eastAsia="zh-CN" w:bidi="ar-SA"/>
    </w:rPr>
  </w:style>
  <w:style w:type="character" w:customStyle="1" w:styleId="1327">
    <w:name w:val="标题 (a) Char Char"/>
    <w:semiHidden/>
    <w:qFormat/>
    <w:uiPriority w:val="0"/>
    <w:rPr>
      <w:rFonts w:ascii="宋体" w:hAnsi="宋体" w:eastAsia="宋体" w:cs="Times New Roman"/>
      <w:b/>
      <w:bCs/>
      <w:color w:val="FF0000"/>
      <w:sz w:val="28"/>
      <w:szCs w:val="28"/>
    </w:rPr>
  </w:style>
  <w:style w:type="paragraph" w:customStyle="1" w:styleId="1328">
    <w:name w:val="标题 1 + (西文) 黑体 (中文) 黑体 三号 居中"/>
    <w:basedOn w:val="3"/>
    <w:next w:val="1"/>
    <w:qFormat/>
    <w:uiPriority w:val="0"/>
    <w:pPr>
      <w:keepNext/>
      <w:keepLines/>
      <w:numPr>
        <w:numId w:val="0"/>
      </w:numPr>
      <w:adjustRightInd/>
      <w:snapToGrid/>
      <w:spacing w:before="340" w:afterLines="0" w:line="578" w:lineRule="auto"/>
      <w:jc w:val="both"/>
    </w:pPr>
    <w:rPr>
      <w:rFonts w:eastAsia="宋体"/>
      <w:snapToGrid/>
    </w:rPr>
  </w:style>
  <w:style w:type="character" w:customStyle="1" w:styleId="1329">
    <w:name w:val="标题 1 字符1"/>
    <w:qFormat/>
    <w:locked/>
    <w:uiPriority w:val="0"/>
    <w:rPr>
      <w:rFonts w:eastAsia="黑体"/>
      <w:b/>
      <w:bCs/>
      <w:sz w:val="30"/>
      <w:szCs w:val="32"/>
    </w:rPr>
  </w:style>
  <w:style w:type="character" w:customStyle="1" w:styleId="1330">
    <w:name w:val="标题 1.11"/>
    <w:qFormat/>
    <w:uiPriority w:val="0"/>
    <w:rPr>
      <w:rFonts w:ascii="黑体" w:hAnsi="宋体" w:eastAsia="黑体" w:cs="Arial"/>
      <w:b/>
      <w:sz w:val="28"/>
      <w:szCs w:val="24"/>
      <w:lang w:val="en-US" w:eastAsia="zh-CN" w:bidi="ar-SA"/>
    </w:rPr>
  </w:style>
  <w:style w:type="paragraph" w:customStyle="1" w:styleId="1331">
    <w:name w:val="标题 11"/>
    <w:basedOn w:val="1"/>
    <w:next w:val="1"/>
    <w:qFormat/>
    <w:uiPriority w:val="0"/>
    <w:pPr>
      <w:widowControl/>
      <w:adjustRightInd/>
      <w:snapToGrid/>
      <w:spacing w:after="153" w:line="788" w:lineRule="atLeast"/>
      <w:ind w:firstLine="0" w:firstLineChars="0"/>
      <w:jc w:val="center"/>
      <w:textAlignment w:val="baseline"/>
    </w:pPr>
    <w:rPr>
      <w:rFonts w:ascii="Arial" w:eastAsia="黑体"/>
      <w:snapToGrid/>
      <w:color w:val="000000"/>
      <w:sz w:val="31"/>
      <w:szCs w:val="20"/>
      <w:u w:color="000000"/>
    </w:rPr>
  </w:style>
  <w:style w:type="paragraph" w:customStyle="1" w:styleId="1332">
    <w:name w:val="标题 2 + (西文) 黑体 (中文) 黑体 四号 非加粗"/>
    <w:basedOn w:val="4"/>
    <w:next w:val="5"/>
    <w:qFormat/>
    <w:uiPriority w:val="0"/>
    <w:pPr>
      <w:numPr>
        <w:ilvl w:val="0"/>
        <w:numId w:val="0"/>
      </w:numPr>
      <w:adjustRightInd/>
      <w:snapToGrid/>
      <w:spacing w:after="120" w:line="360" w:lineRule="auto"/>
    </w:pPr>
    <w:rPr>
      <w:rFonts w:ascii="Arial" w:hAnsi="Arial"/>
      <w:snapToGrid/>
    </w:rPr>
  </w:style>
  <w:style w:type="character" w:customStyle="1" w:styleId="1333">
    <w:name w:val="标题 2 Char Char1"/>
    <w:qFormat/>
    <w:uiPriority w:val="0"/>
    <w:rPr>
      <w:rFonts w:ascii="Arial" w:hAnsi="Arial" w:eastAsia="黑体"/>
      <w:b/>
      <w:bCs/>
      <w:kern w:val="2"/>
      <w:sz w:val="32"/>
      <w:szCs w:val="32"/>
      <w:lang w:val="en-US" w:eastAsia="zh-CN" w:bidi="ar-SA"/>
    </w:rPr>
  </w:style>
  <w:style w:type="character" w:customStyle="1" w:styleId="1334">
    <w:name w:val="标题 2 Char2"/>
    <w:qFormat/>
    <w:uiPriority w:val="0"/>
    <w:rPr>
      <w:rFonts w:ascii="Arial" w:hAnsi="Arial" w:eastAsia="宋体"/>
      <w:b/>
      <w:bCs/>
      <w:kern w:val="2"/>
      <w:sz w:val="21"/>
      <w:szCs w:val="30"/>
      <w:lang w:val="en-US" w:eastAsia="zh-CN" w:bidi="ar-SA"/>
    </w:rPr>
  </w:style>
  <w:style w:type="character" w:customStyle="1" w:styleId="1335">
    <w:name w:val="标题 2 Char3"/>
    <w:qFormat/>
    <w:uiPriority w:val="0"/>
    <w:rPr>
      <w:rFonts w:ascii="Arial" w:hAnsi="Arial" w:eastAsia="宋体" w:cs="Times New Roman"/>
      <w:b/>
      <w:bCs/>
      <w:sz w:val="28"/>
      <w:szCs w:val="32"/>
    </w:rPr>
  </w:style>
  <w:style w:type="character" w:customStyle="1" w:styleId="1336">
    <w:name w:val="标题 2 字符1"/>
    <w:semiHidden/>
    <w:qFormat/>
    <w:locked/>
    <w:uiPriority w:val="0"/>
    <w:rPr>
      <w:b/>
      <w:sz w:val="24"/>
      <w:szCs w:val="24"/>
    </w:rPr>
  </w:style>
  <w:style w:type="paragraph" w:customStyle="1" w:styleId="1337">
    <w:name w:val="标题 21"/>
    <w:basedOn w:val="1"/>
    <w:next w:val="1"/>
    <w:qFormat/>
    <w:uiPriority w:val="0"/>
    <w:pPr>
      <w:keepNext/>
      <w:keepLines/>
      <w:adjustRightInd/>
      <w:snapToGrid/>
      <w:spacing w:after="260" w:line="415" w:lineRule="auto"/>
      <w:ind w:firstLine="0" w:firstLineChars="0"/>
      <w:textAlignment w:val="baseline"/>
      <w:outlineLvl w:val="1"/>
    </w:pPr>
    <w:rPr>
      <w:rFonts w:ascii="Arial" w:hAnsi="Arial" w:eastAsia="黑体"/>
      <w:b/>
      <w:snapToGrid/>
      <w:kern w:val="2"/>
      <w:sz w:val="32"/>
    </w:rPr>
  </w:style>
  <w:style w:type="paragraph" w:customStyle="1" w:styleId="1338">
    <w:name w:val="标题 211"/>
    <w:basedOn w:val="1"/>
    <w:next w:val="1"/>
    <w:qFormat/>
    <w:uiPriority w:val="0"/>
    <w:pPr>
      <w:widowControl/>
      <w:adjustRightInd/>
      <w:snapToGrid/>
      <w:spacing w:after="198" w:line="1054" w:lineRule="atLeast"/>
      <w:ind w:firstLine="419" w:firstLineChars="0"/>
      <w:textAlignment w:val="baseline"/>
    </w:pPr>
    <w:rPr>
      <w:rFonts w:ascii="Arial" w:eastAsia="黑体"/>
      <w:snapToGrid/>
      <w:color w:val="000000"/>
      <w:sz w:val="30"/>
      <w:szCs w:val="20"/>
      <w:u w:color="000000"/>
    </w:rPr>
  </w:style>
  <w:style w:type="character" w:customStyle="1" w:styleId="1339">
    <w:name w:val="标题 3 字符1"/>
    <w:qFormat/>
    <w:uiPriority w:val="0"/>
    <w:rPr>
      <w:b/>
      <w:bCs/>
      <w:sz w:val="32"/>
      <w:szCs w:val="32"/>
    </w:rPr>
  </w:style>
  <w:style w:type="paragraph" w:customStyle="1" w:styleId="1340">
    <w:name w:val="标题 31"/>
    <w:basedOn w:val="1"/>
    <w:next w:val="1"/>
    <w:link w:val="1341"/>
    <w:qFormat/>
    <w:uiPriority w:val="0"/>
    <w:pPr>
      <w:keepNext/>
      <w:keepLines/>
      <w:adjustRightInd/>
      <w:snapToGrid/>
      <w:spacing w:after="260" w:line="415" w:lineRule="auto"/>
      <w:ind w:firstLine="0" w:firstLineChars="0"/>
      <w:textAlignment w:val="baseline"/>
      <w:outlineLvl w:val="2"/>
    </w:pPr>
    <w:rPr>
      <w:rFonts w:ascii="宋体"/>
      <w:b/>
      <w:snapToGrid/>
      <w:sz w:val="32"/>
      <w:szCs w:val="20"/>
    </w:rPr>
  </w:style>
  <w:style w:type="character" w:customStyle="1" w:styleId="1341">
    <w:name w:val="heading 3 Char Char"/>
    <w:link w:val="1340"/>
    <w:qFormat/>
    <w:uiPriority w:val="0"/>
    <w:rPr>
      <w:rFonts w:ascii="宋体" w:hAnsi="Times New Roman" w:eastAsia="宋体" w:cs="Times New Roman"/>
      <w:b/>
      <w:kern w:val="0"/>
      <w:sz w:val="32"/>
      <w:szCs w:val="20"/>
      <w14:ligatures w14:val="none"/>
    </w:rPr>
  </w:style>
  <w:style w:type="character" w:customStyle="1" w:styleId="1342">
    <w:name w:val="标题 31 Char1"/>
    <w:qFormat/>
    <w:uiPriority w:val="0"/>
    <w:rPr>
      <w:rFonts w:eastAsia="宋体"/>
      <w:color w:val="000000"/>
      <w:sz w:val="28"/>
      <w:u w:color="000000"/>
      <w:lang w:val="en-US" w:eastAsia="zh-CN" w:bidi="ar-SA"/>
    </w:rPr>
  </w:style>
  <w:style w:type="paragraph" w:customStyle="1" w:styleId="1343">
    <w:name w:val="标题 32"/>
    <w:basedOn w:val="1"/>
    <w:qFormat/>
    <w:uiPriority w:val="0"/>
    <w:pPr>
      <w:widowControl/>
      <w:adjustRightInd/>
      <w:snapToGrid/>
      <w:spacing w:after="96" w:line="640" w:lineRule="atLeast"/>
      <w:ind w:firstLine="419" w:firstLineChars="0"/>
      <w:textAlignment w:val="baseline"/>
    </w:pPr>
    <w:rPr>
      <w:snapToGrid/>
      <w:color w:val="000000"/>
      <w:sz w:val="28"/>
      <w:szCs w:val="20"/>
      <w:u w:color="000000"/>
    </w:rPr>
  </w:style>
  <w:style w:type="character" w:customStyle="1" w:styleId="1344">
    <w:name w:val="标题 33 Char Char"/>
    <w:qFormat/>
    <w:uiPriority w:val="0"/>
    <w:rPr>
      <w:rFonts w:ascii="黑体" w:hAnsi="Times New Roman" w:eastAsia="黑体" w:cs="Times New Roman"/>
      <w:kern w:val="0"/>
      <w:sz w:val="24"/>
      <w:szCs w:val="20"/>
    </w:rPr>
  </w:style>
  <w:style w:type="character" w:customStyle="1" w:styleId="1345">
    <w:name w:val="标题 4 Char Char Char Char Char Char Char Char Char Ch"/>
    <w:qFormat/>
    <w:uiPriority w:val="0"/>
    <w:rPr>
      <w:rFonts w:ascii="黑体" w:hAnsi="宋体" w:eastAsia="黑体"/>
      <w:b/>
      <w:bCs/>
      <w:spacing w:val="5"/>
      <w:sz w:val="24"/>
      <w:szCs w:val="28"/>
      <w:lang w:val="en-US" w:eastAsia="zh-CN" w:bidi="ar-SA"/>
    </w:rPr>
  </w:style>
  <w:style w:type="character" w:customStyle="1" w:styleId="1346">
    <w:name w:val="标题 4 字符1"/>
    <w:semiHidden/>
    <w:qFormat/>
    <w:locked/>
    <w:uiPriority w:val="0"/>
    <w:rPr>
      <w:bCs/>
      <w:sz w:val="24"/>
      <w:szCs w:val="26"/>
    </w:rPr>
  </w:style>
  <w:style w:type="paragraph" w:customStyle="1" w:styleId="1347">
    <w:name w:val="标题 4（自定义）"/>
    <w:basedOn w:val="1"/>
    <w:next w:val="1"/>
    <w:qFormat/>
    <w:uiPriority w:val="0"/>
    <w:pPr>
      <w:keepNext/>
      <w:keepLines/>
      <w:widowControl/>
      <w:adjustRightInd/>
      <w:snapToGrid/>
      <w:spacing w:beforeLines="100" w:afterLines="100" w:line="360" w:lineRule="auto"/>
      <w:outlineLvl w:val="3"/>
    </w:pPr>
    <w:rPr>
      <w:rFonts w:ascii="Century Gothic" w:hAnsi="Century Gothic" w:eastAsia="黑体"/>
      <w:snapToGrid/>
    </w:rPr>
  </w:style>
  <w:style w:type="paragraph" w:customStyle="1" w:styleId="1348">
    <w:name w:val="标题 41"/>
    <w:basedOn w:val="1"/>
    <w:next w:val="1"/>
    <w:qFormat/>
    <w:uiPriority w:val="0"/>
    <w:pPr>
      <w:keepNext/>
      <w:keepLines/>
      <w:adjustRightInd/>
      <w:snapToGrid/>
      <w:spacing w:after="290" w:line="374" w:lineRule="auto"/>
      <w:ind w:firstLine="0" w:firstLineChars="0"/>
      <w:textAlignment w:val="baseline"/>
      <w:outlineLvl w:val="3"/>
    </w:pPr>
    <w:rPr>
      <w:rFonts w:ascii="Arial" w:hAnsi="Arial" w:eastAsia="黑体"/>
      <w:b/>
      <w:snapToGrid/>
      <w:kern w:val="2"/>
      <w:sz w:val="28"/>
    </w:rPr>
  </w:style>
  <w:style w:type="character" w:customStyle="1" w:styleId="1349">
    <w:name w:val="标题 42"/>
    <w:qFormat/>
    <w:uiPriority w:val="0"/>
    <w:rPr>
      <w:rFonts w:ascii="黑体" w:hAnsi="宋体" w:eastAsia="黑体"/>
      <w:b/>
      <w:bCs/>
      <w:spacing w:val="5"/>
      <w:sz w:val="24"/>
      <w:szCs w:val="28"/>
      <w:lang w:val="en-US" w:eastAsia="zh-CN" w:bidi="ar-SA"/>
    </w:rPr>
  </w:style>
  <w:style w:type="paragraph" w:customStyle="1" w:styleId="1350">
    <w:name w:val="标题 4条(一)"/>
    <w:basedOn w:val="1"/>
    <w:semiHidden/>
    <w:qFormat/>
    <w:uiPriority w:val="0"/>
    <w:pPr>
      <w:keepNext/>
      <w:adjustRightInd/>
      <w:snapToGrid/>
      <w:spacing w:line="240" w:lineRule="auto"/>
      <w:ind w:left="1190" w:leftChars="150" w:hanging="770" w:hangingChars="275"/>
      <w:outlineLvl w:val="3"/>
    </w:pPr>
    <w:rPr>
      <w:rFonts w:ascii="宋体" w:eastAsia="黑体"/>
      <w:szCs w:val="20"/>
    </w:rPr>
  </w:style>
  <w:style w:type="character" w:customStyle="1" w:styleId="1351">
    <w:name w:val="标题 5 Char Char Char"/>
    <w:qFormat/>
    <w:uiPriority w:val="0"/>
    <w:rPr>
      <w:rFonts w:eastAsia="宋体"/>
      <w:b/>
      <w:kern w:val="2"/>
      <w:sz w:val="24"/>
      <w:lang w:val="en-US" w:eastAsia="zh-CN" w:bidi="ar-SA"/>
    </w:rPr>
  </w:style>
  <w:style w:type="character" w:customStyle="1" w:styleId="1352">
    <w:name w:val="标题 5 Char Char Char1"/>
    <w:qFormat/>
    <w:uiPriority w:val="0"/>
    <w:rPr>
      <w:rFonts w:eastAsia="宋体"/>
      <w:sz w:val="24"/>
      <w:szCs w:val="24"/>
      <w:lang w:val="en-US" w:eastAsia="zh-CN" w:bidi="ar-SA"/>
    </w:rPr>
  </w:style>
  <w:style w:type="character" w:customStyle="1" w:styleId="1353">
    <w:name w:val="标题 5 Char1"/>
    <w:qFormat/>
    <w:uiPriority w:val="0"/>
    <w:rPr>
      <w:rFonts w:ascii="Times New Roman" w:hAnsi="Times New Roman" w:eastAsia="宋体" w:cs="Times New Roman"/>
      <w:b/>
      <w:bCs/>
      <w:sz w:val="28"/>
      <w:szCs w:val="28"/>
    </w:rPr>
  </w:style>
  <w:style w:type="character" w:customStyle="1" w:styleId="1354">
    <w:name w:val="标题 5 字符"/>
    <w:semiHidden/>
    <w:qFormat/>
    <w:uiPriority w:val="0"/>
    <w:rPr>
      <w:b/>
      <w:bCs/>
      <w:sz w:val="28"/>
      <w:szCs w:val="28"/>
    </w:rPr>
  </w:style>
  <w:style w:type="character" w:customStyle="1" w:styleId="1355">
    <w:name w:val="标题 5 字符1"/>
    <w:semiHidden/>
    <w:qFormat/>
    <w:locked/>
    <w:uiPriority w:val="0"/>
    <w:rPr>
      <w:bCs/>
      <w:sz w:val="24"/>
      <w:szCs w:val="28"/>
    </w:rPr>
  </w:style>
  <w:style w:type="character" w:customStyle="1" w:styleId="1356">
    <w:name w:val="标题 5 字符2"/>
    <w:link w:val="7"/>
    <w:qFormat/>
    <w:uiPriority w:val="0"/>
    <w:rPr>
      <w:rFonts w:ascii="Times New Roman" w:hAnsi="Times New Roman" w:eastAsia="宋体" w:cs="Times New Roman"/>
      <w:bCs/>
      <w:snapToGrid w:val="0"/>
      <w:kern w:val="0"/>
      <w:sz w:val="26"/>
      <w:szCs w:val="28"/>
      <w14:ligatures w14:val="none"/>
    </w:rPr>
  </w:style>
  <w:style w:type="character" w:customStyle="1" w:styleId="1357">
    <w:name w:val="标题 6 Char1"/>
    <w:qFormat/>
    <w:uiPriority w:val="0"/>
    <w:rPr>
      <w:rFonts w:ascii="Arial" w:hAnsi="Arial" w:eastAsia="黑体" w:cs="Times New Roman"/>
      <w:b/>
      <w:bCs/>
      <w:sz w:val="24"/>
      <w:szCs w:val="24"/>
    </w:rPr>
  </w:style>
  <w:style w:type="character" w:customStyle="1" w:styleId="1358">
    <w:name w:val="标题 6 字符"/>
    <w:semiHidden/>
    <w:qFormat/>
    <w:uiPriority w:val="0"/>
    <w:rPr>
      <w:rFonts w:ascii="等线 Light" w:hAnsi="等线 Light" w:eastAsia="等线 Light" w:cs="Times New Roman"/>
      <w:b/>
      <w:bCs/>
      <w:sz w:val="24"/>
      <w:szCs w:val="24"/>
    </w:rPr>
  </w:style>
  <w:style w:type="character" w:customStyle="1" w:styleId="1359">
    <w:name w:val="标题 6 字符1"/>
    <w:semiHidden/>
    <w:qFormat/>
    <w:locked/>
    <w:uiPriority w:val="0"/>
    <w:rPr>
      <w:rFonts w:ascii="ˎ̥" w:hAnsi="ˎ̥" w:cs="宋体"/>
      <w:color w:val="000000"/>
      <w:sz w:val="24"/>
      <w:szCs w:val="26"/>
    </w:rPr>
  </w:style>
  <w:style w:type="character" w:customStyle="1" w:styleId="1360">
    <w:name w:val="标题 6 字符2"/>
    <w:link w:val="8"/>
    <w:qFormat/>
    <w:uiPriority w:val="9"/>
    <w:rPr>
      <w:rFonts w:ascii="ˎ̥" w:hAnsi="ˎ̥" w:eastAsia="宋体" w:cs="Times New Roman"/>
      <w:color w:val="000000"/>
      <w:kern w:val="0"/>
      <w:sz w:val="26"/>
      <w:szCs w:val="26"/>
      <w14:ligatures w14:val="none"/>
    </w:rPr>
  </w:style>
  <w:style w:type="paragraph" w:customStyle="1" w:styleId="1361">
    <w:name w:val="标题 61"/>
    <w:basedOn w:val="1"/>
    <w:next w:val="1"/>
    <w:link w:val="1362"/>
    <w:qFormat/>
    <w:uiPriority w:val="0"/>
    <w:pPr>
      <w:keepNext/>
      <w:keepLines/>
      <w:tabs>
        <w:tab w:val="left" w:pos="1152"/>
      </w:tabs>
      <w:adjustRightInd/>
      <w:snapToGrid/>
      <w:spacing w:after="64" w:line="319" w:lineRule="auto"/>
      <w:ind w:left="1152" w:hanging="1152" w:firstLineChars="0"/>
      <w:textAlignment w:val="baseline"/>
      <w:outlineLvl w:val="5"/>
    </w:pPr>
    <w:rPr>
      <w:rFonts w:ascii="Cambria" w:hAnsi="Cambria"/>
      <w:b/>
      <w:bCs/>
      <w:snapToGrid/>
      <w:kern w:val="2"/>
      <w:sz w:val="28"/>
      <w:szCs w:val="28"/>
    </w:rPr>
  </w:style>
  <w:style w:type="character" w:customStyle="1" w:styleId="1362">
    <w:name w:val="Char Char13"/>
    <w:link w:val="1361"/>
    <w:qFormat/>
    <w:uiPriority w:val="0"/>
    <w:rPr>
      <w:rFonts w:ascii="Cambria" w:hAnsi="Cambria" w:eastAsia="宋体" w:cs="Times New Roman"/>
      <w:b/>
      <w:bCs/>
      <w:sz w:val="28"/>
      <w:szCs w:val="28"/>
      <w14:ligatures w14:val="none"/>
    </w:rPr>
  </w:style>
  <w:style w:type="character" w:customStyle="1" w:styleId="1363">
    <w:name w:val="标题 7 Char Char Char Char Char Char Char Char"/>
    <w:qFormat/>
    <w:uiPriority w:val="0"/>
    <w:rPr>
      <w:rFonts w:ascii="华文细黑" w:eastAsia="华文细黑"/>
      <w:i/>
      <w:snapToGrid w:val="0"/>
      <w:spacing w:val="10"/>
      <w:kern w:val="28"/>
      <w:sz w:val="28"/>
      <w:lang w:val="en-US" w:eastAsia="zh-CN" w:bidi="ar-SA"/>
    </w:rPr>
  </w:style>
  <w:style w:type="character" w:customStyle="1" w:styleId="1364">
    <w:name w:val="标题 7 Char1"/>
    <w:qFormat/>
    <w:uiPriority w:val="0"/>
    <w:rPr>
      <w:rFonts w:ascii="Times New Roman" w:hAnsi="Times New Roman" w:eastAsia="宋体" w:cs="Times New Roman"/>
      <w:b/>
      <w:bCs/>
      <w:sz w:val="24"/>
      <w:szCs w:val="24"/>
    </w:rPr>
  </w:style>
  <w:style w:type="character" w:customStyle="1" w:styleId="1365">
    <w:name w:val="标题 7 字符"/>
    <w:semiHidden/>
    <w:qFormat/>
    <w:uiPriority w:val="0"/>
    <w:rPr>
      <w:b/>
      <w:bCs/>
      <w:sz w:val="24"/>
      <w:szCs w:val="24"/>
    </w:rPr>
  </w:style>
  <w:style w:type="character" w:customStyle="1" w:styleId="1366">
    <w:name w:val="标题 7 字符1"/>
    <w:semiHidden/>
    <w:qFormat/>
    <w:locked/>
    <w:uiPriority w:val="0"/>
    <w:rPr>
      <w:spacing w:val="4"/>
      <w:sz w:val="28"/>
    </w:rPr>
  </w:style>
  <w:style w:type="character" w:customStyle="1" w:styleId="1367">
    <w:name w:val="标题 7 字符2"/>
    <w:link w:val="9"/>
    <w:qFormat/>
    <w:uiPriority w:val="9"/>
    <w:rPr>
      <w:rFonts w:ascii="Times New Roman" w:hAnsi="Times New Roman" w:eastAsia="宋体" w:cs="Times New Roman"/>
      <w:spacing w:val="4"/>
      <w:kern w:val="0"/>
      <w:sz w:val="28"/>
      <w:szCs w:val="20"/>
      <w14:ligatures w14:val="none"/>
    </w:rPr>
  </w:style>
  <w:style w:type="paragraph" w:customStyle="1" w:styleId="1368">
    <w:name w:val="标题 71"/>
    <w:basedOn w:val="1"/>
    <w:next w:val="1"/>
    <w:link w:val="1369"/>
    <w:qFormat/>
    <w:uiPriority w:val="0"/>
    <w:pPr>
      <w:keepNext/>
      <w:keepLines/>
      <w:tabs>
        <w:tab w:val="left" w:pos="1296"/>
      </w:tabs>
      <w:adjustRightInd/>
      <w:snapToGrid/>
      <w:spacing w:after="64" w:line="319" w:lineRule="auto"/>
      <w:ind w:left="1296" w:hanging="1296" w:firstLineChars="0"/>
      <w:textAlignment w:val="baseline"/>
      <w:outlineLvl w:val="6"/>
    </w:pPr>
    <w:rPr>
      <w:rFonts w:ascii="Arial" w:hAnsi="Arial" w:eastAsia="黑体"/>
      <w:snapToGrid/>
      <w:szCs w:val="20"/>
    </w:rPr>
  </w:style>
  <w:style w:type="character" w:customStyle="1" w:styleId="1369">
    <w:name w:val="Char Char12"/>
    <w:link w:val="1368"/>
    <w:qFormat/>
    <w:uiPriority w:val="0"/>
    <w:rPr>
      <w:rFonts w:ascii="Arial" w:hAnsi="Arial" w:eastAsia="黑体" w:cs="Times New Roman"/>
      <w:kern w:val="0"/>
      <w:sz w:val="26"/>
      <w:szCs w:val="20"/>
      <w14:ligatures w14:val="none"/>
    </w:rPr>
  </w:style>
  <w:style w:type="paragraph" w:customStyle="1" w:styleId="1370">
    <w:name w:val="标题 72"/>
    <w:basedOn w:val="1"/>
    <w:next w:val="1"/>
    <w:qFormat/>
    <w:uiPriority w:val="0"/>
    <w:pPr>
      <w:autoSpaceDE w:val="0"/>
      <w:autoSpaceDN w:val="0"/>
      <w:snapToGrid/>
      <w:spacing w:line="240" w:lineRule="auto"/>
      <w:ind w:firstLine="0" w:firstLineChars="0"/>
    </w:pPr>
    <w:rPr>
      <w:rFonts w:ascii="JKIKGP+CenturyGothic" w:eastAsia="JKIKGP+CenturyGothic"/>
      <w:snapToGrid/>
    </w:rPr>
  </w:style>
  <w:style w:type="character" w:customStyle="1" w:styleId="1371">
    <w:name w:val="标题 8 Char1"/>
    <w:qFormat/>
    <w:uiPriority w:val="0"/>
    <w:rPr>
      <w:rFonts w:ascii="Arial" w:hAnsi="Arial" w:eastAsia="黑体" w:cs="Times New Roman"/>
      <w:b/>
      <w:sz w:val="24"/>
      <w:szCs w:val="24"/>
    </w:rPr>
  </w:style>
  <w:style w:type="character" w:customStyle="1" w:styleId="1372">
    <w:name w:val="标题 8 字符"/>
    <w:semiHidden/>
    <w:qFormat/>
    <w:uiPriority w:val="0"/>
    <w:rPr>
      <w:rFonts w:ascii="等线 Light" w:hAnsi="等线 Light" w:eastAsia="等线 Light" w:cs="Times New Roman"/>
      <w:sz w:val="24"/>
      <w:szCs w:val="24"/>
    </w:rPr>
  </w:style>
  <w:style w:type="character" w:customStyle="1" w:styleId="1373">
    <w:name w:val="标题 8 字符1"/>
    <w:semiHidden/>
    <w:qFormat/>
    <w:locked/>
    <w:uiPriority w:val="0"/>
    <w:rPr>
      <w:rFonts w:ascii="Arial" w:hAnsi="Arial" w:eastAsia="黑体"/>
      <w:sz w:val="24"/>
      <w:szCs w:val="24"/>
    </w:rPr>
  </w:style>
  <w:style w:type="character" w:customStyle="1" w:styleId="1374">
    <w:name w:val="标题 8 字符2"/>
    <w:link w:val="10"/>
    <w:qFormat/>
    <w:uiPriority w:val="9"/>
    <w:rPr>
      <w:rFonts w:ascii="Arial" w:hAnsi="Arial" w:eastAsia="黑体" w:cs="Times New Roman"/>
      <w:snapToGrid w:val="0"/>
      <w:kern w:val="0"/>
      <w:sz w:val="26"/>
      <w:szCs w:val="24"/>
      <w14:ligatures w14:val="none"/>
    </w:rPr>
  </w:style>
  <w:style w:type="paragraph" w:customStyle="1" w:styleId="1375">
    <w:name w:val="标题 81"/>
    <w:basedOn w:val="1"/>
    <w:next w:val="1"/>
    <w:link w:val="1376"/>
    <w:qFormat/>
    <w:uiPriority w:val="0"/>
    <w:pPr>
      <w:keepNext/>
      <w:keepLines/>
      <w:tabs>
        <w:tab w:val="left" w:pos="1440"/>
      </w:tabs>
      <w:adjustRightInd/>
      <w:snapToGrid/>
      <w:spacing w:after="64" w:line="319" w:lineRule="auto"/>
      <w:ind w:left="1440" w:hanging="1440" w:firstLineChars="0"/>
      <w:textAlignment w:val="baseline"/>
      <w:outlineLvl w:val="7"/>
    </w:pPr>
    <w:rPr>
      <w:color w:val="000000"/>
      <w:szCs w:val="26"/>
    </w:rPr>
  </w:style>
  <w:style w:type="character" w:customStyle="1" w:styleId="1376">
    <w:name w:val="Char Char11"/>
    <w:link w:val="1375"/>
    <w:qFormat/>
    <w:uiPriority w:val="0"/>
    <w:rPr>
      <w:rFonts w:ascii="Times New Roman" w:hAnsi="Times New Roman" w:eastAsia="宋体" w:cs="Times New Roman"/>
      <w:snapToGrid w:val="0"/>
      <w:color w:val="000000"/>
      <w:kern w:val="0"/>
      <w:sz w:val="26"/>
      <w:szCs w:val="26"/>
      <w14:ligatures w14:val="none"/>
    </w:rPr>
  </w:style>
  <w:style w:type="character" w:customStyle="1" w:styleId="1377">
    <w:name w:val="标题 9 Char1"/>
    <w:qFormat/>
    <w:uiPriority w:val="0"/>
    <w:rPr>
      <w:rFonts w:ascii="Arial" w:hAnsi="Arial" w:eastAsia="黑体" w:cs="Times New Roman"/>
      <w:b/>
      <w:sz w:val="28"/>
      <w:szCs w:val="21"/>
    </w:rPr>
  </w:style>
  <w:style w:type="character" w:customStyle="1" w:styleId="1378">
    <w:name w:val="标题 9 字符"/>
    <w:semiHidden/>
    <w:qFormat/>
    <w:uiPriority w:val="0"/>
    <w:rPr>
      <w:rFonts w:ascii="等线 Light" w:hAnsi="等线 Light" w:eastAsia="等线 Light" w:cs="Times New Roman"/>
      <w:sz w:val="21"/>
      <w:szCs w:val="21"/>
    </w:rPr>
  </w:style>
  <w:style w:type="character" w:customStyle="1" w:styleId="1379">
    <w:name w:val="标题 9 字符1"/>
    <w:semiHidden/>
    <w:qFormat/>
    <w:uiPriority w:val="0"/>
    <w:rPr>
      <w:rFonts w:ascii="等线 Light" w:hAnsi="等线 Light" w:eastAsia="等线 Light" w:cs="Times New Roman"/>
      <w:sz w:val="21"/>
      <w:szCs w:val="21"/>
    </w:rPr>
  </w:style>
  <w:style w:type="character" w:customStyle="1" w:styleId="1380">
    <w:name w:val="标题 9 字符2"/>
    <w:semiHidden/>
    <w:qFormat/>
    <w:locked/>
    <w:uiPriority w:val="0"/>
    <w:rPr>
      <w:rFonts w:ascii="等线 Light" w:hAnsi="等线 Light" w:eastAsia="等线 Light" w:cs="Times New Roman"/>
      <w:sz w:val="21"/>
      <w:szCs w:val="21"/>
    </w:rPr>
  </w:style>
  <w:style w:type="character" w:customStyle="1" w:styleId="1381">
    <w:name w:val="标题 9 字符3"/>
    <w:link w:val="11"/>
    <w:qFormat/>
    <w:uiPriority w:val="9"/>
    <w:rPr>
      <w:rFonts w:ascii="Arial" w:hAnsi="Arial" w:eastAsia="黑体" w:cs="Times New Roman"/>
      <w:snapToGrid w:val="0"/>
      <w:kern w:val="0"/>
      <w:szCs w:val="21"/>
      <w14:ligatures w14:val="none"/>
    </w:rPr>
  </w:style>
  <w:style w:type="paragraph" w:customStyle="1" w:styleId="1382">
    <w:name w:val="标题 91"/>
    <w:basedOn w:val="1"/>
    <w:next w:val="1"/>
    <w:link w:val="1383"/>
    <w:qFormat/>
    <w:uiPriority w:val="0"/>
    <w:pPr>
      <w:keepNext/>
      <w:keepLines/>
      <w:tabs>
        <w:tab w:val="left" w:pos="1584"/>
      </w:tabs>
      <w:adjustRightInd/>
      <w:snapToGrid/>
      <w:spacing w:after="64" w:line="319" w:lineRule="auto"/>
      <w:ind w:left="1584" w:hanging="1584" w:firstLineChars="0"/>
      <w:textAlignment w:val="baseline"/>
      <w:outlineLvl w:val="8"/>
    </w:pPr>
    <w:rPr>
      <w:rFonts w:ascii="Arial" w:hAnsi="Arial" w:eastAsia="黑体"/>
      <w:snapToGrid/>
      <w:sz w:val="20"/>
      <w:szCs w:val="21"/>
    </w:rPr>
  </w:style>
  <w:style w:type="character" w:customStyle="1" w:styleId="1383">
    <w:name w:val="dfgdfg Char Char"/>
    <w:link w:val="1382"/>
    <w:qFormat/>
    <w:uiPriority w:val="0"/>
    <w:rPr>
      <w:rFonts w:ascii="Arial" w:hAnsi="Arial" w:eastAsia="黑体" w:cs="Times New Roman"/>
      <w:kern w:val="0"/>
      <w:sz w:val="20"/>
      <w:szCs w:val="21"/>
      <w14:ligatures w14:val="none"/>
    </w:rPr>
  </w:style>
  <w:style w:type="paragraph" w:customStyle="1" w:styleId="1384">
    <w:name w:val="标题 912"/>
    <w:basedOn w:val="1"/>
    <w:qFormat/>
    <w:uiPriority w:val="0"/>
    <w:pPr>
      <w:widowControl/>
      <w:adjustRightInd/>
      <w:snapToGrid/>
      <w:spacing w:line="351" w:lineRule="atLeast"/>
      <w:ind w:firstLine="419" w:firstLineChars="0"/>
      <w:textAlignment w:val="baseline"/>
    </w:pPr>
    <w:rPr>
      <w:rFonts w:ascii="Stylus BT" w:eastAsia="黑体"/>
      <w:snapToGrid/>
      <w:color w:val="000000"/>
      <w:szCs w:val="20"/>
      <w:u w:color="000000"/>
    </w:rPr>
  </w:style>
  <w:style w:type="character" w:customStyle="1" w:styleId="1385">
    <w:name w:val="标题 Char Char"/>
    <w:qFormat/>
    <w:uiPriority w:val="0"/>
    <w:rPr>
      <w:rFonts w:ascii="华文中宋" w:hAnsi="Arial" w:eastAsia="华文中宋"/>
      <w:kern w:val="2"/>
      <w:sz w:val="32"/>
      <w:lang w:val="en-US" w:eastAsia="zh-CN" w:bidi="ar-SA"/>
    </w:rPr>
  </w:style>
  <w:style w:type="character" w:customStyle="1" w:styleId="1386">
    <w:name w:val="标题 Char1"/>
    <w:qFormat/>
    <w:uiPriority w:val="0"/>
    <w:rPr>
      <w:rFonts w:ascii="Arial" w:hAnsi="Arial" w:eastAsia="宋体" w:cs="Arial"/>
      <w:b/>
      <w:bCs/>
      <w:kern w:val="2"/>
      <w:sz w:val="32"/>
      <w:szCs w:val="32"/>
      <w:lang w:val="en-US" w:eastAsia="zh-CN" w:bidi="ar-SA"/>
    </w:rPr>
  </w:style>
  <w:style w:type="character" w:customStyle="1" w:styleId="1387">
    <w:name w:val="标题 Char2"/>
    <w:qFormat/>
    <w:uiPriority w:val="10"/>
    <w:rPr>
      <w:rFonts w:ascii="Cambria" w:hAnsi="Cambria" w:eastAsia="宋体" w:cs="Times New Roman"/>
      <w:b/>
      <w:bCs/>
      <w:sz w:val="32"/>
      <w:szCs w:val="32"/>
    </w:rPr>
  </w:style>
  <w:style w:type="character" w:customStyle="1" w:styleId="1388">
    <w:name w:val="标题 字符1"/>
    <w:qFormat/>
    <w:uiPriority w:val="0"/>
    <w:rPr>
      <w:rFonts w:ascii="等线 Light" w:hAnsi="等线 Light" w:eastAsia="等线 Light" w:cs="Times New Roman"/>
      <w:b/>
      <w:bCs/>
      <w:sz w:val="32"/>
      <w:szCs w:val="32"/>
    </w:rPr>
  </w:style>
  <w:style w:type="character" w:customStyle="1" w:styleId="1389">
    <w:name w:val="标题 字符2"/>
    <w:qFormat/>
    <w:locked/>
    <w:uiPriority w:val="0"/>
    <w:rPr>
      <w:rFonts w:ascii="Arial" w:hAnsi="Arial" w:cs="Arial"/>
      <w:b/>
      <w:bCs/>
      <w:sz w:val="32"/>
      <w:szCs w:val="32"/>
    </w:rPr>
  </w:style>
  <w:style w:type="paragraph" w:customStyle="1" w:styleId="1390">
    <w:name w:val="标题（一）"/>
    <w:basedOn w:val="1"/>
    <w:qFormat/>
    <w:uiPriority w:val="0"/>
    <w:pPr>
      <w:adjustRightInd/>
      <w:snapToGrid/>
      <w:spacing w:line="240" w:lineRule="auto"/>
      <w:outlineLvl w:val="2"/>
    </w:pPr>
    <w:rPr>
      <w:rFonts w:eastAsia="黑体"/>
      <w:snapToGrid/>
      <w:kern w:val="2"/>
      <w:sz w:val="28"/>
      <w:szCs w:val="20"/>
    </w:rPr>
  </w:style>
  <w:style w:type="paragraph" w:customStyle="1" w:styleId="1391">
    <w:name w:val="标题1"/>
    <w:basedOn w:val="1"/>
    <w:qFormat/>
    <w:uiPriority w:val="0"/>
    <w:pPr>
      <w:keepNext/>
      <w:pageBreakBefore/>
      <w:adjustRightInd/>
      <w:snapToGrid/>
      <w:spacing w:afterLines="100" w:line="240" w:lineRule="auto"/>
      <w:ind w:firstLine="0" w:firstLineChars="0"/>
      <w:jc w:val="center"/>
      <w:outlineLvl w:val="0"/>
    </w:pPr>
    <w:rPr>
      <w:b/>
      <w:bCs/>
      <w:snapToGrid/>
      <w:kern w:val="2"/>
      <w:sz w:val="30"/>
      <w:szCs w:val="32"/>
    </w:rPr>
  </w:style>
  <w:style w:type="character" w:customStyle="1" w:styleId="1392">
    <w:name w:val="标题1 Char Char"/>
    <w:qFormat/>
    <w:uiPriority w:val="0"/>
    <w:rPr>
      <w:rFonts w:ascii="黑体" w:eastAsia="黑体"/>
      <w:b/>
      <w:sz w:val="36"/>
      <w:lang w:val="en-US" w:eastAsia="zh-CN" w:bidi="ar-SA"/>
    </w:rPr>
  </w:style>
  <w:style w:type="paragraph" w:customStyle="1" w:styleId="1393">
    <w:name w:val="标题1.1.1"/>
    <w:basedOn w:val="5"/>
    <w:qFormat/>
    <w:uiPriority w:val="0"/>
    <w:pPr>
      <w:keepNext/>
      <w:keepLines/>
      <w:numPr>
        <w:ilvl w:val="0"/>
        <w:numId w:val="0"/>
      </w:numPr>
      <w:adjustRightInd/>
      <w:snapToGrid/>
      <w:spacing w:line="360" w:lineRule="auto"/>
      <w:ind w:left="720" w:hanging="432"/>
      <w:jc w:val="both"/>
    </w:pPr>
    <w:rPr>
      <w:snapToGrid/>
      <w:kern w:val="2"/>
    </w:rPr>
  </w:style>
  <w:style w:type="character" w:customStyle="1" w:styleId="1394">
    <w:name w:val="标题1.1.1.1.1 Char Char"/>
    <w:qFormat/>
    <w:uiPriority w:val="0"/>
    <w:rPr>
      <w:rFonts w:ascii="仿宋_GB2312" w:eastAsia="仿宋_GB2312"/>
      <w:b/>
      <w:kern w:val="2"/>
      <w:sz w:val="28"/>
      <w:lang w:val="en-US" w:eastAsia="zh-CN" w:bidi="ar-SA"/>
    </w:rPr>
  </w:style>
  <w:style w:type="paragraph" w:customStyle="1" w:styleId="1395">
    <w:name w:val="标题1－0909"/>
    <w:basedOn w:val="1"/>
    <w:qFormat/>
    <w:uiPriority w:val="0"/>
    <w:pPr>
      <w:keepNext/>
      <w:keepLines/>
      <w:tabs>
        <w:tab w:val="left" w:pos="1288"/>
      </w:tabs>
      <w:spacing w:beforeLines="200" w:after="120" w:line="400" w:lineRule="exact"/>
      <w:ind w:left="1288" w:hanging="750" w:firstLineChars="0"/>
      <w:jc w:val="center"/>
      <w:outlineLvl w:val="0"/>
    </w:pPr>
    <w:rPr>
      <w:rFonts w:eastAsia="黑体"/>
      <w:b/>
      <w:bCs/>
      <w:kern w:val="44"/>
      <w:sz w:val="32"/>
      <w:szCs w:val="20"/>
    </w:rPr>
  </w:style>
  <w:style w:type="paragraph" w:customStyle="1" w:styleId="1396">
    <w:name w:val="标题11"/>
    <w:basedOn w:val="1"/>
    <w:qFormat/>
    <w:uiPriority w:val="0"/>
    <w:pPr>
      <w:tabs>
        <w:tab w:val="left" w:pos="576"/>
      </w:tabs>
      <w:spacing w:line="360" w:lineRule="auto"/>
      <w:ind w:left="576" w:hanging="576" w:firstLineChars="0"/>
    </w:pPr>
    <w:rPr>
      <w:snapToGrid/>
      <w:kern w:val="2"/>
      <w:sz w:val="28"/>
      <w:szCs w:val="20"/>
    </w:rPr>
  </w:style>
  <w:style w:type="paragraph" w:customStyle="1" w:styleId="1397">
    <w:name w:val="正文文本缩进1"/>
    <w:basedOn w:val="1"/>
    <w:qFormat/>
    <w:uiPriority w:val="99"/>
    <w:pPr>
      <w:widowControl/>
      <w:adjustRightInd/>
      <w:snapToGrid/>
      <w:spacing w:after="120" w:line="360" w:lineRule="auto"/>
      <w:ind w:left="420" w:leftChars="200"/>
    </w:pPr>
    <w:rPr>
      <w:rFonts w:ascii="Calibri" w:hAnsi="Calibri"/>
      <w:snapToGrid/>
    </w:rPr>
  </w:style>
  <w:style w:type="paragraph" w:customStyle="1" w:styleId="1398">
    <w:name w:val="标题12"/>
    <w:basedOn w:val="1397"/>
    <w:qFormat/>
    <w:uiPriority w:val="0"/>
    <w:pPr>
      <w:adjustRightInd w:val="0"/>
      <w:snapToGrid w:val="0"/>
      <w:spacing w:beforeLines="50" w:afterLines="50" w:line="360" w:lineRule="exact"/>
      <w:ind w:left="0" w:leftChars="0" w:firstLine="0" w:firstLineChars="0"/>
      <w:jc w:val="center"/>
    </w:pPr>
    <w:rPr>
      <w:rFonts w:eastAsia="仿宋_GB2312"/>
      <w:b/>
      <w:bCs/>
      <w:sz w:val="32"/>
      <w:szCs w:val="20"/>
    </w:rPr>
  </w:style>
  <w:style w:type="paragraph" w:customStyle="1" w:styleId="1399">
    <w:name w:val="标题1－99"/>
    <w:basedOn w:val="3"/>
    <w:semiHidden/>
    <w:qFormat/>
    <w:uiPriority w:val="0"/>
    <w:pPr>
      <w:keepNext/>
      <w:keepLines/>
      <w:numPr>
        <w:numId w:val="0"/>
      </w:numPr>
      <w:tabs>
        <w:tab w:val="left" w:pos="851"/>
      </w:tabs>
      <w:snapToGrid/>
      <w:spacing w:beforeLines="200" w:afterLines="0" w:line="400" w:lineRule="exact"/>
      <w:ind w:left="851" w:hanging="851" w:firstLineChars="200"/>
    </w:pPr>
    <w:rPr>
      <w:rFonts w:ascii="宋体"/>
      <w:bCs w:val="0"/>
      <w:snapToGrid/>
      <w:sz w:val="32"/>
      <w:szCs w:val="28"/>
    </w:rPr>
  </w:style>
  <w:style w:type="paragraph" w:customStyle="1" w:styleId="1400">
    <w:name w:val="标题1级"/>
    <w:basedOn w:val="1"/>
    <w:semiHidden/>
    <w:qFormat/>
    <w:uiPriority w:val="0"/>
    <w:pPr>
      <w:adjustRightInd/>
      <w:snapToGrid/>
      <w:spacing w:beforeLines="50" w:afterLines="50" w:line="240" w:lineRule="auto"/>
      <w:ind w:firstLine="0" w:firstLineChars="0"/>
      <w:jc w:val="center"/>
      <w:outlineLvl w:val="0"/>
    </w:pPr>
    <w:rPr>
      <w:rFonts w:ascii="黑体" w:hAnsi="宋体" w:eastAsia="黑体"/>
      <w:bCs/>
      <w:snapToGrid/>
      <w:kern w:val="2"/>
      <w:sz w:val="32"/>
      <w:szCs w:val="32"/>
    </w:rPr>
  </w:style>
  <w:style w:type="paragraph" w:customStyle="1" w:styleId="1401">
    <w:name w:val="标题2 节"/>
    <w:basedOn w:val="1"/>
    <w:autoRedefine/>
    <w:qFormat/>
    <w:uiPriority w:val="0"/>
    <w:pPr>
      <w:keepNext/>
      <w:keepLines/>
      <w:adjustRightInd/>
      <w:snapToGrid/>
      <w:spacing w:after="260" w:line="360" w:lineRule="auto"/>
      <w:ind w:firstLine="0" w:firstLineChars="0"/>
      <w:jc w:val="center"/>
      <w:outlineLvl w:val="1"/>
    </w:pPr>
    <w:rPr>
      <w:rFonts w:ascii="Arial" w:hAnsi="Arial" w:eastAsia="黑体"/>
      <w:snapToGrid/>
      <w:kern w:val="2"/>
      <w:sz w:val="28"/>
      <w:szCs w:val="20"/>
    </w:rPr>
  </w:style>
  <w:style w:type="paragraph" w:customStyle="1" w:styleId="1402">
    <w:name w:val="标题2－0909"/>
    <w:basedOn w:val="4"/>
    <w:qFormat/>
    <w:uiPriority w:val="0"/>
    <w:pPr>
      <w:numPr>
        <w:ilvl w:val="0"/>
        <w:numId w:val="0"/>
      </w:numPr>
      <w:adjustRightInd/>
      <w:snapToGrid/>
      <w:spacing w:after="120" w:line="360" w:lineRule="auto"/>
    </w:pPr>
    <w:rPr>
      <w:rFonts w:ascii="Arial" w:hAnsi="Arial"/>
      <w:snapToGrid/>
    </w:rPr>
  </w:style>
  <w:style w:type="paragraph" w:customStyle="1" w:styleId="1403">
    <w:name w:val="标题22"/>
    <w:basedOn w:val="4"/>
    <w:next w:val="4"/>
    <w:qFormat/>
    <w:uiPriority w:val="0"/>
    <w:pPr>
      <w:numPr>
        <w:ilvl w:val="0"/>
        <w:numId w:val="0"/>
      </w:numPr>
      <w:adjustRightInd/>
      <w:snapToGrid/>
      <w:spacing w:line="240" w:lineRule="auto"/>
      <w:ind w:firstLine="357"/>
    </w:pPr>
    <w:rPr>
      <w:rFonts w:ascii="黑体" w:hAnsi="宋体"/>
      <w:bCs/>
      <w:snapToGrid/>
      <w:szCs w:val="20"/>
    </w:rPr>
  </w:style>
  <w:style w:type="paragraph" w:customStyle="1" w:styleId="1404">
    <w:name w:val="标题2－99"/>
    <w:basedOn w:val="4"/>
    <w:autoRedefine/>
    <w:semiHidden/>
    <w:qFormat/>
    <w:uiPriority w:val="0"/>
    <w:pPr>
      <w:numPr>
        <w:ilvl w:val="0"/>
        <w:numId w:val="0"/>
      </w:numPr>
      <w:adjustRightInd/>
      <w:snapToGrid/>
      <w:spacing w:after="120" w:line="240" w:lineRule="auto"/>
    </w:pPr>
    <w:rPr>
      <w:rFonts w:ascii="Arial" w:hAnsi="Arial"/>
      <w:b w:val="0"/>
      <w:snapToGrid/>
      <w:szCs w:val="28"/>
    </w:rPr>
  </w:style>
  <w:style w:type="paragraph" w:customStyle="1" w:styleId="1405">
    <w:name w:val="标题2a"/>
    <w:basedOn w:val="1"/>
    <w:qFormat/>
    <w:uiPriority w:val="0"/>
    <w:pPr>
      <w:overflowPunct w:val="0"/>
      <w:snapToGrid/>
      <w:spacing w:line="360" w:lineRule="auto"/>
      <w:ind w:firstLine="0" w:firstLineChars="0"/>
      <w:textAlignment w:val="baseline"/>
      <w:outlineLvl w:val="0"/>
    </w:pPr>
    <w:rPr>
      <w:rFonts w:ascii="黑体" w:hAnsi="黑体" w:eastAsia="黑体" w:cs="黑体"/>
      <w:b/>
      <w:snapToGrid/>
      <w:kern w:val="24"/>
      <w:sz w:val="28"/>
      <w:szCs w:val="20"/>
    </w:rPr>
  </w:style>
  <w:style w:type="paragraph" w:customStyle="1" w:styleId="1406">
    <w:name w:val="标题2级"/>
    <w:basedOn w:val="1"/>
    <w:semiHidden/>
    <w:qFormat/>
    <w:uiPriority w:val="0"/>
    <w:pPr>
      <w:adjustRightInd/>
      <w:snapToGrid/>
      <w:spacing w:line="240" w:lineRule="auto"/>
      <w:outlineLvl w:val="1"/>
    </w:pPr>
    <w:rPr>
      <w:rFonts w:ascii="黑体" w:hAnsi="宋体" w:eastAsia="黑体"/>
      <w:bCs/>
      <w:snapToGrid/>
      <w:kern w:val="2"/>
      <w:sz w:val="28"/>
      <w:szCs w:val="28"/>
    </w:rPr>
  </w:style>
  <w:style w:type="paragraph" w:customStyle="1" w:styleId="1407">
    <w:name w:val="标题3"/>
    <w:basedOn w:val="1"/>
    <w:qFormat/>
    <w:uiPriority w:val="0"/>
    <w:pPr>
      <w:adjustRightInd/>
      <w:snapToGrid/>
      <w:spacing w:beforeLines="50" w:line="360" w:lineRule="auto"/>
      <w:ind w:firstLine="0" w:firstLineChars="0"/>
      <w:outlineLvl w:val="2"/>
    </w:pPr>
    <w:rPr>
      <w:b/>
      <w:bCs/>
      <w:snapToGrid/>
      <w:kern w:val="2"/>
    </w:rPr>
  </w:style>
  <w:style w:type="paragraph" w:customStyle="1" w:styleId="1408">
    <w:name w:val="标题3 Char Char Char Char"/>
    <w:basedOn w:val="1"/>
    <w:autoRedefine/>
    <w:qFormat/>
    <w:uiPriority w:val="0"/>
    <w:pPr>
      <w:adjustRightInd/>
      <w:snapToGrid/>
      <w:spacing w:afterLines="50" w:line="560" w:lineRule="exact"/>
      <w:ind w:firstLine="0" w:firstLineChars="0"/>
    </w:pPr>
    <w:rPr>
      <w:rFonts w:eastAsia="黑体"/>
      <w:snapToGrid/>
      <w:kern w:val="2"/>
      <w:sz w:val="30"/>
      <w:szCs w:val="30"/>
    </w:rPr>
  </w:style>
  <w:style w:type="character" w:customStyle="1" w:styleId="1409">
    <w:name w:val="标题3 Char Char1 Char"/>
    <w:qFormat/>
    <w:uiPriority w:val="0"/>
    <w:rPr>
      <w:rFonts w:ascii="黑体" w:hAnsi="宋体" w:eastAsia="黑体"/>
      <w:b/>
      <w:bCs/>
      <w:sz w:val="24"/>
      <w:szCs w:val="32"/>
      <w:lang w:val="en-US" w:eastAsia="zh-CN" w:bidi="ar-SA"/>
    </w:rPr>
  </w:style>
  <w:style w:type="paragraph" w:customStyle="1" w:styleId="1410">
    <w:name w:val="标题3（自定义）"/>
    <w:basedOn w:val="1"/>
    <w:next w:val="1"/>
    <w:qFormat/>
    <w:uiPriority w:val="0"/>
    <w:pPr>
      <w:keepNext/>
      <w:keepLines/>
      <w:widowControl/>
      <w:adjustRightInd/>
      <w:snapToGrid/>
      <w:spacing w:beforeLines="100" w:afterLines="100" w:line="360" w:lineRule="auto"/>
      <w:outlineLvl w:val="2"/>
    </w:pPr>
    <w:rPr>
      <w:rFonts w:ascii="Century Gothic" w:hAnsi="Century Gothic" w:eastAsia="黑体"/>
      <w:b/>
      <w:snapToGrid/>
    </w:rPr>
  </w:style>
  <w:style w:type="paragraph" w:customStyle="1" w:styleId="1411">
    <w:name w:val="标题33"/>
    <w:basedOn w:val="1"/>
    <w:semiHidden/>
    <w:qFormat/>
    <w:uiPriority w:val="0"/>
    <w:pPr>
      <w:adjustRightInd/>
      <w:snapToGrid/>
      <w:spacing w:line="240" w:lineRule="auto"/>
    </w:pPr>
    <w:rPr>
      <w:rFonts w:ascii="宋体"/>
      <w:b/>
      <w:snapToGrid/>
      <w:color w:val="000000"/>
      <w:sz w:val="28"/>
      <w:szCs w:val="28"/>
    </w:rPr>
  </w:style>
  <w:style w:type="paragraph" w:customStyle="1" w:styleId="1412">
    <w:name w:val="标题3级"/>
    <w:basedOn w:val="1"/>
    <w:semiHidden/>
    <w:qFormat/>
    <w:uiPriority w:val="0"/>
    <w:pPr>
      <w:adjustRightInd/>
      <w:snapToGrid/>
      <w:spacing w:line="240" w:lineRule="auto"/>
      <w:outlineLvl w:val="2"/>
    </w:pPr>
    <w:rPr>
      <w:rFonts w:ascii="楷体_GB2312" w:hAnsi="宋体" w:eastAsia="楷体_GB2312"/>
      <w:b/>
      <w:bCs/>
      <w:snapToGrid/>
      <w:kern w:val="2"/>
      <w:sz w:val="28"/>
      <w:szCs w:val="28"/>
    </w:rPr>
  </w:style>
  <w:style w:type="paragraph" w:customStyle="1" w:styleId="1413">
    <w:name w:val="标题4"/>
    <w:basedOn w:val="1"/>
    <w:next w:val="1"/>
    <w:qFormat/>
    <w:uiPriority w:val="0"/>
    <w:pPr>
      <w:adjustRightInd/>
      <w:snapToGrid/>
      <w:spacing w:line="240" w:lineRule="auto"/>
    </w:pPr>
    <w:rPr>
      <w:rFonts w:eastAsia="黑体"/>
      <w:snapToGrid/>
      <w:kern w:val="2"/>
    </w:rPr>
  </w:style>
  <w:style w:type="paragraph" w:customStyle="1" w:styleId="1414">
    <w:name w:val="标题4 + 右侧:  1 字符"/>
    <w:basedOn w:val="1"/>
    <w:qFormat/>
    <w:uiPriority w:val="0"/>
    <w:pPr>
      <w:tabs>
        <w:tab w:val="left" w:pos="864"/>
      </w:tabs>
      <w:adjustRightInd/>
      <w:snapToGrid/>
      <w:spacing w:line="360" w:lineRule="auto"/>
      <w:ind w:left="864" w:hanging="864" w:firstLineChars="0"/>
      <w:outlineLvl w:val="3"/>
    </w:pPr>
    <w:rPr>
      <w:rFonts w:ascii="Calibri" w:hAnsi="Calibri" w:eastAsia="黑体" w:cs="宋体"/>
      <w:snapToGrid/>
      <w:kern w:val="2"/>
      <w:sz w:val="24"/>
      <w:szCs w:val="20"/>
    </w:rPr>
  </w:style>
  <w:style w:type="character" w:customStyle="1" w:styleId="1415">
    <w:name w:val="标题4 Char"/>
    <w:qFormat/>
    <w:uiPriority w:val="0"/>
    <w:rPr>
      <w:rFonts w:eastAsia="宋体"/>
      <w:b/>
      <w:bCs/>
      <w:color w:val="000000"/>
      <w:kern w:val="2"/>
      <w:sz w:val="24"/>
      <w:szCs w:val="28"/>
      <w:lang w:val="en-US" w:eastAsia="zh-CN" w:bidi="ar-SA"/>
    </w:rPr>
  </w:style>
  <w:style w:type="paragraph" w:customStyle="1" w:styleId="1416">
    <w:name w:val="标题4－0909"/>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character" w:customStyle="1" w:styleId="1417">
    <w:name w:val="标题41 Char Char"/>
    <w:qFormat/>
    <w:uiPriority w:val="0"/>
    <w:rPr>
      <w:rFonts w:ascii="黑体" w:hAnsi="宋体" w:eastAsia="黑体"/>
      <w:b/>
      <w:bCs/>
      <w:sz w:val="24"/>
      <w:szCs w:val="32"/>
      <w:lang w:val="en-US" w:eastAsia="zh-CN" w:bidi="ar-SA"/>
    </w:rPr>
  </w:style>
  <w:style w:type="paragraph" w:customStyle="1" w:styleId="1418">
    <w:name w:val="标题4－99"/>
    <w:basedOn w:val="6"/>
    <w:autoRedefine/>
    <w:qFormat/>
    <w:uiPriority w:val="0"/>
    <w:pPr>
      <w:numPr>
        <w:ilvl w:val="0"/>
        <w:numId w:val="0"/>
      </w:numPr>
      <w:tabs>
        <w:tab w:val="left" w:pos="0"/>
      </w:tabs>
      <w:adjustRightInd/>
      <w:spacing w:line="360" w:lineRule="exact"/>
    </w:pPr>
    <w:rPr>
      <w:b/>
      <w:bCs w:val="0"/>
      <w:snapToGrid/>
      <w:kern w:val="2"/>
      <w:sz w:val="28"/>
      <w:szCs w:val="20"/>
      <w:lang w:val="en-US"/>
    </w:rPr>
  </w:style>
  <w:style w:type="paragraph" w:customStyle="1" w:styleId="1419">
    <w:name w:val="标题4级"/>
    <w:basedOn w:val="1"/>
    <w:semiHidden/>
    <w:qFormat/>
    <w:uiPriority w:val="0"/>
    <w:pPr>
      <w:adjustRightInd/>
      <w:snapToGrid/>
      <w:spacing w:line="240" w:lineRule="auto"/>
    </w:pPr>
    <w:rPr>
      <w:rFonts w:ascii="宋体" w:hAnsi="宋体"/>
      <w:b/>
      <w:snapToGrid/>
      <w:kern w:val="2"/>
      <w:sz w:val="28"/>
      <w:szCs w:val="28"/>
    </w:rPr>
  </w:style>
  <w:style w:type="paragraph" w:customStyle="1" w:styleId="1420">
    <w:name w:val="正文文字"/>
    <w:basedOn w:val="1"/>
    <w:qFormat/>
    <w:uiPriority w:val="0"/>
    <w:pPr>
      <w:adjustRightInd/>
      <w:snapToGrid/>
      <w:spacing w:line="240" w:lineRule="auto"/>
      <w:ind w:firstLine="0" w:firstLineChars="0"/>
    </w:pPr>
    <w:rPr>
      <w:snapToGrid/>
      <w:kern w:val="2"/>
      <w:sz w:val="18"/>
      <w:szCs w:val="18"/>
    </w:rPr>
  </w:style>
  <w:style w:type="paragraph" w:customStyle="1" w:styleId="1421">
    <w:name w:val="标题5"/>
    <w:basedOn w:val="1420"/>
    <w:link w:val="1422"/>
    <w:qFormat/>
    <w:uiPriority w:val="0"/>
    <w:pPr>
      <w:spacing w:line="480" w:lineRule="exact"/>
      <w:ind w:firstLine="560" w:firstLineChars="200"/>
      <w:jc w:val="center"/>
    </w:pPr>
    <w:rPr>
      <w:rFonts w:ascii="宋体" w:hAnsi="宋体"/>
      <w:bCs/>
      <w:snapToGrid w:val="0"/>
      <w:kern w:val="28"/>
      <w:sz w:val="24"/>
      <w:szCs w:val="36"/>
    </w:rPr>
  </w:style>
  <w:style w:type="character" w:customStyle="1" w:styleId="1422">
    <w:name w:val="标题5 Char"/>
    <w:link w:val="1421"/>
    <w:qFormat/>
    <w:uiPriority w:val="0"/>
    <w:rPr>
      <w:rFonts w:ascii="宋体" w:hAnsi="宋体" w:eastAsia="宋体" w:cs="Times New Roman"/>
      <w:bCs/>
      <w:snapToGrid w:val="0"/>
      <w:kern w:val="28"/>
      <w:sz w:val="24"/>
      <w:szCs w:val="36"/>
      <w14:ligatures w14:val="none"/>
    </w:rPr>
  </w:style>
  <w:style w:type="character" w:customStyle="1" w:styleId="1423">
    <w:name w:val="标题55 Char"/>
    <w:qFormat/>
    <w:uiPriority w:val="0"/>
    <w:rPr>
      <w:rFonts w:ascii="宋体" w:hAnsi="宋体" w:eastAsia="宋体"/>
      <w:b/>
      <w:bCs/>
      <w:kern w:val="2"/>
      <w:sz w:val="24"/>
      <w:szCs w:val="28"/>
      <w:lang w:val="en-US" w:eastAsia="zh-CN" w:bidi="ar-SA"/>
    </w:rPr>
  </w:style>
  <w:style w:type="character" w:customStyle="1" w:styleId="1424">
    <w:name w:val="标题6"/>
    <w:qFormat/>
    <w:uiPriority w:val="0"/>
  </w:style>
  <w:style w:type="character" w:customStyle="1" w:styleId="1425">
    <w:name w:val="标题6 Char"/>
    <w:qFormat/>
    <w:uiPriority w:val="0"/>
    <w:rPr>
      <w:rFonts w:ascii="黑体" w:hAnsi="宋体" w:eastAsia="黑体"/>
      <w:bCs/>
      <w:sz w:val="24"/>
      <w:szCs w:val="24"/>
      <w:lang w:val="en-US" w:eastAsia="zh-CN" w:bidi="ar-SA"/>
    </w:rPr>
  </w:style>
  <w:style w:type="paragraph" w:customStyle="1" w:styleId="1426">
    <w:name w:val="标题A"/>
    <w:basedOn w:val="1"/>
    <w:qFormat/>
    <w:uiPriority w:val="0"/>
    <w:pPr>
      <w:spacing w:beforeLines="100" w:afterLines="100" w:line="440" w:lineRule="atLeast"/>
      <w:ind w:firstLine="0" w:firstLineChars="0"/>
      <w:jc w:val="center"/>
    </w:pPr>
    <w:rPr>
      <w:rFonts w:ascii="Times" w:hAnsi="Times"/>
      <w:b/>
      <w:snapToGrid/>
      <w:kern w:val="2"/>
      <w:sz w:val="36"/>
    </w:rPr>
  </w:style>
  <w:style w:type="paragraph" w:customStyle="1" w:styleId="1427">
    <w:name w:val="标题-表格"/>
    <w:basedOn w:val="1"/>
    <w:qFormat/>
    <w:uiPriority w:val="0"/>
    <w:pPr>
      <w:adjustRightInd/>
      <w:snapToGrid/>
      <w:spacing w:line="480" w:lineRule="exact"/>
      <w:ind w:firstLine="0" w:firstLineChars="0"/>
      <w:jc w:val="center"/>
      <w:outlineLvl w:val="5"/>
    </w:pPr>
    <w:rPr>
      <w:rFonts w:ascii="宋体"/>
      <w:b/>
      <w:snapToGrid/>
      <w:kern w:val="2"/>
    </w:rPr>
  </w:style>
  <w:style w:type="paragraph" w:customStyle="1" w:styleId="1428">
    <w:name w:val="标题--表格"/>
    <w:basedOn w:val="1"/>
    <w:autoRedefine/>
    <w:semiHidden/>
    <w:qFormat/>
    <w:uiPriority w:val="0"/>
    <w:pPr>
      <w:spacing w:beforeLines="50" w:line="240" w:lineRule="auto"/>
      <w:ind w:firstLine="560"/>
      <w:jc w:val="center"/>
      <w:textAlignment w:val="baseline"/>
    </w:pPr>
    <w:rPr>
      <w:rFonts w:ascii="黑体" w:hAnsi="宋体" w:eastAsia="黑体"/>
      <w:color w:val="FF00FF"/>
      <w:sz w:val="28"/>
      <w:szCs w:val="21"/>
    </w:rPr>
  </w:style>
  <w:style w:type="paragraph" w:customStyle="1" w:styleId="1429">
    <w:name w:val="标题二"/>
    <w:basedOn w:val="1"/>
    <w:semiHidden/>
    <w:qFormat/>
    <w:uiPriority w:val="0"/>
    <w:pPr>
      <w:adjustRightInd/>
      <w:snapToGrid/>
      <w:spacing w:line="240" w:lineRule="auto"/>
      <w:outlineLvl w:val="1"/>
    </w:pPr>
    <w:rPr>
      <w:rFonts w:ascii="楷体_GB2312" w:hAnsi="宋体" w:eastAsia="楷体_GB2312"/>
      <w:b/>
      <w:snapToGrid/>
      <w:kern w:val="2"/>
    </w:rPr>
  </w:style>
  <w:style w:type="paragraph" w:customStyle="1" w:styleId="1430">
    <w:name w:val="标题三"/>
    <w:basedOn w:val="1"/>
    <w:qFormat/>
    <w:uiPriority w:val="0"/>
    <w:pPr>
      <w:adjustRightInd/>
      <w:snapToGrid/>
      <w:spacing w:line="240" w:lineRule="auto"/>
      <w:ind w:firstLine="0" w:firstLineChars="0"/>
    </w:pPr>
    <w:rPr>
      <w:rFonts w:ascii="楷体_GB2312" w:eastAsia="楷体_GB2312"/>
      <w:b/>
      <w:snapToGrid/>
      <w:color w:val="000000"/>
      <w:kern w:val="2"/>
      <w:sz w:val="28"/>
      <w:szCs w:val="28"/>
    </w:rPr>
  </w:style>
  <w:style w:type="paragraph" w:customStyle="1" w:styleId="1431">
    <w:name w:val="标题四"/>
    <w:basedOn w:val="1"/>
    <w:qFormat/>
    <w:uiPriority w:val="0"/>
    <w:pPr>
      <w:adjustRightInd/>
      <w:snapToGrid/>
      <w:spacing w:line="360" w:lineRule="auto"/>
      <w:ind w:firstLine="480"/>
    </w:pPr>
    <w:rPr>
      <w:rFonts w:ascii="宋体" w:hAnsi="宋体"/>
      <w:b/>
      <w:snapToGrid/>
      <w:kern w:val="2"/>
    </w:rPr>
  </w:style>
  <w:style w:type="paragraph" w:customStyle="1" w:styleId="1432">
    <w:name w:val="标准正文"/>
    <w:basedOn w:val="1"/>
    <w:link w:val="1433"/>
    <w:qFormat/>
    <w:uiPriority w:val="0"/>
    <w:pPr>
      <w:adjustRightInd/>
      <w:snapToGrid/>
      <w:spacing w:line="240" w:lineRule="auto"/>
      <w:ind w:firstLine="560"/>
    </w:pPr>
    <w:rPr>
      <w:iCs/>
      <w:color w:val="000000"/>
      <w:kern w:val="2"/>
      <w:sz w:val="28"/>
      <w:szCs w:val="28"/>
      <w:lang w:val="zh-CN"/>
    </w:rPr>
  </w:style>
  <w:style w:type="character" w:customStyle="1" w:styleId="1433">
    <w:name w:val="标准正文 Char"/>
    <w:link w:val="1432"/>
    <w:qFormat/>
    <w:uiPriority w:val="0"/>
    <w:rPr>
      <w:rFonts w:ascii="Times New Roman" w:hAnsi="Times New Roman" w:eastAsia="宋体" w:cs="Times New Roman"/>
      <w:iCs/>
      <w:snapToGrid w:val="0"/>
      <w:color w:val="000000"/>
      <w:sz w:val="28"/>
      <w:szCs w:val="28"/>
      <w:lang w:val="zh-CN"/>
      <w14:ligatures w14:val="none"/>
    </w:rPr>
  </w:style>
  <w:style w:type="paragraph" w:customStyle="1" w:styleId="1434">
    <w:name w:val="标题-小节"/>
    <w:basedOn w:val="1432"/>
    <w:link w:val="1435"/>
    <w:autoRedefine/>
    <w:qFormat/>
    <w:uiPriority w:val="0"/>
    <w:pPr>
      <w:overflowPunct w:val="0"/>
      <w:spacing w:line="360" w:lineRule="auto"/>
      <w:ind w:firstLine="482"/>
      <w:outlineLvl w:val="4"/>
    </w:pPr>
    <w:rPr>
      <w:rFonts w:ascii="宋体" w:hAnsi="宋体" w:eastAsia="黑体"/>
      <w:b/>
      <w:iCs w:val="0"/>
      <w:color w:val="auto"/>
      <w:kern w:val="0"/>
      <w:sz w:val="24"/>
      <w:szCs w:val="24"/>
      <w:lang w:val="en-US"/>
    </w:rPr>
  </w:style>
  <w:style w:type="character" w:customStyle="1" w:styleId="1435">
    <w:name w:val="标题-小节 Char"/>
    <w:link w:val="1434"/>
    <w:qFormat/>
    <w:uiPriority w:val="0"/>
    <w:rPr>
      <w:rFonts w:ascii="宋体" w:hAnsi="宋体" w:eastAsia="黑体" w:cs="Times New Roman"/>
      <w:b/>
      <w:snapToGrid w:val="0"/>
      <w:kern w:val="0"/>
      <w:sz w:val="24"/>
      <w:szCs w:val="24"/>
      <w14:ligatures w14:val="none"/>
    </w:rPr>
  </w:style>
  <w:style w:type="paragraph" w:customStyle="1" w:styleId="1436">
    <w:name w:val="标题一"/>
    <w:basedOn w:val="1"/>
    <w:semiHidden/>
    <w:qFormat/>
    <w:uiPriority w:val="0"/>
    <w:pPr>
      <w:adjustRightInd/>
      <w:snapToGrid/>
      <w:spacing w:line="240" w:lineRule="auto"/>
      <w:outlineLvl w:val="0"/>
    </w:pPr>
    <w:rPr>
      <w:rFonts w:ascii="宋体" w:hAnsi="宋体"/>
      <w:b/>
      <w:snapToGrid/>
      <w:kern w:val="2"/>
    </w:rPr>
  </w:style>
  <w:style w:type="paragraph" w:customStyle="1" w:styleId="1437">
    <w:name w:val="标题一、"/>
    <w:basedOn w:val="1"/>
    <w:qFormat/>
    <w:uiPriority w:val="0"/>
    <w:pPr>
      <w:snapToGrid/>
      <w:spacing w:after="140" w:line="240" w:lineRule="auto"/>
      <w:ind w:firstLine="0" w:firstLineChars="0"/>
      <w:textAlignment w:val="baseline"/>
      <w:outlineLvl w:val="1"/>
    </w:pPr>
    <w:rPr>
      <w:rFonts w:eastAsia="仿宋_GB2312"/>
      <w:b/>
      <w:snapToGrid/>
      <w:sz w:val="32"/>
      <w:szCs w:val="20"/>
    </w:rPr>
  </w:style>
  <w:style w:type="paragraph" w:customStyle="1" w:styleId="1438">
    <w:name w:val="标注"/>
    <w:basedOn w:val="1"/>
    <w:qFormat/>
    <w:uiPriority w:val="0"/>
    <w:pPr>
      <w:adjustRightInd/>
      <w:snapToGrid/>
      <w:spacing w:line="240" w:lineRule="atLeast"/>
      <w:ind w:firstLine="0" w:firstLineChars="0"/>
    </w:pPr>
    <w:rPr>
      <w:snapToGrid/>
      <w:szCs w:val="18"/>
    </w:rPr>
  </w:style>
  <w:style w:type="paragraph" w:customStyle="1" w:styleId="1439">
    <w:name w:val="标准"/>
    <w:basedOn w:val="1"/>
    <w:link w:val="1440"/>
    <w:qFormat/>
    <w:uiPriority w:val="0"/>
    <w:pPr>
      <w:snapToGrid/>
      <w:spacing w:line="360" w:lineRule="auto"/>
      <w:ind w:firstLine="0" w:firstLineChars="0"/>
      <w:jc w:val="center"/>
      <w:textAlignment w:val="baseline"/>
    </w:pPr>
    <w:rPr>
      <w:snapToGrid/>
      <w:sz w:val="21"/>
      <w:szCs w:val="20"/>
    </w:rPr>
  </w:style>
  <w:style w:type="character" w:customStyle="1" w:styleId="1440">
    <w:name w:val="标准 Char"/>
    <w:link w:val="1439"/>
    <w:qFormat/>
    <w:uiPriority w:val="0"/>
    <w:rPr>
      <w:rFonts w:ascii="Times New Roman" w:hAnsi="Times New Roman" w:eastAsia="宋体" w:cs="Times New Roman"/>
      <w:kern w:val="0"/>
      <w:szCs w:val="20"/>
      <w14:ligatures w14:val="none"/>
    </w:rPr>
  </w:style>
  <w:style w:type="paragraph" w:customStyle="1" w:styleId="1441">
    <w:name w:val="标准表格"/>
    <w:basedOn w:val="1"/>
    <w:link w:val="1442"/>
    <w:qFormat/>
    <w:uiPriority w:val="0"/>
    <w:pPr>
      <w:adjustRightInd/>
      <w:ind w:firstLine="0" w:firstLineChars="0"/>
      <w:jc w:val="center"/>
    </w:pPr>
    <w:rPr>
      <w:rFonts w:eastAsia="黑体"/>
      <w:sz w:val="20"/>
      <w:szCs w:val="21"/>
    </w:rPr>
  </w:style>
  <w:style w:type="character" w:customStyle="1" w:styleId="1442">
    <w:name w:val="标准表格 Char Char"/>
    <w:link w:val="1441"/>
    <w:qFormat/>
    <w:uiPriority w:val="0"/>
    <w:rPr>
      <w:rFonts w:ascii="Times New Roman" w:hAnsi="Times New Roman" w:eastAsia="黑体" w:cs="Times New Roman"/>
      <w:snapToGrid w:val="0"/>
      <w:kern w:val="0"/>
      <w:sz w:val="20"/>
      <w:szCs w:val="21"/>
      <w14:ligatures w14:val="none"/>
    </w:rPr>
  </w:style>
  <w:style w:type="character" w:customStyle="1" w:styleId="1443">
    <w:name w:val="标准表格 Char"/>
    <w:qFormat/>
    <w:uiPriority w:val="0"/>
    <w:rPr>
      <w:rFonts w:eastAsia="黑体"/>
      <w:snapToGrid w:val="0"/>
      <w:sz w:val="21"/>
      <w:szCs w:val="21"/>
      <w:lang w:val="en-US" w:eastAsia="zh-CN" w:bidi="ar-SA"/>
    </w:rPr>
  </w:style>
  <w:style w:type="paragraph" w:customStyle="1" w:styleId="1444">
    <w:name w:val="标准表头格式"/>
    <w:basedOn w:val="1"/>
    <w:qFormat/>
    <w:uiPriority w:val="0"/>
    <w:pPr>
      <w:tabs>
        <w:tab w:val="left" w:pos="720"/>
      </w:tabs>
      <w:adjustRightInd/>
      <w:spacing w:line="240" w:lineRule="auto"/>
      <w:ind w:firstLine="0" w:firstLineChars="0"/>
      <w:jc w:val="center"/>
    </w:pPr>
    <w:rPr>
      <w:b/>
      <w:snapToGrid/>
    </w:rPr>
  </w:style>
  <w:style w:type="paragraph" w:customStyle="1" w:styleId="1445">
    <w:name w:val="标准格式"/>
    <w:basedOn w:val="1"/>
    <w:link w:val="1446"/>
    <w:qFormat/>
    <w:uiPriority w:val="0"/>
    <w:pPr>
      <w:adjustRightInd/>
      <w:snapToGrid/>
      <w:spacing w:line="480" w:lineRule="exact"/>
    </w:pPr>
    <w:rPr>
      <w:snapToGrid/>
      <w:color w:val="0000FF"/>
      <w:kern w:val="2"/>
      <w:sz w:val="28"/>
      <w:szCs w:val="20"/>
    </w:rPr>
  </w:style>
  <w:style w:type="character" w:customStyle="1" w:styleId="1446">
    <w:name w:val="标准格式 Char"/>
    <w:link w:val="1445"/>
    <w:qFormat/>
    <w:uiPriority w:val="0"/>
    <w:rPr>
      <w:rFonts w:ascii="Times New Roman" w:hAnsi="Times New Roman" w:eastAsia="宋体" w:cs="Times New Roman"/>
      <w:color w:val="0000FF"/>
      <w:sz w:val="28"/>
      <w:szCs w:val="20"/>
      <w14:ligatures w14:val="none"/>
    </w:rPr>
  </w:style>
  <w:style w:type="paragraph" w:customStyle="1" w:styleId="1447">
    <w:name w:val="标准样式"/>
    <w:link w:val="1448"/>
    <w:qFormat/>
    <w:uiPriority w:val="0"/>
    <w:pPr>
      <w:widowControl w:val="0"/>
      <w:spacing w:line="600" w:lineRule="exact"/>
      <w:ind w:firstLine="200" w:firstLineChars="200"/>
      <w:jc w:val="both"/>
    </w:pPr>
    <w:rPr>
      <w:rFonts w:ascii="Times New Roman" w:hAnsi="Times New Roman" w:eastAsia="宋体" w:cs="Times New Roman"/>
      <w:kern w:val="2"/>
      <w:sz w:val="28"/>
      <w:szCs w:val="22"/>
      <w:lang w:val="en-US" w:eastAsia="zh-CN" w:bidi="ar-SA"/>
    </w:rPr>
  </w:style>
  <w:style w:type="character" w:customStyle="1" w:styleId="1448">
    <w:name w:val="标准样式 Char Char"/>
    <w:link w:val="1447"/>
    <w:qFormat/>
    <w:uiPriority w:val="0"/>
    <w:rPr>
      <w:rFonts w:ascii="Times New Roman" w:hAnsi="Times New Roman" w:eastAsia="宋体" w:cs="Times New Roman"/>
      <w:sz w:val="28"/>
      <w14:ligatures w14:val="none"/>
    </w:rPr>
  </w:style>
  <w:style w:type="character" w:customStyle="1" w:styleId="1449">
    <w:name w:val="标准样式 Char"/>
    <w:qFormat/>
    <w:uiPriority w:val="0"/>
    <w:rPr>
      <w:rFonts w:eastAsia="宋体"/>
      <w:sz w:val="28"/>
      <w:lang w:val="en-US" w:eastAsia="zh-CN" w:bidi="ar-SA"/>
    </w:rPr>
  </w:style>
  <w:style w:type="paragraph" w:customStyle="1" w:styleId="1450">
    <w:name w:val="标准样式1"/>
    <w:qFormat/>
    <w:uiPriority w:val="0"/>
    <w:pPr>
      <w:widowControl w:val="0"/>
      <w:spacing w:line="600" w:lineRule="exact"/>
      <w:ind w:firstLine="567"/>
      <w:jc w:val="both"/>
    </w:pPr>
    <w:rPr>
      <w:rFonts w:ascii="Times New Roman" w:hAnsi="Times New Roman" w:eastAsia="宋体" w:cs="Times New Roman"/>
      <w:sz w:val="28"/>
      <w:lang w:val="en-US" w:eastAsia="zh-CN" w:bidi="ar-SA"/>
    </w:rPr>
  </w:style>
  <w:style w:type="character" w:customStyle="1" w:styleId="1451">
    <w:name w:val="标准正文 Char Char"/>
    <w:qFormat/>
    <w:uiPriority w:val="0"/>
    <w:rPr>
      <w:rFonts w:ascii="宋体" w:hAnsi="宋体" w:eastAsia="宋体" w:cs="宋体"/>
      <w:snapToGrid w:val="0"/>
      <w:color w:val="000000"/>
      <w:kern w:val="2"/>
      <w:sz w:val="24"/>
      <w:szCs w:val="24"/>
      <w:lang w:val="en-US" w:eastAsia="zh-CN" w:bidi="ar-SA"/>
    </w:rPr>
  </w:style>
  <w:style w:type="paragraph" w:customStyle="1" w:styleId="1452">
    <w:name w:val="标准正文格式"/>
    <w:basedOn w:val="1"/>
    <w:link w:val="1453"/>
    <w:qFormat/>
    <w:uiPriority w:val="0"/>
    <w:pPr>
      <w:adjustRightInd/>
      <w:snapToGrid/>
      <w:spacing w:line="360" w:lineRule="auto"/>
      <w:ind w:firstLine="480"/>
    </w:pPr>
    <w:rPr>
      <w:rFonts w:ascii="宋体" w:hAnsi="宋体"/>
      <w:snapToGrid/>
      <w:color w:val="000000"/>
      <w:szCs w:val="20"/>
    </w:rPr>
  </w:style>
  <w:style w:type="character" w:customStyle="1" w:styleId="1453">
    <w:name w:val="标准正文格式 Char"/>
    <w:link w:val="1452"/>
    <w:qFormat/>
    <w:uiPriority w:val="0"/>
    <w:rPr>
      <w:rFonts w:ascii="宋体" w:hAnsi="宋体" w:eastAsia="宋体" w:cs="Times New Roman"/>
      <w:color w:val="000000"/>
      <w:kern w:val="0"/>
      <w:sz w:val="26"/>
      <w:szCs w:val="20"/>
      <w14:ligatures w14:val="none"/>
    </w:rPr>
  </w:style>
  <w:style w:type="paragraph" w:customStyle="1" w:styleId="1454">
    <w:name w:val="表"/>
    <w:basedOn w:val="1"/>
    <w:qFormat/>
    <w:uiPriority w:val="0"/>
    <w:pPr>
      <w:spacing w:line="240" w:lineRule="auto"/>
      <w:ind w:firstLine="0" w:firstLineChars="0"/>
      <w:jc w:val="center"/>
    </w:pPr>
    <w:rPr>
      <w:rFonts w:ascii="Century Gothic" w:hAnsi="Century Gothic"/>
      <w:snapToGrid/>
      <w:kern w:val="2"/>
      <w:sz w:val="20"/>
      <w:szCs w:val="20"/>
    </w:rPr>
  </w:style>
  <w:style w:type="paragraph" w:customStyle="1" w:styleId="1455">
    <w:name w:val="表 5号"/>
    <w:basedOn w:val="1"/>
    <w:autoRedefine/>
    <w:semiHidden/>
    <w:qFormat/>
    <w:uiPriority w:val="0"/>
    <w:pPr>
      <w:adjustRightInd/>
      <w:snapToGrid/>
      <w:spacing w:line="240" w:lineRule="exact"/>
      <w:ind w:firstLine="0" w:firstLineChars="0"/>
    </w:pPr>
    <w:rPr>
      <w:rFonts w:ascii="宋体"/>
      <w:snapToGrid/>
      <w:kern w:val="2"/>
      <w:szCs w:val="21"/>
    </w:rPr>
  </w:style>
  <w:style w:type="paragraph" w:customStyle="1" w:styleId="1456">
    <w:name w:val="表 8"/>
    <w:basedOn w:val="1"/>
    <w:autoRedefine/>
    <w:semiHidden/>
    <w:qFormat/>
    <w:uiPriority w:val="0"/>
    <w:pPr>
      <w:adjustRightInd/>
      <w:snapToGrid/>
      <w:spacing w:line="240" w:lineRule="exact"/>
      <w:ind w:firstLine="0" w:firstLineChars="0"/>
      <w:jc w:val="center"/>
    </w:pPr>
    <w:rPr>
      <w:rFonts w:ascii="宋体" w:hAnsi="宋体"/>
      <w:snapToGrid/>
      <w:spacing w:val="-6"/>
      <w:kern w:val="2"/>
      <w:sz w:val="18"/>
      <w:szCs w:val="21"/>
    </w:rPr>
  </w:style>
  <w:style w:type="character" w:customStyle="1" w:styleId="1457">
    <w:name w:val="表 Char"/>
    <w:qFormat/>
    <w:uiPriority w:val="0"/>
    <w:rPr>
      <w:rFonts w:eastAsia="宋体"/>
      <w:kern w:val="2"/>
      <w:sz w:val="21"/>
      <w:szCs w:val="21"/>
      <w:lang w:val="en-US" w:eastAsia="zh-CN" w:bidi="ar-SA"/>
    </w:rPr>
  </w:style>
  <w:style w:type="paragraph" w:customStyle="1" w:styleId="1458">
    <w:name w:val="表(5号)"/>
    <w:basedOn w:val="1"/>
    <w:autoRedefine/>
    <w:semiHidden/>
    <w:qFormat/>
    <w:uiPriority w:val="0"/>
    <w:pPr>
      <w:adjustRightInd/>
      <w:snapToGrid/>
      <w:spacing w:line="200" w:lineRule="atLeast"/>
      <w:ind w:firstLine="0" w:firstLineChars="0"/>
      <w:jc w:val="center"/>
    </w:pPr>
    <w:rPr>
      <w:rFonts w:ascii="宋体" w:hAnsi="宋体"/>
      <w:snapToGrid/>
      <w:kern w:val="2"/>
      <w:sz w:val="21"/>
      <w:szCs w:val="20"/>
    </w:rPr>
  </w:style>
  <w:style w:type="paragraph" w:customStyle="1" w:styleId="1459">
    <w:name w:val="表1"/>
    <w:basedOn w:val="1"/>
    <w:qFormat/>
    <w:uiPriority w:val="0"/>
    <w:pPr>
      <w:tabs>
        <w:tab w:val="left" w:pos="420"/>
      </w:tabs>
      <w:overflowPunct w:val="0"/>
      <w:autoSpaceDE w:val="0"/>
      <w:autoSpaceDN w:val="0"/>
      <w:snapToGrid/>
      <w:spacing w:line="320" w:lineRule="atLeast"/>
      <w:ind w:firstLine="0" w:firstLineChars="0"/>
      <w:textAlignment w:val="baseline"/>
    </w:pPr>
    <w:rPr>
      <w:snapToGrid/>
      <w:szCs w:val="20"/>
    </w:rPr>
  </w:style>
  <w:style w:type="paragraph" w:customStyle="1" w:styleId="1460">
    <w:name w:val="表5"/>
    <w:basedOn w:val="1"/>
    <w:qFormat/>
    <w:uiPriority w:val="0"/>
    <w:pPr>
      <w:adjustRightInd/>
      <w:snapToGrid/>
      <w:spacing w:line="0" w:lineRule="atLeast"/>
      <w:ind w:firstLine="0" w:firstLineChars="0"/>
      <w:jc w:val="right"/>
    </w:pPr>
    <w:rPr>
      <w:snapToGrid/>
      <w:kern w:val="2"/>
      <w:sz w:val="21"/>
    </w:rPr>
  </w:style>
  <w:style w:type="paragraph" w:customStyle="1" w:styleId="1461">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1462">
    <w:name w:val="表编号"/>
    <w:basedOn w:val="1"/>
    <w:qFormat/>
    <w:uiPriority w:val="0"/>
    <w:pPr>
      <w:spacing w:line="400" w:lineRule="exact"/>
      <w:ind w:firstLine="480" w:firstLineChars="0"/>
    </w:pPr>
    <w:rPr>
      <w:snapToGrid/>
      <w:kern w:val="2"/>
      <w:szCs w:val="20"/>
    </w:rPr>
  </w:style>
  <w:style w:type="paragraph" w:customStyle="1" w:styleId="1463">
    <w:name w:val="岳阳用"/>
    <w:basedOn w:val="1"/>
    <w:qFormat/>
    <w:uiPriority w:val="0"/>
    <w:pPr>
      <w:snapToGrid/>
      <w:spacing w:line="400" w:lineRule="atLeast"/>
      <w:ind w:firstLine="644" w:firstLineChars="0"/>
      <w:textAlignment w:val="baseline"/>
    </w:pPr>
    <w:rPr>
      <w:rFonts w:ascii="仿宋_GB2312" w:hAnsi="宋体"/>
      <w:snapToGrid/>
      <w:spacing w:val="21"/>
      <w:sz w:val="28"/>
      <w:szCs w:val="20"/>
    </w:rPr>
  </w:style>
  <w:style w:type="paragraph" w:customStyle="1" w:styleId="1464">
    <w:name w:val="表标题"/>
    <w:basedOn w:val="1463"/>
    <w:link w:val="1465"/>
    <w:qFormat/>
    <w:uiPriority w:val="0"/>
    <w:pPr>
      <w:jc w:val="center"/>
    </w:pPr>
  </w:style>
  <w:style w:type="character" w:customStyle="1" w:styleId="1465">
    <w:name w:val="表标题 Char Char"/>
    <w:link w:val="1464"/>
    <w:qFormat/>
    <w:uiPriority w:val="0"/>
    <w:rPr>
      <w:rFonts w:ascii="仿宋_GB2312" w:hAnsi="宋体" w:eastAsia="宋体" w:cs="Times New Roman"/>
      <w:spacing w:val="21"/>
      <w:kern w:val="0"/>
      <w:sz w:val="28"/>
      <w:szCs w:val="20"/>
      <w14:ligatures w14:val="none"/>
    </w:rPr>
  </w:style>
  <w:style w:type="character" w:customStyle="1" w:styleId="1466">
    <w:name w:val="表标题 Char"/>
    <w:qFormat/>
    <w:uiPriority w:val="0"/>
    <w:rPr>
      <w:rFonts w:ascii="仿宋_GB2312" w:hAnsi="宋体" w:eastAsia="宋体"/>
      <w:spacing w:val="21"/>
      <w:sz w:val="28"/>
      <w:lang w:val="en-US" w:eastAsia="zh-CN" w:bidi="ar-SA"/>
    </w:rPr>
  </w:style>
  <w:style w:type="paragraph" w:customStyle="1" w:styleId="1467">
    <w:name w:val="表单位"/>
    <w:basedOn w:val="1"/>
    <w:qFormat/>
    <w:uiPriority w:val="0"/>
    <w:pPr>
      <w:adjustRightInd/>
      <w:snapToGrid/>
      <w:spacing w:line="240" w:lineRule="auto"/>
      <w:ind w:firstLine="482"/>
      <w:jc w:val="right"/>
    </w:pPr>
    <w:rPr>
      <w:rFonts w:ascii="宋体"/>
      <w:snapToGrid/>
      <w:kern w:val="2"/>
      <w:sz w:val="21"/>
      <w:szCs w:val="20"/>
    </w:rPr>
  </w:style>
  <w:style w:type="paragraph" w:customStyle="1" w:styleId="1468">
    <w:name w:val="表格 2"/>
    <w:basedOn w:val="1"/>
    <w:next w:val="1"/>
    <w:qFormat/>
    <w:uiPriority w:val="0"/>
    <w:pPr>
      <w:adjustRightInd/>
      <w:snapToGrid/>
      <w:spacing w:line="280" w:lineRule="atLeast"/>
      <w:ind w:firstLine="0" w:firstLineChars="0"/>
      <w:jc w:val="center"/>
    </w:pPr>
    <w:rPr>
      <w:snapToGrid/>
      <w:kern w:val="2"/>
      <w:sz w:val="25"/>
      <w:szCs w:val="25"/>
    </w:rPr>
  </w:style>
  <w:style w:type="paragraph" w:customStyle="1" w:styleId="1469">
    <w:name w:val="表格 3"/>
    <w:basedOn w:val="1"/>
    <w:next w:val="1"/>
    <w:qFormat/>
    <w:uiPriority w:val="0"/>
    <w:pPr>
      <w:adjustRightInd/>
      <w:snapToGrid/>
      <w:spacing w:line="280" w:lineRule="atLeast"/>
      <w:ind w:firstLine="0" w:firstLineChars="0"/>
      <w:jc w:val="center"/>
    </w:pPr>
    <w:rPr>
      <w:rFonts w:ascii="宋体"/>
      <w:snapToGrid/>
      <w:kern w:val="2"/>
      <w:szCs w:val="26"/>
    </w:rPr>
  </w:style>
  <w:style w:type="paragraph" w:customStyle="1" w:styleId="1470">
    <w:name w:val="表格 32"/>
    <w:basedOn w:val="1"/>
    <w:qFormat/>
    <w:uiPriority w:val="0"/>
    <w:pPr>
      <w:autoSpaceDE w:val="0"/>
      <w:autoSpaceDN w:val="0"/>
      <w:snapToGrid/>
      <w:spacing w:line="360" w:lineRule="auto"/>
      <w:ind w:firstLine="0" w:firstLineChars="0"/>
      <w:jc w:val="center"/>
      <w:textAlignment w:val="baseline"/>
    </w:pPr>
    <w:rPr>
      <w:rFonts w:eastAsia="楷体_GB2312"/>
      <w:snapToGrid/>
      <w:szCs w:val="20"/>
    </w:rPr>
  </w:style>
  <w:style w:type="paragraph" w:customStyle="1" w:styleId="1471">
    <w:name w:val="表格 4"/>
    <w:basedOn w:val="1"/>
    <w:qFormat/>
    <w:uiPriority w:val="0"/>
    <w:pPr>
      <w:adjustRightInd/>
      <w:snapToGrid/>
      <w:spacing w:line="280" w:lineRule="atLeast"/>
      <w:ind w:firstLine="0" w:firstLineChars="0"/>
      <w:jc w:val="center"/>
    </w:pPr>
    <w:rPr>
      <w:rFonts w:ascii="Century Gothic" w:hAnsi="Century Gothic"/>
      <w:snapToGrid/>
      <w:kern w:val="2"/>
      <w:sz w:val="21"/>
      <w:szCs w:val="21"/>
    </w:rPr>
  </w:style>
  <w:style w:type="paragraph" w:customStyle="1" w:styleId="1472">
    <w:name w:val="表格 5"/>
    <w:basedOn w:val="1"/>
    <w:next w:val="1"/>
    <w:link w:val="1473"/>
    <w:qFormat/>
    <w:uiPriority w:val="0"/>
    <w:pPr>
      <w:adjustRightInd/>
      <w:snapToGrid/>
      <w:spacing w:line="280" w:lineRule="atLeast"/>
      <w:ind w:firstLine="0" w:firstLineChars="0"/>
      <w:jc w:val="center"/>
    </w:pPr>
    <w:rPr>
      <w:rFonts w:ascii="宋体"/>
      <w:snapToGrid/>
      <w:kern w:val="2"/>
      <w:sz w:val="22"/>
      <w:szCs w:val="26"/>
    </w:rPr>
  </w:style>
  <w:style w:type="character" w:customStyle="1" w:styleId="1473">
    <w:name w:val="表格 5 Char"/>
    <w:link w:val="1472"/>
    <w:qFormat/>
    <w:uiPriority w:val="0"/>
    <w:rPr>
      <w:rFonts w:ascii="宋体" w:hAnsi="Times New Roman" w:eastAsia="宋体" w:cs="Times New Roman"/>
      <w:sz w:val="22"/>
      <w:szCs w:val="26"/>
      <w14:ligatures w14:val="none"/>
    </w:rPr>
  </w:style>
  <w:style w:type="paragraph" w:customStyle="1" w:styleId="1474">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75">
    <w:name w:val="表格 7"/>
    <w:basedOn w:val="1474"/>
    <w:link w:val="1476"/>
    <w:qFormat/>
    <w:uiPriority w:val="0"/>
    <w:pPr>
      <w:ind w:firstLine="520"/>
    </w:pPr>
    <w:rPr>
      <w:kern w:val="0"/>
    </w:rPr>
  </w:style>
  <w:style w:type="character" w:customStyle="1" w:styleId="1476">
    <w:name w:val="表格 7 Char Char"/>
    <w:link w:val="1475"/>
    <w:qFormat/>
    <w:uiPriority w:val="0"/>
    <w:rPr>
      <w:rFonts w:ascii="Century Gothic" w:hAnsi="Century Gothic" w:eastAsia="宋体" w:cs="Times New Roman"/>
      <w:kern w:val="0"/>
      <w:sz w:val="26"/>
      <w:szCs w:val="26"/>
      <w14:ligatures w14:val="none"/>
    </w:rPr>
  </w:style>
  <w:style w:type="character" w:customStyle="1" w:styleId="1477">
    <w:name w:val="表格 7 Char"/>
    <w:qFormat/>
    <w:uiPriority w:val="0"/>
    <w:rPr>
      <w:rFonts w:ascii="Century Gothic" w:hAnsi="Century Gothic" w:eastAsia="宋体"/>
      <w:b/>
      <w:kern w:val="2"/>
      <w:sz w:val="21"/>
      <w:szCs w:val="21"/>
      <w:lang w:val="en-US" w:eastAsia="zh-CN" w:bidi="ar-SA"/>
    </w:rPr>
  </w:style>
  <w:style w:type="paragraph" w:customStyle="1" w:styleId="1478">
    <w:name w:val="表格 8"/>
    <w:basedOn w:val="1"/>
    <w:next w:val="1"/>
    <w:qFormat/>
    <w:uiPriority w:val="0"/>
    <w:pPr>
      <w:adjustRightInd/>
      <w:snapToGrid/>
      <w:spacing w:line="280" w:lineRule="atLeast"/>
      <w:ind w:firstLine="0" w:firstLineChars="0"/>
      <w:jc w:val="center"/>
    </w:pPr>
    <w:rPr>
      <w:rFonts w:ascii="宋体"/>
      <w:snapToGrid/>
      <w:kern w:val="2"/>
      <w:sz w:val="18"/>
      <w:szCs w:val="18"/>
    </w:rPr>
  </w:style>
  <w:style w:type="character" w:customStyle="1" w:styleId="1479">
    <w:name w:val="表格 Char Char"/>
    <w:qFormat/>
    <w:uiPriority w:val="0"/>
    <w:rPr>
      <w:rFonts w:ascii="Times New Roman" w:hAnsi="Times New Roman"/>
      <w:sz w:val="22"/>
      <w:lang w:bidi="ar-SA"/>
    </w:rPr>
  </w:style>
  <w:style w:type="paragraph" w:customStyle="1" w:styleId="1480">
    <w:name w:val="表格（小）"/>
    <w:basedOn w:val="1"/>
    <w:qFormat/>
    <w:uiPriority w:val="0"/>
    <w:pPr>
      <w:spacing w:line="240" w:lineRule="auto"/>
      <w:ind w:firstLine="0" w:firstLineChars="0"/>
    </w:pPr>
    <w:rPr>
      <w:sz w:val="21"/>
      <w:szCs w:val="20"/>
    </w:rPr>
  </w:style>
  <w:style w:type="paragraph" w:customStyle="1" w:styleId="1481">
    <w:name w:val="表格（小4）"/>
    <w:basedOn w:val="1"/>
    <w:autoRedefine/>
    <w:qFormat/>
    <w:uiPriority w:val="0"/>
    <w:pPr>
      <w:adjustRightInd/>
      <w:snapToGrid/>
      <w:spacing w:line="360" w:lineRule="auto"/>
      <w:ind w:firstLine="0" w:firstLineChars="0"/>
      <w:jc w:val="center"/>
    </w:pPr>
    <w:rPr>
      <w:rFonts w:ascii="宋体" w:hAnsi="宋体"/>
      <w:snapToGrid/>
      <w:kern w:val="2"/>
      <w:szCs w:val="20"/>
    </w:rPr>
  </w:style>
  <w:style w:type="paragraph" w:customStyle="1" w:styleId="1482">
    <w:name w:val="表格（一）"/>
    <w:basedOn w:val="1"/>
    <w:qFormat/>
    <w:uiPriority w:val="0"/>
    <w:pPr>
      <w:wordWrap w:val="0"/>
      <w:overflowPunct w:val="0"/>
      <w:autoSpaceDE w:val="0"/>
      <w:autoSpaceDN w:val="0"/>
      <w:spacing w:beforeLines="15" w:afterLines="15" w:line="240" w:lineRule="auto"/>
      <w:ind w:firstLine="0" w:firstLineChars="0"/>
    </w:pPr>
    <w:rPr>
      <w:sz w:val="21"/>
    </w:rPr>
  </w:style>
  <w:style w:type="paragraph" w:customStyle="1" w:styleId="1483">
    <w:name w:val="表格（纵）"/>
    <w:basedOn w:val="1"/>
    <w:qFormat/>
    <w:uiPriority w:val="0"/>
    <w:pPr>
      <w:spacing w:line="240" w:lineRule="auto"/>
      <w:ind w:firstLine="0" w:firstLineChars="0"/>
      <w:jc w:val="center"/>
    </w:pPr>
    <w:rPr>
      <w:rFonts w:eastAsia="仿宋_GB2312"/>
      <w:snapToGrid/>
      <w:kern w:val="2"/>
      <w:sz w:val="28"/>
      <w:szCs w:val="28"/>
    </w:rPr>
  </w:style>
  <w:style w:type="paragraph" w:customStyle="1" w:styleId="1484">
    <w:name w:val="表格，内容"/>
    <w:basedOn w:val="1"/>
    <w:qFormat/>
    <w:uiPriority w:val="0"/>
    <w:pPr>
      <w:adjustRightInd/>
      <w:snapToGrid/>
      <w:spacing w:line="240" w:lineRule="auto"/>
      <w:ind w:firstLine="0" w:firstLineChars="0"/>
      <w:jc w:val="center"/>
    </w:pPr>
    <w:rPr>
      <w:snapToGrid/>
      <w:spacing w:val="10"/>
      <w:kern w:val="44"/>
      <w:sz w:val="21"/>
    </w:rPr>
  </w:style>
  <w:style w:type="paragraph" w:customStyle="1" w:styleId="1485">
    <w:name w:val="表格，宋五"/>
    <w:qFormat/>
    <w:uiPriority w:val="0"/>
    <w:pPr>
      <w:keepNext/>
      <w:jc w:val="both"/>
    </w:pPr>
    <w:rPr>
      <w:rFonts w:ascii="Times New Roman" w:hAnsi="Times New Roman" w:eastAsia="宋体" w:cs="Times New Roman"/>
      <w:sz w:val="21"/>
      <w:lang w:val="en-US" w:eastAsia="zh-CN" w:bidi="ar-SA"/>
    </w:rPr>
  </w:style>
  <w:style w:type="paragraph" w:customStyle="1" w:styleId="1486">
    <w:name w:val="表格"/>
    <w:basedOn w:val="1"/>
    <w:link w:val="1487"/>
    <w:qFormat/>
    <w:uiPriority w:val="0"/>
    <w:pPr>
      <w:spacing w:line="400" w:lineRule="exact"/>
      <w:ind w:firstLine="0" w:firstLineChars="0"/>
      <w:jc w:val="center"/>
    </w:pPr>
    <w:rPr>
      <w:sz w:val="21"/>
    </w:rPr>
  </w:style>
  <w:style w:type="character" w:customStyle="1" w:styleId="1487">
    <w:name w:val="表格 Char"/>
    <w:link w:val="1486"/>
    <w:qFormat/>
    <w:uiPriority w:val="0"/>
    <w:rPr>
      <w:rFonts w:ascii="Times New Roman" w:hAnsi="Times New Roman" w:eastAsia="宋体" w:cs="Times New Roman"/>
      <w:snapToGrid w:val="0"/>
      <w:kern w:val="0"/>
      <w:szCs w:val="24"/>
      <w14:ligatures w14:val="none"/>
    </w:rPr>
  </w:style>
  <w:style w:type="paragraph" w:customStyle="1" w:styleId="1488">
    <w:name w:val="表格，五宋"/>
    <w:link w:val="1489"/>
    <w:qFormat/>
    <w:uiPriority w:val="0"/>
    <w:pPr>
      <w:adjustRightInd w:val="0"/>
      <w:spacing w:line="360" w:lineRule="exact"/>
      <w:jc w:val="center"/>
    </w:pPr>
    <w:rPr>
      <w:rFonts w:ascii="Times New Roman" w:hAnsi="Times New Roman" w:eastAsia="宋体" w:cs="Times New Roman"/>
      <w:sz w:val="21"/>
      <w:lang w:val="en-US" w:eastAsia="zh-CN" w:bidi="ar-SA"/>
    </w:rPr>
  </w:style>
  <w:style w:type="character" w:customStyle="1" w:styleId="1489">
    <w:name w:val="表格，五宋 Char"/>
    <w:link w:val="1488"/>
    <w:qFormat/>
    <w:uiPriority w:val="0"/>
    <w:rPr>
      <w:rFonts w:ascii="Times New Roman" w:hAnsi="Times New Roman" w:eastAsia="宋体" w:cs="Times New Roman"/>
      <w:kern w:val="0"/>
      <w:szCs w:val="20"/>
      <w14:ligatures w14:val="none"/>
    </w:rPr>
  </w:style>
  <w:style w:type="paragraph" w:customStyle="1" w:styleId="1490">
    <w:name w:val="表格，五送"/>
    <w:next w:val="34"/>
    <w:semiHidden/>
    <w:qFormat/>
    <w:uiPriority w:val="0"/>
    <w:pPr>
      <w:keepNext/>
      <w:widowControl w:val="0"/>
      <w:spacing w:line="360" w:lineRule="exact"/>
      <w:jc w:val="both"/>
    </w:pPr>
    <w:rPr>
      <w:rFonts w:ascii="Times New Roman" w:hAnsi="Times New Roman" w:eastAsia="宋体" w:cs="Times New Roman"/>
      <w:sz w:val="21"/>
      <w:lang w:val="en-US" w:eastAsia="zh-CN" w:bidi="ar-SA"/>
    </w:rPr>
  </w:style>
  <w:style w:type="paragraph" w:customStyle="1" w:styleId="1491">
    <w:name w:val="表格_dg"/>
    <w:basedOn w:val="1"/>
    <w:qFormat/>
    <w:uiPriority w:val="0"/>
    <w:pPr>
      <w:snapToGrid/>
      <w:spacing w:line="360" w:lineRule="exact"/>
      <w:ind w:firstLine="0" w:firstLineChars="0"/>
      <w:jc w:val="center"/>
      <w:textAlignment w:val="center"/>
    </w:pPr>
    <w:rPr>
      <w:snapToGrid/>
      <w:sz w:val="21"/>
      <w:szCs w:val="21"/>
    </w:rPr>
  </w:style>
  <w:style w:type="paragraph" w:customStyle="1" w:styleId="1492">
    <w:name w:val="表格-1"/>
    <w:basedOn w:val="1"/>
    <w:link w:val="1493"/>
    <w:semiHidden/>
    <w:qFormat/>
    <w:uiPriority w:val="0"/>
    <w:pPr>
      <w:adjustRightInd/>
      <w:snapToGrid/>
      <w:spacing w:line="240" w:lineRule="auto"/>
      <w:ind w:firstLine="0" w:firstLineChars="0"/>
      <w:jc w:val="center"/>
      <w:textAlignment w:val="center"/>
    </w:pPr>
    <w:rPr>
      <w:snapToGrid/>
      <w:kern w:val="2"/>
      <w:sz w:val="21"/>
      <w:szCs w:val="21"/>
    </w:rPr>
  </w:style>
  <w:style w:type="character" w:customStyle="1" w:styleId="1493">
    <w:name w:val="表格-1 Char"/>
    <w:link w:val="1492"/>
    <w:semiHidden/>
    <w:qFormat/>
    <w:uiPriority w:val="0"/>
    <w:rPr>
      <w:rFonts w:ascii="Times New Roman" w:hAnsi="Times New Roman" w:eastAsia="宋体" w:cs="Times New Roman"/>
      <w:szCs w:val="21"/>
      <w14:ligatures w14:val="none"/>
    </w:rPr>
  </w:style>
  <w:style w:type="paragraph" w:customStyle="1" w:styleId="1494">
    <w:name w:val="表格1 Char"/>
    <w:basedOn w:val="1"/>
    <w:qFormat/>
    <w:uiPriority w:val="0"/>
    <w:pPr>
      <w:snapToGrid/>
      <w:spacing w:line="360" w:lineRule="atLeast"/>
      <w:ind w:firstLine="0" w:firstLineChars="0"/>
      <w:jc w:val="center"/>
      <w:textAlignment w:val="baseline"/>
    </w:pPr>
    <w:rPr>
      <w:rFonts w:ascii="CG Times (WN)"/>
      <w:b/>
      <w:snapToGrid/>
      <w:szCs w:val="20"/>
    </w:rPr>
  </w:style>
  <w:style w:type="paragraph" w:customStyle="1" w:styleId="1495">
    <w:name w:val="表格1"/>
    <w:basedOn w:val="1"/>
    <w:link w:val="1496"/>
    <w:qFormat/>
    <w:uiPriority w:val="0"/>
    <w:pPr>
      <w:spacing w:line="20" w:lineRule="atLeast"/>
      <w:ind w:firstLine="0" w:firstLineChars="0"/>
      <w:jc w:val="center"/>
      <w:textAlignment w:val="center"/>
    </w:pPr>
    <w:rPr>
      <w:rFonts w:ascii="宋体"/>
      <w:snapToGrid/>
      <w:sz w:val="21"/>
      <w:szCs w:val="20"/>
    </w:rPr>
  </w:style>
  <w:style w:type="character" w:customStyle="1" w:styleId="1496">
    <w:name w:val="五宋1 Char"/>
    <w:link w:val="1495"/>
    <w:qFormat/>
    <w:uiPriority w:val="0"/>
    <w:rPr>
      <w:rFonts w:ascii="宋体" w:hAnsi="Times New Roman" w:eastAsia="宋体" w:cs="Times New Roman"/>
      <w:kern w:val="0"/>
      <w:szCs w:val="20"/>
      <w14:ligatures w14:val="none"/>
    </w:rPr>
  </w:style>
  <w:style w:type="paragraph" w:customStyle="1" w:styleId="1497">
    <w:name w:val="表格11"/>
    <w:basedOn w:val="1"/>
    <w:qFormat/>
    <w:uiPriority w:val="0"/>
    <w:pPr>
      <w:adjustRightInd/>
      <w:spacing w:line="240" w:lineRule="auto"/>
      <w:ind w:firstLine="0" w:firstLineChars="0"/>
      <w:jc w:val="center"/>
    </w:pPr>
    <w:rPr>
      <w:rFonts w:ascii="宋体" w:hAnsi="宋体" w:cs="宋体"/>
      <w:snapToGrid/>
      <w:sz w:val="21"/>
      <w:szCs w:val="21"/>
    </w:rPr>
  </w:style>
  <w:style w:type="paragraph" w:customStyle="1" w:styleId="1498">
    <w:name w:val="表格2"/>
    <w:link w:val="1499"/>
    <w:qFormat/>
    <w:uiPriority w:val="0"/>
    <w:pPr>
      <w:adjustRightInd w:val="0"/>
      <w:snapToGrid w:val="0"/>
      <w:jc w:val="center"/>
    </w:pPr>
    <w:rPr>
      <w:rFonts w:ascii="Times New Roman" w:hAnsi="Times New Roman" w:eastAsia="宋体" w:cs="Times New Roman"/>
      <w:b/>
      <w:bCs/>
      <w:sz w:val="21"/>
      <w:lang w:val="en-US" w:eastAsia="zh-CN" w:bidi="ar-SA"/>
    </w:rPr>
  </w:style>
  <w:style w:type="character" w:customStyle="1" w:styleId="1499">
    <w:name w:val="表格2 Char Char"/>
    <w:link w:val="1498"/>
    <w:qFormat/>
    <w:uiPriority w:val="0"/>
    <w:rPr>
      <w:rFonts w:ascii="Times New Roman" w:hAnsi="Times New Roman" w:eastAsia="宋体" w:cs="Times New Roman"/>
      <w:b/>
      <w:bCs/>
      <w:kern w:val="0"/>
      <w:szCs w:val="20"/>
      <w14:ligatures w14:val="none"/>
    </w:rPr>
  </w:style>
  <w:style w:type="character" w:customStyle="1" w:styleId="1500">
    <w:name w:val="表格2 Char"/>
    <w:qFormat/>
    <w:uiPriority w:val="0"/>
    <w:rPr>
      <w:b/>
      <w:bCs/>
      <w:sz w:val="21"/>
      <w:lang w:val="en-US" w:eastAsia="zh-CN" w:bidi="ar-SA"/>
    </w:rPr>
  </w:style>
  <w:style w:type="paragraph" w:customStyle="1" w:styleId="1501">
    <w:name w:val="表格-5号"/>
    <w:basedOn w:val="1"/>
    <w:qFormat/>
    <w:uiPriority w:val="0"/>
    <w:pPr>
      <w:tabs>
        <w:tab w:val="left" w:pos="2646"/>
      </w:tabs>
      <w:adjustRightInd/>
      <w:snapToGrid/>
      <w:spacing w:line="280" w:lineRule="exact"/>
      <w:ind w:firstLine="0" w:firstLineChars="0"/>
      <w:jc w:val="center"/>
    </w:pPr>
    <w:rPr>
      <w:snapToGrid/>
      <w:color w:val="000000"/>
      <w:kern w:val="2"/>
      <w:sz w:val="21"/>
    </w:rPr>
  </w:style>
  <w:style w:type="paragraph" w:customStyle="1" w:styleId="1502">
    <w:name w:val="表格5号字"/>
    <w:basedOn w:val="1"/>
    <w:qFormat/>
    <w:uiPriority w:val="0"/>
    <w:pPr>
      <w:widowControl/>
      <w:spacing w:line="240" w:lineRule="exact"/>
      <w:ind w:firstLine="0" w:firstLineChars="0"/>
      <w:jc w:val="center"/>
    </w:pPr>
    <w:rPr>
      <w:rFonts w:ascii="宋体" w:hAnsi="宋体"/>
      <w:snapToGrid/>
    </w:rPr>
  </w:style>
  <w:style w:type="paragraph" w:customStyle="1" w:styleId="1503">
    <w:name w:val="表格编号"/>
    <w:basedOn w:val="1"/>
    <w:qFormat/>
    <w:uiPriority w:val="0"/>
    <w:pPr>
      <w:adjustRightInd/>
      <w:snapToGrid/>
      <w:spacing w:line="360" w:lineRule="auto"/>
      <w:ind w:firstLine="0" w:firstLineChars="0"/>
      <w:jc w:val="center"/>
    </w:pPr>
    <w:rPr>
      <w:rFonts w:ascii="黑体" w:hAnsi="宋体" w:eastAsia="黑体"/>
      <w:snapToGrid/>
      <w:kern w:val="2"/>
    </w:rPr>
  </w:style>
  <w:style w:type="paragraph" w:customStyle="1" w:styleId="1504">
    <w:name w:val="表格对中正文"/>
    <w:basedOn w:val="1"/>
    <w:link w:val="1505"/>
    <w:autoRedefine/>
    <w:semiHidden/>
    <w:qFormat/>
    <w:uiPriority w:val="0"/>
    <w:pPr>
      <w:adjustRightInd/>
      <w:spacing w:before="120" w:afterLines="10" w:line="240" w:lineRule="auto"/>
      <w:ind w:firstLine="0" w:firstLineChars="0"/>
      <w:jc w:val="center"/>
    </w:pPr>
    <w:rPr>
      <w:snapToGrid/>
      <w:sz w:val="21"/>
      <w:szCs w:val="20"/>
    </w:rPr>
  </w:style>
  <w:style w:type="character" w:customStyle="1" w:styleId="1505">
    <w:name w:val="表格对中正文 Char"/>
    <w:link w:val="1504"/>
    <w:semiHidden/>
    <w:qFormat/>
    <w:uiPriority w:val="0"/>
    <w:rPr>
      <w:rFonts w:ascii="Times New Roman" w:hAnsi="Times New Roman" w:eastAsia="宋体" w:cs="Times New Roman"/>
      <w:kern w:val="0"/>
      <w:szCs w:val="20"/>
      <w14:ligatures w14:val="none"/>
    </w:rPr>
  </w:style>
  <w:style w:type="paragraph" w:customStyle="1" w:styleId="1506">
    <w:name w:val="表格编号正文"/>
    <w:basedOn w:val="1504"/>
    <w:autoRedefine/>
    <w:semiHidden/>
    <w:qFormat/>
    <w:uiPriority w:val="0"/>
    <w:pPr>
      <w:tabs>
        <w:tab w:val="left" w:pos="8080"/>
      </w:tabs>
      <w:wordWrap w:val="0"/>
      <w:ind w:right="370" w:rightChars="132"/>
      <w:jc w:val="right"/>
    </w:pPr>
    <w:rPr>
      <w:rFonts w:cs="宋体"/>
    </w:rPr>
  </w:style>
  <w:style w:type="character" w:customStyle="1" w:styleId="1507">
    <w:name w:val="表格标题 Char Char"/>
    <w:qFormat/>
    <w:uiPriority w:val="0"/>
    <w:rPr>
      <w:rFonts w:eastAsia="宋体"/>
      <w:b/>
      <w:snapToGrid w:val="0"/>
      <w:sz w:val="24"/>
      <w:szCs w:val="24"/>
    </w:rPr>
  </w:style>
  <w:style w:type="paragraph" w:customStyle="1" w:styleId="1508">
    <w:name w:val="表格标题 Char Char Char"/>
    <w:basedOn w:val="1"/>
    <w:qFormat/>
    <w:uiPriority w:val="0"/>
    <w:pPr>
      <w:spacing w:line="360" w:lineRule="auto"/>
      <w:ind w:firstLine="0" w:firstLineChars="0"/>
      <w:jc w:val="center"/>
    </w:pPr>
    <w:rPr>
      <w:rFonts w:eastAsia="黑体"/>
      <w:snapToGrid/>
      <w:kern w:val="2"/>
    </w:rPr>
  </w:style>
  <w:style w:type="character" w:customStyle="1" w:styleId="1509">
    <w:name w:val="表格标题 Char Char Char Char"/>
    <w:qFormat/>
    <w:uiPriority w:val="0"/>
    <w:rPr>
      <w:rFonts w:eastAsia="黑体"/>
      <w:kern w:val="2"/>
      <w:sz w:val="24"/>
      <w:szCs w:val="24"/>
      <w:lang w:val="en-US" w:eastAsia="zh-CN" w:bidi="ar-SA"/>
    </w:rPr>
  </w:style>
  <w:style w:type="character" w:customStyle="1" w:styleId="1510">
    <w:name w:val="表格标题 Char Char Char Char Char"/>
    <w:qFormat/>
    <w:uiPriority w:val="0"/>
    <w:rPr>
      <w:rFonts w:eastAsia="黑体"/>
      <w:kern w:val="2"/>
      <w:sz w:val="24"/>
      <w:szCs w:val="24"/>
      <w:lang w:val="en-US" w:eastAsia="zh-CN" w:bidi="ar-SA"/>
    </w:rPr>
  </w:style>
  <w:style w:type="character" w:customStyle="1" w:styleId="1511">
    <w:name w:val="表格标题 Char1"/>
    <w:qFormat/>
    <w:uiPriority w:val="0"/>
    <w:rPr>
      <w:rFonts w:ascii="宋体" w:hAnsi="宋体" w:eastAsia="宋体"/>
      <w:b/>
      <w:color w:val="0000FF"/>
      <w:sz w:val="24"/>
      <w:szCs w:val="24"/>
      <w:u w:color="FF0000"/>
      <w:lang w:val="en-US" w:eastAsia="zh-CN" w:bidi="ar-SA"/>
    </w:rPr>
  </w:style>
  <w:style w:type="character" w:customStyle="1" w:styleId="1512">
    <w:name w:val="表格标题 Char2"/>
    <w:qFormat/>
    <w:uiPriority w:val="0"/>
    <w:rPr>
      <w:rFonts w:hAnsi="宋体" w:eastAsia="宋体"/>
      <w:b/>
      <w:color w:val="0000FF"/>
      <w:sz w:val="24"/>
      <w:szCs w:val="24"/>
      <w:u w:color="FF0000"/>
      <w:lang w:val="en-US" w:eastAsia="zh-CN" w:bidi="ar-SA"/>
    </w:rPr>
  </w:style>
  <w:style w:type="paragraph" w:customStyle="1" w:styleId="1513">
    <w:name w:val="表格标题"/>
    <w:basedOn w:val="1"/>
    <w:link w:val="1514"/>
    <w:qFormat/>
    <w:uiPriority w:val="0"/>
    <w:pPr>
      <w:spacing w:beforeLines="50"/>
      <w:ind w:firstLine="0" w:firstLineChars="0"/>
      <w:jc w:val="center"/>
    </w:pPr>
    <w:rPr>
      <w:b/>
    </w:rPr>
  </w:style>
  <w:style w:type="character" w:customStyle="1" w:styleId="1514">
    <w:name w:val="表格标题 Char"/>
    <w:link w:val="1513"/>
    <w:qFormat/>
    <w:uiPriority w:val="0"/>
    <w:rPr>
      <w:rFonts w:ascii="Times New Roman" w:hAnsi="Times New Roman" w:eastAsia="宋体" w:cs="Times New Roman"/>
      <w:b/>
      <w:snapToGrid w:val="0"/>
      <w:kern w:val="0"/>
      <w:sz w:val="26"/>
      <w:szCs w:val="24"/>
      <w14:ligatures w14:val="none"/>
    </w:rPr>
  </w:style>
  <w:style w:type="paragraph" w:customStyle="1" w:styleId="1515">
    <w:name w:val="列表1"/>
    <w:basedOn w:val="1"/>
    <w:qFormat/>
    <w:uiPriority w:val="0"/>
    <w:pPr>
      <w:spacing w:line="240" w:lineRule="auto"/>
      <w:ind w:left="200" w:hanging="200" w:hangingChars="200"/>
    </w:pPr>
    <w:rPr>
      <w:snapToGrid/>
      <w:kern w:val="2"/>
      <w:szCs w:val="22"/>
    </w:rPr>
  </w:style>
  <w:style w:type="paragraph" w:customStyle="1" w:styleId="1516">
    <w:name w:val="表格标题1"/>
    <w:basedOn w:val="1515"/>
    <w:link w:val="1517"/>
    <w:qFormat/>
    <w:uiPriority w:val="0"/>
    <w:pPr>
      <w:ind w:left="0" w:firstLine="0" w:firstLineChars="0"/>
      <w:jc w:val="center"/>
    </w:pPr>
    <w:rPr>
      <w:rFonts w:eastAsia="黑体"/>
      <w:kern w:val="28"/>
      <w:szCs w:val="24"/>
    </w:rPr>
  </w:style>
  <w:style w:type="character" w:customStyle="1" w:styleId="1517">
    <w:name w:val="表格标题1 Char Char"/>
    <w:link w:val="1516"/>
    <w:qFormat/>
    <w:uiPriority w:val="0"/>
    <w:rPr>
      <w:rFonts w:ascii="Times New Roman" w:hAnsi="Times New Roman" w:eastAsia="黑体" w:cs="Times New Roman"/>
      <w:kern w:val="28"/>
      <w:sz w:val="26"/>
      <w:szCs w:val="24"/>
      <w14:ligatures w14:val="none"/>
    </w:rPr>
  </w:style>
  <w:style w:type="character" w:customStyle="1" w:styleId="1518">
    <w:name w:val="表格标题1 Char"/>
    <w:qFormat/>
    <w:uiPriority w:val="0"/>
    <w:rPr>
      <w:rFonts w:eastAsia="黑体"/>
      <w:kern w:val="28"/>
      <w:sz w:val="24"/>
      <w:szCs w:val="24"/>
      <w:lang w:val="en-US" w:eastAsia="zh-CN" w:bidi="ar-SA"/>
    </w:rPr>
  </w:style>
  <w:style w:type="character" w:customStyle="1" w:styleId="1519">
    <w:name w:val="表格标题采用 Char"/>
    <w:qFormat/>
    <w:uiPriority w:val="0"/>
    <w:rPr>
      <w:rFonts w:ascii="宋体" w:hAnsi="宋体" w:eastAsia="宋体" w:cs="宋体"/>
      <w:b/>
      <w:color w:val="000000"/>
      <w:kern w:val="2"/>
      <w:sz w:val="24"/>
      <w:szCs w:val="24"/>
      <w:lang w:val="en-US" w:eastAsia="zh-CN" w:bidi="ar-SA"/>
    </w:rPr>
  </w:style>
  <w:style w:type="paragraph" w:customStyle="1" w:styleId="1520">
    <w:name w:val="表格表头"/>
    <w:basedOn w:val="1"/>
    <w:autoRedefine/>
    <w:qFormat/>
    <w:uiPriority w:val="0"/>
    <w:pPr>
      <w:widowControl/>
      <w:adjustRightInd/>
      <w:snapToGrid/>
      <w:spacing w:after="120"/>
      <w:ind w:firstLine="0" w:firstLineChars="0"/>
    </w:pPr>
    <w:rPr>
      <w:rFonts w:ascii="宋体" w:hAnsi="宋体"/>
      <w:b/>
      <w:snapToGrid/>
      <w:color w:val="000000"/>
      <w:sz w:val="28"/>
      <w:szCs w:val="36"/>
    </w:rPr>
  </w:style>
  <w:style w:type="paragraph" w:customStyle="1" w:styleId="1521">
    <w:name w:val="表格的样式"/>
    <w:basedOn w:val="1"/>
    <w:qFormat/>
    <w:uiPriority w:val="0"/>
    <w:pPr>
      <w:tabs>
        <w:tab w:val="left" w:pos="2646"/>
      </w:tabs>
      <w:adjustRightInd/>
      <w:snapToGrid/>
      <w:spacing w:line="240" w:lineRule="exact"/>
      <w:ind w:firstLine="0" w:firstLineChars="0"/>
      <w:jc w:val="center"/>
    </w:pPr>
    <w:rPr>
      <w:snapToGrid/>
      <w:color w:val="FF0000"/>
      <w:sz w:val="21"/>
      <w:szCs w:val="21"/>
    </w:rPr>
  </w:style>
  <w:style w:type="paragraph" w:customStyle="1" w:styleId="1522">
    <w:name w:val="表格涪陵"/>
    <w:basedOn w:val="1"/>
    <w:next w:val="1"/>
    <w:qFormat/>
    <w:uiPriority w:val="0"/>
    <w:pPr>
      <w:adjustRightInd/>
      <w:snapToGrid/>
      <w:spacing w:line="240" w:lineRule="auto"/>
      <w:ind w:firstLine="0" w:firstLineChars="0"/>
      <w:jc w:val="center"/>
      <w:outlineLvl w:val="7"/>
    </w:pPr>
    <w:rPr>
      <w:rFonts w:ascii="宋体" w:hAnsi="宋体" w:cs="宋体"/>
      <w:snapToGrid/>
      <w:sz w:val="21"/>
      <w:szCs w:val="20"/>
    </w:rPr>
  </w:style>
  <w:style w:type="paragraph" w:customStyle="1" w:styleId="1523">
    <w:name w:val="表格后空行"/>
    <w:basedOn w:val="1"/>
    <w:next w:val="1"/>
    <w:qFormat/>
    <w:uiPriority w:val="0"/>
    <w:pPr>
      <w:snapToGrid/>
      <w:spacing w:line="240" w:lineRule="atLeast"/>
      <w:ind w:firstLine="0" w:firstLineChars="0"/>
    </w:pPr>
    <w:rPr>
      <w:rFonts w:ascii="Garamond" w:hAnsi="Garamond"/>
      <w:snapToGrid/>
      <w:spacing w:val="2"/>
      <w:kern w:val="2"/>
      <w:sz w:val="18"/>
      <w:szCs w:val="20"/>
    </w:rPr>
  </w:style>
  <w:style w:type="paragraph" w:customStyle="1" w:styleId="1524">
    <w:name w:val="表格居中"/>
    <w:basedOn w:val="1"/>
    <w:autoRedefine/>
    <w:qFormat/>
    <w:uiPriority w:val="0"/>
    <w:pPr>
      <w:overflowPunct w:val="0"/>
      <w:adjustRightInd/>
      <w:snapToGrid/>
      <w:spacing w:line="240" w:lineRule="auto"/>
      <w:ind w:firstLine="0" w:firstLineChars="0"/>
    </w:pPr>
    <w:rPr>
      <w:rFonts w:ascii="宋体" w:hAnsi="宋体"/>
      <w:snapToGrid/>
      <w:sz w:val="18"/>
      <w:szCs w:val="18"/>
    </w:rPr>
  </w:style>
  <w:style w:type="paragraph" w:customStyle="1" w:styleId="1525">
    <w:name w:val="表格来源"/>
    <w:basedOn w:val="35"/>
    <w:autoRedefine/>
    <w:qFormat/>
    <w:uiPriority w:val="0"/>
    <w:pPr>
      <w:adjustRightInd/>
      <w:snapToGrid/>
      <w:spacing w:line="240" w:lineRule="auto"/>
      <w:ind w:right="22" w:rightChars="22" w:firstLine="0" w:firstLineChars="0"/>
      <w:jc w:val="right"/>
    </w:pPr>
    <w:rPr>
      <w:rFonts w:ascii="Calibri" w:hAnsi="Calibri"/>
      <w:snapToGrid/>
      <w:kern w:val="2"/>
      <w:sz w:val="18"/>
      <w:szCs w:val="20"/>
    </w:rPr>
  </w:style>
  <w:style w:type="paragraph" w:customStyle="1" w:styleId="1526">
    <w:name w:val="表格两端对齐正文"/>
    <w:basedOn w:val="1504"/>
    <w:link w:val="1527"/>
    <w:autoRedefine/>
    <w:semiHidden/>
    <w:qFormat/>
    <w:uiPriority w:val="0"/>
    <w:pPr>
      <w:adjustRightInd w:val="0"/>
      <w:spacing w:afterLines="0" w:line="280" w:lineRule="exact"/>
      <w:ind w:left="-17"/>
    </w:pPr>
    <w:rPr>
      <w:kern w:val="10"/>
      <w:szCs w:val="21"/>
    </w:rPr>
  </w:style>
  <w:style w:type="character" w:customStyle="1" w:styleId="1527">
    <w:name w:val="表格两端对齐正文 Char"/>
    <w:link w:val="1526"/>
    <w:semiHidden/>
    <w:qFormat/>
    <w:uiPriority w:val="0"/>
    <w:rPr>
      <w:rFonts w:ascii="Times New Roman" w:hAnsi="Times New Roman" w:eastAsia="宋体" w:cs="Times New Roman"/>
      <w:kern w:val="10"/>
      <w:szCs w:val="21"/>
      <w14:ligatures w14:val="none"/>
    </w:rPr>
  </w:style>
  <w:style w:type="paragraph" w:customStyle="1" w:styleId="1528">
    <w:name w:val="表格名"/>
    <w:basedOn w:val="1"/>
    <w:link w:val="1529"/>
    <w:semiHidden/>
    <w:qFormat/>
    <w:uiPriority w:val="0"/>
    <w:pPr>
      <w:adjustRightInd/>
      <w:snapToGrid/>
      <w:spacing w:line="240" w:lineRule="auto"/>
      <w:ind w:firstLine="0" w:firstLineChars="0"/>
      <w:jc w:val="right"/>
    </w:pPr>
    <w:rPr>
      <w:rFonts w:ascii="宋体" w:hAnsi="宋体"/>
      <w:b/>
      <w:snapToGrid/>
      <w:kern w:val="28"/>
    </w:rPr>
  </w:style>
  <w:style w:type="character" w:customStyle="1" w:styleId="1529">
    <w:name w:val="表格名 Char"/>
    <w:link w:val="1528"/>
    <w:semiHidden/>
    <w:qFormat/>
    <w:uiPriority w:val="0"/>
    <w:rPr>
      <w:rFonts w:ascii="宋体" w:hAnsi="宋体" w:eastAsia="宋体" w:cs="Times New Roman"/>
      <w:b/>
      <w:kern w:val="28"/>
      <w:sz w:val="26"/>
      <w:szCs w:val="24"/>
      <w14:ligatures w14:val="none"/>
    </w:rPr>
  </w:style>
  <w:style w:type="paragraph" w:customStyle="1" w:styleId="1530">
    <w:name w:val="表格名称"/>
    <w:basedOn w:val="34"/>
    <w:link w:val="1531"/>
    <w:autoRedefine/>
    <w:qFormat/>
    <w:uiPriority w:val="0"/>
    <w:pPr>
      <w:tabs>
        <w:tab w:val="left" w:pos="2325"/>
      </w:tabs>
      <w:adjustRightInd/>
      <w:snapToGrid/>
      <w:spacing w:after="120" w:line="300" w:lineRule="auto"/>
      <w:jc w:val="center"/>
    </w:pPr>
    <w:rPr>
      <w:rFonts w:ascii="Arial" w:hAnsi="Arial" w:eastAsia="楷体_GB2312" w:cs="Arial"/>
      <w:b/>
      <w:bCs/>
      <w:snapToGrid/>
      <w:kern w:val="2"/>
      <w:shd w:val="clear" w:color="auto" w:fill="FFFFFF"/>
    </w:rPr>
  </w:style>
  <w:style w:type="character" w:customStyle="1" w:styleId="1531">
    <w:name w:val="表格名称 Char"/>
    <w:link w:val="1530"/>
    <w:qFormat/>
    <w:uiPriority w:val="0"/>
    <w:rPr>
      <w:rFonts w:ascii="Arial" w:hAnsi="Arial" w:eastAsia="楷体_GB2312" w:cs="Arial"/>
      <w:b/>
      <w:bCs/>
      <w:sz w:val="26"/>
      <w:szCs w:val="24"/>
      <w14:ligatures w14:val="none"/>
    </w:rPr>
  </w:style>
  <w:style w:type="character" w:customStyle="1" w:styleId="1532">
    <w:name w:val="表格名称 Char Char"/>
    <w:qFormat/>
    <w:uiPriority w:val="0"/>
    <w:rPr>
      <w:rFonts w:ascii="宋体" w:hAnsi="宋体" w:eastAsia="宋体"/>
      <w:b/>
      <w:bCs/>
      <w:sz w:val="24"/>
      <w:szCs w:val="24"/>
      <w:u w:color="000000"/>
      <w:lang w:val="en-US" w:eastAsia="zh-CN" w:bidi="ar-SA"/>
    </w:rPr>
  </w:style>
  <w:style w:type="paragraph" w:customStyle="1" w:styleId="1533">
    <w:name w:val="表格目录"/>
    <w:basedOn w:val="1"/>
    <w:next w:val="1"/>
    <w:qFormat/>
    <w:uiPriority w:val="0"/>
    <w:pPr>
      <w:adjustRightInd/>
      <w:snapToGrid/>
      <w:spacing w:beforeLines="50" w:after="20" w:line="240" w:lineRule="auto"/>
      <w:jc w:val="center"/>
    </w:pPr>
    <w:rPr>
      <w:b/>
      <w:bCs/>
      <w:iCs/>
      <w:snapToGrid/>
      <w:kern w:val="2"/>
    </w:rPr>
  </w:style>
  <w:style w:type="paragraph" w:customStyle="1" w:styleId="1534">
    <w:name w:val="表格内"/>
    <w:basedOn w:val="1"/>
    <w:autoRedefine/>
    <w:qFormat/>
    <w:uiPriority w:val="0"/>
    <w:pPr>
      <w:tabs>
        <w:tab w:val="left" w:pos="560"/>
      </w:tabs>
      <w:spacing w:line="300" w:lineRule="auto"/>
      <w:ind w:right="-426" w:rightChars="-152" w:firstLine="0" w:firstLineChars="0"/>
    </w:pPr>
    <w:rPr>
      <w:rFonts w:eastAsia="仿宋_GB2312"/>
      <w:snapToGrid/>
      <w:sz w:val="21"/>
    </w:rPr>
  </w:style>
  <w:style w:type="paragraph" w:customStyle="1" w:styleId="1535">
    <w:name w:val="表格内居中文字"/>
    <w:basedOn w:val="1"/>
    <w:autoRedefine/>
    <w:qFormat/>
    <w:uiPriority w:val="0"/>
    <w:pPr>
      <w:adjustRightInd/>
      <w:snapToGrid/>
      <w:spacing w:line="240" w:lineRule="auto"/>
      <w:ind w:firstLine="0" w:firstLineChars="0"/>
      <w:jc w:val="center"/>
    </w:pPr>
    <w:rPr>
      <w:color w:val="000000" w:themeColor="text1"/>
      <w:kern w:val="2"/>
      <w:sz w:val="22"/>
      <w14:textFill>
        <w14:solidFill>
          <w14:schemeClr w14:val="tx1"/>
        </w14:solidFill>
      </w14:textFill>
    </w:rPr>
  </w:style>
  <w:style w:type="paragraph" w:customStyle="1" w:styleId="1536">
    <w:name w:val="表格内容"/>
    <w:basedOn w:val="1"/>
    <w:link w:val="1537"/>
    <w:qFormat/>
    <w:uiPriority w:val="0"/>
    <w:pPr>
      <w:spacing w:line="400" w:lineRule="atLeast"/>
      <w:ind w:firstLine="0" w:firstLineChars="0"/>
      <w:jc w:val="center"/>
    </w:pPr>
    <w:rPr>
      <w:sz w:val="22"/>
    </w:rPr>
  </w:style>
  <w:style w:type="character" w:customStyle="1" w:styleId="1537">
    <w:name w:val="表格内容 Char"/>
    <w:link w:val="1536"/>
    <w:qFormat/>
    <w:uiPriority w:val="0"/>
    <w:rPr>
      <w:rFonts w:ascii="Times New Roman" w:hAnsi="Times New Roman" w:eastAsia="宋体" w:cs="Times New Roman"/>
      <w:snapToGrid w:val="0"/>
      <w:kern w:val="0"/>
      <w:sz w:val="22"/>
      <w:szCs w:val="24"/>
      <w14:ligatures w14:val="none"/>
    </w:rPr>
  </w:style>
  <w:style w:type="character" w:customStyle="1" w:styleId="1538">
    <w:name w:val="表格内容 Char Char"/>
    <w:qFormat/>
    <w:uiPriority w:val="0"/>
    <w:rPr>
      <w:rFonts w:eastAsia="宋体"/>
      <w:snapToGrid w:val="0"/>
      <w:sz w:val="22"/>
      <w:szCs w:val="24"/>
    </w:rPr>
  </w:style>
  <w:style w:type="paragraph" w:customStyle="1" w:styleId="1539">
    <w:name w:val="表格内容 Char Char Char"/>
    <w:basedOn w:val="1"/>
    <w:link w:val="1540"/>
    <w:qFormat/>
    <w:uiPriority w:val="0"/>
    <w:pPr>
      <w:tabs>
        <w:tab w:val="left" w:pos="1535"/>
        <w:tab w:val="left" w:pos="3105"/>
        <w:tab w:val="left" w:pos="4676"/>
        <w:tab w:val="left" w:pos="6247"/>
        <w:tab w:val="left" w:pos="7740"/>
        <w:tab w:val="left" w:pos="9288"/>
      </w:tabs>
      <w:spacing w:line="240" w:lineRule="auto"/>
      <w:ind w:firstLine="0" w:firstLineChars="0"/>
      <w:jc w:val="center"/>
      <w:textAlignment w:val="baseline"/>
    </w:pPr>
    <w:rPr>
      <w:snapToGrid/>
      <w:color w:val="000000"/>
      <w:sz w:val="20"/>
      <w:szCs w:val="16"/>
      <w:lang w:val="zh-CN"/>
    </w:rPr>
  </w:style>
  <w:style w:type="character" w:customStyle="1" w:styleId="1540">
    <w:name w:val="表格内容 Char Char Char Char Char"/>
    <w:link w:val="1539"/>
    <w:qFormat/>
    <w:uiPriority w:val="0"/>
    <w:rPr>
      <w:rFonts w:ascii="Times New Roman" w:hAnsi="Times New Roman" w:eastAsia="宋体" w:cs="Times New Roman"/>
      <w:color w:val="000000"/>
      <w:kern w:val="0"/>
      <w:sz w:val="20"/>
      <w:szCs w:val="16"/>
      <w:lang w:val="zh-CN"/>
      <w14:ligatures w14:val="none"/>
    </w:rPr>
  </w:style>
  <w:style w:type="character" w:customStyle="1" w:styleId="1541">
    <w:name w:val="表格内容 Char Char Char Char"/>
    <w:qFormat/>
    <w:uiPriority w:val="0"/>
    <w:rPr>
      <w:rFonts w:ascii="宋体" w:hAnsi="宋体" w:eastAsia="宋体"/>
      <w:sz w:val="21"/>
      <w:szCs w:val="21"/>
      <w:lang w:val="en-US" w:eastAsia="zh-CN" w:bidi="ar-SA"/>
    </w:rPr>
  </w:style>
  <w:style w:type="paragraph" w:customStyle="1" w:styleId="1542">
    <w:name w:val="表格内容 Char Char Char1 Char"/>
    <w:basedOn w:val="1"/>
    <w:link w:val="1543"/>
    <w:qFormat/>
    <w:uiPriority w:val="0"/>
    <w:pPr>
      <w:tabs>
        <w:tab w:val="left" w:pos="1535"/>
        <w:tab w:val="left" w:pos="3105"/>
        <w:tab w:val="left" w:pos="4676"/>
        <w:tab w:val="left" w:pos="6247"/>
        <w:tab w:val="left" w:pos="7740"/>
        <w:tab w:val="left" w:pos="9288"/>
      </w:tabs>
      <w:spacing w:line="240" w:lineRule="exact"/>
      <w:ind w:firstLine="0" w:firstLineChars="0"/>
      <w:jc w:val="center"/>
      <w:textAlignment w:val="baseline"/>
    </w:pPr>
    <w:rPr>
      <w:snapToGrid/>
      <w:color w:val="000000"/>
      <w:sz w:val="20"/>
      <w:szCs w:val="16"/>
      <w:lang w:val="zh-CN"/>
    </w:rPr>
  </w:style>
  <w:style w:type="character" w:customStyle="1" w:styleId="1543">
    <w:name w:val="表格内容 Char Char Char1 Char Char Char"/>
    <w:link w:val="1542"/>
    <w:qFormat/>
    <w:uiPriority w:val="0"/>
    <w:rPr>
      <w:rFonts w:ascii="Times New Roman" w:hAnsi="Times New Roman" w:eastAsia="宋体" w:cs="Times New Roman"/>
      <w:color w:val="000000"/>
      <w:kern w:val="0"/>
      <w:sz w:val="20"/>
      <w:szCs w:val="16"/>
      <w:lang w:val="zh-CN"/>
      <w14:ligatures w14:val="none"/>
    </w:rPr>
  </w:style>
  <w:style w:type="character" w:customStyle="1" w:styleId="1544">
    <w:name w:val="表格内容 Char1"/>
    <w:qFormat/>
    <w:uiPriority w:val="0"/>
    <w:rPr>
      <w:rFonts w:ascii="宋体" w:hAnsi="宋体" w:eastAsia="宋体"/>
      <w:szCs w:val="21"/>
    </w:rPr>
  </w:style>
  <w:style w:type="paragraph" w:customStyle="1" w:styleId="1545">
    <w:name w:val="表格内容1"/>
    <w:basedOn w:val="1539"/>
    <w:qFormat/>
    <w:uiPriority w:val="0"/>
    <w:pPr>
      <w:spacing w:line="240" w:lineRule="exact"/>
    </w:pPr>
  </w:style>
  <w:style w:type="paragraph" w:customStyle="1" w:styleId="1546">
    <w:name w:val="表格内容格式"/>
    <w:basedOn w:val="1"/>
    <w:autoRedefine/>
    <w:qFormat/>
    <w:uiPriority w:val="0"/>
    <w:pPr>
      <w:snapToGrid/>
      <w:spacing w:beforeLines="50" w:afterLines="50" w:line="360" w:lineRule="atLeast"/>
      <w:ind w:firstLine="0" w:firstLineChars="0"/>
      <w:jc w:val="center"/>
      <w:textAlignment w:val="baseline"/>
    </w:pPr>
    <w:rPr>
      <w:rFonts w:ascii="宋体" w:hAnsi="宋体"/>
      <w:snapToGrid/>
      <w:color w:val="000000"/>
      <w:kern w:val="2"/>
      <w:sz w:val="21"/>
      <w:szCs w:val="20"/>
    </w:rPr>
  </w:style>
  <w:style w:type="paragraph" w:customStyle="1" w:styleId="1547">
    <w:name w:val="表格内文字"/>
    <w:basedOn w:val="1"/>
    <w:qFormat/>
    <w:uiPriority w:val="0"/>
    <w:pPr>
      <w:adjustRightInd/>
      <w:snapToGrid/>
      <w:spacing w:line="360" w:lineRule="exact"/>
      <w:ind w:firstLine="0" w:firstLineChars="0"/>
      <w:jc w:val="center"/>
    </w:pPr>
    <w:rPr>
      <w:rFonts w:ascii="宋体"/>
      <w:snapToGrid/>
      <w:color w:val="FF0000"/>
      <w:kern w:val="2"/>
      <w:sz w:val="18"/>
      <w:szCs w:val="18"/>
    </w:rPr>
  </w:style>
  <w:style w:type="paragraph" w:customStyle="1" w:styleId="1548">
    <w:name w:val="表格内文字-五号"/>
    <w:basedOn w:val="1"/>
    <w:qFormat/>
    <w:uiPriority w:val="0"/>
    <w:pPr>
      <w:tabs>
        <w:tab w:val="left" w:pos="900"/>
      </w:tabs>
      <w:adjustRightInd/>
      <w:snapToGrid/>
      <w:spacing w:line="240" w:lineRule="exact"/>
      <w:ind w:firstLine="0" w:firstLineChars="0"/>
      <w:jc w:val="center"/>
    </w:pPr>
    <w:rPr>
      <w:snapToGrid/>
      <w:color w:val="000000"/>
      <w:spacing w:val="20"/>
      <w:kern w:val="2"/>
    </w:rPr>
  </w:style>
  <w:style w:type="paragraph" w:customStyle="1" w:styleId="1549">
    <w:name w:val="表格式"/>
    <w:basedOn w:val="1515"/>
    <w:qFormat/>
    <w:uiPriority w:val="0"/>
    <w:pPr>
      <w:spacing w:line="360" w:lineRule="auto"/>
      <w:ind w:left="0" w:firstLine="0" w:firstLineChars="0"/>
      <w:jc w:val="center"/>
    </w:pPr>
    <w:rPr>
      <w:color w:val="000000"/>
      <w:sz w:val="21"/>
    </w:rPr>
  </w:style>
  <w:style w:type="paragraph" w:customStyle="1" w:styleId="1550">
    <w:name w:val="表格题目"/>
    <w:basedOn w:val="1"/>
    <w:qFormat/>
    <w:uiPriority w:val="0"/>
    <w:pPr>
      <w:snapToGrid/>
      <w:spacing w:beforeLines="50" w:afterLines="50" w:line="240" w:lineRule="auto"/>
      <w:ind w:left="470" w:leftChars="224" w:firstLine="1878" w:firstLineChars="797"/>
    </w:pPr>
    <w:rPr>
      <w:rFonts w:ascii="宋体"/>
      <w:b/>
      <w:bCs/>
      <w:snapToGrid/>
      <w:kern w:val="2"/>
      <w:szCs w:val="20"/>
    </w:rPr>
  </w:style>
  <w:style w:type="paragraph" w:customStyle="1" w:styleId="1551">
    <w:name w:val="表格题头"/>
    <w:basedOn w:val="1"/>
    <w:link w:val="1552"/>
    <w:qFormat/>
    <w:uiPriority w:val="0"/>
    <w:pPr>
      <w:keepNext/>
      <w:keepLines/>
      <w:spacing w:line="360" w:lineRule="auto"/>
      <w:ind w:firstLine="240" w:firstLineChars="100"/>
      <w:textAlignment w:val="baseline"/>
      <w:outlineLvl w:val="8"/>
    </w:pPr>
    <w:rPr>
      <w:rFonts w:eastAsia="黑体"/>
      <w:bCs/>
      <w:szCs w:val="21"/>
    </w:rPr>
  </w:style>
  <w:style w:type="character" w:customStyle="1" w:styleId="1552">
    <w:name w:val="表格题头 Char"/>
    <w:link w:val="1551"/>
    <w:qFormat/>
    <w:uiPriority w:val="0"/>
    <w:rPr>
      <w:rFonts w:ascii="Times New Roman" w:hAnsi="Times New Roman" w:eastAsia="黑体" w:cs="Times New Roman"/>
      <w:bCs/>
      <w:snapToGrid w:val="0"/>
      <w:kern w:val="0"/>
      <w:sz w:val="26"/>
      <w:szCs w:val="21"/>
      <w14:ligatures w14:val="none"/>
    </w:rPr>
  </w:style>
  <w:style w:type="paragraph" w:customStyle="1" w:styleId="1553">
    <w:name w:val="表格体"/>
    <w:basedOn w:val="1"/>
    <w:qFormat/>
    <w:uiPriority w:val="0"/>
    <w:pPr>
      <w:snapToGrid/>
      <w:spacing w:line="240" w:lineRule="auto"/>
      <w:ind w:firstLine="0" w:firstLineChars="0"/>
      <w:jc w:val="center"/>
    </w:pPr>
    <w:rPr>
      <w:rFonts w:ascii="宋体"/>
      <w:snapToGrid/>
      <w:color w:val="000000"/>
      <w:spacing w:val="-4"/>
      <w:sz w:val="21"/>
      <w:szCs w:val="20"/>
    </w:rPr>
  </w:style>
  <w:style w:type="paragraph" w:customStyle="1" w:styleId="1554">
    <w:name w:val="表格头"/>
    <w:semiHidden/>
    <w:qFormat/>
    <w:uiPriority w:val="0"/>
    <w:pPr>
      <w:keepNext/>
      <w:widowControl w:val="0"/>
      <w:adjustRightInd w:val="0"/>
      <w:spacing w:line="360" w:lineRule="exact"/>
      <w:jc w:val="both"/>
    </w:pPr>
    <w:rPr>
      <w:rFonts w:ascii="Times New Roman" w:hAnsi="Times New Roman" w:eastAsia="宋体" w:cs="Times New Roman"/>
      <w:b/>
      <w:sz w:val="28"/>
      <w:lang w:val="en-US" w:eastAsia="zh-CN" w:bidi="ar-SA"/>
    </w:rPr>
  </w:style>
  <w:style w:type="paragraph" w:customStyle="1" w:styleId="1555">
    <w:name w:val="表格文字"/>
    <w:basedOn w:val="1"/>
    <w:link w:val="1556"/>
    <w:qFormat/>
    <w:uiPriority w:val="0"/>
    <w:pPr>
      <w:spacing w:line="240" w:lineRule="auto"/>
      <w:ind w:firstLine="0" w:firstLineChars="0"/>
      <w:jc w:val="center"/>
    </w:pPr>
    <w:rPr>
      <w:rFonts w:ascii="仿宋_GB2312" w:hAnsi="Arial Black" w:eastAsia="仿宋_GB2312"/>
      <w:snapToGrid/>
      <w:kern w:val="44"/>
      <w:szCs w:val="20"/>
    </w:rPr>
  </w:style>
  <w:style w:type="character" w:customStyle="1" w:styleId="1556">
    <w:name w:val="表格文字 Char"/>
    <w:link w:val="1555"/>
    <w:qFormat/>
    <w:uiPriority w:val="0"/>
    <w:rPr>
      <w:rFonts w:ascii="仿宋_GB2312" w:hAnsi="Arial Black" w:eastAsia="仿宋_GB2312" w:cs="Times New Roman"/>
      <w:kern w:val="44"/>
      <w:sz w:val="26"/>
      <w:szCs w:val="20"/>
      <w14:ligatures w14:val="none"/>
    </w:rPr>
  </w:style>
  <w:style w:type="character" w:customStyle="1" w:styleId="1557">
    <w:name w:val="表格文字 Char Char"/>
    <w:qFormat/>
    <w:uiPriority w:val="0"/>
    <w:rPr>
      <w:rFonts w:ascii="宋体" w:hAnsi="宋体" w:eastAsia="宋体"/>
      <w:snapToGrid w:val="0"/>
      <w:color w:val="000000"/>
      <w:kern w:val="21"/>
      <w:sz w:val="21"/>
      <w:lang w:val="en-US" w:eastAsia="zh-CN" w:bidi="ar-SA"/>
    </w:rPr>
  </w:style>
  <w:style w:type="paragraph" w:customStyle="1" w:styleId="1558">
    <w:name w:val="表格文字(右)"/>
    <w:basedOn w:val="34"/>
    <w:qFormat/>
    <w:uiPriority w:val="0"/>
    <w:pPr>
      <w:adjustRightInd/>
      <w:spacing w:line="240" w:lineRule="auto"/>
      <w:ind w:right="113"/>
      <w:jc w:val="right"/>
    </w:pPr>
    <w:rPr>
      <w:rFonts w:ascii="宋体" w:hAnsi="Calibri"/>
      <w:snapToGrid/>
      <w:kern w:val="2"/>
      <w:sz w:val="21"/>
      <w:szCs w:val="20"/>
    </w:rPr>
  </w:style>
  <w:style w:type="paragraph" w:customStyle="1" w:styleId="1559">
    <w:name w:val="表格文字(中)"/>
    <w:basedOn w:val="1558"/>
    <w:qFormat/>
    <w:uiPriority w:val="0"/>
    <w:pPr>
      <w:adjustRightInd w:val="0"/>
      <w:ind w:right="0"/>
      <w:jc w:val="center"/>
    </w:pPr>
  </w:style>
  <w:style w:type="paragraph" w:customStyle="1" w:styleId="1560">
    <w:name w:val="表格文字1"/>
    <w:basedOn w:val="1"/>
    <w:qFormat/>
    <w:uiPriority w:val="0"/>
    <w:pPr>
      <w:spacing w:line="240" w:lineRule="auto"/>
      <w:ind w:left="-108" w:right="-28" w:firstLine="108" w:firstLineChars="0"/>
      <w:textAlignment w:val="baseline"/>
    </w:pPr>
    <w:rPr>
      <w:snapToGrid/>
      <w:sz w:val="21"/>
      <w:szCs w:val="20"/>
    </w:rPr>
  </w:style>
  <w:style w:type="paragraph" w:customStyle="1" w:styleId="1561">
    <w:name w:val="表格文字2"/>
    <w:basedOn w:val="1"/>
    <w:qFormat/>
    <w:uiPriority w:val="0"/>
    <w:pPr>
      <w:snapToGrid/>
      <w:spacing w:line="240" w:lineRule="atLeast"/>
      <w:ind w:firstLine="0" w:firstLineChars="0"/>
      <w:jc w:val="center"/>
      <w:textAlignment w:val="baseline"/>
    </w:pPr>
    <w:rPr>
      <w:snapToGrid/>
      <w:szCs w:val="20"/>
    </w:rPr>
  </w:style>
  <w:style w:type="paragraph" w:customStyle="1" w:styleId="1562">
    <w:name w:val="表格文字-hao-居中"/>
    <w:link w:val="1563"/>
    <w:autoRedefine/>
    <w:qFormat/>
    <w:uiPriority w:val="0"/>
    <w:pPr>
      <w:adjustRightInd w:val="0"/>
      <w:snapToGrid w:val="0"/>
      <w:spacing w:beforeLines="10" w:afterLines="10" w:line="320" w:lineRule="exact"/>
      <w:jc w:val="center"/>
      <w:textAlignment w:val="center"/>
    </w:pPr>
    <w:rPr>
      <w:rFonts w:ascii="Times New Roman" w:hAnsi="Times New Roman" w:eastAsia="宋体" w:cs="Times New Roman"/>
      <w:kern w:val="2"/>
      <w:sz w:val="22"/>
      <w:szCs w:val="21"/>
      <w:lang w:val="en-US" w:eastAsia="zh-CN" w:bidi="ar-SA"/>
    </w:rPr>
  </w:style>
  <w:style w:type="character" w:customStyle="1" w:styleId="1563">
    <w:name w:val="表格文字-hao-居中 Char"/>
    <w:link w:val="1562"/>
    <w:qFormat/>
    <w:uiPriority w:val="0"/>
    <w:rPr>
      <w:rFonts w:ascii="Times New Roman" w:hAnsi="Times New Roman" w:eastAsia="宋体" w:cs="Times New Roman"/>
      <w:sz w:val="22"/>
      <w:szCs w:val="21"/>
      <w14:ligatures w14:val="none"/>
    </w:rPr>
  </w:style>
  <w:style w:type="paragraph" w:customStyle="1" w:styleId="1564">
    <w:name w:val="表格文字大"/>
    <w:basedOn w:val="1"/>
    <w:qFormat/>
    <w:uiPriority w:val="0"/>
    <w:pPr>
      <w:adjustRightInd/>
      <w:snapToGrid/>
      <w:spacing w:line="240" w:lineRule="auto"/>
      <w:ind w:firstLine="0" w:firstLineChars="0"/>
      <w:jc w:val="center"/>
    </w:pPr>
    <w:rPr>
      <w:snapToGrid/>
      <w:kern w:val="2"/>
      <w:sz w:val="28"/>
    </w:rPr>
  </w:style>
  <w:style w:type="paragraph" w:customStyle="1" w:styleId="1565">
    <w:name w:val="表格文字居中"/>
    <w:qFormat/>
    <w:uiPriority w:val="0"/>
    <w:pPr>
      <w:adjustRightInd w:val="0"/>
      <w:snapToGrid w:val="0"/>
      <w:spacing w:beforeLines="10" w:afterLines="10"/>
      <w:jc w:val="center"/>
    </w:pPr>
    <w:rPr>
      <w:rFonts w:ascii="宋体" w:hAnsi="宋体" w:eastAsia="宋体" w:cs="Times New Roman"/>
      <w:sz w:val="24"/>
      <w:lang w:val="en-US" w:eastAsia="zh-CN" w:bidi="ar-SA"/>
    </w:rPr>
  </w:style>
  <w:style w:type="paragraph" w:customStyle="1" w:styleId="1566">
    <w:name w:val="表格文字居中 Char"/>
    <w:basedOn w:val="1"/>
    <w:next w:val="1"/>
    <w:link w:val="1567"/>
    <w:qFormat/>
    <w:uiPriority w:val="0"/>
    <w:pPr>
      <w:spacing w:line="240" w:lineRule="auto"/>
      <w:ind w:firstLine="0" w:firstLineChars="0"/>
      <w:jc w:val="center"/>
    </w:pPr>
    <w:rPr>
      <w:color w:val="000000"/>
      <w:kern w:val="2"/>
      <w:sz w:val="22"/>
      <w:szCs w:val="22"/>
    </w:rPr>
  </w:style>
  <w:style w:type="character" w:customStyle="1" w:styleId="1567">
    <w:name w:val="表格文字居中 Char Char"/>
    <w:link w:val="1566"/>
    <w:qFormat/>
    <w:uiPriority w:val="0"/>
    <w:rPr>
      <w:rFonts w:ascii="Times New Roman" w:hAnsi="Times New Roman" w:eastAsia="宋体" w:cs="Times New Roman"/>
      <w:snapToGrid w:val="0"/>
      <w:color w:val="000000"/>
      <w:sz w:val="22"/>
      <w14:ligatures w14:val="none"/>
    </w:rPr>
  </w:style>
  <w:style w:type="paragraph" w:customStyle="1" w:styleId="1568">
    <w:name w:val="表格文字块"/>
    <w:basedOn w:val="1"/>
    <w:qFormat/>
    <w:uiPriority w:val="0"/>
    <w:pPr>
      <w:keepNext/>
      <w:adjustRightInd/>
      <w:spacing w:line="240" w:lineRule="auto"/>
      <w:jc w:val="center"/>
    </w:pPr>
    <w:rPr>
      <w:rFonts w:eastAsia="楷体_GB2312"/>
      <w:szCs w:val="20"/>
    </w:rPr>
  </w:style>
  <w:style w:type="paragraph" w:customStyle="1" w:styleId="1569">
    <w:name w:val="表格文字左对齐"/>
    <w:basedOn w:val="1"/>
    <w:next w:val="1"/>
    <w:qFormat/>
    <w:uiPriority w:val="0"/>
    <w:pPr>
      <w:spacing w:line="240" w:lineRule="auto"/>
      <w:ind w:firstLine="0" w:firstLineChars="0"/>
    </w:pPr>
    <w:rPr>
      <w:rFonts w:ascii="宋体" w:hAnsi="Arial"/>
      <w:snapToGrid/>
      <w:spacing w:val="-2"/>
      <w:kern w:val="2"/>
      <w:sz w:val="21"/>
      <w:szCs w:val="20"/>
    </w:rPr>
  </w:style>
  <w:style w:type="paragraph" w:customStyle="1" w:styleId="1570">
    <w:name w:val="表格五宋"/>
    <w:basedOn w:val="1"/>
    <w:qFormat/>
    <w:uiPriority w:val="0"/>
    <w:pPr>
      <w:spacing w:beforeLines="5" w:afterLines="5" w:line="240" w:lineRule="auto"/>
      <w:ind w:firstLine="0" w:firstLineChars="0"/>
      <w:jc w:val="center"/>
    </w:pPr>
    <w:rPr>
      <w:rFonts w:ascii="Calibri" w:hAnsi="Calibri" w:cs="宋体"/>
      <w:color w:val="000000"/>
      <w:kern w:val="2"/>
      <w:sz w:val="21"/>
      <w:szCs w:val="22"/>
    </w:rPr>
  </w:style>
  <w:style w:type="paragraph" w:customStyle="1" w:styleId="1571">
    <w:name w:val="表格小五"/>
    <w:basedOn w:val="1"/>
    <w:qFormat/>
    <w:uiPriority w:val="0"/>
    <w:pPr>
      <w:tabs>
        <w:tab w:val="left" w:pos="1440"/>
        <w:tab w:val="left" w:pos="1680"/>
      </w:tabs>
      <w:spacing w:after="120" w:line="240" w:lineRule="atLeast"/>
      <w:ind w:firstLine="0" w:firstLineChars="0"/>
    </w:pPr>
    <w:rPr>
      <w:rFonts w:ascii="宋体"/>
      <w:snapToGrid/>
      <w:w w:val="110"/>
      <w:sz w:val="18"/>
      <w:szCs w:val="20"/>
    </w:rPr>
  </w:style>
  <w:style w:type="paragraph" w:customStyle="1" w:styleId="1572">
    <w:name w:val="表格样式"/>
    <w:basedOn w:val="1"/>
    <w:qFormat/>
    <w:uiPriority w:val="0"/>
    <w:pPr>
      <w:adjustRightInd/>
      <w:snapToGrid/>
      <w:spacing w:line="320" w:lineRule="exact"/>
      <w:ind w:firstLine="0" w:firstLineChars="0"/>
      <w:contextualSpacing/>
      <w:jc w:val="center"/>
    </w:pPr>
    <w:rPr>
      <w:snapToGrid/>
      <w:kern w:val="2"/>
      <w:sz w:val="22"/>
      <w:szCs w:val="22"/>
    </w:rPr>
  </w:style>
  <w:style w:type="table" w:customStyle="1" w:styleId="1573">
    <w:name w:val="表格样式1"/>
    <w:basedOn w:val="88"/>
    <w:qFormat/>
    <w:uiPriority w:val="0"/>
    <w:pPr>
      <w:spacing w:line="320" w:lineRule="exact"/>
      <w:jc w:val="center"/>
    </w:pPr>
    <w:rPr>
      <w:rFonts w:ascii="Times New Roman" w:hAnsi="Times New Roman" w:eastAsia="宋体" w:cs="Times New Roman"/>
    </w:rPr>
    <w:tblP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cPr>
      <w:vAlign w:val="center"/>
    </w:tcPr>
  </w:style>
  <w:style w:type="paragraph" w:customStyle="1" w:styleId="1574">
    <w:name w:val="表头1"/>
    <w:basedOn w:val="1"/>
    <w:link w:val="1575"/>
    <w:qFormat/>
    <w:uiPriority w:val="0"/>
    <w:pPr>
      <w:widowControl/>
      <w:adjustRightInd/>
      <w:snapToGrid/>
      <w:spacing w:line="240" w:lineRule="auto"/>
      <w:ind w:firstLine="0" w:firstLineChars="0"/>
      <w:jc w:val="right"/>
    </w:pPr>
    <w:rPr>
      <w:rFonts w:ascii="宋体"/>
      <w:b/>
      <w:snapToGrid/>
      <w:color w:val="000000"/>
      <w:sz w:val="28"/>
      <w:szCs w:val="28"/>
    </w:rPr>
  </w:style>
  <w:style w:type="character" w:customStyle="1" w:styleId="1575">
    <w:name w:val="表头1 Char"/>
    <w:link w:val="1574"/>
    <w:qFormat/>
    <w:uiPriority w:val="0"/>
    <w:rPr>
      <w:rFonts w:ascii="宋体" w:hAnsi="Times New Roman" w:eastAsia="宋体" w:cs="Times New Roman"/>
      <w:b/>
      <w:color w:val="000000"/>
      <w:kern w:val="0"/>
      <w:sz w:val="28"/>
      <w:szCs w:val="28"/>
      <w14:ligatures w14:val="none"/>
    </w:rPr>
  </w:style>
  <w:style w:type="paragraph" w:customStyle="1" w:styleId="1576">
    <w:name w:val="表格一"/>
    <w:basedOn w:val="1574"/>
    <w:qFormat/>
    <w:uiPriority w:val="0"/>
    <w:pPr>
      <w:spacing w:line="240" w:lineRule="exact"/>
      <w:jc w:val="center"/>
    </w:pPr>
    <w:rPr>
      <w:b w:val="0"/>
      <w:sz w:val="18"/>
      <w:szCs w:val="18"/>
    </w:rPr>
  </w:style>
  <w:style w:type="paragraph" w:customStyle="1" w:styleId="1577">
    <w:name w:val="表格与插图"/>
    <w:basedOn w:val="1"/>
    <w:qFormat/>
    <w:uiPriority w:val="0"/>
    <w:pPr>
      <w:adjustRightInd/>
      <w:snapToGrid/>
      <w:spacing w:beforeAutospacing="1" w:after="100" w:afterAutospacing="1" w:line="240" w:lineRule="auto"/>
      <w:ind w:firstLine="561" w:firstLineChars="0"/>
    </w:pPr>
    <w:rPr>
      <w:rFonts w:ascii="黑体" w:eastAsia="黑体"/>
      <w:bCs/>
      <w:snapToGrid/>
      <w:kern w:val="2"/>
    </w:rPr>
  </w:style>
  <w:style w:type="paragraph" w:customStyle="1" w:styleId="1578">
    <w:name w:val="表格正文"/>
    <w:basedOn w:val="1"/>
    <w:link w:val="1579"/>
    <w:qFormat/>
    <w:uiPriority w:val="0"/>
    <w:pPr>
      <w:adjustRightInd/>
      <w:snapToGrid/>
      <w:spacing w:line="240" w:lineRule="atLeast"/>
      <w:ind w:firstLine="0" w:firstLineChars="0"/>
      <w:jc w:val="center"/>
    </w:pPr>
    <w:rPr>
      <w:snapToGrid/>
      <w:color w:val="000000"/>
      <w:kern w:val="2"/>
    </w:rPr>
  </w:style>
  <w:style w:type="character" w:customStyle="1" w:styleId="1579">
    <w:name w:val="表格正文 Char"/>
    <w:link w:val="1578"/>
    <w:qFormat/>
    <w:uiPriority w:val="0"/>
    <w:rPr>
      <w:rFonts w:ascii="Times New Roman" w:hAnsi="Times New Roman" w:eastAsia="宋体" w:cs="Times New Roman"/>
      <w:color w:val="000000"/>
      <w:sz w:val="26"/>
      <w:szCs w:val="24"/>
      <w14:ligatures w14:val="none"/>
    </w:rPr>
  </w:style>
  <w:style w:type="character" w:customStyle="1" w:styleId="1580">
    <w:name w:val="表格正文 Char Char"/>
    <w:qFormat/>
    <w:uiPriority w:val="0"/>
    <w:rPr>
      <w:rFonts w:eastAsia="楷体_GB2312"/>
      <w:kern w:val="2"/>
      <w:sz w:val="21"/>
      <w:szCs w:val="21"/>
      <w:lang w:val="en-US" w:eastAsia="zh-CN" w:bidi="ar-SA"/>
    </w:rPr>
  </w:style>
  <w:style w:type="paragraph" w:customStyle="1" w:styleId="1581">
    <w:name w:val="表格正文 Char Char Char Char"/>
    <w:basedOn w:val="1"/>
    <w:qFormat/>
    <w:uiPriority w:val="0"/>
    <w:pPr>
      <w:adjustRightInd/>
      <w:snapToGrid/>
      <w:spacing w:line="240" w:lineRule="auto"/>
      <w:ind w:firstLine="0" w:firstLineChars="0"/>
    </w:pPr>
    <w:rPr>
      <w:snapToGrid/>
      <w:kern w:val="2"/>
      <w:sz w:val="21"/>
      <w:szCs w:val="20"/>
    </w:rPr>
  </w:style>
  <w:style w:type="character" w:customStyle="1" w:styleId="1582">
    <w:name w:val="表格正文 Char Char Char Char Char"/>
    <w:qFormat/>
    <w:uiPriority w:val="0"/>
    <w:rPr>
      <w:rFonts w:eastAsia="宋体"/>
      <w:kern w:val="2"/>
      <w:sz w:val="21"/>
      <w:lang w:val="en-US" w:eastAsia="zh-CN" w:bidi="ar-SA"/>
    </w:rPr>
  </w:style>
  <w:style w:type="character" w:customStyle="1" w:styleId="1583">
    <w:name w:val="表格正文 Char Char Char Char Char Char"/>
    <w:qFormat/>
    <w:uiPriority w:val="0"/>
    <w:rPr>
      <w:rFonts w:eastAsia="宋体"/>
      <w:kern w:val="2"/>
      <w:sz w:val="21"/>
      <w:lang w:val="en-US" w:eastAsia="zh-CN" w:bidi="ar-SA"/>
    </w:rPr>
  </w:style>
  <w:style w:type="table" w:customStyle="1" w:styleId="1584">
    <w:name w:val="表格主题1"/>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5">
    <w:name w:val="表格主题2"/>
    <w:basedOn w:val="88"/>
    <w:qFormat/>
    <w:uiPriority w:val="0"/>
    <w:pPr>
      <w:widowControl w:val="0"/>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86">
    <w:name w:val="表格字"/>
    <w:basedOn w:val="1"/>
    <w:link w:val="1587"/>
    <w:semiHidden/>
    <w:qFormat/>
    <w:uiPriority w:val="0"/>
    <w:pPr>
      <w:adjustRightInd/>
      <w:snapToGrid/>
      <w:spacing w:line="240" w:lineRule="exact"/>
      <w:ind w:firstLine="0" w:firstLineChars="0"/>
      <w:jc w:val="center"/>
    </w:pPr>
    <w:rPr>
      <w:rFonts w:ascii="宋体" w:hAnsi="宋体"/>
      <w:snapToGrid/>
      <w:sz w:val="18"/>
      <w:szCs w:val="21"/>
    </w:rPr>
  </w:style>
  <w:style w:type="character" w:customStyle="1" w:styleId="1587">
    <w:name w:val="表格字 Char"/>
    <w:link w:val="1586"/>
    <w:semiHidden/>
    <w:qFormat/>
    <w:uiPriority w:val="0"/>
    <w:rPr>
      <w:rFonts w:ascii="宋体" w:hAnsi="宋体" w:eastAsia="宋体" w:cs="Times New Roman"/>
      <w:kern w:val="0"/>
      <w:sz w:val="18"/>
      <w:szCs w:val="21"/>
      <w14:ligatures w14:val="none"/>
    </w:rPr>
  </w:style>
  <w:style w:type="paragraph" w:customStyle="1" w:styleId="1588">
    <w:name w:val="表格左齐"/>
    <w:basedOn w:val="1"/>
    <w:autoRedefine/>
    <w:qFormat/>
    <w:uiPriority w:val="0"/>
    <w:pPr>
      <w:overflowPunct w:val="0"/>
      <w:adjustRightInd/>
      <w:snapToGrid/>
      <w:spacing w:line="240" w:lineRule="exact"/>
      <w:ind w:firstLine="480"/>
    </w:pPr>
    <w:rPr>
      <w:snapToGrid/>
      <w:szCs w:val="21"/>
    </w:rPr>
  </w:style>
  <w:style w:type="paragraph" w:customStyle="1" w:styleId="1589">
    <w:name w:val="表号"/>
    <w:qFormat/>
    <w:uiPriority w:val="0"/>
    <w:pPr>
      <w:adjustRightInd w:val="0"/>
      <w:snapToGrid w:val="0"/>
      <w:jc w:val="both"/>
      <w:outlineLvl w:val="4"/>
    </w:pPr>
    <w:rPr>
      <w:rFonts w:ascii="Times New Roman" w:hAnsi="Times New Roman" w:eastAsia="宋体" w:cs="Times New Roman"/>
      <w:sz w:val="24"/>
      <w:szCs w:val="24"/>
      <w:lang w:val="en-US" w:eastAsia="zh-CN" w:bidi="ar-SA"/>
    </w:rPr>
  </w:style>
  <w:style w:type="paragraph" w:customStyle="1" w:styleId="1590">
    <w:name w:val="表号 Char"/>
    <w:basedOn w:val="1"/>
    <w:qFormat/>
    <w:uiPriority w:val="0"/>
    <w:pPr>
      <w:autoSpaceDE w:val="0"/>
      <w:autoSpaceDN w:val="0"/>
      <w:snapToGrid/>
      <w:spacing w:line="240" w:lineRule="auto"/>
      <w:ind w:firstLine="0" w:firstLineChars="0"/>
      <w:textAlignment w:val="baseline"/>
      <w:outlineLvl w:val="4"/>
    </w:pPr>
    <w:rPr>
      <w:snapToGrid/>
      <w:spacing w:val="6"/>
      <w:sz w:val="21"/>
    </w:rPr>
  </w:style>
  <w:style w:type="paragraph" w:customStyle="1" w:styleId="1591">
    <w:name w:val="表号 Char Char"/>
    <w:basedOn w:val="1"/>
    <w:qFormat/>
    <w:uiPriority w:val="0"/>
    <w:pPr>
      <w:autoSpaceDE w:val="0"/>
      <w:autoSpaceDN w:val="0"/>
      <w:snapToGrid/>
      <w:spacing w:line="240" w:lineRule="auto"/>
      <w:ind w:firstLine="0" w:firstLineChars="0"/>
      <w:textAlignment w:val="baseline"/>
      <w:outlineLvl w:val="4"/>
    </w:pPr>
    <w:rPr>
      <w:snapToGrid/>
      <w:spacing w:val="6"/>
      <w:sz w:val="21"/>
    </w:rPr>
  </w:style>
  <w:style w:type="character" w:customStyle="1" w:styleId="1592">
    <w:name w:val="表号 Char Char Char"/>
    <w:qFormat/>
    <w:uiPriority w:val="0"/>
    <w:rPr>
      <w:rFonts w:eastAsia="宋体"/>
      <w:spacing w:val="6"/>
      <w:sz w:val="21"/>
      <w:szCs w:val="24"/>
      <w:lang w:val="en-US" w:eastAsia="zh-CN" w:bidi="ar-SA"/>
    </w:rPr>
  </w:style>
  <w:style w:type="paragraph" w:customStyle="1" w:styleId="1593">
    <w:name w:val="表号 Char Char Char Char"/>
    <w:basedOn w:val="1"/>
    <w:qFormat/>
    <w:uiPriority w:val="0"/>
    <w:pPr>
      <w:autoSpaceDE w:val="0"/>
      <w:autoSpaceDN w:val="0"/>
      <w:snapToGrid/>
      <w:spacing w:line="240" w:lineRule="auto"/>
      <w:ind w:firstLine="0" w:firstLineChars="0"/>
      <w:textAlignment w:val="baseline"/>
      <w:outlineLvl w:val="4"/>
    </w:pPr>
    <w:rPr>
      <w:snapToGrid/>
      <w:spacing w:val="6"/>
      <w:sz w:val="21"/>
    </w:rPr>
  </w:style>
  <w:style w:type="character" w:customStyle="1" w:styleId="1594">
    <w:name w:val="表号 Char Char Char Char Char"/>
    <w:qFormat/>
    <w:uiPriority w:val="0"/>
    <w:rPr>
      <w:rFonts w:eastAsia="宋体"/>
      <w:spacing w:val="6"/>
      <w:sz w:val="21"/>
      <w:szCs w:val="24"/>
      <w:lang w:val="en-US" w:eastAsia="zh-CN" w:bidi="ar-SA"/>
    </w:rPr>
  </w:style>
  <w:style w:type="character" w:customStyle="1" w:styleId="1595">
    <w:name w:val="表号 Char Char Char Char Char Char"/>
    <w:qFormat/>
    <w:uiPriority w:val="0"/>
    <w:rPr>
      <w:rFonts w:eastAsia="宋体"/>
      <w:spacing w:val="6"/>
      <w:sz w:val="21"/>
      <w:szCs w:val="24"/>
      <w:lang w:val="en-US" w:eastAsia="zh-CN" w:bidi="ar-SA"/>
    </w:rPr>
  </w:style>
  <w:style w:type="character" w:customStyle="1" w:styleId="1596">
    <w:name w:val="表号 Char Char Char Char Char Char Char"/>
    <w:qFormat/>
    <w:uiPriority w:val="0"/>
    <w:rPr>
      <w:rFonts w:eastAsia="宋体"/>
      <w:spacing w:val="6"/>
      <w:sz w:val="21"/>
      <w:szCs w:val="24"/>
      <w:lang w:val="en-US" w:eastAsia="zh-CN" w:bidi="ar-SA"/>
    </w:rPr>
  </w:style>
  <w:style w:type="paragraph" w:customStyle="1" w:styleId="1597">
    <w:name w:val="表号 Char Char2"/>
    <w:basedOn w:val="1"/>
    <w:qFormat/>
    <w:uiPriority w:val="0"/>
    <w:pPr>
      <w:spacing w:line="320" w:lineRule="exact"/>
      <w:ind w:firstLine="105" w:firstLineChars="50"/>
      <w:textAlignment w:val="baseline"/>
    </w:pPr>
    <w:rPr>
      <w:rFonts w:ascii="宋体" w:hAnsi="宋体"/>
      <w:bCs/>
      <w:sz w:val="21"/>
      <w:szCs w:val="21"/>
    </w:rPr>
  </w:style>
  <w:style w:type="paragraph" w:customStyle="1" w:styleId="1598">
    <w:name w:val="表号 Char1"/>
    <w:basedOn w:val="1"/>
    <w:qFormat/>
    <w:uiPriority w:val="0"/>
    <w:pPr>
      <w:autoSpaceDE w:val="0"/>
      <w:autoSpaceDN w:val="0"/>
      <w:snapToGrid/>
      <w:spacing w:line="0" w:lineRule="atLeast"/>
      <w:ind w:firstLine="119" w:firstLineChars="0"/>
      <w:textAlignment w:val="baseline"/>
    </w:pPr>
    <w:rPr>
      <w:snapToGrid/>
      <w:spacing w:val="6"/>
      <w:sz w:val="21"/>
      <w:szCs w:val="20"/>
    </w:rPr>
  </w:style>
  <w:style w:type="paragraph" w:customStyle="1" w:styleId="1599">
    <w:name w:val="表号1"/>
    <w:basedOn w:val="1"/>
    <w:qFormat/>
    <w:uiPriority w:val="0"/>
    <w:pPr>
      <w:snapToGrid/>
      <w:spacing w:line="240" w:lineRule="auto"/>
      <w:ind w:firstLine="1787" w:firstLineChars="1000"/>
      <w:textAlignment w:val="baseline"/>
    </w:pPr>
    <w:rPr>
      <w:snapToGrid/>
      <w:color w:val="000000"/>
      <w:sz w:val="18"/>
      <w:szCs w:val="18"/>
    </w:rPr>
  </w:style>
  <w:style w:type="paragraph" w:customStyle="1" w:styleId="1600">
    <w:name w:val="表号名称"/>
    <w:basedOn w:val="1"/>
    <w:link w:val="1601"/>
    <w:semiHidden/>
    <w:qFormat/>
    <w:uiPriority w:val="0"/>
    <w:pPr>
      <w:adjustRightInd/>
      <w:snapToGrid/>
      <w:spacing w:line="240" w:lineRule="auto"/>
      <w:ind w:firstLine="0" w:firstLineChars="0"/>
      <w:jc w:val="right"/>
    </w:pPr>
    <w:rPr>
      <w:rFonts w:ascii="宋体"/>
      <w:b/>
      <w:snapToGrid/>
      <w:kern w:val="2"/>
      <w:sz w:val="21"/>
      <w:szCs w:val="21"/>
    </w:rPr>
  </w:style>
  <w:style w:type="character" w:customStyle="1" w:styleId="1601">
    <w:name w:val="表号名称 Char"/>
    <w:link w:val="1600"/>
    <w:semiHidden/>
    <w:qFormat/>
    <w:uiPriority w:val="0"/>
    <w:rPr>
      <w:rFonts w:ascii="宋体" w:hAnsi="Times New Roman" w:eastAsia="宋体" w:cs="Times New Roman"/>
      <w:b/>
      <w:szCs w:val="21"/>
      <w14:ligatures w14:val="none"/>
    </w:rPr>
  </w:style>
  <w:style w:type="paragraph" w:customStyle="1" w:styleId="1602">
    <w:name w:val="表名 Char"/>
    <w:basedOn w:val="1"/>
    <w:qFormat/>
    <w:uiPriority w:val="0"/>
    <w:pPr>
      <w:adjustRightInd/>
      <w:snapToGrid/>
      <w:spacing w:line="300" w:lineRule="auto"/>
      <w:ind w:firstLine="425" w:firstLineChars="0"/>
      <w:jc w:val="center"/>
    </w:pPr>
    <w:rPr>
      <w:rFonts w:eastAsia="黑体"/>
      <w:snapToGrid/>
      <w:kern w:val="2"/>
      <w:szCs w:val="20"/>
    </w:rPr>
  </w:style>
  <w:style w:type="paragraph" w:customStyle="1" w:styleId="1603">
    <w:name w:val="表名 Char Char"/>
    <w:basedOn w:val="1"/>
    <w:qFormat/>
    <w:uiPriority w:val="0"/>
    <w:pPr>
      <w:autoSpaceDE w:val="0"/>
      <w:autoSpaceDN w:val="0"/>
      <w:snapToGrid/>
      <w:spacing w:line="0" w:lineRule="atLeast"/>
      <w:ind w:firstLine="482" w:firstLineChars="0"/>
      <w:jc w:val="center"/>
      <w:textAlignment w:val="baseline"/>
    </w:pPr>
    <w:rPr>
      <w:rFonts w:eastAsia="黑体"/>
      <w:snapToGrid/>
      <w:spacing w:val="6"/>
      <w:sz w:val="21"/>
      <w:szCs w:val="20"/>
    </w:rPr>
  </w:style>
  <w:style w:type="paragraph" w:customStyle="1" w:styleId="1604">
    <w:name w:val="表名 Char Char Char"/>
    <w:basedOn w:val="1"/>
    <w:qFormat/>
    <w:uiPriority w:val="0"/>
    <w:pPr>
      <w:overflowPunct w:val="0"/>
      <w:adjustRightInd/>
      <w:snapToGrid/>
      <w:spacing w:line="300" w:lineRule="exact"/>
      <w:ind w:firstLine="0" w:firstLineChars="0"/>
      <w:textAlignment w:val="baseline"/>
    </w:pPr>
    <w:rPr>
      <w:rFonts w:eastAsia="黑体"/>
      <w:snapToGrid/>
      <w:kern w:val="2"/>
      <w:sz w:val="28"/>
      <w:szCs w:val="20"/>
    </w:rPr>
  </w:style>
  <w:style w:type="paragraph" w:customStyle="1" w:styleId="1605">
    <w:name w:val="表名 Char Char Char Char"/>
    <w:basedOn w:val="1"/>
    <w:link w:val="1606"/>
    <w:qFormat/>
    <w:uiPriority w:val="0"/>
    <w:pPr>
      <w:autoSpaceDE w:val="0"/>
      <w:autoSpaceDN w:val="0"/>
      <w:spacing w:line="240" w:lineRule="auto"/>
      <w:ind w:firstLine="0" w:firstLineChars="0"/>
      <w:jc w:val="center"/>
      <w:textAlignment w:val="baseline"/>
    </w:pPr>
    <w:rPr>
      <w:rFonts w:eastAsia="黑体"/>
      <w:snapToGrid/>
    </w:rPr>
  </w:style>
  <w:style w:type="character" w:customStyle="1" w:styleId="1606">
    <w:name w:val="表名 Char Char Char Char Char Char"/>
    <w:link w:val="1605"/>
    <w:qFormat/>
    <w:uiPriority w:val="0"/>
    <w:rPr>
      <w:rFonts w:ascii="Times New Roman" w:hAnsi="Times New Roman" w:eastAsia="黑体" w:cs="Times New Roman"/>
      <w:kern w:val="0"/>
      <w:sz w:val="26"/>
      <w:szCs w:val="24"/>
      <w14:ligatures w14:val="none"/>
    </w:rPr>
  </w:style>
  <w:style w:type="character" w:customStyle="1" w:styleId="1607">
    <w:name w:val="表名 Char Char Char Char Char"/>
    <w:qFormat/>
    <w:uiPriority w:val="0"/>
    <w:rPr>
      <w:rFonts w:ascii="Arial" w:hAnsi="Arial" w:eastAsia="黑体"/>
      <w:sz w:val="24"/>
      <w:szCs w:val="21"/>
      <w:lang w:val="en-US" w:eastAsia="zh-CN" w:bidi="ar-SA"/>
    </w:rPr>
  </w:style>
  <w:style w:type="character" w:customStyle="1" w:styleId="1608">
    <w:name w:val="表名 Char Char Char Char Char1"/>
    <w:qFormat/>
    <w:uiPriority w:val="0"/>
    <w:rPr>
      <w:rFonts w:eastAsia="黑体"/>
      <w:kern w:val="2"/>
      <w:sz w:val="24"/>
      <w:szCs w:val="24"/>
      <w:lang w:val="en-US" w:eastAsia="zh-CN" w:bidi="ar-SA"/>
    </w:rPr>
  </w:style>
  <w:style w:type="character" w:customStyle="1" w:styleId="1609">
    <w:name w:val="表名 Char Char Char Char Char2"/>
    <w:qFormat/>
    <w:uiPriority w:val="0"/>
    <w:rPr>
      <w:rFonts w:eastAsia="黑体"/>
      <w:sz w:val="24"/>
      <w:szCs w:val="24"/>
      <w:lang w:val="en-US" w:eastAsia="zh-CN" w:bidi="ar-SA"/>
    </w:rPr>
  </w:style>
  <w:style w:type="paragraph" w:customStyle="1" w:styleId="1610">
    <w:name w:val="表名 Char Char Char Char Char3"/>
    <w:basedOn w:val="1"/>
    <w:qFormat/>
    <w:uiPriority w:val="0"/>
    <w:pPr>
      <w:autoSpaceDE w:val="0"/>
      <w:autoSpaceDN w:val="0"/>
      <w:snapToGrid/>
      <w:spacing w:line="0" w:lineRule="atLeast"/>
      <w:ind w:firstLine="482" w:firstLineChars="0"/>
      <w:jc w:val="center"/>
      <w:textAlignment w:val="baseline"/>
    </w:pPr>
    <w:rPr>
      <w:rFonts w:eastAsia="黑体"/>
      <w:snapToGrid/>
      <w:spacing w:val="6"/>
      <w:sz w:val="21"/>
      <w:szCs w:val="20"/>
    </w:rPr>
  </w:style>
  <w:style w:type="character" w:customStyle="1" w:styleId="1611">
    <w:name w:val="表名 Char Char Char Char1"/>
    <w:qFormat/>
    <w:uiPriority w:val="0"/>
    <w:rPr>
      <w:rFonts w:eastAsia="黑体"/>
      <w:kern w:val="2"/>
      <w:sz w:val="24"/>
      <w:szCs w:val="24"/>
      <w:lang w:val="en-US" w:eastAsia="zh-CN" w:bidi="ar-SA"/>
    </w:rPr>
  </w:style>
  <w:style w:type="character" w:customStyle="1" w:styleId="1612">
    <w:name w:val="表名 Char Char1"/>
    <w:qFormat/>
    <w:uiPriority w:val="0"/>
    <w:rPr>
      <w:rFonts w:ascii="Arial" w:hAnsi="Arial" w:eastAsia="黑体"/>
      <w:kern w:val="2"/>
      <w:sz w:val="24"/>
      <w:szCs w:val="24"/>
      <w:lang w:val="en-US" w:eastAsia="zh-CN" w:bidi="ar-SA"/>
    </w:rPr>
  </w:style>
  <w:style w:type="paragraph" w:customStyle="1" w:styleId="1613">
    <w:name w:val="表名 Char Char2"/>
    <w:basedOn w:val="1"/>
    <w:qFormat/>
    <w:uiPriority w:val="0"/>
    <w:pPr>
      <w:overflowPunct w:val="0"/>
      <w:adjustRightInd/>
      <w:snapToGrid/>
      <w:spacing w:beforeLines="50" w:line="312" w:lineRule="auto"/>
      <w:ind w:firstLine="0" w:firstLineChars="0"/>
      <w:jc w:val="center"/>
      <w:textAlignment w:val="baseline"/>
    </w:pPr>
    <w:rPr>
      <w:rFonts w:ascii="Arial" w:hAnsi="Arial" w:eastAsia="黑体"/>
      <w:snapToGrid/>
      <w:kern w:val="2"/>
    </w:rPr>
  </w:style>
  <w:style w:type="paragraph" w:customStyle="1" w:styleId="1614">
    <w:name w:val="表名 Char Char3"/>
    <w:basedOn w:val="1"/>
    <w:qFormat/>
    <w:uiPriority w:val="0"/>
    <w:pPr>
      <w:overflowPunct w:val="0"/>
      <w:adjustRightInd/>
      <w:snapToGrid/>
      <w:spacing w:beforeLines="50" w:line="312" w:lineRule="auto"/>
      <w:ind w:firstLine="0" w:firstLineChars="0"/>
      <w:jc w:val="center"/>
      <w:textAlignment w:val="baseline"/>
    </w:pPr>
    <w:rPr>
      <w:rFonts w:ascii="Arial" w:hAnsi="Arial" w:eastAsia="黑体"/>
      <w:snapToGrid/>
      <w:kern w:val="2"/>
    </w:rPr>
  </w:style>
  <w:style w:type="paragraph" w:customStyle="1" w:styleId="1615">
    <w:name w:val="表名 Char1"/>
    <w:basedOn w:val="1"/>
    <w:qFormat/>
    <w:uiPriority w:val="0"/>
    <w:pPr>
      <w:overflowPunct w:val="0"/>
      <w:adjustRightInd/>
      <w:snapToGrid/>
      <w:spacing w:beforeAutospacing="1" w:line="240" w:lineRule="auto"/>
      <w:ind w:firstLine="0" w:firstLineChars="0"/>
      <w:jc w:val="center"/>
      <w:textAlignment w:val="baseline"/>
    </w:pPr>
    <w:rPr>
      <w:rFonts w:ascii="Arial" w:hAnsi="Arial" w:eastAsia="黑体"/>
      <w:snapToGrid/>
      <w:kern w:val="2"/>
      <w:sz w:val="21"/>
      <w:szCs w:val="20"/>
    </w:rPr>
  </w:style>
  <w:style w:type="paragraph" w:customStyle="1" w:styleId="1616">
    <w:name w:val="表名 Char1 Char"/>
    <w:basedOn w:val="1"/>
    <w:qFormat/>
    <w:uiPriority w:val="0"/>
    <w:pPr>
      <w:overflowPunct w:val="0"/>
      <w:adjustRightInd/>
      <w:snapToGrid/>
      <w:spacing w:beforeAutospacing="1" w:line="240" w:lineRule="auto"/>
      <w:ind w:firstLine="0" w:firstLineChars="0"/>
      <w:jc w:val="center"/>
      <w:textAlignment w:val="baseline"/>
    </w:pPr>
    <w:rPr>
      <w:rFonts w:ascii="Arial" w:hAnsi="Arial" w:eastAsia="黑体"/>
      <w:snapToGrid/>
      <w:kern w:val="2"/>
      <w:sz w:val="21"/>
      <w:szCs w:val="20"/>
    </w:rPr>
  </w:style>
  <w:style w:type="paragraph" w:customStyle="1" w:styleId="1617">
    <w:name w:val="表名 Char1 Char Char"/>
    <w:basedOn w:val="1"/>
    <w:qFormat/>
    <w:uiPriority w:val="0"/>
    <w:pPr>
      <w:overflowPunct w:val="0"/>
      <w:adjustRightInd/>
      <w:snapToGrid/>
      <w:spacing w:beforeAutospacing="1" w:line="240" w:lineRule="auto"/>
      <w:ind w:firstLine="0" w:firstLineChars="0"/>
      <w:jc w:val="center"/>
      <w:textAlignment w:val="baseline"/>
    </w:pPr>
    <w:rPr>
      <w:rFonts w:ascii="Arial" w:hAnsi="Arial" w:eastAsia="黑体"/>
      <w:snapToGrid/>
      <w:kern w:val="2"/>
      <w:sz w:val="21"/>
    </w:rPr>
  </w:style>
  <w:style w:type="paragraph" w:customStyle="1" w:styleId="1618">
    <w:name w:val="表名 Char1 Char Char Char"/>
    <w:basedOn w:val="1"/>
    <w:qFormat/>
    <w:uiPriority w:val="0"/>
    <w:pPr>
      <w:overflowPunct w:val="0"/>
      <w:adjustRightInd/>
      <w:snapToGrid/>
      <w:spacing w:beforeAutospacing="1" w:line="240" w:lineRule="auto"/>
      <w:ind w:firstLine="0" w:firstLineChars="0"/>
      <w:jc w:val="center"/>
      <w:textAlignment w:val="baseline"/>
    </w:pPr>
    <w:rPr>
      <w:rFonts w:ascii="Arial" w:hAnsi="Arial" w:eastAsia="黑体"/>
      <w:snapToGrid/>
      <w:kern w:val="2"/>
      <w:sz w:val="21"/>
    </w:rPr>
  </w:style>
  <w:style w:type="character" w:customStyle="1" w:styleId="1619">
    <w:name w:val="表名 Char1 Char Char Char Char"/>
    <w:qFormat/>
    <w:uiPriority w:val="0"/>
    <w:rPr>
      <w:rFonts w:ascii="Arial" w:hAnsi="Arial" w:eastAsia="黑体"/>
      <w:kern w:val="2"/>
      <w:sz w:val="21"/>
      <w:szCs w:val="24"/>
      <w:lang w:val="en-US" w:eastAsia="zh-CN" w:bidi="ar-SA"/>
    </w:rPr>
  </w:style>
  <w:style w:type="character" w:customStyle="1" w:styleId="1620">
    <w:name w:val="表名 Char1 Char Char Char Char Char Char"/>
    <w:qFormat/>
    <w:uiPriority w:val="0"/>
    <w:rPr>
      <w:rFonts w:ascii="Arial" w:hAnsi="Arial" w:eastAsia="黑体"/>
      <w:kern w:val="2"/>
      <w:sz w:val="21"/>
      <w:szCs w:val="24"/>
      <w:lang w:val="en-US" w:eastAsia="zh-CN" w:bidi="ar-SA"/>
    </w:rPr>
  </w:style>
  <w:style w:type="character" w:customStyle="1" w:styleId="1621">
    <w:name w:val="表名 Char1 Char Char Char1"/>
    <w:qFormat/>
    <w:uiPriority w:val="0"/>
    <w:rPr>
      <w:rFonts w:ascii="Arial" w:hAnsi="Arial" w:eastAsia="黑体"/>
      <w:kern w:val="2"/>
      <w:sz w:val="21"/>
      <w:szCs w:val="24"/>
      <w:lang w:val="en-US" w:eastAsia="zh-CN" w:bidi="ar-SA"/>
    </w:rPr>
  </w:style>
  <w:style w:type="character" w:customStyle="1" w:styleId="1622">
    <w:name w:val="表名 Char2"/>
    <w:qFormat/>
    <w:uiPriority w:val="0"/>
    <w:rPr>
      <w:rFonts w:ascii="Arial" w:hAnsi="Arial" w:eastAsia="黑体"/>
      <w:kern w:val="2"/>
      <w:sz w:val="24"/>
      <w:szCs w:val="24"/>
      <w:lang w:val="en-US" w:eastAsia="zh-CN" w:bidi="ar-SA"/>
    </w:rPr>
  </w:style>
  <w:style w:type="paragraph" w:customStyle="1" w:styleId="1623">
    <w:name w:val="表名（标题）"/>
    <w:basedOn w:val="1"/>
    <w:qFormat/>
    <w:uiPriority w:val="0"/>
    <w:pPr>
      <w:adjustRightInd/>
      <w:snapToGrid/>
      <w:ind w:firstLine="0" w:firstLineChars="0"/>
    </w:pPr>
    <w:rPr>
      <w:snapToGrid/>
      <w:kern w:val="2"/>
      <w:sz w:val="28"/>
    </w:rPr>
  </w:style>
  <w:style w:type="paragraph" w:customStyle="1" w:styleId="1624">
    <w:name w:val="表名，13黑"/>
    <w:qFormat/>
    <w:uiPriority w:val="0"/>
    <w:pPr>
      <w:keepNext/>
      <w:widowControl w:val="0"/>
      <w:jc w:val="center"/>
    </w:pPr>
    <w:rPr>
      <w:rFonts w:ascii="Arial" w:hAnsi="Arial" w:eastAsia="黑体" w:cs="Times New Roman"/>
      <w:kern w:val="2"/>
      <w:sz w:val="21"/>
      <w:lang w:val="en-US" w:eastAsia="zh-CN" w:bidi="ar-SA"/>
    </w:rPr>
  </w:style>
  <w:style w:type="paragraph" w:customStyle="1" w:styleId="1625">
    <w:name w:val="表名"/>
    <w:basedOn w:val="1"/>
    <w:qFormat/>
    <w:uiPriority w:val="0"/>
    <w:pPr>
      <w:tabs>
        <w:tab w:val="left" w:pos="1350"/>
      </w:tabs>
      <w:autoSpaceDE w:val="0"/>
      <w:autoSpaceDN w:val="0"/>
      <w:spacing w:after="78" w:line="320" w:lineRule="exact"/>
      <w:ind w:firstLine="241" w:firstLineChars="100"/>
      <w:jc w:val="center"/>
    </w:pPr>
    <w:rPr>
      <w:rFonts w:ascii="Arial" w:hAnsi="Arial" w:eastAsia="楷体_GB2312" w:cs="Arial"/>
      <w:b/>
      <w:snapToGrid/>
      <w:kern w:val="2"/>
      <w:shd w:val="clear" w:color="auto" w:fill="FFFFFF"/>
    </w:rPr>
  </w:style>
  <w:style w:type="paragraph" w:customStyle="1" w:styleId="1626">
    <w:name w:val="表名，四宋"/>
    <w:next w:val="1"/>
    <w:qFormat/>
    <w:uiPriority w:val="0"/>
    <w:pPr>
      <w:keepNext/>
      <w:widowControl w:val="0"/>
      <w:spacing w:before="120" w:after="120" w:line="460" w:lineRule="exact"/>
      <w:jc w:val="center"/>
    </w:pPr>
    <w:rPr>
      <w:rFonts w:ascii="Times New Roman" w:hAnsi="Times New Roman" w:eastAsia="宋体" w:cs="Times New Roman"/>
      <w:sz w:val="28"/>
      <w:lang w:val="en-US" w:eastAsia="zh-CN" w:bidi="ar-SA"/>
    </w:rPr>
  </w:style>
  <w:style w:type="paragraph" w:customStyle="1" w:styleId="1627">
    <w:name w:val="表名/图名"/>
    <w:basedOn w:val="1"/>
    <w:qFormat/>
    <w:uiPriority w:val="0"/>
    <w:pPr>
      <w:snapToGrid/>
      <w:spacing w:line="240" w:lineRule="atLeast"/>
      <w:ind w:firstLine="210" w:firstLineChars="0"/>
      <w:jc w:val="center"/>
      <w:textAlignment w:val="baseline"/>
    </w:pPr>
    <w:rPr>
      <w:rFonts w:ascii="宋体" w:hAnsi="宋体"/>
      <w:b/>
      <w:snapToGrid/>
      <w:sz w:val="21"/>
      <w:szCs w:val="21"/>
      <w:lang w:bidi="en-US"/>
    </w:rPr>
  </w:style>
  <w:style w:type="paragraph" w:customStyle="1" w:styleId="1628">
    <w:name w:val="表名1"/>
    <w:basedOn w:val="1"/>
    <w:link w:val="1629"/>
    <w:qFormat/>
    <w:uiPriority w:val="0"/>
    <w:pPr>
      <w:adjustRightInd/>
      <w:snapToGrid/>
      <w:spacing w:line="360" w:lineRule="auto"/>
      <w:ind w:firstLine="0" w:firstLineChars="0"/>
    </w:pPr>
    <w:rPr>
      <w:rFonts w:ascii="宋体" w:eastAsia="黑体"/>
      <w:b/>
      <w:snapToGrid/>
      <w:color w:val="000000"/>
      <w:kern w:val="2"/>
      <w:sz w:val="21"/>
      <w:szCs w:val="28"/>
    </w:rPr>
  </w:style>
  <w:style w:type="character" w:customStyle="1" w:styleId="1629">
    <w:name w:val="表名1 Char"/>
    <w:link w:val="1628"/>
    <w:qFormat/>
    <w:uiPriority w:val="0"/>
    <w:rPr>
      <w:rFonts w:ascii="宋体" w:hAnsi="Times New Roman" w:eastAsia="黑体" w:cs="Times New Roman"/>
      <w:b/>
      <w:color w:val="000000"/>
      <w:szCs w:val="28"/>
      <w14:ligatures w14:val="none"/>
    </w:rPr>
  </w:style>
  <w:style w:type="paragraph" w:customStyle="1" w:styleId="1630">
    <w:name w:val="表名称"/>
    <w:qFormat/>
    <w:uiPriority w:val="0"/>
    <w:pPr>
      <w:widowControl w:val="0"/>
      <w:tabs>
        <w:tab w:val="left" w:pos="0"/>
        <w:tab w:val="left" w:pos="756"/>
        <w:tab w:val="left" w:pos="945"/>
      </w:tabs>
      <w:spacing w:line="360" w:lineRule="auto"/>
      <w:jc w:val="center"/>
    </w:pPr>
    <w:rPr>
      <w:rFonts w:ascii="宋体" w:hAnsi="宋体" w:eastAsia="宋体" w:cs="Times New Roman"/>
      <w:bCs/>
      <w:kern w:val="2"/>
      <w:sz w:val="24"/>
      <w:szCs w:val="24"/>
      <w:lang w:val="en-US" w:eastAsia="zh-CN" w:bidi="ar-SA"/>
    </w:rPr>
  </w:style>
  <w:style w:type="paragraph" w:customStyle="1" w:styleId="1631">
    <w:name w:val="表目"/>
    <w:basedOn w:val="1"/>
    <w:qFormat/>
    <w:uiPriority w:val="0"/>
    <w:pPr>
      <w:adjustRightInd/>
      <w:spacing w:line="400" w:lineRule="atLeast"/>
      <w:ind w:firstLine="0" w:firstLineChars="0"/>
      <w:jc w:val="center"/>
      <w:textAlignment w:val="baseline"/>
    </w:pPr>
    <w:rPr>
      <w:rFonts w:hint="eastAsia" w:ascii="Arial" w:hAnsi="Arial"/>
      <w:b/>
      <w:snapToGrid/>
      <w:szCs w:val="20"/>
    </w:rPr>
  </w:style>
  <w:style w:type="paragraph" w:customStyle="1" w:styleId="1632">
    <w:name w:val="表目录"/>
    <w:basedOn w:val="1"/>
    <w:qFormat/>
    <w:uiPriority w:val="0"/>
    <w:pPr>
      <w:spacing w:line="360" w:lineRule="auto"/>
      <w:ind w:firstLine="0" w:firstLineChars="0"/>
    </w:pPr>
    <w:rPr>
      <w:rFonts w:ascii="黑体" w:eastAsia="黑体"/>
      <w:snapToGrid/>
      <w:kern w:val="2"/>
      <w:sz w:val="21"/>
      <w:szCs w:val="21"/>
    </w:rPr>
  </w:style>
  <w:style w:type="paragraph" w:customStyle="1" w:styleId="1633">
    <w:name w:val="表内"/>
    <w:basedOn w:val="1"/>
    <w:semiHidden/>
    <w:qFormat/>
    <w:uiPriority w:val="0"/>
    <w:pPr>
      <w:adjustRightInd/>
      <w:snapToGrid/>
      <w:spacing w:line="360" w:lineRule="auto"/>
      <w:ind w:firstLine="0" w:firstLineChars="0"/>
      <w:jc w:val="center"/>
    </w:pPr>
    <w:rPr>
      <w:rFonts w:ascii="宋体" w:hAnsi="宋体"/>
      <w:snapToGrid/>
      <w:sz w:val="18"/>
      <w:szCs w:val="21"/>
    </w:rPr>
  </w:style>
  <w:style w:type="paragraph" w:customStyle="1" w:styleId="1634">
    <w:name w:val="表内大文字"/>
    <w:qFormat/>
    <w:uiPriority w:val="0"/>
    <w:pPr>
      <w:jc w:val="center"/>
    </w:pPr>
    <w:rPr>
      <w:rFonts w:ascii="宋体" w:hAnsi="宋体" w:eastAsia="宋体" w:cs="Times New Roman"/>
      <w:sz w:val="21"/>
      <w:lang w:val="en-US" w:eastAsia="zh-CN" w:bidi="ar-SA"/>
    </w:rPr>
  </w:style>
  <w:style w:type="paragraph" w:customStyle="1" w:styleId="1635">
    <w:name w:val="表内容"/>
    <w:basedOn w:val="1"/>
    <w:link w:val="1636"/>
    <w:qFormat/>
    <w:uiPriority w:val="0"/>
    <w:pPr>
      <w:widowControl/>
      <w:tabs>
        <w:tab w:val="left" w:pos="8640"/>
      </w:tabs>
      <w:autoSpaceDE w:val="0"/>
      <w:autoSpaceDN w:val="0"/>
      <w:snapToGrid/>
      <w:spacing w:line="324" w:lineRule="auto"/>
      <w:ind w:firstLine="0" w:firstLineChars="0"/>
      <w:textAlignment w:val="bottom"/>
    </w:pPr>
    <w:rPr>
      <w:rFonts w:eastAsia="仿宋_GB2312"/>
      <w:snapToGrid/>
      <w:color w:val="000000"/>
      <w:kern w:val="2"/>
      <w:szCs w:val="20"/>
    </w:rPr>
  </w:style>
  <w:style w:type="character" w:customStyle="1" w:styleId="1636">
    <w:name w:val="表内容 Char"/>
    <w:link w:val="1635"/>
    <w:qFormat/>
    <w:uiPriority w:val="0"/>
    <w:rPr>
      <w:rFonts w:ascii="Times New Roman" w:hAnsi="Times New Roman" w:eastAsia="仿宋_GB2312" w:cs="Times New Roman"/>
      <w:color w:val="000000"/>
      <w:sz w:val="26"/>
      <w:szCs w:val="20"/>
      <w14:ligatures w14:val="none"/>
    </w:rPr>
  </w:style>
  <w:style w:type="character" w:customStyle="1" w:styleId="1637">
    <w:name w:val="表内容 Char Char"/>
    <w:qFormat/>
    <w:locked/>
    <w:uiPriority w:val="0"/>
    <w:rPr>
      <w:rFonts w:ascii="宋体" w:hAnsi="宋体" w:eastAsia="宋体" w:cs="宋体"/>
    </w:rPr>
  </w:style>
  <w:style w:type="paragraph" w:customStyle="1" w:styleId="1638">
    <w:name w:val="表内式样"/>
    <w:qFormat/>
    <w:uiPriority w:val="99"/>
    <w:pPr>
      <w:widowControl w:val="0"/>
      <w:spacing w:line="360" w:lineRule="exact"/>
      <w:jc w:val="center"/>
    </w:pPr>
    <w:rPr>
      <w:rFonts w:ascii="宋体" w:hAnsi="宋体" w:eastAsia="宋体" w:cs="Times New Roman"/>
      <w:kern w:val="2"/>
      <w:sz w:val="21"/>
      <w:szCs w:val="24"/>
      <w:lang w:val="en-US" w:eastAsia="zh-CN" w:bidi="ar-SA"/>
    </w:rPr>
  </w:style>
  <w:style w:type="paragraph" w:customStyle="1" w:styleId="1639">
    <w:name w:val="表内文字"/>
    <w:basedOn w:val="1"/>
    <w:qFormat/>
    <w:uiPriority w:val="0"/>
    <w:pPr>
      <w:snapToGrid/>
      <w:spacing w:line="240" w:lineRule="atLeast"/>
      <w:ind w:firstLine="0" w:firstLineChars="0"/>
      <w:jc w:val="center"/>
      <w:textAlignment w:val="baseline"/>
    </w:pPr>
    <w:rPr>
      <w:rFonts w:ascii="宋体" w:hAnsi="Courier New"/>
      <w:snapToGrid/>
      <w:kern w:val="2"/>
      <w:sz w:val="21"/>
      <w:szCs w:val="21"/>
    </w:rPr>
  </w:style>
  <w:style w:type="paragraph" w:customStyle="1" w:styleId="1640">
    <w:name w:val="表内-文字"/>
    <w:basedOn w:val="1"/>
    <w:qFormat/>
    <w:uiPriority w:val="0"/>
    <w:pPr>
      <w:adjustRightInd/>
      <w:snapToGrid/>
      <w:spacing w:line="320" w:lineRule="exact"/>
      <w:ind w:firstLine="0" w:firstLineChars="0"/>
      <w:jc w:val="center"/>
    </w:pPr>
    <w:rPr>
      <w:rFonts w:eastAsia="楷体_GB2312" w:cs="宋体"/>
      <w:bCs/>
      <w:snapToGrid/>
      <w:color w:val="000000"/>
      <w:kern w:val="2"/>
      <w:sz w:val="21"/>
      <w:szCs w:val="21"/>
    </w:rPr>
  </w:style>
  <w:style w:type="paragraph" w:customStyle="1" w:styleId="1641">
    <w:name w:val="表内五"/>
    <w:basedOn w:val="1"/>
    <w:qFormat/>
    <w:uiPriority w:val="0"/>
    <w:pPr>
      <w:overflowPunct w:val="0"/>
      <w:topLinePunct/>
      <w:autoSpaceDE w:val="0"/>
      <w:spacing w:afterLines="50" w:line="360" w:lineRule="exact"/>
      <w:ind w:firstLine="454" w:firstLineChars="0"/>
    </w:pPr>
    <w:rPr>
      <w:snapToGrid/>
      <w:spacing w:val="20"/>
      <w:kern w:val="2"/>
      <w:szCs w:val="20"/>
    </w:rPr>
  </w:style>
  <w:style w:type="paragraph" w:customStyle="1" w:styleId="1642">
    <w:name w:val="表内五中"/>
    <w:basedOn w:val="1"/>
    <w:qFormat/>
    <w:uiPriority w:val="0"/>
    <w:pPr>
      <w:tabs>
        <w:tab w:val="left" w:pos="-120"/>
      </w:tabs>
      <w:overflowPunct w:val="0"/>
      <w:topLinePunct/>
      <w:autoSpaceDE w:val="0"/>
      <w:spacing w:afterLines="50" w:line="310" w:lineRule="atLeast"/>
      <w:ind w:left="-79" w:right="-115" w:firstLine="454" w:firstLineChars="0"/>
      <w:jc w:val="center"/>
    </w:pPr>
    <w:rPr>
      <w:snapToGrid/>
      <w:kern w:val="2"/>
      <w:szCs w:val="20"/>
    </w:rPr>
  </w:style>
  <w:style w:type="paragraph" w:customStyle="1" w:styleId="1643">
    <w:name w:val="表内小四中"/>
    <w:qFormat/>
    <w:uiPriority w:val="0"/>
    <w:pPr>
      <w:adjustRightInd w:val="0"/>
      <w:ind w:left="-50"/>
      <w:jc w:val="center"/>
      <w:textAlignment w:val="baseline"/>
    </w:pPr>
    <w:rPr>
      <w:rFonts w:ascii="Times New Roman" w:hAnsi="Times New Roman" w:eastAsia="宋体" w:cs="Times New Roman"/>
      <w:sz w:val="24"/>
      <w:lang w:val="en-US" w:eastAsia="zh-CN" w:bidi="ar-SA"/>
    </w:rPr>
  </w:style>
  <w:style w:type="paragraph" w:customStyle="1" w:styleId="1644">
    <w:name w:val="表内小四"/>
    <w:basedOn w:val="1643"/>
    <w:qFormat/>
    <w:uiPriority w:val="0"/>
    <w:pPr>
      <w:widowControl w:val="0"/>
      <w:tabs>
        <w:tab w:val="left" w:pos="-120"/>
        <w:tab w:val="left" w:pos="113"/>
      </w:tabs>
      <w:overflowPunct w:val="0"/>
      <w:topLinePunct/>
      <w:autoSpaceDE w:val="0"/>
      <w:snapToGrid w:val="0"/>
      <w:spacing w:afterLines="50" w:line="360" w:lineRule="exact"/>
      <w:ind w:left="0"/>
      <w:jc w:val="left"/>
    </w:pPr>
    <w:rPr>
      <w:spacing w:val="-20"/>
    </w:rPr>
  </w:style>
  <w:style w:type="paragraph" w:customStyle="1" w:styleId="1645">
    <w:name w:val="表内小四黑中"/>
    <w:basedOn w:val="1641"/>
    <w:qFormat/>
    <w:uiPriority w:val="0"/>
    <w:pPr>
      <w:jc w:val="center"/>
    </w:pPr>
  </w:style>
  <w:style w:type="paragraph" w:customStyle="1" w:styleId="1646">
    <w:name w:val="表内字体"/>
    <w:basedOn w:val="1"/>
    <w:link w:val="1647"/>
    <w:qFormat/>
    <w:uiPriority w:val="0"/>
    <w:pPr>
      <w:tabs>
        <w:tab w:val="left" w:pos="0"/>
      </w:tabs>
      <w:adjustRightInd/>
      <w:spacing w:line="240" w:lineRule="auto"/>
      <w:ind w:firstLine="0" w:firstLineChars="0"/>
      <w:jc w:val="center"/>
    </w:pPr>
    <w:rPr>
      <w:snapToGrid/>
      <w:kern w:val="2"/>
      <w:sz w:val="18"/>
      <w:szCs w:val="18"/>
    </w:rPr>
  </w:style>
  <w:style w:type="character" w:customStyle="1" w:styleId="1647">
    <w:name w:val="表内字体 Char"/>
    <w:link w:val="1646"/>
    <w:qFormat/>
    <w:uiPriority w:val="0"/>
    <w:rPr>
      <w:rFonts w:ascii="Times New Roman" w:hAnsi="Times New Roman" w:eastAsia="宋体" w:cs="Times New Roman"/>
      <w:sz w:val="18"/>
      <w:szCs w:val="18"/>
      <w14:ligatures w14:val="none"/>
    </w:rPr>
  </w:style>
  <w:style w:type="paragraph" w:customStyle="1" w:styleId="1648">
    <w:name w:val="表内字体111"/>
    <w:basedOn w:val="1"/>
    <w:link w:val="1649"/>
    <w:qFormat/>
    <w:uiPriority w:val="0"/>
    <w:pPr>
      <w:spacing w:line="240" w:lineRule="auto"/>
      <w:ind w:firstLine="0" w:firstLineChars="0"/>
      <w:jc w:val="center"/>
    </w:pPr>
    <w:rPr>
      <w:snapToGrid/>
      <w:sz w:val="22"/>
    </w:rPr>
  </w:style>
  <w:style w:type="character" w:customStyle="1" w:styleId="1649">
    <w:name w:val="表内字体111 Char"/>
    <w:link w:val="1648"/>
    <w:qFormat/>
    <w:uiPriority w:val="0"/>
    <w:rPr>
      <w:rFonts w:ascii="Times New Roman" w:hAnsi="Times New Roman" w:eastAsia="宋体" w:cs="Times New Roman"/>
      <w:kern w:val="0"/>
      <w:sz w:val="22"/>
      <w:szCs w:val="24"/>
      <w14:ligatures w14:val="none"/>
    </w:rPr>
  </w:style>
  <w:style w:type="character" w:customStyle="1" w:styleId="1650">
    <w:name w:val="表内左齐 Char Char"/>
    <w:qFormat/>
    <w:uiPriority w:val="0"/>
    <w:rPr>
      <w:rFonts w:eastAsia="宋体"/>
      <w:kern w:val="2"/>
      <w:sz w:val="21"/>
      <w:szCs w:val="24"/>
      <w:lang w:val="en-US" w:eastAsia="zh-CN" w:bidi="ar-SA"/>
    </w:rPr>
  </w:style>
  <w:style w:type="paragraph" w:customStyle="1" w:styleId="1651">
    <w:name w:val="表首"/>
    <w:basedOn w:val="1"/>
    <w:link w:val="1652"/>
    <w:autoRedefine/>
    <w:qFormat/>
    <w:uiPriority w:val="0"/>
    <w:pPr>
      <w:adjustRightInd/>
      <w:snapToGrid/>
      <w:spacing w:beforeLines="50" w:line="520" w:lineRule="exact"/>
      <w:ind w:firstLine="0" w:firstLineChars="0"/>
      <w:jc w:val="center"/>
    </w:pPr>
    <w:rPr>
      <w:rFonts w:ascii="宋体" w:hAnsi="宋体"/>
      <w:b/>
      <w:snapToGrid/>
      <w:sz w:val="28"/>
      <w:szCs w:val="28"/>
    </w:rPr>
  </w:style>
  <w:style w:type="character" w:customStyle="1" w:styleId="1652">
    <w:name w:val="表首 Char"/>
    <w:link w:val="1651"/>
    <w:qFormat/>
    <w:uiPriority w:val="0"/>
    <w:rPr>
      <w:rFonts w:ascii="宋体" w:hAnsi="宋体" w:eastAsia="宋体" w:cs="Times New Roman"/>
      <w:b/>
      <w:kern w:val="0"/>
      <w:sz w:val="28"/>
      <w:szCs w:val="28"/>
      <w14:ligatures w14:val="none"/>
    </w:rPr>
  </w:style>
  <w:style w:type="paragraph" w:customStyle="1" w:styleId="1653">
    <w:name w:val="表说明"/>
    <w:link w:val="1654"/>
    <w:semiHidden/>
    <w:qFormat/>
    <w:uiPriority w:val="0"/>
    <w:pPr>
      <w:widowControl w:val="0"/>
      <w:spacing w:line="240" w:lineRule="exact"/>
      <w:jc w:val="center"/>
    </w:pPr>
    <w:rPr>
      <w:rFonts w:ascii="宋体" w:hAnsi="Times New Roman" w:eastAsia="宋体" w:cs="Times New Roman"/>
      <w:kern w:val="2"/>
      <w:sz w:val="18"/>
      <w:szCs w:val="18"/>
      <w:lang w:val="en-US" w:eastAsia="zh-CN" w:bidi="ar-SA"/>
    </w:rPr>
  </w:style>
  <w:style w:type="character" w:customStyle="1" w:styleId="1654">
    <w:name w:val="表说明 Char"/>
    <w:link w:val="1653"/>
    <w:semiHidden/>
    <w:qFormat/>
    <w:uiPriority w:val="0"/>
    <w:rPr>
      <w:rFonts w:ascii="宋体" w:hAnsi="Times New Roman" w:eastAsia="宋体" w:cs="Times New Roman"/>
      <w:sz w:val="18"/>
      <w:szCs w:val="18"/>
      <w14:ligatures w14:val="none"/>
    </w:rPr>
  </w:style>
  <w:style w:type="paragraph" w:customStyle="1" w:styleId="1655">
    <w:name w:val="表题"/>
    <w:basedOn w:val="1"/>
    <w:link w:val="1656"/>
    <w:qFormat/>
    <w:uiPriority w:val="0"/>
    <w:pPr>
      <w:adjustRightInd/>
      <w:snapToGrid/>
      <w:spacing w:beforeLines="50" w:afterLines="50" w:line="400" w:lineRule="atLeast"/>
      <w:ind w:firstLine="0" w:firstLineChars="0"/>
      <w:jc w:val="center"/>
    </w:pPr>
    <w:rPr>
      <w:rFonts w:ascii="黑体" w:eastAsia="黑体"/>
      <w:snapToGrid/>
      <w:kern w:val="2"/>
      <w:sz w:val="21"/>
      <w:szCs w:val="21"/>
    </w:rPr>
  </w:style>
  <w:style w:type="character" w:customStyle="1" w:styleId="1656">
    <w:name w:val="表题 Char"/>
    <w:link w:val="1655"/>
    <w:qFormat/>
    <w:uiPriority w:val="0"/>
    <w:rPr>
      <w:rFonts w:ascii="黑体" w:hAnsi="Times New Roman" w:eastAsia="黑体" w:cs="Times New Roman"/>
      <w:szCs w:val="21"/>
      <w14:ligatures w14:val="none"/>
    </w:rPr>
  </w:style>
  <w:style w:type="paragraph" w:customStyle="1" w:styleId="1657">
    <w:name w:val="表题目"/>
    <w:basedOn w:val="1"/>
    <w:link w:val="1658"/>
    <w:semiHidden/>
    <w:qFormat/>
    <w:uiPriority w:val="0"/>
    <w:pPr>
      <w:wordWrap w:val="0"/>
      <w:adjustRightInd/>
      <w:snapToGrid/>
      <w:spacing w:line="240" w:lineRule="auto"/>
      <w:ind w:firstLine="0" w:firstLineChars="0"/>
      <w:jc w:val="center"/>
    </w:pPr>
    <w:rPr>
      <w:rFonts w:ascii="宋体" w:hAnsi="宋体"/>
      <w:b/>
      <w:snapToGrid/>
      <w:color w:val="000000"/>
      <w:kern w:val="2"/>
      <w:sz w:val="28"/>
      <w:szCs w:val="28"/>
    </w:rPr>
  </w:style>
  <w:style w:type="character" w:customStyle="1" w:styleId="1658">
    <w:name w:val="表题目 Char"/>
    <w:link w:val="1657"/>
    <w:semiHidden/>
    <w:qFormat/>
    <w:uiPriority w:val="0"/>
    <w:rPr>
      <w:rFonts w:ascii="宋体" w:hAnsi="宋体" w:eastAsia="宋体" w:cs="Times New Roman"/>
      <w:b/>
      <w:color w:val="000000"/>
      <w:sz w:val="28"/>
      <w:szCs w:val="28"/>
      <w14:ligatures w14:val="none"/>
    </w:rPr>
  </w:style>
  <w:style w:type="paragraph" w:customStyle="1" w:styleId="1659">
    <w:name w:val="表体"/>
    <w:basedOn w:val="1"/>
    <w:qFormat/>
    <w:uiPriority w:val="0"/>
    <w:pPr>
      <w:adjustRightInd/>
      <w:snapToGrid/>
      <w:spacing w:line="0" w:lineRule="atLeast"/>
      <w:ind w:firstLine="0" w:firstLineChars="0"/>
      <w:jc w:val="center"/>
    </w:pPr>
    <w:rPr>
      <w:snapToGrid/>
      <w:kern w:val="2"/>
      <w:sz w:val="21"/>
      <w:szCs w:val="21"/>
    </w:rPr>
  </w:style>
  <w:style w:type="character" w:customStyle="1" w:styleId="1660">
    <w:name w:val="正文文本首行缩进 字符"/>
    <w:link w:val="86"/>
    <w:qFormat/>
    <w:uiPriority w:val="0"/>
    <w:rPr>
      <w:rFonts w:ascii="Times New Roman" w:hAnsi="Times New Roman" w:eastAsia="宋体" w:cs="Times New Roman"/>
      <w:snapToGrid w:val="0"/>
      <w:kern w:val="0"/>
      <w:sz w:val="26"/>
      <w:szCs w:val="24"/>
      <w14:ligatures w14:val="none"/>
    </w:rPr>
  </w:style>
  <w:style w:type="paragraph" w:customStyle="1" w:styleId="1661">
    <w:name w:val="表头"/>
    <w:basedOn w:val="86"/>
    <w:link w:val="1662"/>
    <w:qFormat/>
    <w:uiPriority w:val="0"/>
    <w:pPr>
      <w:overflowPunct w:val="0"/>
      <w:autoSpaceDE w:val="0"/>
      <w:autoSpaceDN w:val="0"/>
      <w:snapToGrid/>
      <w:spacing w:after="60" w:line="360" w:lineRule="auto"/>
      <w:ind w:firstLine="539" w:firstLineChars="0"/>
      <w:jc w:val="center"/>
      <w:textAlignment w:val="baseline"/>
    </w:pPr>
    <w:rPr>
      <w:rFonts w:eastAsia="黑体"/>
      <w:snapToGrid/>
      <w:sz w:val="28"/>
      <w:szCs w:val="20"/>
    </w:rPr>
  </w:style>
  <w:style w:type="character" w:customStyle="1" w:styleId="1662">
    <w:name w:val="表头 Char"/>
    <w:link w:val="1661"/>
    <w:qFormat/>
    <w:uiPriority w:val="0"/>
    <w:rPr>
      <w:rFonts w:ascii="Times New Roman" w:hAnsi="Times New Roman" w:eastAsia="黑体" w:cs="Times New Roman"/>
      <w:kern w:val="0"/>
      <w:sz w:val="28"/>
      <w:szCs w:val="20"/>
      <w14:ligatures w14:val="none"/>
    </w:rPr>
  </w:style>
  <w:style w:type="character" w:customStyle="1" w:styleId="1663">
    <w:name w:val="表头 Char Char"/>
    <w:qFormat/>
    <w:uiPriority w:val="0"/>
    <w:rPr>
      <w:rFonts w:eastAsia="黑体"/>
      <w:snapToGrid w:val="0"/>
      <w:sz w:val="24"/>
      <w:szCs w:val="24"/>
      <w:lang w:val="en-US" w:eastAsia="zh-CN"/>
    </w:rPr>
  </w:style>
  <w:style w:type="character" w:customStyle="1" w:styleId="1664">
    <w:name w:val="表头 Char Char Char"/>
    <w:qFormat/>
    <w:uiPriority w:val="0"/>
    <w:rPr>
      <w:rFonts w:eastAsia="黑体"/>
      <w:kern w:val="2"/>
      <w:sz w:val="24"/>
      <w:szCs w:val="24"/>
      <w:lang w:val="en-US" w:eastAsia="zh-CN" w:bidi="ar-SA"/>
    </w:rPr>
  </w:style>
  <w:style w:type="character" w:customStyle="1" w:styleId="1665">
    <w:name w:val="表头 Char Char Char Char"/>
    <w:qFormat/>
    <w:uiPriority w:val="0"/>
    <w:rPr>
      <w:rFonts w:ascii="Arial" w:hAnsi="Arial" w:eastAsia="宋体"/>
      <w:b/>
      <w:kern w:val="2"/>
      <w:sz w:val="24"/>
      <w:szCs w:val="28"/>
      <w:lang w:val="en-US" w:eastAsia="zh-CN" w:bidi="ar-SA"/>
    </w:rPr>
  </w:style>
  <w:style w:type="character" w:customStyle="1" w:styleId="1666">
    <w:name w:val="表头 Char Char Char Char Char Char"/>
    <w:qFormat/>
    <w:uiPriority w:val="0"/>
    <w:rPr>
      <w:rFonts w:ascii="Arial" w:hAnsi="Arial" w:eastAsia="宋体"/>
      <w:b/>
      <w:kern w:val="2"/>
      <w:sz w:val="24"/>
      <w:szCs w:val="28"/>
      <w:lang w:val="en-US" w:eastAsia="zh-CN" w:bidi="ar-SA"/>
    </w:rPr>
  </w:style>
  <w:style w:type="character" w:customStyle="1" w:styleId="1667">
    <w:name w:val="表头 Char Char1"/>
    <w:qFormat/>
    <w:uiPriority w:val="0"/>
    <w:rPr>
      <w:rFonts w:eastAsia="黑体"/>
      <w:kern w:val="2"/>
      <w:sz w:val="24"/>
      <w:szCs w:val="24"/>
      <w:lang w:val="en-US" w:eastAsia="zh-CN" w:bidi="ar-SA"/>
    </w:rPr>
  </w:style>
  <w:style w:type="character" w:customStyle="1" w:styleId="1668">
    <w:name w:val="表头 Char1"/>
    <w:qFormat/>
    <w:uiPriority w:val="0"/>
    <w:rPr>
      <w:rFonts w:eastAsia="黑体"/>
      <w:kern w:val="2"/>
      <w:sz w:val="24"/>
      <w:szCs w:val="24"/>
      <w:lang w:val="en-US" w:eastAsia="zh-CN" w:bidi="ar-SA"/>
    </w:rPr>
  </w:style>
  <w:style w:type="paragraph" w:customStyle="1" w:styleId="1669">
    <w:name w:val="表头[BT]"/>
    <w:basedOn w:val="1"/>
    <w:qFormat/>
    <w:uiPriority w:val="0"/>
    <w:pPr>
      <w:snapToGrid/>
      <w:spacing w:after="120" w:line="240" w:lineRule="auto"/>
      <w:ind w:firstLine="0" w:firstLineChars="0"/>
      <w:jc w:val="center"/>
    </w:pPr>
    <w:rPr>
      <w:rFonts w:hint="eastAsia" w:ascii="楷体_GB2312" w:eastAsia="楷体_GB2312"/>
      <w:snapToGrid/>
      <w:sz w:val="21"/>
      <w:szCs w:val="20"/>
    </w:rPr>
  </w:style>
  <w:style w:type="paragraph" w:customStyle="1" w:styleId="1670">
    <w:name w:val="表头5"/>
    <w:basedOn w:val="1"/>
    <w:qFormat/>
    <w:uiPriority w:val="0"/>
    <w:pPr>
      <w:tabs>
        <w:tab w:val="left" w:pos="1080"/>
      </w:tabs>
      <w:spacing w:beforeLines="100" w:afterLines="50" w:line="240" w:lineRule="atLeast"/>
      <w:ind w:left="950" w:leftChars="250" w:hanging="425" w:firstLineChars="0"/>
    </w:pPr>
    <w:rPr>
      <w:b/>
      <w:snapToGrid/>
      <w:kern w:val="2"/>
    </w:rPr>
  </w:style>
  <w:style w:type="paragraph" w:customStyle="1" w:styleId="1671">
    <w:name w:val="表头6"/>
    <w:basedOn w:val="1670"/>
    <w:qFormat/>
    <w:uiPriority w:val="0"/>
    <w:pPr>
      <w:tabs>
        <w:tab w:val="left" w:pos="720"/>
        <w:tab w:val="left" w:pos="840"/>
        <w:tab w:val="left" w:pos="1774"/>
        <w:tab w:val="clear" w:pos="1080"/>
      </w:tabs>
      <w:ind w:left="992" w:leftChars="0" w:hanging="360"/>
    </w:pPr>
  </w:style>
  <w:style w:type="paragraph" w:customStyle="1" w:styleId="1672">
    <w:name w:val="表头8"/>
    <w:basedOn w:val="1671"/>
    <w:qFormat/>
    <w:uiPriority w:val="0"/>
    <w:pPr>
      <w:tabs>
        <w:tab w:val="left" w:pos="1140"/>
        <w:tab w:val="left" w:pos="1728"/>
        <w:tab w:val="clear" w:pos="720"/>
        <w:tab w:val="clear" w:pos="840"/>
        <w:tab w:val="clear" w:pos="1774"/>
      </w:tabs>
      <w:ind w:left="845" w:hanging="660"/>
    </w:pPr>
  </w:style>
  <w:style w:type="paragraph" w:customStyle="1" w:styleId="1673">
    <w:name w:val="表头10"/>
    <w:basedOn w:val="1672"/>
    <w:qFormat/>
    <w:uiPriority w:val="0"/>
    <w:pPr>
      <w:tabs>
        <w:tab w:val="left" w:pos="1260"/>
        <w:tab w:val="clear" w:pos="1140"/>
        <w:tab w:val="clear" w:pos="1728"/>
      </w:tabs>
      <w:ind w:left="1260" w:hanging="720"/>
    </w:pPr>
    <w:rPr>
      <w:bCs/>
    </w:rPr>
  </w:style>
  <w:style w:type="paragraph" w:customStyle="1" w:styleId="1674">
    <w:name w:val="表头11"/>
    <w:basedOn w:val="1"/>
    <w:link w:val="1675"/>
    <w:qFormat/>
    <w:uiPriority w:val="0"/>
    <w:pPr>
      <w:spacing w:beforeLines="30"/>
      <w:ind w:firstLine="0" w:firstLineChars="0"/>
      <w:jc w:val="center"/>
    </w:pPr>
    <w:rPr>
      <w:b/>
      <w:snapToGrid/>
    </w:rPr>
  </w:style>
  <w:style w:type="character" w:customStyle="1" w:styleId="1675">
    <w:name w:val="表头11 Char"/>
    <w:link w:val="1674"/>
    <w:qFormat/>
    <w:uiPriority w:val="0"/>
    <w:rPr>
      <w:rFonts w:ascii="Times New Roman" w:hAnsi="Times New Roman" w:eastAsia="宋体" w:cs="Times New Roman"/>
      <w:b/>
      <w:kern w:val="0"/>
      <w:sz w:val="26"/>
      <w:szCs w:val="24"/>
      <w14:ligatures w14:val="none"/>
    </w:rPr>
  </w:style>
  <w:style w:type="paragraph" w:customStyle="1" w:styleId="1676">
    <w:name w:val="表头4"/>
    <w:basedOn w:val="1"/>
    <w:qFormat/>
    <w:uiPriority w:val="0"/>
    <w:pPr>
      <w:tabs>
        <w:tab w:val="left" w:pos="360"/>
      </w:tabs>
      <w:spacing w:beforeLines="100" w:afterLines="50" w:line="240" w:lineRule="atLeast"/>
      <w:ind w:left="360" w:leftChars="250" w:hanging="360" w:firstLineChars="0"/>
    </w:pPr>
    <w:rPr>
      <w:b/>
      <w:snapToGrid/>
      <w:kern w:val="2"/>
    </w:rPr>
  </w:style>
  <w:style w:type="paragraph" w:customStyle="1" w:styleId="1677">
    <w:name w:val="表头编号"/>
    <w:basedOn w:val="1"/>
    <w:link w:val="1678"/>
    <w:qFormat/>
    <w:uiPriority w:val="0"/>
    <w:pPr>
      <w:spacing w:line="240" w:lineRule="atLeast"/>
      <w:ind w:firstLine="0" w:firstLineChars="0"/>
      <w:jc w:val="center"/>
    </w:pPr>
    <w:rPr>
      <w:rFonts w:ascii="宋体" w:hAnsi="宋体" w:eastAsia="黑体"/>
      <w:snapToGrid/>
      <w:color w:val="000000"/>
      <w:kern w:val="2"/>
      <w:sz w:val="21"/>
      <w:szCs w:val="20"/>
    </w:rPr>
  </w:style>
  <w:style w:type="character" w:customStyle="1" w:styleId="1678">
    <w:name w:val="表头编号 Char"/>
    <w:link w:val="1677"/>
    <w:qFormat/>
    <w:uiPriority w:val="0"/>
    <w:rPr>
      <w:rFonts w:ascii="宋体" w:hAnsi="宋体" w:eastAsia="黑体" w:cs="Times New Roman"/>
      <w:color w:val="000000"/>
      <w:szCs w:val="20"/>
      <w14:ligatures w14:val="none"/>
    </w:rPr>
  </w:style>
  <w:style w:type="paragraph" w:customStyle="1" w:styleId="1679">
    <w:name w:val="表头居中"/>
    <w:basedOn w:val="1"/>
    <w:autoRedefine/>
    <w:qFormat/>
    <w:uiPriority w:val="0"/>
    <w:pPr>
      <w:overflowPunct w:val="0"/>
      <w:adjustRightInd/>
      <w:snapToGrid/>
      <w:spacing w:line="240" w:lineRule="exact"/>
      <w:ind w:left="-1" w:leftChars="-1" w:hanging="2" w:hangingChars="1"/>
      <w:jc w:val="center"/>
    </w:pPr>
    <w:rPr>
      <w:rFonts w:eastAsia="楷体_GB2312"/>
      <w:snapToGrid/>
      <w:sz w:val="18"/>
      <w:szCs w:val="18"/>
    </w:rPr>
  </w:style>
  <w:style w:type="paragraph" w:customStyle="1" w:styleId="1680">
    <w:name w:val="表头名称"/>
    <w:basedOn w:val="1"/>
    <w:qFormat/>
    <w:uiPriority w:val="0"/>
    <w:pPr>
      <w:autoSpaceDE w:val="0"/>
      <w:autoSpaceDN w:val="0"/>
      <w:snapToGrid/>
      <w:spacing w:after="120" w:line="240" w:lineRule="auto"/>
      <w:ind w:firstLine="420"/>
    </w:pPr>
    <w:rPr>
      <w:rFonts w:ascii="宋体" w:hAnsi="宋体"/>
      <w:snapToGrid/>
      <w:color w:val="0000FF"/>
      <w:sz w:val="21"/>
      <w:szCs w:val="20"/>
    </w:rPr>
  </w:style>
  <w:style w:type="paragraph" w:customStyle="1" w:styleId="1681">
    <w:name w:val="表头排版"/>
    <w:basedOn w:val="1"/>
    <w:link w:val="1682"/>
    <w:qFormat/>
    <w:uiPriority w:val="0"/>
    <w:pPr>
      <w:adjustRightInd/>
      <w:snapToGrid/>
      <w:spacing w:line="240" w:lineRule="auto"/>
      <w:ind w:firstLine="0" w:firstLineChars="0"/>
      <w:jc w:val="right"/>
    </w:pPr>
    <w:rPr>
      <w:snapToGrid/>
      <w:kern w:val="2"/>
      <w:szCs w:val="21"/>
    </w:rPr>
  </w:style>
  <w:style w:type="character" w:customStyle="1" w:styleId="1682">
    <w:name w:val="表头排版 Char"/>
    <w:link w:val="1681"/>
    <w:qFormat/>
    <w:uiPriority w:val="0"/>
    <w:rPr>
      <w:rFonts w:ascii="Times New Roman" w:hAnsi="Times New Roman" w:eastAsia="宋体" w:cs="Times New Roman"/>
      <w:sz w:val="26"/>
      <w:szCs w:val="21"/>
      <w14:ligatures w14:val="none"/>
    </w:rPr>
  </w:style>
  <w:style w:type="paragraph" w:customStyle="1" w:styleId="1683">
    <w:name w:val="表头头"/>
    <w:basedOn w:val="1"/>
    <w:link w:val="1684"/>
    <w:semiHidden/>
    <w:qFormat/>
    <w:uiPriority w:val="0"/>
    <w:pPr>
      <w:snapToGrid/>
      <w:spacing w:line="240" w:lineRule="auto"/>
      <w:ind w:firstLine="0" w:firstLineChars="0"/>
      <w:jc w:val="right"/>
      <w:textAlignment w:val="baseline"/>
    </w:pPr>
    <w:rPr>
      <w:rFonts w:ascii="宋体"/>
      <w:b/>
      <w:snapToGrid/>
      <w:color w:val="000000"/>
      <w:kern w:val="28"/>
      <w:szCs w:val="20"/>
    </w:rPr>
  </w:style>
  <w:style w:type="character" w:customStyle="1" w:styleId="1684">
    <w:name w:val="表头头 Char"/>
    <w:link w:val="1683"/>
    <w:semiHidden/>
    <w:qFormat/>
    <w:uiPriority w:val="0"/>
    <w:rPr>
      <w:rFonts w:ascii="宋体" w:hAnsi="Times New Roman" w:eastAsia="宋体" w:cs="Times New Roman"/>
      <w:b/>
      <w:color w:val="000000"/>
      <w:kern w:val="28"/>
      <w:sz w:val="26"/>
      <w:szCs w:val="20"/>
      <w14:ligatures w14:val="none"/>
    </w:rPr>
  </w:style>
  <w:style w:type="paragraph" w:customStyle="1" w:styleId="1685">
    <w:name w:val="表头文字小"/>
    <w:basedOn w:val="1"/>
    <w:link w:val="1686"/>
    <w:autoRedefine/>
    <w:qFormat/>
    <w:uiPriority w:val="0"/>
    <w:pPr>
      <w:adjustRightInd/>
      <w:snapToGrid/>
      <w:spacing w:line="240" w:lineRule="auto"/>
      <w:ind w:firstLine="31" w:firstLineChars="0"/>
    </w:pPr>
    <w:rPr>
      <w:rFonts w:ascii="宋体"/>
      <w:snapToGrid/>
      <w:kern w:val="2"/>
      <w:sz w:val="21"/>
      <w:szCs w:val="21"/>
    </w:rPr>
  </w:style>
  <w:style w:type="character" w:customStyle="1" w:styleId="1686">
    <w:name w:val="表头文字小 Char"/>
    <w:link w:val="1685"/>
    <w:qFormat/>
    <w:uiPriority w:val="0"/>
    <w:rPr>
      <w:rFonts w:ascii="宋体" w:hAnsi="Times New Roman" w:eastAsia="宋体" w:cs="Times New Roman"/>
      <w:szCs w:val="21"/>
      <w14:ligatures w14:val="none"/>
    </w:rPr>
  </w:style>
  <w:style w:type="paragraph" w:customStyle="1" w:styleId="1687">
    <w:name w:val="表头样式"/>
    <w:basedOn w:val="1"/>
    <w:next w:val="1"/>
    <w:link w:val="1688"/>
    <w:qFormat/>
    <w:uiPriority w:val="0"/>
    <w:pPr>
      <w:widowControl/>
      <w:spacing w:beforeAutospacing="1"/>
      <w:jc w:val="center"/>
    </w:pPr>
    <w:rPr>
      <w:snapToGrid/>
      <w:szCs w:val="26"/>
    </w:rPr>
  </w:style>
  <w:style w:type="character" w:customStyle="1" w:styleId="1688">
    <w:name w:val="表头样式 Char Char"/>
    <w:link w:val="1687"/>
    <w:qFormat/>
    <w:uiPriority w:val="0"/>
    <w:rPr>
      <w:rFonts w:ascii="Times New Roman" w:hAnsi="Times New Roman" w:eastAsia="宋体" w:cs="Times New Roman"/>
      <w:kern w:val="0"/>
      <w:sz w:val="26"/>
      <w:szCs w:val="26"/>
      <w14:ligatures w14:val="none"/>
    </w:rPr>
  </w:style>
  <w:style w:type="paragraph" w:customStyle="1" w:styleId="1689">
    <w:name w:val="表尾"/>
    <w:basedOn w:val="1"/>
    <w:link w:val="1690"/>
    <w:qFormat/>
    <w:uiPriority w:val="0"/>
    <w:pPr>
      <w:tabs>
        <w:tab w:val="left" w:pos="1021"/>
      </w:tabs>
      <w:spacing w:line="160" w:lineRule="exact"/>
      <w:ind w:firstLine="0" w:firstLineChars="0"/>
    </w:pPr>
    <w:rPr>
      <w:snapToGrid/>
      <w:kern w:val="2"/>
      <w:sz w:val="10"/>
      <w:szCs w:val="20"/>
    </w:rPr>
  </w:style>
  <w:style w:type="character" w:customStyle="1" w:styleId="1690">
    <w:name w:val="表尾 Char"/>
    <w:link w:val="1689"/>
    <w:qFormat/>
    <w:uiPriority w:val="0"/>
    <w:rPr>
      <w:rFonts w:ascii="Times New Roman" w:hAnsi="Times New Roman" w:eastAsia="宋体" w:cs="Times New Roman"/>
      <w:sz w:val="10"/>
      <w:szCs w:val="20"/>
      <w14:ligatures w14:val="none"/>
    </w:rPr>
  </w:style>
  <w:style w:type="paragraph" w:customStyle="1" w:styleId="1691">
    <w:name w:val="表文"/>
    <w:basedOn w:val="1"/>
    <w:link w:val="1692"/>
    <w:qFormat/>
    <w:uiPriority w:val="0"/>
    <w:pPr>
      <w:spacing w:beforeLines="20" w:afterLines="20" w:line="280" w:lineRule="exact"/>
      <w:ind w:firstLine="0" w:firstLineChars="0"/>
      <w:jc w:val="center"/>
    </w:pPr>
    <w:rPr>
      <w:rFonts w:ascii="黑体" w:hAnsi="宋体"/>
      <w:snapToGrid/>
      <w:kern w:val="2"/>
      <w:sz w:val="21"/>
      <w:szCs w:val="20"/>
    </w:rPr>
  </w:style>
  <w:style w:type="character" w:customStyle="1" w:styleId="1692">
    <w:name w:val="表文 Char1"/>
    <w:link w:val="1691"/>
    <w:qFormat/>
    <w:uiPriority w:val="0"/>
    <w:rPr>
      <w:rFonts w:ascii="黑体" w:hAnsi="宋体" w:eastAsia="宋体" w:cs="Times New Roman"/>
      <w:szCs w:val="20"/>
      <w14:ligatures w14:val="none"/>
    </w:rPr>
  </w:style>
  <w:style w:type="paragraph" w:customStyle="1" w:styleId="1693">
    <w:name w:val="表文 Char"/>
    <w:basedOn w:val="1"/>
    <w:qFormat/>
    <w:uiPriority w:val="0"/>
    <w:pPr>
      <w:autoSpaceDE w:val="0"/>
      <w:autoSpaceDN w:val="0"/>
      <w:snapToGrid/>
      <w:spacing w:line="312" w:lineRule="auto"/>
      <w:ind w:firstLine="482" w:firstLineChars="0"/>
      <w:jc w:val="center"/>
      <w:textAlignment w:val="baseline"/>
    </w:pPr>
    <w:rPr>
      <w:snapToGrid/>
      <w:szCs w:val="20"/>
    </w:rPr>
  </w:style>
  <w:style w:type="paragraph" w:customStyle="1" w:styleId="1694">
    <w:name w:val="表文 Char Char"/>
    <w:basedOn w:val="1"/>
    <w:qFormat/>
    <w:uiPriority w:val="0"/>
    <w:pPr>
      <w:autoSpaceDE w:val="0"/>
      <w:autoSpaceDN w:val="0"/>
      <w:spacing w:line="240" w:lineRule="auto"/>
      <w:ind w:firstLine="0" w:firstLineChars="0"/>
      <w:jc w:val="center"/>
      <w:textAlignment w:val="baseline"/>
    </w:pPr>
    <w:rPr>
      <w:snapToGrid/>
      <w:sz w:val="21"/>
      <w:szCs w:val="20"/>
    </w:rPr>
  </w:style>
  <w:style w:type="paragraph" w:customStyle="1" w:styleId="1695">
    <w:name w:val="表文 Char Char Char"/>
    <w:basedOn w:val="1"/>
    <w:autoRedefine/>
    <w:qFormat/>
    <w:uiPriority w:val="0"/>
    <w:pPr>
      <w:overflowPunct w:val="0"/>
      <w:adjustRightInd/>
      <w:spacing w:line="240" w:lineRule="auto"/>
      <w:ind w:firstLine="0" w:firstLineChars="0"/>
      <w:jc w:val="center"/>
      <w:textAlignment w:val="baseline"/>
    </w:pPr>
    <w:rPr>
      <w:snapToGrid/>
      <w:kern w:val="2"/>
      <w:sz w:val="18"/>
    </w:rPr>
  </w:style>
  <w:style w:type="character" w:customStyle="1" w:styleId="1696">
    <w:name w:val="表文 Char Char Char Char"/>
    <w:qFormat/>
    <w:uiPriority w:val="0"/>
    <w:rPr>
      <w:rFonts w:eastAsia="宋体"/>
      <w:kern w:val="2"/>
      <w:sz w:val="18"/>
      <w:szCs w:val="24"/>
      <w:lang w:val="en-US" w:eastAsia="zh-CN" w:bidi="ar-SA"/>
    </w:rPr>
  </w:style>
  <w:style w:type="paragraph" w:customStyle="1" w:styleId="1697">
    <w:name w:val="表文 Char Char Char Char Char"/>
    <w:basedOn w:val="1"/>
    <w:qFormat/>
    <w:uiPriority w:val="0"/>
    <w:pPr>
      <w:overflowPunct w:val="0"/>
      <w:adjustRightInd/>
      <w:spacing w:line="240" w:lineRule="auto"/>
      <w:ind w:firstLine="0" w:firstLineChars="0"/>
      <w:textAlignment w:val="baseline"/>
    </w:pPr>
    <w:rPr>
      <w:snapToGrid/>
      <w:kern w:val="2"/>
      <w:sz w:val="18"/>
      <w:lang w:val="zh-CN"/>
    </w:rPr>
  </w:style>
  <w:style w:type="character" w:customStyle="1" w:styleId="1698">
    <w:name w:val="表文 Char Char Char Char Char Char"/>
    <w:qFormat/>
    <w:uiPriority w:val="0"/>
    <w:rPr>
      <w:rFonts w:eastAsia="宋体"/>
      <w:kern w:val="2"/>
      <w:sz w:val="18"/>
      <w:szCs w:val="24"/>
      <w:lang w:val="en-US" w:eastAsia="zh-CN" w:bidi="ar-SA"/>
    </w:rPr>
  </w:style>
  <w:style w:type="paragraph" w:customStyle="1" w:styleId="1699">
    <w:name w:val="表文 Char Char Char Char Char Char Char"/>
    <w:basedOn w:val="1"/>
    <w:qFormat/>
    <w:uiPriority w:val="0"/>
    <w:pPr>
      <w:overflowPunct w:val="0"/>
      <w:adjustRightInd/>
      <w:snapToGrid/>
      <w:spacing w:line="240" w:lineRule="auto"/>
      <w:ind w:firstLine="0" w:firstLineChars="0"/>
      <w:jc w:val="center"/>
      <w:textAlignment w:val="baseline"/>
    </w:pPr>
    <w:rPr>
      <w:snapToGrid/>
      <w:kern w:val="2"/>
      <w:sz w:val="18"/>
      <w:szCs w:val="18"/>
    </w:rPr>
  </w:style>
  <w:style w:type="character" w:customStyle="1" w:styleId="1700">
    <w:name w:val="表文 Char Char Char Char Char Char Char Char"/>
    <w:qFormat/>
    <w:uiPriority w:val="0"/>
    <w:rPr>
      <w:rFonts w:eastAsia="宋体"/>
      <w:kern w:val="2"/>
      <w:sz w:val="18"/>
      <w:szCs w:val="18"/>
      <w:lang w:val="en-US" w:eastAsia="zh-CN" w:bidi="ar-SA"/>
    </w:rPr>
  </w:style>
  <w:style w:type="character" w:customStyle="1" w:styleId="1701">
    <w:name w:val="表文 Char Char Char Char Char Char Char Char Char"/>
    <w:qFormat/>
    <w:uiPriority w:val="0"/>
    <w:rPr>
      <w:rFonts w:eastAsia="宋体"/>
      <w:kern w:val="2"/>
      <w:sz w:val="18"/>
      <w:szCs w:val="18"/>
      <w:lang w:val="en-US" w:eastAsia="zh-CN" w:bidi="ar-SA"/>
    </w:rPr>
  </w:style>
  <w:style w:type="character" w:customStyle="1" w:styleId="1702">
    <w:name w:val="表文 Char Char Char Char Char Char Char Char Char Char"/>
    <w:qFormat/>
    <w:uiPriority w:val="0"/>
    <w:rPr>
      <w:rFonts w:eastAsia="宋体"/>
      <w:kern w:val="2"/>
      <w:sz w:val="18"/>
      <w:szCs w:val="24"/>
      <w:lang w:val="en-US" w:eastAsia="zh-CN" w:bidi="ar-SA"/>
    </w:rPr>
  </w:style>
  <w:style w:type="character" w:customStyle="1" w:styleId="1703">
    <w:name w:val="表文 Char Char Char Char Char Char Char Char1"/>
    <w:qFormat/>
    <w:uiPriority w:val="0"/>
    <w:rPr>
      <w:rFonts w:eastAsia="宋体"/>
      <w:kern w:val="2"/>
      <w:sz w:val="18"/>
      <w:szCs w:val="18"/>
      <w:lang w:val="en-US" w:eastAsia="zh-CN" w:bidi="ar-SA"/>
    </w:rPr>
  </w:style>
  <w:style w:type="paragraph" w:customStyle="1" w:styleId="1704">
    <w:name w:val="表文 Char Char Char Char Char Char1"/>
    <w:basedOn w:val="1"/>
    <w:qFormat/>
    <w:uiPriority w:val="0"/>
    <w:pPr>
      <w:overflowPunct w:val="0"/>
      <w:adjustRightInd/>
      <w:snapToGrid/>
      <w:spacing w:line="240" w:lineRule="auto"/>
      <w:ind w:firstLine="0" w:firstLineChars="0"/>
      <w:jc w:val="center"/>
      <w:textAlignment w:val="baseline"/>
    </w:pPr>
    <w:rPr>
      <w:snapToGrid/>
      <w:kern w:val="2"/>
      <w:sz w:val="18"/>
      <w:szCs w:val="18"/>
    </w:rPr>
  </w:style>
  <w:style w:type="paragraph" w:customStyle="1" w:styleId="1705">
    <w:name w:val="表文 Char Char Char Char Char1"/>
    <w:basedOn w:val="1"/>
    <w:qFormat/>
    <w:uiPriority w:val="0"/>
    <w:pPr>
      <w:overflowPunct w:val="0"/>
      <w:adjustRightInd/>
      <w:snapToGrid/>
      <w:spacing w:line="240" w:lineRule="auto"/>
      <w:ind w:firstLine="0" w:firstLineChars="0"/>
      <w:jc w:val="center"/>
      <w:textAlignment w:val="baseline"/>
    </w:pPr>
    <w:rPr>
      <w:snapToGrid/>
      <w:kern w:val="2"/>
      <w:sz w:val="18"/>
      <w:szCs w:val="18"/>
    </w:rPr>
  </w:style>
  <w:style w:type="paragraph" w:customStyle="1" w:styleId="1706">
    <w:name w:val="表文 Char Char Char Char Char2"/>
    <w:basedOn w:val="1"/>
    <w:qFormat/>
    <w:uiPriority w:val="0"/>
    <w:pPr>
      <w:overflowPunct w:val="0"/>
      <w:adjustRightInd/>
      <w:snapToGrid/>
      <w:spacing w:line="240" w:lineRule="auto"/>
      <w:ind w:firstLine="0" w:firstLineChars="0"/>
      <w:jc w:val="center"/>
      <w:textAlignment w:val="baseline"/>
    </w:pPr>
    <w:rPr>
      <w:snapToGrid/>
      <w:kern w:val="2"/>
      <w:sz w:val="18"/>
      <w:szCs w:val="18"/>
    </w:rPr>
  </w:style>
  <w:style w:type="character" w:customStyle="1" w:styleId="1707">
    <w:name w:val="表文 Char Char1"/>
    <w:qFormat/>
    <w:uiPriority w:val="0"/>
    <w:rPr>
      <w:rFonts w:eastAsia="宋体"/>
      <w:kern w:val="2"/>
      <w:sz w:val="18"/>
      <w:szCs w:val="18"/>
      <w:lang w:val="en-US" w:eastAsia="zh-CN" w:bidi="ar-SA"/>
    </w:rPr>
  </w:style>
  <w:style w:type="character" w:customStyle="1" w:styleId="1708">
    <w:name w:val="表文 Char2"/>
    <w:qFormat/>
    <w:uiPriority w:val="0"/>
    <w:rPr>
      <w:rFonts w:eastAsia="宋体"/>
      <w:sz w:val="18"/>
      <w:lang w:val="en-US" w:eastAsia="zh-CN" w:bidi="ar-SA"/>
    </w:rPr>
  </w:style>
  <w:style w:type="paragraph" w:customStyle="1" w:styleId="1709">
    <w:name w:val="表文＋两端分散"/>
    <w:basedOn w:val="1691"/>
    <w:qFormat/>
    <w:uiPriority w:val="0"/>
    <w:pPr>
      <w:spacing w:beforeLines="0" w:afterLines="0" w:line="240" w:lineRule="auto"/>
      <w:jc w:val="both"/>
      <w:textAlignment w:val="baseline"/>
      <w:outlineLvl w:val="4"/>
    </w:pPr>
    <w:rPr>
      <w:rFonts w:ascii="Calibri" w:hAnsi="Calibri"/>
      <w:snapToGrid w:val="0"/>
      <w:kern w:val="0"/>
      <w:sz w:val="18"/>
      <w:szCs w:val="18"/>
    </w:rPr>
  </w:style>
  <w:style w:type="paragraph" w:customStyle="1" w:styleId="1710">
    <w:name w:val="表文1"/>
    <w:basedOn w:val="1"/>
    <w:qFormat/>
    <w:uiPriority w:val="0"/>
    <w:pPr>
      <w:adjustRightInd/>
      <w:snapToGrid/>
      <w:spacing w:line="240" w:lineRule="auto"/>
      <w:ind w:firstLine="0" w:firstLineChars="0"/>
      <w:jc w:val="center"/>
      <w:textAlignment w:val="baseline"/>
    </w:pPr>
    <w:rPr>
      <w:rFonts w:cs="宋体"/>
      <w:snapToGrid/>
      <w:kern w:val="2"/>
      <w:sz w:val="18"/>
      <w:szCs w:val="18"/>
    </w:rPr>
  </w:style>
  <w:style w:type="paragraph" w:customStyle="1" w:styleId="1711">
    <w:name w:val="表文2"/>
    <w:basedOn w:val="1691"/>
    <w:qFormat/>
    <w:uiPriority w:val="0"/>
    <w:pPr>
      <w:snapToGrid/>
      <w:spacing w:beforeLines="0" w:afterLines="0" w:line="240" w:lineRule="auto"/>
      <w:ind w:firstLine="200" w:firstLineChars="200"/>
      <w:jc w:val="right"/>
      <w:textAlignment w:val="baseline"/>
    </w:pPr>
    <w:rPr>
      <w:rFonts w:ascii="Calibri" w:hAnsi="Calibri"/>
      <w:color w:val="000000"/>
      <w:kern w:val="0"/>
      <w:sz w:val="18"/>
      <w:szCs w:val="18"/>
    </w:rPr>
  </w:style>
  <w:style w:type="paragraph" w:customStyle="1" w:styleId="1712">
    <w:name w:val="表文LA"/>
    <w:qFormat/>
    <w:uiPriority w:val="0"/>
    <w:pPr>
      <w:tabs>
        <w:tab w:val="left" w:pos="0"/>
      </w:tabs>
      <w:adjustRightInd w:val="0"/>
      <w:snapToGrid w:val="0"/>
      <w:spacing w:before="31" w:after="31"/>
      <w:jc w:val="center"/>
    </w:pPr>
    <w:rPr>
      <w:rFonts w:ascii="宋体" w:hAnsi="Times New Roman" w:eastAsia="宋体" w:cs="Times New Roman"/>
      <w:sz w:val="21"/>
      <w:lang w:val="en-US" w:eastAsia="zh-CN" w:bidi="ar-SA"/>
    </w:rPr>
  </w:style>
  <w:style w:type="paragraph" w:customStyle="1" w:styleId="1713">
    <w:name w:val="表文加粗"/>
    <w:basedOn w:val="1691"/>
    <w:next w:val="1691"/>
    <w:qFormat/>
    <w:uiPriority w:val="0"/>
    <w:pPr>
      <w:spacing w:beforeLines="0" w:afterLines="0" w:line="240" w:lineRule="auto"/>
      <w:jc w:val="both"/>
      <w:textAlignment w:val="baseline"/>
      <w:outlineLvl w:val="4"/>
    </w:pPr>
    <w:rPr>
      <w:rFonts w:ascii="Calibri" w:hAnsi="Calibri"/>
      <w:b/>
      <w:snapToGrid w:val="0"/>
      <w:kern w:val="0"/>
      <w:sz w:val="18"/>
      <w:szCs w:val="18"/>
    </w:rPr>
  </w:style>
  <w:style w:type="paragraph" w:customStyle="1" w:styleId="1714">
    <w:name w:val="表文居中"/>
    <w:basedOn w:val="1"/>
    <w:qFormat/>
    <w:uiPriority w:val="0"/>
    <w:pPr>
      <w:autoSpaceDE w:val="0"/>
      <w:autoSpaceDN w:val="0"/>
      <w:spacing w:line="240" w:lineRule="auto"/>
      <w:ind w:firstLine="0" w:firstLineChars="0"/>
      <w:jc w:val="center"/>
      <w:textAlignment w:val="baseline"/>
    </w:pPr>
    <w:rPr>
      <w:snapToGrid/>
      <w:sz w:val="21"/>
      <w:szCs w:val="20"/>
    </w:rPr>
  </w:style>
  <w:style w:type="paragraph" w:customStyle="1" w:styleId="1715">
    <w:name w:val="表文排版"/>
    <w:basedOn w:val="34"/>
    <w:qFormat/>
    <w:uiPriority w:val="0"/>
    <w:pPr>
      <w:spacing w:line="240" w:lineRule="auto"/>
      <w:jc w:val="center"/>
    </w:pPr>
    <w:rPr>
      <w:rFonts w:ascii="Calibri" w:hAnsi="Calibri"/>
      <w:snapToGrid/>
      <w:kern w:val="2"/>
      <w:sz w:val="22"/>
    </w:rPr>
  </w:style>
  <w:style w:type="paragraph" w:customStyle="1" w:styleId="1716">
    <w:name w:val="表文文"/>
    <w:basedOn w:val="1"/>
    <w:semiHidden/>
    <w:qFormat/>
    <w:uiPriority w:val="0"/>
    <w:pPr>
      <w:adjustRightInd/>
      <w:snapToGrid/>
      <w:spacing w:line="240" w:lineRule="exact"/>
      <w:ind w:firstLine="0" w:firstLineChars="0"/>
      <w:jc w:val="center"/>
    </w:pPr>
    <w:rPr>
      <w:rFonts w:ascii="宋体" w:hAnsi="宋体"/>
      <w:snapToGrid/>
      <w:color w:val="000000"/>
      <w:kern w:val="2"/>
      <w:sz w:val="18"/>
      <w:szCs w:val="18"/>
    </w:rPr>
  </w:style>
  <w:style w:type="paragraph" w:customStyle="1" w:styleId="1717">
    <w:name w:val="表文字"/>
    <w:link w:val="1718"/>
    <w:qFormat/>
    <w:uiPriority w:val="0"/>
    <w:pPr>
      <w:widowControl w:val="0"/>
      <w:adjustRightInd w:val="0"/>
      <w:spacing w:line="240" w:lineRule="exact"/>
      <w:jc w:val="center"/>
      <w:textAlignment w:val="baseline"/>
    </w:pPr>
    <w:rPr>
      <w:rFonts w:ascii="Times New Roman" w:hAnsi="Times New Roman" w:eastAsia="Times New Roman" w:cs="Times New Roman"/>
      <w:kern w:val="2"/>
      <w:sz w:val="21"/>
      <w:szCs w:val="21"/>
      <w:lang w:val="en-US" w:eastAsia="zh-CN" w:bidi="ar-SA"/>
    </w:rPr>
  </w:style>
  <w:style w:type="character" w:customStyle="1" w:styleId="1718">
    <w:name w:val="表文字 Char1"/>
    <w:link w:val="1717"/>
    <w:qFormat/>
    <w:uiPriority w:val="0"/>
    <w:rPr>
      <w:rFonts w:ascii="Times New Roman" w:hAnsi="Times New Roman" w:eastAsia="Times New Roman" w:cs="Times New Roman"/>
      <w:szCs w:val="21"/>
      <w14:ligatures w14:val="none"/>
    </w:rPr>
  </w:style>
  <w:style w:type="paragraph" w:customStyle="1" w:styleId="1719">
    <w:name w:val="表文字 Char"/>
    <w:basedOn w:val="1"/>
    <w:qFormat/>
    <w:uiPriority w:val="0"/>
    <w:pPr>
      <w:adjustRightInd/>
      <w:snapToGrid/>
      <w:spacing w:line="0" w:lineRule="atLeast"/>
      <w:ind w:firstLine="0" w:firstLineChars="0"/>
      <w:jc w:val="center"/>
    </w:pPr>
    <w:rPr>
      <w:rFonts w:ascii="宋体" w:hAnsi="宋体"/>
      <w:snapToGrid/>
      <w:kern w:val="2"/>
    </w:rPr>
  </w:style>
  <w:style w:type="character" w:customStyle="1" w:styleId="1720">
    <w:name w:val="表文字 Char Char"/>
    <w:qFormat/>
    <w:uiPriority w:val="0"/>
    <w:rPr>
      <w:rFonts w:eastAsia="汉鼎简书宋"/>
      <w:kern w:val="2"/>
      <w:sz w:val="21"/>
      <w:lang w:val="en-US" w:eastAsia="zh-CN"/>
    </w:rPr>
  </w:style>
  <w:style w:type="paragraph" w:customStyle="1" w:styleId="1721">
    <w:name w:val="环评正文"/>
    <w:basedOn w:val="1"/>
    <w:link w:val="1722"/>
    <w:qFormat/>
    <w:uiPriority w:val="0"/>
    <w:pPr>
      <w:adjustRightInd/>
      <w:snapToGrid/>
      <w:spacing w:line="480" w:lineRule="exact"/>
      <w:ind w:firstLine="520"/>
    </w:pPr>
    <w:rPr>
      <w:rFonts w:eastAsia="等线"/>
      <w:snapToGrid/>
      <w:kern w:val="2"/>
      <w:szCs w:val="22"/>
    </w:rPr>
  </w:style>
  <w:style w:type="character" w:customStyle="1" w:styleId="1722">
    <w:name w:val="环评正文 字符"/>
    <w:link w:val="1721"/>
    <w:qFormat/>
    <w:uiPriority w:val="0"/>
    <w:rPr>
      <w:rFonts w:ascii="Times New Roman" w:hAnsi="Times New Roman" w:eastAsia="等线" w:cs="Times New Roman"/>
      <w:sz w:val="26"/>
      <w14:ligatures w14:val="none"/>
    </w:rPr>
  </w:style>
  <w:style w:type="paragraph" w:customStyle="1" w:styleId="1723">
    <w:name w:val="表下注释"/>
    <w:basedOn w:val="1721"/>
    <w:qFormat/>
    <w:uiPriority w:val="0"/>
    <w:pPr>
      <w:keepNext/>
      <w:keepLines/>
      <w:adjustRightInd w:val="0"/>
      <w:snapToGrid w:val="0"/>
      <w:spacing w:before="60" w:after="60" w:line="240" w:lineRule="exact"/>
      <w:ind w:left="620" w:firstLine="200" w:firstLineChars="0"/>
      <w:jc w:val="center"/>
    </w:pPr>
    <w:rPr>
      <w:rFonts w:eastAsia="仿宋_GB2312"/>
      <w:bCs/>
      <w:snapToGrid w:val="0"/>
      <w:kern w:val="0"/>
      <w:sz w:val="21"/>
      <w:szCs w:val="44"/>
    </w:rPr>
  </w:style>
  <w:style w:type="paragraph" w:customStyle="1" w:styleId="1724">
    <w:name w:val="表芯"/>
    <w:basedOn w:val="1"/>
    <w:next w:val="1"/>
    <w:qFormat/>
    <w:uiPriority w:val="0"/>
    <w:pPr>
      <w:keepNext/>
      <w:snapToGrid/>
      <w:spacing w:line="0" w:lineRule="atLeast"/>
      <w:ind w:firstLine="0" w:firstLineChars="0"/>
      <w:jc w:val="center"/>
      <w:textAlignment w:val="baseline"/>
    </w:pPr>
    <w:rPr>
      <w:rFonts w:ascii="宋体" w:hAnsi="宋体"/>
      <w:bCs/>
      <w:snapToGrid/>
      <w:kern w:val="21"/>
      <w:sz w:val="21"/>
      <w:szCs w:val="20"/>
    </w:rPr>
  </w:style>
  <w:style w:type="paragraph" w:customStyle="1" w:styleId="1725">
    <w:name w:val="表样"/>
    <w:basedOn w:val="1"/>
    <w:qFormat/>
    <w:uiPriority w:val="0"/>
    <w:pPr>
      <w:spacing w:line="360" w:lineRule="auto"/>
      <w:ind w:firstLine="0" w:firstLineChars="0"/>
      <w:jc w:val="center"/>
      <w:textAlignment w:val="baseline"/>
    </w:pPr>
    <w:rPr>
      <w:snapToGrid/>
      <w:sz w:val="21"/>
      <w:szCs w:val="21"/>
    </w:rPr>
  </w:style>
  <w:style w:type="paragraph" w:customStyle="1" w:styleId="1726">
    <w:name w:val="表样式"/>
    <w:qFormat/>
    <w:uiPriority w:val="0"/>
    <w:pPr>
      <w:spacing w:beforeLines="50" w:afterLines="50"/>
      <w:jc w:val="center"/>
    </w:pPr>
    <w:rPr>
      <w:rFonts w:ascii="Times New Roman" w:hAnsi="Times New Roman" w:eastAsia="宋体" w:cs="Times New Roman"/>
      <w:sz w:val="28"/>
      <w:lang w:val="en-US" w:eastAsia="zh-CN" w:bidi="ar-SA"/>
    </w:rPr>
  </w:style>
  <w:style w:type="paragraph" w:customStyle="1" w:styleId="1727">
    <w:name w:val="表苡"/>
    <w:basedOn w:val="1"/>
    <w:link w:val="1728"/>
    <w:semiHidden/>
    <w:qFormat/>
    <w:uiPriority w:val="0"/>
    <w:pPr>
      <w:wordWrap w:val="0"/>
      <w:adjustRightInd/>
      <w:snapToGrid/>
      <w:spacing w:line="240" w:lineRule="exact"/>
      <w:ind w:firstLine="0" w:firstLineChars="0"/>
      <w:jc w:val="center"/>
    </w:pPr>
    <w:rPr>
      <w:rFonts w:ascii="宋体" w:hAnsi="宋体"/>
      <w:snapToGrid/>
      <w:kern w:val="2"/>
      <w:sz w:val="18"/>
      <w:szCs w:val="21"/>
    </w:rPr>
  </w:style>
  <w:style w:type="character" w:customStyle="1" w:styleId="1728">
    <w:name w:val="表苡 Char"/>
    <w:link w:val="1727"/>
    <w:semiHidden/>
    <w:qFormat/>
    <w:uiPriority w:val="0"/>
    <w:rPr>
      <w:rFonts w:ascii="宋体" w:hAnsi="宋体" w:eastAsia="宋体" w:cs="Times New Roman"/>
      <w:sz w:val="18"/>
      <w:szCs w:val="21"/>
      <w14:ligatures w14:val="none"/>
    </w:rPr>
  </w:style>
  <w:style w:type="paragraph" w:customStyle="1" w:styleId="1729">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1730">
    <w:name w:val="表中内容"/>
    <w:basedOn w:val="1"/>
    <w:qFormat/>
    <w:uiPriority w:val="0"/>
    <w:pPr>
      <w:adjustRightInd/>
      <w:snapToGrid/>
      <w:spacing w:line="240" w:lineRule="auto"/>
      <w:ind w:firstLine="0" w:firstLineChars="0"/>
      <w:jc w:val="center"/>
    </w:pPr>
    <w:rPr>
      <w:rFonts w:ascii="宋体" w:hAnsi="宋体"/>
      <w:w w:val="95"/>
      <w:sz w:val="21"/>
    </w:rPr>
  </w:style>
  <w:style w:type="paragraph" w:customStyle="1" w:styleId="1731">
    <w:name w:val="表中说明"/>
    <w:basedOn w:val="1"/>
    <w:semiHidden/>
    <w:qFormat/>
    <w:uiPriority w:val="0"/>
    <w:pPr>
      <w:adjustRightInd/>
      <w:snapToGrid/>
      <w:spacing w:line="240" w:lineRule="exact"/>
      <w:ind w:firstLine="0" w:firstLineChars="0"/>
      <w:jc w:val="center"/>
    </w:pPr>
    <w:rPr>
      <w:rFonts w:ascii="宋体" w:hAnsi="宋体"/>
      <w:kern w:val="2"/>
      <w:sz w:val="18"/>
      <w:szCs w:val="18"/>
    </w:rPr>
  </w:style>
  <w:style w:type="paragraph" w:customStyle="1" w:styleId="1732">
    <w:name w:val="表中文字"/>
    <w:basedOn w:val="1"/>
    <w:qFormat/>
    <w:uiPriority w:val="0"/>
    <w:pPr>
      <w:tabs>
        <w:tab w:val="left" w:pos="3286"/>
        <w:tab w:val="left" w:pos="8362"/>
      </w:tabs>
      <w:adjustRightInd/>
      <w:spacing w:line="340" w:lineRule="exact"/>
      <w:ind w:firstLine="0" w:firstLineChars="0"/>
      <w:jc w:val="center"/>
    </w:pPr>
    <w:rPr>
      <w:rFonts w:ascii="Arial" w:hAnsi="Arial" w:eastAsia="楷体_GB2312"/>
      <w:snapToGrid/>
      <w:kern w:val="2"/>
      <w:sz w:val="21"/>
      <w:szCs w:val="21"/>
      <w:shd w:val="clear" w:color="auto" w:fill="FFFFFF"/>
    </w:rPr>
  </w:style>
  <w:style w:type="paragraph" w:customStyle="1" w:styleId="1733">
    <w:name w:val="表中文字1"/>
    <w:basedOn w:val="1"/>
    <w:qFormat/>
    <w:uiPriority w:val="0"/>
    <w:pPr>
      <w:tabs>
        <w:tab w:val="left" w:pos="2412"/>
      </w:tabs>
      <w:adjustRightInd/>
      <w:snapToGrid/>
      <w:spacing w:line="240" w:lineRule="auto"/>
      <w:ind w:firstLine="0" w:firstLineChars="0"/>
      <w:jc w:val="center"/>
    </w:pPr>
    <w:rPr>
      <w:snapToGrid/>
      <w:kern w:val="2"/>
      <w:sz w:val="18"/>
      <w:szCs w:val="20"/>
    </w:rPr>
  </w:style>
  <w:style w:type="paragraph" w:customStyle="1" w:styleId="1734">
    <w:name w:val="表中文字2"/>
    <w:basedOn w:val="1733"/>
    <w:qFormat/>
    <w:uiPriority w:val="0"/>
    <w:pPr>
      <w:spacing w:line="360" w:lineRule="auto"/>
      <w:jc w:val="both"/>
    </w:pPr>
    <w:rPr>
      <w:kern w:val="0"/>
    </w:rPr>
  </w:style>
  <w:style w:type="paragraph" w:customStyle="1" w:styleId="1735">
    <w:name w:val="表中文字5"/>
    <w:basedOn w:val="1"/>
    <w:qFormat/>
    <w:uiPriority w:val="0"/>
    <w:pPr>
      <w:adjustRightInd/>
      <w:snapToGrid/>
      <w:spacing w:after="100" w:line="240" w:lineRule="auto"/>
      <w:ind w:right="-32" w:firstLine="0" w:firstLineChars="0"/>
      <w:jc w:val="center"/>
    </w:pPr>
    <w:rPr>
      <w:rFonts w:ascii="宋体"/>
      <w:snapToGrid/>
      <w:color w:val="000000"/>
      <w:kern w:val="2"/>
      <w:sz w:val="21"/>
      <w:szCs w:val="20"/>
    </w:rPr>
  </w:style>
  <w:style w:type="paragraph" w:customStyle="1" w:styleId="1736">
    <w:name w:val="表注"/>
    <w:basedOn w:val="1"/>
    <w:link w:val="1737"/>
    <w:qFormat/>
    <w:uiPriority w:val="0"/>
    <w:pPr>
      <w:tabs>
        <w:tab w:val="left" w:pos="425"/>
      </w:tabs>
      <w:overflowPunct w:val="0"/>
      <w:topLinePunct/>
      <w:autoSpaceDE w:val="0"/>
      <w:spacing w:afterLines="50" w:line="288" w:lineRule="auto"/>
      <w:ind w:left="425" w:hanging="425" w:firstLineChars="0"/>
      <w:jc w:val="center"/>
      <w:textAlignment w:val="baseline"/>
    </w:pPr>
    <w:rPr>
      <w:b/>
      <w:snapToGrid/>
      <w:spacing w:val="20"/>
      <w:sz w:val="28"/>
      <w:szCs w:val="20"/>
    </w:rPr>
  </w:style>
  <w:style w:type="character" w:customStyle="1" w:styleId="1737">
    <w:name w:val="表注 Char"/>
    <w:link w:val="1736"/>
    <w:qFormat/>
    <w:uiPriority w:val="0"/>
    <w:rPr>
      <w:rFonts w:ascii="Times New Roman" w:hAnsi="Times New Roman" w:eastAsia="宋体" w:cs="Times New Roman"/>
      <w:b/>
      <w:spacing w:val="20"/>
      <w:kern w:val="0"/>
      <w:sz w:val="28"/>
      <w:szCs w:val="20"/>
      <w14:ligatures w14:val="none"/>
    </w:rPr>
  </w:style>
  <w:style w:type="character" w:customStyle="1" w:styleId="1738">
    <w:name w:val="纯文本 字符"/>
    <w:semiHidden/>
    <w:qFormat/>
    <w:uiPriority w:val="0"/>
    <w:rPr>
      <w:rFonts w:ascii="等线" w:hAnsi="Courier New" w:eastAsia="等线" w:cs="Courier New"/>
      <w:sz w:val="24"/>
      <w:szCs w:val="24"/>
    </w:rPr>
  </w:style>
  <w:style w:type="character" w:customStyle="1" w:styleId="1739">
    <w:name w:val="纯文本 字符2"/>
    <w:link w:val="45"/>
    <w:qFormat/>
    <w:uiPriority w:val="0"/>
    <w:rPr>
      <w:rFonts w:ascii="宋体" w:hAnsi="Courier New" w:eastAsia="宋体" w:cs="Times New Roman"/>
      <w:szCs w:val="21"/>
      <w14:ligatures w14:val="none"/>
    </w:rPr>
  </w:style>
  <w:style w:type="paragraph" w:customStyle="1" w:styleId="1740">
    <w:name w:val="表注（自定义，小四）"/>
    <w:basedOn w:val="45"/>
    <w:autoRedefine/>
    <w:qFormat/>
    <w:uiPriority w:val="0"/>
    <w:pPr>
      <w:spacing w:line="360" w:lineRule="auto"/>
    </w:pPr>
    <w:rPr>
      <w:rFonts w:ascii="Century Gothic" w:hAnsi="Century Gothic" w:cs="宋体"/>
      <w:kern w:val="0"/>
      <w:sz w:val="20"/>
    </w:rPr>
  </w:style>
  <w:style w:type="character" w:customStyle="1" w:styleId="1741">
    <w:name w:val="不明显参考1"/>
    <w:qFormat/>
    <w:uiPriority w:val="0"/>
    <w:rPr>
      <w:smallCaps/>
      <w:color w:val="C0504D"/>
      <w:u w:val="single"/>
    </w:rPr>
  </w:style>
  <w:style w:type="character" w:customStyle="1" w:styleId="1742">
    <w:name w:val="不明显参考12"/>
    <w:qFormat/>
    <w:uiPriority w:val="0"/>
    <w:rPr>
      <w:rFonts w:cs="Times New Roman"/>
      <w:smallCaps/>
      <w:color w:val="C0504D"/>
      <w:u w:val="single"/>
    </w:rPr>
  </w:style>
  <w:style w:type="character" w:customStyle="1" w:styleId="1743">
    <w:name w:val="不明显参考11"/>
    <w:qFormat/>
    <w:uiPriority w:val="0"/>
    <w:rPr>
      <w:rFonts w:ascii="Calibri" w:hAnsi="Calibri" w:eastAsia="宋体" w:cs="Times New Roman"/>
      <w:i/>
      <w:iCs/>
      <w:color w:val="622423"/>
    </w:rPr>
  </w:style>
  <w:style w:type="character" w:customStyle="1" w:styleId="1744">
    <w:name w:val="不明显参考2"/>
    <w:qFormat/>
    <w:uiPriority w:val="0"/>
    <w:rPr>
      <w:rFonts w:ascii="Calibri" w:hAnsi="Calibri" w:eastAsia="宋体" w:cs="Times New Roman"/>
      <w:i/>
      <w:iCs/>
      <w:color w:val="622423"/>
    </w:rPr>
  </w:style>
  <w:style w:type="character" w:customStyle="1" w:styleId="1745">
    <w:name w:val="不明显强调1"/>
    <w:qFormat/>
    <w:uiPriority w:val="0"/>
    <w:rPr>
      <w:i/>
      <w:iCs/>
      <w:color w:val="808080"/>
    </w:rPr>
  </w:style>
  <w:style w:type="character" w:customStyle="1" w:styleId="1746">
    <w:name w:val="不明显强调12"/>
    <w:qFormat/>
    <w:uiPriority w:val="0"/>
    <w:rPr>
      <w:rFonts w:cs="Times New Roman"/>
      <w:i/>
      <w:iCs/>
      <w:color w:val="808080"/>
    </w:rPr>
  </w:style>
  <w:style w:type="character" w:customStyle="1" w:styleId="1747">
    <w:name w:val="不明显强调11"/>
    <w:qFormat/>
    <w:uiPriority w:val="0"/>
    <w:rPr>
      <w:rFonts w:cs="Times New Roman"/>
      <w:i/>
      <w:iCs/>
      <w:color w:val="808080"/>
    </w:rPr>
  </w:style>
  <w:style w:type="character" w:customStyle="1" w:styleId="1748">
    <w:name w:val="不明显强调2"/>
    <w:qFormat/>
    <w:uiPriority w:val="0"/>
    <w:rPr>
      <w:i/>
    </w:rPr>
  </w:style>
  <w:style w:type="paragraph" w:customStyle="1" w:styleId="1749">
    <w:name w:val="采子山表格"/>
    <w:basedOn w:val="1"/>
    <w:next w:val="34"/>
    <w:qFormat/>
    <w:uiPriority w:val="0"/>
    <w:pPr>
      <w:spacing w:line="0" w:lineRule="atLeast"/>
      <w:ind w:firstLine="0" w:firstLineChars="0"/>
      <w:jc w:val="center"/>
      <w:textAlignment w:val="baseline"/>
    </w:pPr>
    <w:rPr>
      <w:rFonts w:ascii="宋体" w:hAnsi="宋体"/>
      <w:bCs/>
      <w:snapToGrid/>
      <w:kern w:val="10"/>
      <w:sz w:val="21"/>
      <w:szCs w:val="21"/>
    </w:rPr>
  </w:style>
  <w:style w:type="table" w:customStyle="1" w:styleId="1750">
    <w:name w:val="彩色型 2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751">
    <w:name w:val="彩色型 2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752">
    <w:name w:val="彩色型 3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753">
    <w:name w:val="彩色型 3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paragraph" w:customStyle="1" w:styleId="1754">
    <w:name w:val="册除格式 Char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1755">
    <w:name w:val="插图"/>
    <w:basedOn w:val="1"/>
    <w:next w:val="1"/>
    <w:qFormat/>
    <w:uiPriority w:val="0"/>
    <w:pPr>
      <w:keepLines/>
      <w:snapToGrid/>
      <w:spacing w:after="300" w:line="567" w:lineRule="atLeast"/>
      <w:ind w:firstLine="0" w:firstLineChars="0"/>
      <w:jc w:val="center"/>
      <w:textAlignment w:val="baseline"/>
    </w:pPr>
    <w:rPr>
      <w:snapToGrid/>
      <w:spacing w:val="6"/>
      <w:szCs w:val="20"/>
    </w:rPr>
  </w:style>
  <w:style w:type="paragraph" w:customStyle="1" w:styleId="1756">
    <w:name w:val="插图标题"/>
    <w:basedOn w:val="1"/>
    <w:link w:val="1757"/>
    <w:qFormat/>
    <w:uiPriority w:val="0"/>
    <w:pPr>
      <w:ind w:firstLine="0" w:firstLineChars="0"/>
      <w:jc w:val="center"/>
    </w:pPr>
    <w:rPr>
      <w:b/>
    </w:rPr>
  </w:style>
  <w:style w:type="character" w:customStyle="1" w:styleId="1757">
    <w:name w:val="插图标题 Char"/>
    <w:link w:val="1756"/>
    <w:qFormat/>
    <w:uiPriority w:val="0"/>
    <w:rPr>
      <w:rFonts w:ascii="Times New Roman" w:hAnsi="Times New Roman" w:eastAsia="宋体" w:cs="Times New Roman"/>
      <w:b/>
      <w:snapToGrid w:val="0"/>
      <w:kern w:val="0"/>
      <w:sz w:val="26"/>
      <w:szCs w:val="24"/>
      <w14:ligatures w14:val="none"/>
    </w:rPr>
  </w:style>
  <w:style w:type="character" w:customStyle="1" w:styleId="1758">
    <w:name w:val="插图标题 Char Char"/>
    <w:qFormat/>
    <w:uiPriority w:val="0"/>
    <w:rPr>
      <w:rFonts w:eastAsia="宋体"/>
      <w:b/>
      <w:snapToGrid w:val="0"/>
      <w:sz w:val="24"/>
      <w:szCs w:val="24"/>
    </w:rPr>
  </w:style>
  <w:style w:type="character" w:customStyle="1" w:styleId="1759">
    <w:name w:val="超级链接"/>
    <w:qFormat/>
    <w:uiPriority w:val="0"/>
    <w:rPr>
      <w:rFonts w:ascii="Times New Roman" w:eastAsia="宋体"/>
      <w:color w:val="0000FF"/>
      <w:spacing w:val="0"/>
      <w:w w:val="100"/>
      <w:sz w:val="21"/>
      <w:u w:val="single" w:color="0000FF"/>
      <w:vertAlign w:val="baseline"/>
      <w:lang w:val="en-US" w:eastAsia="zh-CN"/>
    </w:rPr>
  </w:style>
  <w:style w:type="character" w:customStyle="1" w:styleId="1760">
    <w:name w:val="超链接2"/>
    <w:qFormat/>
    <w:uiPriority w:val="0"/>
    <w:rPr>
      <w:color w:val="000000"/>
      <w:u w:val="none"/>
    </w:rPr>
  </w:style>
  <w:style w:type="character" w:customStyle="1" w:styleId="1761">
    <w:name w:val="称呼 字符"/>
    <w:semiHidden/>
    <w:qFormat/>
    <w:uiPriority w:val="0"/>
    <w:rPr>
      <w:snapToGrid w:val="0"/>
      <w:sz w:val="24"/>
      <w:szCs w:val="24"/>
    </w:rPr>
  </w:style>
  <w:style w:type="character" w:customStyle="1" w:styleId="1762">
    <w:name w:val="称呼 字符2"/>
    <w:link w:val="30"/>
    <w:qFormat/>
    <w:uiPriority w:val="0"/>
    <w:rPr>
      <w:rFonts w:ascii="Times New Roman" w:hAnsi="Times New Roman" w:eastAsia="宋体" w:cs="Times New Roman"/>
      <w:snapToGrid w:val="0"/>
      <w:kern w:val="0"/>
      <w:sz w:val="26"/>
      <w:szCs w:val="24"/>
      <w14:ligatures w14:val="none"/>
    </w:rPr>
  </w:style>
  <w:style w:type="character" w:customStyle="1" w:styleId="1763">
    <w:name w:val="称呼 Char1"/>
    <w:semiHidden/>
    <w:qFormat/>
    <w:uiPriority w:val="0"/>
    <w:rPr>
      <w:rFonts w:ascii="Times New Roman" w:hAnsi="Times New Roman"/>
      <w:kern w:val="2"/>
      <w:sz w:val="26"/>
      <w:szCs w:val="22"/>
    </w:rPr>
  </w:style>
  <w:style w:type="character" w:customStyle="1" w:styleId="1764">
    <w:name w:val="称呼 字符1"/>
    <w:semiHidden/>
    <w:qFormat/>
    <w:uiPriority w:val="0"/>
    <w:rPr>
      <w:sz w:val="24"/>
      <w:szCs w:val="24"/>
    </w:rPr>
  </w:style>
  <w:style w:type="paragraph" w:customStyle="1" w:styleId="1765">
    <w:name w:val="称呼1"/>
    <w:basedOn w:val="1"/>
    <w:next w:val="1"/>
    <w:qFormat/>
    <w:uiPriority w:val="0"/>
    <w:pPr>
      <w:spacing w:before="31"/>
    </w:pPr>
    <w:rPr>
      <w:rFonts w:ascii="Calibri" w:hAnsi="Calibri"/>
    </w:rPr>
  </w:style>
  <w:style w:type="character" w:customStyle="1" w:styleId="1766">
    <w:name w:val="纯文 Char"/>
    <w:qFormat/>
    <w:uiPriority w:val="0"/>
    <w:rPr>
      <w:rFonts w:ascii="宋体" w:hAnsi="Courier New" w:eastAsia="宋体"/>
      <w:kern w:val="2"/>
      <w:sz w:val="28"/>
      <w:lang w:val="en-US" w:eastAsia="zh-CN" w:bidi="ar-SA"/>
    </w:rPr>
  </w:style>
  <w:style w:type="character" w:customStyle="1" w:styleId="1767">
    <w:name w:val="纯文本 Char Char2"/>
    <w:qFormat/>
    <w:uiPriority w:val="0"/>
    <w:rPr>
      <w:rFonts w:ascii="宋体" w:hAnsi="Courier New"/>
      <w:sz w:val="21"/>
      <w:lang w:val="en-US" w:eastAsia="zh-CN"/>
    </w:rPr>
  </w:style>
  <w:style w:type="character" w:customStyle="1" w:styleId="1768">
    <w:name w:val="纯文本 Char1"/>
    <w:qFormat/>
    <w:uiPriority w:val="0"/>
    <w:rPr>
      <w:rFonts w:ascii="宋体" w:hAnsi="Courier New" w:cs="Courier New"/>
      <w:b/>
      <w:szCs w:val="21"/>
    </w:rPr>
  </w:style>
  <w:style w:type="character" w:customStyle="1" w:styleId="1769">
    <w:name w:val="纯文本 Char2"/>
    <w:qFormat/>
    <w:uiPriority w:val="99"/>
    <w:rPr>
      <w:rFonts w:ascii="宋体" w:hAnsi="Times New Roman"/>
      <w:kern w:val="2"/>
      <w:sz w:val="21"/>
    </w:rPr>
  </w:style>
  <w:style w:type="character" w:customStyle="1" w:styleId="1770">
    <w:name w:val="纯文本 字符1"/>
    <w:semiHidden/>
    <w:qFormat/>
    <w:locked/>
    <w:uiPriority w:val="0"/>
    <w:rPr>
      <w:rFonts w:ascii="宋体" w:hAnsi="Courier New"/>
      <w:kern w:val="2"/>
      <w:sz w:val="21"/>
      <w:szCs w:val="21"/>
    </w:rPr>
  </w:style>
  <w:style w:type="paragraph" w:customStyle="1" w:styleId="1771">
    <w:name w:val="纯文本1"/>
    <w:basedOn w:val="1"/>
    <w:qFormat/>
    <w:uiPriority w:val="0"/>
    <w:pPr>
      <w:spacing w:line="240" w:lineRule="auto"/>
      <w:ind w:firstLine="0" w:firstLineChars="0"/>
    </w:pPr>
    <w:rPr>
      <w:rFonts w:ascii="宋体" w:hAnsi="Courier New"/>
      <w:snapToGrid/>
      <w:sz w:val="20"/>
      <w:szCs w:val="21"/>
    </w:rPr>
  </w:style>
  <w:style w:type="paragraph" w:customStyle="1" w:styleId="1772">
    <w:name w:val="纯文本11"/>
    <w:basedOn w:val="1"/>
    <w:qFormat/>
    <w:uiPriority w:val="0"/>
    <w:pPr>
      <w:snapToGrid/>
      <w:spacing w:line="240" w:lineRule="auto"/>
      <w:ind w:firstLine="0" w:firstLineChars="0"/>
      <w:textAlignment w:val="baseline"/>
    </w:pPr>
    <w:rPr>
      <w:rFonts w:ascii="宋体"/>
      <w:snapToGrid/>
      <w:sz w:val="21"/>
      <w:szCs w:val="20"/>
    </w:rPr>
  </w:style>
  <w:style w:type="character" w:customStyle="1" w:styleId="1773">
    <w:name w:val="纯文本3"/>
    <w:qFormat/>
    <w:uiPriority w:val="0"/>
    <w:rPr>
      <w:rFonts w:ascii="宋体" w:hAnsi="Courier New" w:eastAsia="宋体" w:cs="Courier New"/>
      <w:sz w:val="21"/>
      <w:szCs w:val="21"/>
      <w:lang w:val="en-US" w:eastAsia="zh-CN" w:bidi="ar-SA"/>
    </w:rPr>
  </w:style>
  <w:style w:type="paragraph" w:customStyle="1" w:styleId="1774">
    <w:name w:val="大纲正文"/>
    <w:basedOn w:val="1"/>
    <w:link w:val="1775"/>
    <w:qFormat/>
    <w:uiPriority w:val="0"/>
    <w:pPr>
      <w:widowControl/>
      <w:spacing w:afterLines="50" w:line="300" w:lineRule="auto"/>
      <w:ind w:firstLine="480"/>
    </w:pPr>
    <w:rPr>
      <w:snapToGrid/>
      <w:kern w:val="2"/>
      <w:szCs w:val="20"/>
    </w:rPr>
  </w:style>
  <w:style w:type="character" w:customStyle="1" w:styleId="1775">
    <w:name w:val="大纲正文 Char"/>
    <w:link w:val="1774"/>
    <w:qFormat/>
    <w:uiPriority w:val="0"/>
    <w:rPr>
      <w:rFonts w:ascii="Times New Roman" w:hAnsi="Times New Roman" w:eastAsia="宋体" w:cs="Times New Roman"/>
      <w:sz w:val="26"/>
      <w:szCs w:val="20"/>
      <w14:ligatures w14:val="none"/>
    </w:rPr>
  </w:style>
  <w:style w:type="character" w:customStyle="1" w:styleId="1776">
    <w:name w:val="大纲正文 Char Char"/>
    <w:qFormat/>
    <w:uiPriority w:val="0"/>
    <w:rPr>
      <w:rFonts w:eastAsia="宋体" w:cs="宋体"/>
      <w:sz w:val="24"/>
    </w:rPr>
  </w:style>
  <w:style w:type="paragraph" w:customStyle="1" w:styleId="1777">
    <w:name w:val="大岗山正文文字"/>
    <w:basedOn w:val="34"/>
    <w:qFormat/>
    <w:uiPriority w:val="0"/>
    <w:pPr>
      <w:tabs>
        <w:tab w:val="left" w:pos="630"/>
        <w:tab w:val="left" w:pos="8925"/>
      </w:tabs>
      <w:adjustRightInd/>
      <w:snapToGrid/>
      <w:spacing w:line="360" w:lineRule="auto"/>
      <w:ind w:firstLine="480" w:firstLineChars="200"/>
    </w:pPr>
    <w:rPr>
      <w:rFonts w:ascii="Calibri" w:hAnsi="Calibri"/>
      <w:snapToGrid/>
      <w:kern w:val="2"/>
    </w:rPr>
  </w:style>
  <w:style w:type="paragraph" w:customStyle="1" w:styleId="1778">
    <w:name w:val="大岗山正文样式"/>
    <w:basedOn w:val="1"/>
    <w:qFormat/>
    <w:uiPriority w:val="0"/>
    <w:pPr>
      <w:adjustRightInd/>
      <w:snapToGrid/>
      <w:spacing w:line="360" w:lineRule="auto"/>
      <w:ind w:firstLine="560"/>
    </w:pPr>
    <w:rPr>
      <w:snapToGrid/>
      <w:kern w:val="2"/>
      <w:szCs w:val="20"/>
    </w:rPr>
  </w:style>
  <w:style w:type="character" w:customStyle="1" w:styleId="1779">
    <w:name w:val="大一点 Char"/>
    <w:qFormat/>
    <w:uiPriority w:val="9"/>
    <w:rPr>
      <w:rFonts w:eastAsia="宋体"/>
      <w:b/>
      <w:bCs/>
      <w:kern w:val="2"/>
      <w:sz w:val="32"/>
      <w:szCs w:val="32"/>
      <w:lang w:val="en-US" w:eastAsia="zh-CN" w:bidi="ar-SA"/>
    </w:rPr>
  </w:style>
  <w:style w:type="character" w:customStyle="1" w:styleId="1780">
    <w:name w:val="大一点 Char Char"/>
    <w:qFormat/>
    <w:uiPriority w:val="0"/>
    <w:rPr>
      <w:rFonts w:ascii="Times New Roman" w:hAnsi="Times New Roman" w:cs="Times New Roman"/>
      <w:b/>
      <w:bCs/>
      <w:kern w:val="2"/>
      <w:sz w:val="32"/>
      <w:szCs w:val="32"/>
    </w:rPr>
  </w:style>
  <w:style w:type="character" w:customStyle="1" w:styleId="1781">
    <w:name w:val="大一点 Char Char1"/>
    <w:qFormat/>
    <w:uiPriority w:val="0"/>
    <w:rPr>
      <w:rFonts w:ascii="宋体" w:hAnsi="宋体" w:eastAsia="宋体" w:cs="宋体"/>
      <w:b/>
      <w:bCs/>
      <w:color w:val="CC0000"/>
      <w:sz w:val="24"/>
      <w:szCs w:val="24"/>
      <w:lang w:val="en-US" w:eastAsia="zh-CN" w:bidi="ar-SA"/>
    </w:rPr>
  </w:style>
  <w:style w:type="paragraph" w:customStyle="1" w:styleId="1782">
    <w:name w:val="待定正文"/>
    <w:basedOn w:val="1"/>
    <w:qFormat/>
    <w:uiPriority w:val="0"/>
    <w:pPr>
      <w:adjustRightInd/>
      <w:snapToGrid/>
      <w:spacing w:line="360" w:lineRule="auto"/>
      <w:ind w:firstLine="480"/>
    </w:pPr>
    <w:rPr>
      <w:rFonts w:ascii="宋体" w:hAnsi="宋体"/>
      <w:color w:val="FF0000"/>
    </w:rPr>
  </w:style>
  <w:style w:type="paragraph" w:customStyle="1" w:styleId="1783">
    <w:name w:val="单位"/>
    <w:basedOn w:val="1"/>
    <w:autoRedefine/>
    <w:qFormat/>
    <w:uiPriority w:val="0"/>
    <w:pPr>
      <w:spacing w:after="120" w:line="0" w:lineRule="atLeast"/>
      <w:ind w:firstLine="595"/>
      <w:jc w:val="right"/>
    </w:pPr>
    <w:rPr>
      <w:rFonts w:eastAsia="黑体"/>
      <w:snapToGrid/>
      <w:color w:val="000000"/>
      <w:szCs w:val="20"/>
    </w:rPr>
  </w:style>
  <w:style w:type="paragraph" w:customStyle="1" w:styleId="1784">
    <w:name w:val="单位表号"/>
    <w:basedOn w:val="1"/>
    <w:link w:val="1785"/>
    <w:semiHidden/>
    <w:qFormat/>
    <w:uiPriority w:val="0"/>
    <w:pPr>
      <w:adjustRightInd/>
      <w:snapToGrid/>
      <w:spacing w:line="240" w:lineRule="auto"/>
      <w:ind w:firstLine="0" w:firstLineChars="0"/>
      <w:jc w:val="right"/>
    </w:pPr>
    <w:rPr>
      <w:rFonts w:ascii="宋体"/>
      <w:b/>
      <w:bCs/>
      <w:snapToGrid/>
      <w:kern w:val="2"/>
      <w:sz w:val="21"/>
      <w:szCs w:val="21"/>
    </w:rPr>
  </w:style>
  <w:style w:type="character" w:customStyle="1" w:styleId="1785">
    <w:name w:val="单位表号 Char"/>
    <w:link w:val="1784"/>
    <w:semiHidden/>
    <w:qFormat/>
    <w:uiPriority w:val="0"/>
    <w:rPr>
      <w:rFonts w:ascii="宋体" w:hAnsi="Times New Roman" w:eastAsia="宋体" w:cs="Times New Roman"/>
      <w:b/>
      <w:bCs/>
      <w:szCs w:val="21"/>
      <w14:ligatures w14:val="none"/>
    </w:rPr>
  </w:style>
  <w:style w:type="paragraph" w:customStyle="1" w:styleId="1786">
    <w:name w:val="地告正文"/>
    <w:basedOn w:val="1"/>
    <w:qFormat/>
    <w:uiPriority w:val="0"/>
    <w:pPr>
      <w:spacing w:line="620" w:lineRule="atLeast"/>
    </w:pPr>
    <w:rPr>
      <w:snapToGrid/>
      <w:kern w:val="2"/>
      <w:sz w:val="28"/>
    </w:rPr>
  </w:style>
  <w:style w:type="character" w:customStyle="1" w:styleId="1787">
    <w:name w:val="第 章 Char"/>
    <w:qFormat/>
    <w:uiPriority w:val="0"/>
    <w:rPr>
      <w:rFonts w:eastAsia="宋体"/>
      <w:b/>
      <w:bCs/>
      <w:color w:val="000000"/>
      <w:kern w:val="2"/>
      <w:sz w:val="24"/>
      <w:szCs w:val="32"/>
      <w:lang w:val="en-US" w:eastAsia="zh-CN" w:bidi="ar-SA"/>
    </w:rPr>
  </w:style>
  <w:style w:type="paragraph" w:customStyle="1" w:styleId="1788">
    <w:name w:val="第一章"/>
    <w:basedOn w:val="1"/>
    <w:semiHidden/>
    <w:qFormat/>
    <w:uiPriority w:val="0"/>
    <w:pPr>
      <w:adjustRightInd/>
      <w:snapToGrid/>
      <w:spacing w:beforeLines="50" w:afterLines="50" w:line="240" w:lineRule="auto"/>
      <w:ind w:firstLine="0" w:firstLineChars="0"/>
      <w:jc w:val="center"/>
      <w:outlineLvl w:val="0"/>
    </w:pPr>
    <w:rPr>
      <w:rFonts w:ascii="黑体" w:hAnsi="宋体"/>
      <w:b/>
      <w:snapToGrid/>
      <w:kern w:val="2"/>
      <w:sz w:val="32"/>
    </w:rPr>
  </w:style>
  <w:style w:type="table" w:customStyle="1" w:styleId="1789">
    <w:name w:val="典雅型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l2br w:val="nil"/>
          <w:tr2bl w:val="nil"/>
        </w:tcBorders>
      </w:tcPr>
    </w:tblStylePr>
  </w:style>
  <w:style w:type="table" w:customStyle="1" w:styleId="1790">
    <w:name w:val="典雅型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l2br w:val="nil"/>
          <w:tr2bl w:val="nil"/>
        </w:tcBorders>
      </w:tcPr>
    </w:tblStylePr>
  </w:style>
  <w:style w:type="paragraph" w:customStyle="1" w:styleId="1791">
    <w:name w:val="点项目"/>
    <w:qFormat/>
    <w:uiPriority w:val="0"/>
    <w:pPr>
      <w:widowControl w:val="0"/>
      <w:tabs>
        <w:tab w:val="left" w:pos="360"/>
        <w:tab w:val="left" w:pos="1134"/>
      </w:tabs>
      <w:overflowPunct w:val="0"/>
      <w:topLinePunct/>
      <w:autoSpaceDE w:val="0"/>
      <w:adjustRightInd w:val="0"/>
      <w:snapToGrid w:val="0"/>
      <w:spacing w:before="60" w:afterLines="50" w:line="288" w:lineRule="auto"/>
      <w:ind w:left="737" w:hanging="317"/>
      <w:jc w:val="both"/>
    </w:pPr>
    <w:rPr>
      <w:rFonts w:ascii="Times New Roman" w:hAnsi="Times New Roman" w:eastAsia="宋体" w:cs="Times New Roman"/>
      <w:b/>
      <w:bCs/>
      <w:spacing w:val="16"/>
      <w:kern w:val="2"/>
      <w:sz w:val="24"/>
      <w:lang w:val="en-US" w:eastAsia="zh-CN" w:bidi="ar-SA"/>
    </w:rPr>
  </w:style>
  <w:style w:type="paragraph" w:customStyle="1" w:styleId="1792">
    <w:name w:val="电镀表"/>
    <w:basedOn w:val="1"/>
    <w:qFormat/>
    <w:uiPriority w:val="0"/>
    <w:pPr>
      <w:autoSpaceDE w:val="0"/>
      <w:autoSpaceDN w:val="0"/>
      <w:snapToGrid/>
      <w:spacing w:line="0" w:lineRule="atLeast"/>
      <w:ind w:firstLine="0" w:firstLineChars="0"/>
      <w:jc w:val="center"/>
      <w:textAlignment w:val="center"/>
    </w:pPr>
    <w:rPr>
      <w:rFonts w:ascii="宋体" w:hAnsi="宋体" w:cs="Arial Unicode MS"/>
      <w:snapToGrid/>
      <w:color w:val="000000"/>
      <w:sz w:val="21"/>
      <w:szCs w:val="21"/>
    </w:rPr>
  </w:style>
  <w:style w:type="character" w:customStyle="1" w:styleId="1793">
    <w:name w:val="电脑标志 Char Char"/>
    <w:qFormat/>
    <w:uiPriority w:val="0"/>
    <w:rPr>
      <w:rFonts w:ascii="宋体" w:hAnsi="宋体" w:eastAsia="宋体"/>
      <w:b/>
      <w:kern w:val="2"/>
      <w:sz w:val="24"/>
      <w:lang w:val="en-US" w:eastAsia="zh-CN" w:bidi="ar-SA"/>
    </w:rPr>
  </w:style>
  <w:style w:type="character" w:customStyle="1" w:styleId="1794">
    <w:name w:val="电脑标志 Char1"/>
    <w:qFormat/>
    <w:uiPriority w:val="0"/>
    <w:rPr>
      <w:rFonts w:ascii="Times New Roman" w:hAnsi="Times New Roman" w:eastAsia="黑体"/>
      <w:b/>
      <w:sz w:val="28"/>
      <w:szCs w:val="32"/>
    </w:rPr>
  </w:style>
  <w:style w:type="character" w:customStyle="1" w:styleId="1795">
    <w:name w:val="电子邮件签名 字符"/>
    <w:semiHidden/>
    <w:qFormat/>
    <w:uiPriority w:val="0"/>
    <w:rPr>
      <w:snapToGrid w:val="0"/>
      <w:sz w:val="24"/>
      <w:szCs w:val="24"/>
    </w:rPr>
  </w:style>
  <w:style w:type="character" w:customStyle="1" w:styleId="1796">
    <w:name w:val="电子邮件签名 字符2"/>
    <w:link w:val="19"/>
    <w:qFormat/>
    <w:uiPriority w:val="0"/>
    <w:rPr>
      <w:rFonts w:ascii="Times New Roman" w:hAnsi="Times New Roman" w:eastAsia="宋体" w:cs="Times New Roman"/>
      <w:snapToGrid w:val="0"/>
      <w:kern w:val="0"/>
      <w:sz w:val="26"/>
      <w:szCs w:val="24"/>
      <w14:ligatures w14:val="none"/>
    </w:rPr>
  </w:style>
  <w:style w:type="character" w:customStyle="1" w:styleId="1797">
    <w:name w:val="电子邮件签名 Char1"/>
    <w:semiHidden/>
    <w:qFormat/>
    <w:uiPriority w:val="0"/>
    <w:rPr>
      <w:rFonts w:ascii="Times New Roman" w:hAnsi="Times New Roman"/>
      <w:kern w:val="2"/>
      <w:sz w:val="26"/>
      <w:szCs w:val="22"/>
    </w:rPr>
  </w:style>
  <w:style w:type="character" w:customStyle="1" w:styleId="1798">
    <w:name w:val="电子邮件签名 字符1"/>
    <w:semiHidden/>
    <w:qFormat/>
    <w:uiPriority w:val="0"/>
    <w:rPr>
      <w:sz w:val="24"/>
      <w:szCs w:val="24"/>
    </w:rPr>
  </w:style>
  <w:style w:type="paragraph" w:customStyle="1" w:styleId="1799">
    <w:name w:val="电子邮件签名1"/>
    <w:basedOn w:val="1"/>
    <w:qFormat/>
    <w:uiPriority w:val="0"/>
    <w:pPr>
      <w:spacing w:before="31"/>
    </w:pPr>
    <w:rPr>
      <w:rFonts w:ascii="Calibri" w:hAnsi="Calibri"/>
    </w:rPr>
  </w:style>
  <w:style w:type="paragraph" w:customStyle="1" w:styleId="180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1">
    <w:name w:val="段落"/>
    <w:basedOn w:val="1"/>
    <w:link w:val="1802"/>
    <w:qFormat/>
    <w:uiPriority w:val="0"/>
    <w:pPr>
      <w:adjustRightInd/>
      <w:snapToGrid/>
      <w:spacing w:line="360" w:lineRule="auto"/>
    </w:pPr>
    <w:rPr>
      <w:rFonts w:hAnsi="宋体"/>
      <w:bCs/>
      <w:snapToGrid/>
    </w:rPr>
  </w:style>
  <w:style w:type="character" w:customStyle="1" w:styleId="1802">
    <w:name w:val="段落 Char"/>
    <w:link w:val="1801"/>
    <w:qFormat/>
    <w:uiPriority w:val="0"/>
    <w:rPr>
      <w:rFonts w:ascii="Times New Roman" w:hAnsi="宋体" w:eastAsia="宋体" w:cs="Times New Roman"/>
      <w:bCs/>
      <w:kern w:val="0"/>
      <w:sz w:val="26"/>
      <w:szCs w:val="24"/>
      <w14:ligatures w14:val="none"/>
    </w:rPr>
  </w:style>
  <w:style w:type="paragraph" w:customStyle="1" w:styleId="1803">
    <w:name w:val="段落1"/>
    <w:basedOn w:val="35"/>
    <w:qFormat/>
    <w:uiPriority w:val="0"/>
    <w:pPr>
      <w:snapToGrid/>
      <w:spacing w:line="360" w:lineRule="auto"/>
      <w:ind w:firstLine="525" w:firstLineChars="0"/>
      <w:textAlignment w:val="baseline"/>
    </w:pPr>
    <w:rPr>
      <w:rFonts w:ascii="宋体" w:hAnsi="Calibri"/>
      <w:snapToGrid/>
      <w:szCs w:val="20"/>
    </w:rPr>
  </w:style>
  <w:style w:type="character" w:customStyle="1" w:styleId="1804">
    <w:name w:val="正文文本缩进 2 字符"/>
    <w:semiHidden/>
    <w:qFormat/>
    <w:uiPriority w:val="0"/>
    <w:rPr>
      <w:snapToGrid/>
      <w:sz w:val="24"/>
      <w:szCs w:val="24"/>
    </w:rPr>
  </w:style>
  <w:style w:type="character" w:customStyle="1" w:styleId="1805">
    <w:name w:val="正文文本缩进 2 字符3"/>
    <w:link w:val="51"/>
    <w:qFormat/>
    <w:uiPriority w:val="0"/>
    <w:rPr>
      <w:rFonts w:ascii="Times New Roman" w:hAnsi="Times New Roman" w:eastAsia="宋体" w:cs="Times New Roman"/>
      <w:snapToGrid w:val="0"/>
      <w:color w:val="000000"/>
      <w:kern w:val="0"/>
      <w:sz w:val="26"/>
      <w:szCs w:val="24"/>
      <w14:ligatures w14:val="none"/>
    </w:rPr>
  </w:style>
  <w:style w:type="paragraph" w:customStyle="1" w:styleId="1806">
    <w:name w:val="段落编号"/>
    <w:basedOn w:val="51"/>
    <w:qFormat/>
    <w:uiPriority w:val="0"/>
    <w:pPr>
      <w:tabs>
        <w:tab w:val="left" w:pos="360"/>
      </w:tabs>
      <w:snapToGrid/>
      <w:spacing w:after="60" w:line="400" w:lineRule="exact"/>
      <w:ind w:left="340" w:hanging="340" w:firstLineChars="0"/>
      <w:jc w:val="center"/>
      <w:textAlignment w:val="baseline"/>
    </w:pPr>
    <w:rPr>
      <w:rFonts w:ascii="Calibri" w:hAnsi="Calibri"/>
      <w:snapToGrid/>
      <w:color w:val="auto"/>
      <w:spacing w:val="20"/>
      <w:szCs w:val="20"/>
    </w:rPr>
  </w:style>
  <w:style w:type="character" w:customStyle="1" w:styleId="1807">
    <w:name w:val="段前: 8 磅2 Char C"/>
    <w:qFormat/>
    <w:uiPriority w:val="0"/>
    <w:rPr>
      <w:rFonts w:ascii="黑体" w:hAnsi="宋体" w:eastAsia="黑体"/>
      <w:b/>
      <w:bCs/>
      <w:spacing w:val="5"/>
      <w:sz w:val="24"/>
      <w:szCs w:val="28"/>
      <w:lang w:val="en-US" w:eastAsia="zh-CN" w:bidi="ar-SA"/>
    </w:rPr>
  </w:style>
  <w:style w:type="paragraph" w:customStyle="1" w:styleId="1808">
    <w:name w:val="段中"/>
    <w:link w:val="1809"/>
    <w:qFormat/>
    <w:uiPriority w:val="0"/>
    <w:pPr>
      <w:widowControl w:val="0"/>
      <w:adjustRightInd w:val="0"/>
      <w:snapToGrid w:val="0"/>
      <w:spacing w:beforeLines="30" w:line="460" w:lineRule="exact"/>
      <w:ind w:firstLine="480" w:firstLineChars="200"/>
      <w:jc w:val="both"/>
    </w:pPr>
    <w:rPr>
      <w:rFonts w:ascii="宋体" w:hAnsi="Times New Roman" w:eastAsia="宋体" w:cs="Times New Roman"/>
      <w:sz w:val="24"/>
      <w:szCs w:val="24"/>
      <w:lang w:val="en-US" w:eastAsia="zh-CN" w:bidi="ar-SA"/>
    </w:rPr>
  </w:style>
  <w:style w:type="character" w:customStyle="1" w:styleId="1809">
    <w:name w:val="段中 Char Char"/>
    <w:link w:val="1808"/>
    <w:qFormat/>
    <w:uiPriority w:val="0"/>
    <w:rPr>
      <w:rFonts w:ascii="宋体" w:hAnsi="Times New Roman" w:eastAsia="宋体" w:cs="Times New Roman"/>
      <w:kern w:val="0"/>
      <w:sz w:val="24"/>
      <w:szCs w:val="24"/>
      <w14:ligatures w14:val="none"/>
    </w:rPr>
  </w:style>
  <w:style w:type="paragraph" w:customStyle="1" w:styleId="1810">
    <w:name w:val="一级标题"/>
    <w:basedOn w:val="1"/>
    <w:next w:val="1721"/>
    <w:autoRedefine/>
    <w:qFormat/>
    <w:uiPriority w:val="0"/>
    <w:pPr>
      <w:pageBreakBefore/>
      <w:adjustRightInd/>
      <w:snapToGrid/>
      <w:spacing w:afterLines="100" w:line="480" w:lineRule="exact"/>
      <w:ind w:left="1701" w:firstLine="0" w:firstLineChars="0"/>
      <w:jc w:val="center"/>
      <w:outlineLvl w:val="0"/>
    </w:pPr>
    <w:rPr>
      <w:rFonts w:eastAsia="等线"/>
      <w:b/>
      <w:snapToGrid/>
      <w:kern w:val="2"/>
      <w:sz w:val="30"/>
      <w:szCs w:val="22"/>
    </w:rPr>
  </w:style>
  <w:style w:type="paragraph" w:customStyle="1" w:styleId="1811">
    <w:name w:val="二级标题"/>
    <w:basedOn w:val="1810"/>
    <w:next w:val="1721"/>
    <w:link w:val="1812"/>
    <w:autoRedefine/>
    <w:qFormat/>
    <w:uiPriority w:val="0"/>
    <w:pPr>
      <w:pageBreakBefore w:val="0"/>
      <w:spacing w:afterLines="0"/>
      <w:ind w:left="0"/>
      <w:jc w:val="left"/>
      <w:outlineLvl w:val="1"/>
    </w:pPr>
    <w:rPr>
      <w:rFonts w:eastAsia="宋体"/>
      <w:sz w:val="26"/>
    </w:rPr>
  </w:style>
  <w:style w:type="character" w:customStyle="1" w:styleId="1812">
    <w:name w:val="二级标题 字符"/>
    <w:link w:val="1811"/>
    <w:qFormat/>
    <w:uiPriority w:val="0"/>
    <w:rPr>
      <w:rFonts w:ascii="Times New Roman" w:hAnsi="Times New Roman" w:eastAsia="宋体" w:cs="Times New Roman"/>
      <w:b/>
      <w:sz w:val="26"/>
      <w14:ligatures w14:val="none"/>
    </w:rPr>
  </w:style>
  <w:style w:type="paragraph" w:customStyle="1" w:styleId="1813">
    <w:name w:val="二级标题 + 段前: 4 行"/>
    <w:basedOn w:val="1811"/>
    <w:autoRedefine/>
    <w:qFormat/>
    <w:uiPriority w:val="0"/>
    <w:pPr>
      <w:keepNext/>
      <w:keepLines/>
      <w:spacing w:before="400" w:line="360" w:lineRule="auto"/>
      <w:jc w:val="both"/>
    </w:pPr>
    <w:rPr>
      <w:rFonts w:ascii="宋体" w:hAnsi="宋体" w:eastAsia="黑体" w:cs="宋体"/>
      <w:b w:val="0"/>
      <w:bCs/>
      <w:sz w:val="28"/>
      <w:szCs w:val="20"/>
    </w:rPr>
  </w:style>
  <w:style w:type="paragraph" w:customStyle="1" w:styleId="1814">
    <w:name w:val="二级目录"/>
    <w:basedOn w:val="1"/>
    <w:next w:val="1"/>
    <w:qFormat/>
    <w:uiPriority w:val="0"/>
    <w:pPr>
      <w:keepNext/>
      <w:keepLines/>
      <w:spacing w:after="240" w:line="240" w:lineRule="auto"/>
      <w:ind w:firstLine="0" w:firstLineChars="0"/>
      <w:textAlignment w:val="baseline"/>
      <w:outlineLvl w:val="1"/>
    </w:pPr>
    <w:rPr>
      <w:rFonts w:eastAsia="黑体"/>
      <w:sz w:val="28"/>
      <w:szCs w:val="28"/>
    </w:rPr>
  </w:style>
  <w:style w:type="paragraph" w:customStyle="1" w:styleId="1815">
    <w:name w:val="一级条标题"/>
    <w:basedOn w:val="3"/>
    <w:next w:val="1"/>
    <w:qFormat/>
    <w:uiPriority w:val="0"/>
    <w:pPr>
      <w:numPr>
        <w:numId w:val="0"/>
      </w:numPr>
      <w:tabs>
        <w:tab w:val="left" w:pos="1260"/>
      </w:tabs>
      <w:adjustRightInd/>
      <w:snapToGrid/>
      <w:spacing w:afterLines="0" w:line="240" w:lineRule="auto"/>
      <w:ind w:left="1260" w:hanging="420"/>
      <w:jc w:val="both"/>
      <w:outlineLvl w:val="2"/>
    </w:pPr>
    <w:rPr>
      <w:rFonts w:ascii="黑体"/>
      <w:b w:val="0"/>
      <w:bCs w:val="0"/>
      <w:snapToGrid/>
      <w:sz w:val="21"/>
      <w:szCs w:val="20"/>
    </w:rPr>
  </w:style>
  <w:style w:type="paragraph" w:customStyle="1" w:styleId="1816">
    <w:name w:val="二级条标题"/>
    <w:basedOn w:val="1815"/>
    <w:next w:val="1"/>
    <w:qFormat/>
    <w:uiPriority w:val="0"/>
    <w:pPr>
      <w:tabs>
        <w:tab w:val="left" w:pos="1680"/>
        <w:tab w:val="clear" w:pos="1260"/>
      </w:tabs>
      <w:ind w:left="1680"/>
      <w:outlineLvl w:val="3"/>
    </w:pPr>
  </w:style>
  <w:style w:type="paragraph" w:customStyle="1" w:styleId="1817">
    <w:name w:val="二章表格标题"/>
    <w:basedOn w:val="1"/>
    <w:qFormat/>
    <w:uiPriority w:val="0"/>
    <w:pPr>
      <w:adjustRightInd/>
      <w:snapToGrid/>
      <w:spacing w:beforeLines="20" w:line="360" w:lineRule="auto"/>
      <w:ind w:firstLine="0" w:firstLineChars="0"/>
      <w:jc w:val="center"/>
    </w:pPr>
    <w:rPr>
      <w:rFonts w:eastAsia="黑体"/>
      <w:snapToGrid/>
      <w:kern w:val="2"/>
    </w:rPr>
  </w:style>
  <w:style w:type="paragraph" w:customStyle="1" w:styleId="1818">
    <w:name w:val="二章正文"/>
    <w:basedOn w:val="1"/>
    <w:qFormat/>
    <w:uiPriority w:val="0"/>
    <w:pPr>
      <w:adjustRightInd/>
      <w:snapToGrid/>
      <w:spacing w:line="0" w:lineRule="atLeast"/>
      <w:ind w:firstLine="0" w:firstLineChars="0"/>
      <w:jc w:val="right"/>
    </w:pPr>
    <w:rPr>
      <w:rFonts w:ascii="宋体" w:hAnsi="宋体"/>
      <w:snapToGrid/>
      <w:kern w:val="2"/>
      <w:sz w:val="21"/>
    </w:rPr>
  </w:style>
  <w:style w:type="character" w:customStyle="1" w:styleId="1819">
    <w:name w:val="二章正文 Char"/>
    <w:qFormat/>
    <w:uiPriority w:val="0"/>
    <w:rPr>
      <w:rFonts w:hAnsi="宋体" w:eastAsia="宋体"/>
      <w:color w:val="0000FF"/>
      <w:kern w:val="2"/>
      <w:sz w:val="24"/>
      <w:szCs w:val="24"/>
      <w:lang w:val="en-US" w:eastAsia="zh-CN" w:bidi="ar-SA"/>
    </w:rPr>
  </w:style>
  <w:style w:type="paragraph" w:customStyle="1" w:styleId="1820">
    <w:name w:val="二章正文 Char Char"/>
    <w:basedOn w:val="1"/>
    <w:qFormat/>
    <w:uiPriority w:val="0"/>
    <w:pPr>
      <w:adjustRightInd/>
      <w:snapToGrid/>
      <w:spacing w:line="360" w:lineRule="auto"/>
      <w:ind w:firstLine="480"/>
    </w:pPr>
    <w:rPr>
      <w:rFonts w:ascii="宋体" w:hAnsi="宋体"/>
      <w:snapToGrid/>
      <w:kern w:val="2"/>
    </w:rPr>
  </w:style>
  <w:style w:type="paragraph" w:customStyle="1" w:styleId="1821">
    <w:name w:val="二章正文 Char Char Char"/>
    <w:basedOn w:val="1"/>
    <w:qFormat/>
    <w:uiPriority w:val="0"/>
    <w:pPr>
      <w:adjustRightInd/>
      <w:snapToGrid/>
      <w:spacing w:line="480" w:lineRule="auto"/>
      <w:ind w:firstLine="0" w:firstLineChars="0"/>
    </w:pPr>
    <w:rPr>
      <w:rFonts w:ascii="宋体" w:hAnsi="宋体"/>
      <w:sz w:val="21"/>
    </w:rPr>
  </w:style>
  <w:style w:type="character" w:customStyle="1" w:styleId="1822">
    <w:name w:val="二章正文 Char Char Char Char"/>
    <w:qFormat/>
    <w:uiPriority w:val="0"/>
    <w:rPr>
      <w:rFonts w:eastAsia="宋体"/>
      <w:kern w:val="2"/>
      <w:sz w:val="24"/>
      <w:szCs w:val="24"/>
      <w:lang w:val="en-US" w:eastAsia="zh-CN" w:bidi="ar-SA"/>
    </w:rPr>
  </w:style>
  <w:style w:type="character" w:customStyle="1" w:styleId="1823">
    <w:name w:val="二章正文 Char Char Char Char Char Char"/>
    <w:qFormat/>
    <w:uiPriority w:val="0"/>
    <w:rPr>
      <w:rFonts w:hAnsi="宋体" w:eastAsia="宋体"/>
      <w:color w:val="0000FF"/>
      <w:kern w:val="2"/>
      <w:sz w:val="24"/>
      <w:szCs w:val="24"/>
      <w:lang w:val="en-US" w:eastAsia="zh-CN" w:bidi="ar-SA"/>
    </w:rPr>
  </w:style>
  <w:style w:type="character" w:customStyle="1" w:styleId="1824">
    <w:name w:val="二章正文 Char Char Char Char Char Char Char"/>
    <w:qFormat/>
    <w:uiPriority w:val="0"/>
    <w:rPr>
      <w:rFonts w:eastAsia="宋体"/>
      <w:kern w:val="2"/>
      <w:sz w:val="24"/>
      <w:szCs w:val="24"/>
      <w:lang w:val="en-US" w:eastAsia="zh-CN" w:bidi="ar-SA"/>
    </w:rPr>
  </w:style>
  <w:style w:type="paragraph" w:customStyle="1" w:styleId="1825">
    <w:name w:val="发文标题"/>
    <w:basedOn w:val="35"/>
    <w:qFormat/>
    <w:uiPriority w:val="0"/>
    <w:pPr>
      <w:adjustRightInd/>
      <w:spacing w:line="240" w:lineRule="atLeast"/>
      <w:ind w:firstLine="0" w:firstLineChars="0"/>
      <w:jc w:val="center"/>
    </w:pPr>
    <w:rPr>
      <w:rFonts w:ascii="Calibri" w:hAnsi="Calibri" w:eastAsia="方正小标宋简体"/>
      <w:snapToGrid/>
      <w:kern w:val="2"/>
      <w:sz w:val="44"/>
      <w:szCs w:val="20"/>
    </w:rPr>
  </w:style>
  <w:style w:type="paragraph" w:customStyle="1" w:styleId="1826">
    <w:name w:val="发文文号"/>
    <w:basedOn w:val="1"/>
    <w:qFormat/>
    <w:uiPriority w:val="0"/>
    <w:pPr>
      <w:adjustRightInd/>
      <w:snapToGrid/>
      <w:spacing w:line="240" w:lineRule="auto"/>
      <w:ind w:firstLine="0" w:firstLineChars="0"/>
    </w:pPr>
    <w:rPr>
      <w:rFonts w:eastAsia="仿宋_GB2312"/>
      <w:snapToGrid/>
      <w:kern w:val="2"/>
      <w:sz w:val="32"/>
      <w:szCs w:val="20"/>
    </w:rPr>
  </w:style>
  <w:style w:type="paragraph" w:customStyle="1" w:styleId="1827">
    <w:name w:val="范表格1"/>
    <w:basedOn w:val="1"/>
    <w:next w:val="1"/>
    <w:qFormat/>
    <w:uiPriority w:val="0"/>
    <w:pPr>
      <w:widowControl/>
      <w:adjustRightInd/>
      <w:snapToGrid/>
      <w:spacing w:after="60" w:line="240" w:lineRule="auto"/>
      <w:ind w:firstLine="0" w:firstLineChars="0"/>
      <w:jc w:val="center"/>
    </w:pPr>
    <w:rPr>
      <w:snapToGrid/>
      <w:sz w:val="21"/>
      <w:szCs w:val="20"/>
    </w:rPr>
  </w:style>
  <w:style w:type="character" w:customStyle="1" w:styleId="1828">
    <w:name w:val="仿宋体正文 Char Char"/>
    <w:qFormat/>
    <w:uiPriority w:val="0"/>
    <w:rPr>
      <w:rFonts w:eastAsia="宋体"/>
      <w:kern w:val="2"/>
      <w:sz w:val="28"/>
      <w:lang w:val="en-US" w:eastAsia="zh-CN" w:bidi="ar-SA"/>
    </w:rPr>
  </w:style>
  <w:style w:type="character" w:customStyle="1" w:styleId="1829">
    <w:name w:val="访问过的超链接1"/>
    <w:semiHidden/>
    <w:qFormat/>
    <w:uiPriority w:val="0"/>
    <w:rPr>
      <w:color w:val="800080"/>
      <w:u w:val="single"/>
    </w:rPr>
  </w:style>
  <w:style w:type="paragraph" w:customStyle="1" w:styleId="1830">
    <w:name w:val="扉页证书号"/>
    <w:basedOn w:val="1"/>
    <w:qFormat/>
    <w:uiPriority w:val="0"/>
    <w:pPr>
      <w:adjustRightInd/>
      <w:snapToGrid/>
      <w:spacing w:line="500" w:lineRule="exact"/>
      <w:ind w:firstLine="0" w:firstLineChars="0"/>
    </w:pPr>
    <w:rPr>
      <w:snapToGrid/>
      <w:kern w:val="2"/>
      <w:sz w:val="28"/>
    </w:rPr>
  </w:style>
  <w:style w:type="paragraph" w:customStyle="1" w:styleId="1831">
    <w:name w:val="丰都水保表格"/>
    <w:basedOn w:val="1"/>
    <w:next w:val="1"/>
    <w:qFormat/>
    <w:uiPriority w:val="0"/>
    <w:pPr>
      <w:widowControl/>
      <w:adjustRightInd/>
      <w:snapToGrid/>
      <w:spacing w:line="0" w:lineRule="atLeast"/>
      <w:ind w:firstLine="0" w:firstLineChars="0"/>
      <w:textAlignment w:val="baseline"/>
    </w:pPr>
    <w:rPr>
      <w:snapToGrid/>
      <w:color w:val="000000"/>
      <w:sz w:val="21"/>
      <w:szCs w:val="20"/>
      <w:u w:color="000000"/>
    </w:rPr>
  </w:style>
  <w:style w:type="paragraph" w:customStyle="1" w:styleId="1832">
    <w:name w:val="封面"/>
    <w:basedOn w:val="3"/>
    <w:qFormat/>
    <w:uiPriority w:val="0"/>
    <w:pPr>
      <w:numPr>
        <w:numId w:val="0"/>
      </w:numPr>
      <w:spacing w:before="240" w:afterLines="0" w:line="240" w:lineRule="auto"/>
      <w:ind w:left="620" w:hanging="420"/>
      <w:textAlignment w:val="baseline"/>
    </w:pPr>
    <w:rPr>
      <w:bCs w:val="0"/>
      <w:sz w:val="52"/>
      <w:szCs w:val="20"/>
    </w:rPr>
  </w:style>
  <w:style w:type="paragraph" w:customStyle="1" w:styleId="1833">
    <w:name w:val="封面 1"/>
    <w:semiHidden/>
    <w:qFormat/>
    <w:uiPriority w:val="0"/>
    <w:pPr>
      <w:keepNext/>
      <w:widowControl w:val="0"/>
      <w:spacing w:before="480" w:after="720" w:line="800" w:lineRule="exact"/>
      <w:jc w:val="center"/>
    </w:pPr>
    <w:rPr>
      <w:rFonts w:ascii="Times New Roman" w:hAnsi="Times New Roman" w:eastAsia="黑体" w:cs="Times New Roman"/>
      <w:sz w:val="84"/>
      <w:lang w:val="en-US" w:eastAsia="zh-CN" w:bidi="ar-SA"/>
    </w:rPr>
  </w:style>
  <w:style w:type="paragraph" w:customStyle="1" w:styleId="1834">
    <w:name w:val="封面 2"/>
    <w:semiHidden/>
    <w:qFormat/>
    <w:uiPriority w:val="0"/>
    <w:pPr>
      <w:keepNext/>
      <w:widowControl w:val="0"/>
      <w:spacing w:before="240" w:after="240" w:line="480" w:lineRule="exact"/>
      <w:jc w:val="center"/>
    </w:pPr>
    <w:rPr>
      <w:rFonts w:ascii="Times New Roman" w:hAnsi="Times New Roman" w:eastAsia="宋体" w:cs="Times New Roman"/>
      <w:sz w:val="44"/>
      <w:lang w:val="en-US" w:eastAsia="zh-CN" w:bidi="ar-SA"/>
    </w:rPr>
  </w:style>
  <w:style w:type="paragraph" w:customStyle="1" w:styleId="1835">
    <w:name w:val="封面 3"/>
    <w:qFormat/>
    <w:uiPriority w:val="0"/>
    <w:pPr>
      <w:keepNext/>
      <w:widowControl w:val="0"/>
      <w:spacing w:before="120" w:after="120" w:line="400" w:lineRule="exact"/>
      <w:jc w:val="center"/>
    </w:pPr>
    <w:rPr>
      <w:rFonts w:ascii="Times New Roman" w:hAnsi="Times New Roman" w:eastAsia="宋体" w:cs="Times New Roman"/>
      <w:sz w:val="36"/>
      <w:lang w:val="en-US" w:eastAsia="zh-CN" w:bidi="ar-SA"/>
    </w:rPr>
  </w:style>
  <w:style w:type="paragraph" w:customStyle="1" w:styleId="1836">
    <w:name w:val="封面1"/>
    <w:basedOn w:val="1"/>
    <w:autoRedefine/>
    <w:qFormat/>
    <w:uiPriority w:val="0"/>
    <w:pPr>
      <w:spacing w:line="240" w:lineRule="auto"/>
      <w:ind w:firstLine="480"/>
    </w:pPr>
    <w:rPr>
      <w:rFonts w:ascii="华文新魏" w:eastAsia="华文新魏"/>
      <w:snapToGrid/>
      <w:szCs w:val="20"/>
    </w:rPr>
  </w:style>
  <w:style w:type="paragraph" w:customStyle="1" w:styleId="1837">
    <w:name w:val="封面1，初黑"/>
    <w:semiHidden/>
    <w:qFormat/>
    <w:uiPriority w:val="0"/>
    <w:pPr>
      <w:keepNext/>
      <w:widowControl w:val="0"/>
      <w:snapToGrid w:val="0"/>
      <w:jc w:val="distribute"/>
    </w:pPr>
    <w:rPr>
      <w:rFonts w:ascii="Times New Roman" w:hAnsi="Times New Roman" w:eastAsia="黑体" w:cs="Times New Roman"/>
      <w:sz w:val="84"/>
      <w:lang w:val="en-US" w:eastAsia="zh-CN" w:bidi="ar-SA"/>
    </w:rPr>
  </w:style>
  <w:style w:type="paragraph" w:customStyle="1" w:styleId="1838">
    <w:name w:val="封面2"/>
    <w:basedOn w:val="1"/>
    <w:qFormat/>
    <w:uiPriority w:val="0"/>
    <w:pPr>
      <w:spacing w:afterLines="50" w:line="312" w:lineRule="auto"/>
      <w:ind w:firstLine="0" w:firstLineChars="0"/>
      <w:jc w:val="center"/>
    </w:pPr>
    <w:rPr>
      <w:rFonts w:eastAsia="黑体"/>
      <w:snapToGrid/>
      <w:color w:val="000000"/>
      <w:sz w:val="48"/>
    </w:rPr>
  </w:style>
  <w:style w:type="paragraph" w:customStyle="1" w:styleId="1839">
    <w:name w:val="封面2，二宋"/>
    <w:semiHidden/>
    <w:qFormat/>
    <w:uiPriority w:val="0"/>
    <w:pPr>
      <w:keepNext/>
      <w:widowControl w:val="0"/>
      <w:snapToGrid w:val="0"/>
      <w:jc w:val="distribute"/>
    </w:pPr>
    <w:rPr>
      <w:rFonts w:ascii="Times New Roman" w:hAnsi="Times New Roman" w:eastAsia="宋体" w:cs="Times New Roman"/>
      <w:sz w:val="44"/>
      <w:lang w:val="en-US" w:eastAsia="zh-CN" w:bidi="ar-SA"/>
    </w:rPr>
  </w:style>
  <w:style w:type="paragraph" w:customStyle="1" w:styleId="1840">
    <w:name w:val="封面3"/>
    <w:basedOn w:val="1"/>
    <w:next w:val="1"/>
    <w:autoRedefine/>
    <w:qFormat/>
    <w:uiPriority w:val="0"/>
    <w:pPr>
      <w:spacing w:after="240" w:line="360" w:lineRule="auto"/>
      <w:ind w:firstLine="480"/>
      <w:jc w:val="center"/>
    </w:pPr>
    <w:rPr>
      <w:rFonts w:eastAsia="黑体"/>
      <w:snapToGrid/>
      <w:sz w:val="36"/>
      <w:szCs w:val="20"/>
    </w:rPr>
  </w:style>
  <w:style w:type="paragraph" w:customStyle="1" w:styleId="1841">
    <w:name w:val="封面3，小二"/>
    <w:semiHidden/>
    <w:qFormat/>
    <w:uiPriority w:val="0"/>
    <w:pPr>
      <w:keepNext/>
      <w:widowControl w:val="0"/>
      <w:snapToGrid w:val="0"/>
      <w:jc w:val="distribute"/>
    </w:pPr>
    <w:rPr>
      <w:rFonts w:ascii="Times New Roman" w:hAnsi="Times New Roman" w:eastAsia="宋体" w:cs="Times New Roman"/>
      <w:sz w:val="36"/>
      <w:lang w:val="en-US" w:eastAsia="zh-CN" w:bidi="ar-SA"/>
    </w:rPr>
  </w:style>
  <w:style w:type="paragraph" w:customStyle="1" w:styleId="1842">
    <w:name w:val="封面4"/>
    <w:basedOn w:val="1"/>
    <w:autoRedefine/>
    <w:qFormat/>
    <w:uiPriority w:val="0"/>
    <w:pPr>
      <w:spacing w:line="0" w:lineRule="atLeast"/>
      <w:ind w:firstLine="480"/>
      <w:jc w:val="center"/>
    </w:pPr>
    <w:rPr>
      <w:rFonts w:ascii="华文中宋" w:hAnsi="华文中宋" w:eastAsia="华文中宋"/>
      <w:snapToGrid/>
      <w:color w:val="000000"/>
      <w:spacing w:val="40"/>
      <w:sz w:val="32"/>
      <w:szCs w:val="20"/>
    </w:rPr>
  </w:style>
  <w:style w:type="paragraph" w:customStyle="1" w:styleId="1843">
    <w:name w:val="封面4，小二中"/>
    <w:semiHidden/>
    <w:qFormat/>
    <w:uiPriority w:val="0"/>
    <w:pPr>
      <w:keepNext/>
      <w:widowControl w:val="0"/>
      <w:snapToGrid w:val="0"/>
      <w:spacing w:beforeLines="25" w:afterLines="25"/>
      <w:jc w:val="center"/>
    </w:pPr>
    <w:rPr>
      <w:rFonts w:ascii="Times New Roman" w:hAnsi="Times New Roman" w:eastAsia="宋体" w:cs="Times New Roman"/>
      <w:kern w:val="2"/>
      <w:sz w:val="36"/>
      <w:lang w:val="en-US" w:eastAsia="zh-CN" w:bidi="ar-SA"/>
    </w:rPr>
  </w:style>
  <w:style w:type="paragraph" w:customStyle="1" w:styleId="1844">
    <w:name w:val="封面5"/>
    <w:basedOn w:val="1"/>
    <w:next w:val="1"/>
    <w:autoRedefine/>
    <w:qFormat/>
    <w:uiPriority w:val="0"/>
    <w:pPr>
      <w:spacing w:beforeLines="200" w:afterLines="200" w:line="0" w:lineRule="atLeast"/>
      <w:ind w:firstLine="480"/>
      <w:jc w:val="center"/>
    </w:pPr>
    <w:rPr>
      <w:rFonts w:eastAsia="华文新魏"/>
      <w:b/>
      <w:snapToGrid/>
      <w:sz w:val="72"/>
      <w:szCs w:val="20"/>
    </w:rPr>
  </w:style>
  <w:style w:type="paragraph" w:customStyle="1" w:styleId="1845">
    <w:name w:val="封面6"/>
    <w:basedOn w:val="1836"/>
    <w:next w:val="1"/>
    <w:autoRedefine/>
    <w:qFormat/>
    <w:uiPriority w:val="0"/>
    <w:rPr>
      <w:sz w:val="32"/>
    </w:rPr>
  </w:style>
  <w:style w:type="paragraph" w:customStyle="1" w:styleId="1846">
    <w:name w:val="封面标题"/>
    <w:basedOn w:val="84"/>
    <w:qFormat/>
    <w:uiPriority w:val="0"/>
    <w:pPr>
      <w:tabs>
        <w:tab w:val="left" w:pos="1935"/>
        <w:tab w:val="left" w:pos="5400"/>
      </w:tabs>
      <w:adjustRightInd/>
      <w:snapToGrid/>
      <w:spacing w:after="240" w:line="240" w:lineRule="auto"/>
    </w:pPr>
    <w:rPr>
      <w:rFonts w:eastAsia="黑体" w:cs="Arial"/>
      <w:b/>
      <w:snapToGrid w:val="0"/>
      <w:kern w:val="2"/>
      <w:sz w:val="52"/>
    </w:rPr>
  </w:style>
  <w:style w:type="paragraph" w:customStyle="1" w:styleId="184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848">
    <w:name w:val="封面其它文字"/>
    <w:basedOn w:val="1"/>
    <w:qFormat/>
    <w:uiPriority w:val="0"/>
    <w:pPr>
      <w:keepNext/>
      <w:keepLines/>
      <w:adjustRightInd/>
      <w:snapToGrid/>
      <w:spacing w:line="360" w:lineRule="auto"/>
      <w:ind w:firstLine="0" w:firstLineChars="0"/>
      <w:jc w:val="center"/>
      <w:outlineLvl w:val="0"/>
    </w:pPr>
    <w:rPr>
      <w:snapToGrid/>
      <w:kern w:val="2"/>
      <w:sz w:val="36"/>
      <w:szCs w:val="20"/>
    </w:rPr>
  </w:style>
  <w:style w:type="paragraph" w:customStyle="1" w:styleId="1849">
    <w:name w:val="封页标题"/>
    <w:basedOn w:val="1"/>
    <w:next w:val="1"/>
    <w:autoRedefine/>
    <w:semiHidden/>
    <w:qFormat/>
    <w:uiPriority w:val="0"/>
    <w:pPr>
      <w:keepNext/>
      <w:keepLines/>
      <w:widowControl/>
      <w:adjustRightInd/>
      <w:snapToGrid/>
      <w:spacing w:after="170" w:line="240" w:lineRule="auto"/>
      <w:ind w:left="357" w:firstLine="0" w:firstLineChars="0"/>
      <w:jc w:val="center"/>
    </w:pPr>
    <w:rPr>
      <w:rFonts w:ascii="宋体" w:eastAsia="华文行楷"/>
      <w:caps/>
      <w:spacing w:val="65"/>
      <w:kern w:val="20"/>
      <w:sz w:val="32"/>
      <w:szCs w:val="20"/>
    </w:rPr>
  </w:style>
  <w:style w:type="paragraph" w:customStyle="1" w:styleId="1850">
    <w:name w:val="符号后文字"/>
    <w:basedOn w:val="1"/>
    <w:qFormat/>
    <w:uiPriority w:val="0"/>
    <w:pPr>
      <w:adjustRightInd/>
      <w:snapToGrid/>
      <w:spacing w:line="400" w:lineRule="exact"/>
      <w:ind w:firstLine="0" w:firstLineChars="0"/>
    </w:pPr>
    <w:rPr>
      <w:rFonts w:ascii="Calibri" w:hAnsi="Calibri"/>
      <w:snapToGrid/>
      <w:kern w:val="2"/>
      <w:sz w:val="24"/>
      <w:szCs w:val="20"/>
    </w:rPr>
  </w:style>
  <w:style w:type="paragraph" w:customStyle="1" w:styleId="1851">
    <w:name w:val="符号后文字2"/>
    <w:basedOn w:val="1"/>
    <w:qFormat/>
    <w:uiPriority w:val="0"/>
    <w:pPr>
      <w:adjustRightInd/>
      <w:snapToGrid/>
      <w:spacing w:line="400" w:lineRule="exact"/>
      <w:ind w:firstLine="0" w:firstLineChars="0"/>
    </w:pPr>
    <w:rPr>
      <w:snapToGrid/>
      <w:color w:val="FF0000"/>
      <w:kern w:val="2"/>
      <w:szCs w:val="20"/>
    </w:rPr>
  </w:style>
  <w:style w:type="paragraph" w:customStyle="1" w:styleId="1852">
    <w:name w:val="辅助"/>
    <w:basedOn w:val="1"/>
    <w:qFormat/>
    <w:uiPriority w:val="0"/>
    <w:pPr>
      <w:adjustRightInd/>
      <w:snapToGrid/>
      <w:ind w:firstLine="480"/>
    </w:pPr>
    <w:rPr>
      <w:rFonts w:ascii="宋体" w:hAnsi="宋体" w:eastAsia="楷体_GB2312"/>
      <w:i/>
      <w:snapToGrid/>
      <w:vanish/>
      <w:color w:val="808080"/>
      <w:sz w:val="18"/>
    </w:rPr>
  </w:style>
  <w:style w:type="paragraph" w:customStyle="1" w:styleId="1853">
    <w:name w:val="附件名"/>
    <w:basedOn w:val="1"/>
    <w:qFormat/>
    <w:uiPriority w:val="0"/>
    <w:pPr>
      <w:adjustRightInd/>
      <w:snapToGrid/>
      <w:spacing w:after="120" w:line="480" w:lineRule="exact"/>
      <w:ind w:firstLine="0" w:firstLineChars="0"/>
      <w:jc w:val="center"/>
    </w:pPr>
    <w:rPr>
      <w:snapToGrid/>
      <w:kern w:val="2"/>
      <w:sz w:val="32"/>
      <w:szCs w:val="20"/>
    </w:rPr>
  </w:style>
  <w:style w:type="paragraph" w:customStyle="1" w:styleId="1854">
    <w:name w:val="附录表标题"/>
    <w:next w:val="1800"/>
    <w:qFormat/>
    <w:uiPriority w:val="0"/>
    <w:pPr>
      <w:numPr>
        <w:ilvl w:val="0"/>
        <w:numId w:val="16"/>
      </w:numPr>
      <w:jc w:val="center"/>
      <w:textAlignment w:val="baseline"/>
    </w:pPr>
    <w:rPr>
      <w:rFonts w:ascii="黑体" w:hAnsi="Times New Roman" w:eastAsia="黑体" w:cs="Times New Roman"/>
      <w:kern w:val="21"/>
      <w:sz w:val="21"/>
      <w:lang w:val="en-US" w:eastAsia="zh-CN" w:bidi="ar-SA"/>
    </w:rPr>
  </w:style>
  <w:style w:type="paragraph" w:customStyle="1" w:styleId="1855">
    <w:name w:val="附注"/>
    <w:basedOn w:val="1"/>
    <w:qFormat/>
    <w:uiPriority w:val="0"/>
    <w:pPr>
      <w:widowControl/>
      <w:autoSpaceDE w:val="0"/>
      <w:autoSpaceDN w:val="0"/>
      <w:spacing w:line="240" w:lineRule="auto"/>
      <w:ind w:left="1077" w:right="1514" w:hanging="510" w:firstLineChars="0"/>
      <w:textAlignment w:val="bottom"/>
    </w:pPr>
    <w:rPr>
      <w:rFonts w:ascii="宋体"/>
      <w:snapToGrid/>
      <w:spacing w:val="60"/>
      <w:kern w:val="2"/>
      <w:szCs w:val="26"/>
    </w:rPr>
  </w:style>
  <w:style w:type="paragraph" w:customStyle="1" w:styleId="1856">
    <w:name w:val="附注，五仿"/>
    <w:semiHidden/>
    <w:qFormat/>
    <w:uiPriority w:val="0"/>
    <w:pPr>
      <w:keepNext/>
      <w:widowControl w:val="0"/>
      <w:snapToGrid w:val="0"/>
      <w:spacing w:line="360" w:lineRule="exact"/>
      <w:ind w:left="200" w:hanging="200" w:hangingChars="200"/>
      <w:jc w:val="both"/>
    </w:pPr>
    <w:rPr>
      <w:rFonts w:ascii="Arial Narrow" w:hAnsi="Arial Narrow" w:eastAsia="仿宋_GB2312" w:cs="Times New Roman"/>
      <w:snapToGrid w:val="0"/>
      <w:kern w:val="2"/>
      <w:sz w:val="21"/>
      <w:lang w:val="en-US" w:eastAsia="zh-CN" w:bidi="ar-SA"/>
    </w:rPr>
  </w:style>
  <w:style w:type="paragraph" w:customStyle="1" w:styleId="1857">
    <w:name w:val="附注，五宋"/>
    <w:qFormat/>
    <w:uiPriority w:val="0"/>
    <w:pPr>
      <w:keepNext/>
      <w:widowControl w:val="0"/>
      <w:adjustRightInd w:val="0"/>
      <w:spacing w:line="360" w:lineRule="exact"/>
      <w:ind w:firstLine="425"/>
      <w:jc w:val="both"/>
    </w:pPr>
    <w:rPr>
      <w:rFonts w:ascii="Times New Roman" w:hAnsi="Times New Roman" w:eastAsia="宋体" w:cs="Times New Roman"/>
      <w:spacing w:val="20"/>
      <w:sz w:val="21"/>
      <w:lang w:val="en-US" w:eastAsia="zh-CN" w:bidi="ar-SA"/>
    </w:rPr>
  </w:style>
  <w:style w:type="character" w:customStyle="1" w:styleId="1858">
    <w:name w:val="副标题 字符"/>
    <w:qFormat/>
    <w:uiPriority w:val="0"/>
    <w:rPr>
      <w:rFonts w:hint="eastAsia" w:ascii="等线" w:hAnsi="等线" w:eastAsia="等线" w:cs="Times New Roman"/>
      <w:b/>
      <w:bCs/>
      <w:snapToGrid/>
      <w:kern w:val="28"/>
      <w:sz w:val="32"/>
      <w:szCs w:val="32"/>
    </w:rPr>
  </w:style>
  <w:style w:type="character" w:customStyle="1" w:styleId="1859">
    <w:name w:val="副标题 字符3"/>
    <w:link w:val="64"/>
    <w:qFormat/>
    <w:uiPriority w:val="0"/>
    <w:rPr>
      <w:rFonts w:ascii="Arial" w:hAnsi="Arial" w:eastAsia="宋体" w:cs="Times New Roman"/>
      <w:b/>
      <w:bCs/>
      <w:snapToGrid w:val="0"/>
      <w:kern w:val="28"/>
      <w:sz w:val="32"/>
      <w:szCs w:val="32"/>
      <w14:ligatures w14:val="none"/>
    </w:rPr>
  </w:style>
  <w:style w:type="character" w:customStyle="1" w:styleId="1860">
    <w:name w:val="副标题 Char1"/>
    <w:qFormat/>
    <w:uiPriority w:val="0"/>
    <w:rPr>
      <w:rFonts w:ascii="Cambria" w:hAnsi="Cambria" w:eastAsia="宋体" w:cs="Times New Roman"/>
      <w:b/>
      <w:bCs/>
      <w:kern w:val="28"/>
      <w:sz w:val="32"/>
      <w:szCs w:val="32"/>
    </w:rPr>
  </w:style>
  <w:style w:type="character" w:customStyle="1" w:styleId="1861">
    <w:name w:val="副标题 字符1"/>
    <w:uiPriority w:val="0"/>
    <w:rPr>
      <w:rFonts w:ascii="等线" w:hAnsi="等线" w:eastAsia="等线" w:cs="Times New Roman"/>
      <w:b/>
      <w:bCs/>
      <w:kern w:val="28"/>
      <w:sz w:val="32"/>
      <w:szCs w:val="32"/>
    </w:rPr>
  </w:style>
  <w:style w:type="character" w:customStyle="1" w:styleId="1862">
    <w:name w:val="副标题 字符2"/>
    <w:qFormat/>
    <w:locked/>
    <w:uiPriority w:val="0"/>
    <w:rPr>
      <w:rFonts w:ascii="Arial" w:hAnsi="Arial" w:cs="Arial"/>
      <w:b/>
      <w:bCs/>
      <w:kern w:val="28"/>
      <w:sz w:val="32"/>
      <w:szCs w:val="32"/>
    </w:rPr>
  </w:style>
  <w:style w:type="character" w:customStyle="1" w:styleId="1863">
    <w:name w:val="干标题(a) Char Char"/>
    <w:qFormat/>
    <w:uiPriority w:val="0"/>
    <w:rPr>
      <w:rFonts w:ascii="Arial" w:hAnsi="Arial" w:eastAsia="黑体"/>
      <w:kern w:val="2"/>
      <w:sz w:val="28"/>
      <w:lang w:val="en-US" w:eastAsia="zh-CN" w:bidi="ar-SA"/>
    </w:rPr>
  </w:style>
  <w:style w:type="character" w:customStyle="1" w:styleId="1864">
    <w:name w:val="干标题(a) Char Char1"/>
    <w:qFormat/>
    <w:uiPriority w:val="0"/>
    <w:rPr>
      <w:rFonts w:ascii="Cambria" w:hAnsi="Cambria"/>
      <w:i/>
      <w:iCs/>
      <w:color w:val="9BBB59"/>
    </w:rPr>
  </w:style>
  <w:style w:type="paragraph" w:customStyle="1" w:styleId="1865">
    <w:name w:val="公正文"/>
    <w:basedOn w:val="1"/>
    <w:link w:val="1866"/>
    <w:qFormat/>
    <w:uiPriority w:val="0"/>
    <w:pPr>
      <w:spacing w:line="355" w:lineRule="auto"/>
      <w:jc w:val="left"/>
    </w:pPr>
    <w:rPr>
      <w:rFonts w:ascii="宋体" w:hAnsi="宋体" w:eastAsia="仿宋_GB2312"/>
      <w:snapToGrid/>
      <w:sz w:val="28"/>
    </w:rPr>
  </w:style>
  <w:style w:type="character" w:customStyle="1" w:styleId="1866">
    <w:name w:val="公正文 Char Char"/>
    <w:link w:val="1865"/>
    <w:qFormat/>
    <w:uiPriority w:val="0"/>
    <w:rPr>
      <w:rFonts w:ascii="宋体" w:hAnsi="宋体" w:eastAsia="仿宋_GB2312" w:cs="Times New Roman"/>
      <w:kern w:val="0"/>
      <w:sz w:val="28"/>
      <w:szCs w:val="24"/>
      <w14:ligatures w14:val="none"/>
    </w:rPr>
  </w:style>
  <w:style w:type="paragraph" w:customStyle="1" w:styleId="1867">
    <w:name w:val="公标题1"/>
    <w:basedOn w:val="1865"/>
    <w:qFormat/>
    <w:uiPriority w:val="0"/>
    <w:pPr>
      <w:spacing w:beforeLines="70" w:afterLines="70"/>
      <w:ind w:firstLine="0" w:firstLineChars="0"/>
      <w:jc w:val="both"/>
      <w:outlineLvl w:val="0"/>
    </w:pPr>
    <w:rPr>
      <w:rFonts w:ascii="黑体" w:eastAsia="黑体"/>
      <w:kern w:val="2"/>
      <w:sz w:val="36"/>
    </w:rPr>
  </w:style>
  <w:style w:type="paragraph" w:customStyle="1" w:styleId="1868">
    <w:name w:val="公标题2"/>
    <w:basedOn w:val="1867"/>
    <w:qFormat/>
    <w:uiPriority w:val="0"/>
    <w:pPr>
      <w:spacing w:beforeLines="50" w:afterLines="50"/>
      <w:outlineLvl w:val="1"/>
    </w:pPr>
    <w:rPr>
      <w:sz w:val="32"/>
    </w:rPr>
  </w:style>
  <w:style w:type="paragraph" w:customStyle="1" w:styleId="1869">
    <w:name w:val="公标题3"/>
    <w:basedOn w:val="1868"/>
    <w:uiPriority w:val="0"/>
    <w:pPr>
      <w:spacing w:beforeLines="30" w:afterLines="30"/>
      <w:outlineLvl w:val="2"/>
    </w:pPr>
    <w:rPr>
      <w:rFonts w:ascii="宋体" w:eastAsia="方正小标宋简体"/>
      <w:sz w:val="28"/>
    </w:rPr>
  </w:style>
  <w:style w:type="paragraph" w:customStyle="1" w:styleId="1870">
    <w:name w:val="公表文"/>
    <w:basedOn w:val="1"/>
    <w:qFormat/>
    <w:uiPriority w:val="0"/>
    <w:pPr>
      <w:spacing w:beforeLines="30" w:afterLines="30" w:line="360" w:lineRule="auto"/>
      <w:ind w:firstLine="0" w:firstLineChars="0"/>
      <w:jc w:val="center"/>
    </w:pPr>
    <w:rPr>
      <w:rFonts w:ascii="宋体" w:hAnsi="宋体" w:eastAsia="楷体_GB2312"/>
      <w:snapToGrid/>
      <w:kern w:val="2"/>
    </w:rPr>
  </w:style>
  <w:style w:type="paragraph" w:customStyle="1" w:styleId="1871">
    <w:name w:val="公表序"/>
    <w:basedOn w:val="1"/>
    <w:qFormat/>
    <w:uiPriority w:val="0"/>
    <w:pPr>
      <w:spacing w:line="300" w:lineRule="auto"/>
      <w:ind w:firstLine="150" w:firstLineChars="150"/>
    </w:pPr>
    <w:rPr>
      <w:rFonts w:ascii="黑体" w:hAnsi="宋体" w:eastAsia="黑体"/>
      <w:snapToGrid/>
      <w:kern w:val="2"/>
    </w:rPr>
  </w:style>
  <w:style w:type="paragraph" w:customStyle="1" w:styleId="1872">
    <w:name w:val="公式"/>
    <w:next w:val="1"/>
    <w:qFormat/>
    <w:uiPriority w:val="0"/>
    <w:pPr>
      <w:jc w:val="center"/>
    </w:pPr>
    <w:rPr>
      <w:rFonts w:ascii="Times New Roman" w:hAnsi="Times New Roman" w:eastAsia="宋体" w:cs="Times New Roman"/>
      <w:kern w:val="2"/>
      <w:position w:val="-24"/>
      <w:sz w:val="21"/>
      <w:szCs w:val="24"/>
      <w:lang w:val="en-US" w:eastAsia="zh-CN" w:bidi="ar-SA"/>
    </w:rPr>
  </w:style>
  <w:style w:type="paragraph" w:customStyle="1" w:styleId="1873">
    <w:name w:val="公式图片"/>
    <w:basedOn w:val="1"/>
    <w:qFormat/>
    <w:uiPriority w:val="0"/>
    <w:pPr>
      <w:adjustRightInd/>
      <w:snapToGrid/>
      <w:spacing w:line="240" w:lineRule="auto"/>
      <w:ind w:firstLine="0" w:firstLineChars="0"/>
      <w:jc w:val="center"/>
    </w:pPr>
    <w:rPr>
      <w:snapToGrid/>
      <w:kern w:val="2"/>
    </w:rPr>
  </w:style>
  <w:style w:type="paragraph" w:customStyle="1" w:styleId="1874">
    <w:name w:val="公司名"/>
    <w:basedOn w:val="34"/>
    <w:autoRedefine/>
    <w:semiHidden/>
    <w:qFormat/>
    <w:uiPriority w:val="0"/>
    <w:pPr>
      <w:keepLines/>
      <w:framePr w:w="8640" w:h="855" w:wrap="notBeside" w:vAnchor="page" w:hAnchor="page" w:x="874" w:y="1876" w:anchorLock="1"/>
      <w:widowControl/>
      <w:adjustRightInd/>
      <w:snapToGrid/>
      <w:spacing w:after="170" w:line="240" w:lineRule="auto"/>
      <w:jc w:val="center"/>
    </w:pPr>
    <w:rPr>
      <w:rFonts w:ascii="Calibri" w:hAnsi="Calibri" w:eastAsia="隶书"/>
      <w:b/>
      <w:caps/>
      <w:kern w:val="18"/>
      <w:sz w:val="48"/>
      <w:szCs w:val="20"/>
    </w:rPr>
  </w:style>
  <w:style w:type="character" w:customStyle="1" w:styleId="1875">
    <w:name w:val="公正文 Char"/>
    <w:qFormat/>
    <w:uiPriority w:val="0"/>
    <w:rPr>
      <w:rFonts w:ascii="宋体" w:hAnsi="宋体" w:eastAsia="仿宋_GB2312"/>
      <w:snapToGrid w:val="0"/>
      <w:sz w:val="28"/>
      <w:szCs w:val="28"/>
      <w:lang w:bidi="ar-SA"/>
    </w:rPr>
  </w:style>
  <w:style w:type="table" w:customStyle="1" w:styleId="1876">
    <w:name w:val="古典型 1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877">
    <w:name w:val="古典型 1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878">
    <w:name w:val="古典型 2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bottom w:val="single" w:color="000000" w:sz="12" w:space="0"/>
      </w:tblBorders>
    </w:tbl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1879">
    <w:name w:val="古典型 2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bottom w:val="single" w:color="000000" w:sz="12" w:space="0"/>
      </w:tblBorders>
    </w:tbl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1880">
    <w:name w:val="古典型 3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1881">
    <w:name w:val="古典型 3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1882">
    <w:name w:val="古典型 4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1883">
    <w:name w:val="古典型 4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paragraph" w:customStyle="1" w:styleId="1884">
    <w:name w:val="关键词"/>
    <w:basedOn w:val="1"/>
    <w:qFormat/>
    <w:uiPriority w:val="0"/>
    <w:pPr>
      <w:snapToGrid/>
      <w:spacing w:line="312" w:lineRule="atLeast"/>
      <w:ind w:firstLine="0" w:firstLineChars="0"/>
      <w:textAlignment w:val="baseline"/>
    </w:pPr>
    <w:rPr>
      <w:rFonts w:eastAsia="黑体"/>
      <w:snapToGrid/>
      <w:sz w:val="18"/>
      <w:szCs w:val="20"/>
    </w:rPr>
  </w:style>
  <w:style w:type="paragraph" w:customStyle="1" w:styleId="1885">
    <w:name w:val="规划表格标题"/>
    <w:basedOn w:val="1"/>
    <w:link w:val="1886"/>
    <w:autoRedefine/>
    <w:qFormat/>
    <w:uiPriority w:val="0"/>
    <w:pPr>
      <w:spacing w:line="360" w:lineRule="auto"/>
      <w:ind w:firstLine="0" w:firstLineChars="0"/>
      <w:jc w:val="center"/>
    </w:pPr>
    <w:rPr>
      <w:rFonts w:ascii="黑体" w:eastAsia="黑体"/>
      <w:b/>
      <w:snapToGrid/>
      <w:kern w:val="2"/>
      <w:sz w:val="28"/>
      <w:szCs w:val="28"/>
    </w:rPr>
  </w:style>
  <w:style w:type="character" w:customStyle="1" w:styleId="1886">
    <w:name w:val="规划表格标题 Char"/>
    <w:link w:val="1885"/>
    <w:qFormat/>
    <w:uiPriority w:val="0"/>
    <w:rPr>
      <w:rFonts w:ascii="黑体" w:hAnsi="Times New Roman" w:eastAsia="黑体" w:cs="Times New Roman"/>
      <w:b/>
      <w:sz w:val="28"/>
      <w:szCs w:val="28"/>
      <w14:ligatures w14:val="none"/>
    </w:rPr>
  </w:style>
  <w:style w:type="paragraph" w:customStyle="1" w:styleId="1887">
    <w:name w:val="规划表格内容"/>
    <w:basedOn w:val="1"/>
    <w:link w:val="1888"/>
    <w:qFormat/>
    <w:uiPriority w:val="0"/>
    <w:pPr>
      <w:adjustRightInd/>
      <w:snapToGrid/>
      <w:spacing w:line="240" w:lineRule="auto"/>
      <w:ind w:firstLine="0" w:firstLineChars="0"/>
      <w:jc w:val="center"/>
    </w:pPr>
    <w:rPr>
      <w:rFonts w:ascii="宋体" w:hAnsi="宋体"/>
      <w:snapToGrid/>
      <w:kern w:val="2"/>
      <w:sz w:val="21"/>
      <w:szCs w:val="20"/>
    </w:rPr>
  </w:style>
  <w:style w:type="character" w:customStyle="1" w:styleId="1888">
    <w:name w:val="规划表格内容 Char"/>
    <w:link w:val="1887"/>
    <w:qFormat/>
    <w:uiPriority w:val="0"/>
    <w:rPr>
      <w:rFonts w:ascii="宋体" w:hAnsi="宋体" w:eastAsia="宋体" w:cs="Times New Roman"/>
      <w:szCs w:val="20"/>
      <w14:ligatures w14:val="none"/>
    </w:rPr>
  </w:style>
  <w:style w:type="paragraph" w:customStyle="1" w:styleId="1889">
    <w:name w:val="规划三级标题"/>
    <w:basedOn w:val="1"/>
    <w:link w:val="1890"/>
    <w:qFormat/>
    <w:uiPriority w:val="0"/>
    <w:pPr>
      <w:adjustRightInd/>
      <w:snapToGrid/>
      <w:spacing w:beforeLines="50" w:afterLines="50" w:line="400" w:lineRule="atLeast"/>
      <w:ind w:firstLine="561"/>
    </w:pPr>
    <w:rPr>
      <w:rFonts w:ascii="宋体" w:hAnsi="宋体"/>
      <w:b/>
      <w:bCs/>
      <w:snapToGrid/>
      <w:szCs w:val="28"/>
    </w:rPr>
  </w:style>
  <w:style w:type="character" w:customStyle="1" w:styleId="1890">
    <w:name w:val="规划三级标题 Char"/>
    <w:link w:val="1889"/>
    <w:qFormat/>
    <w:uiPriority w:val="0"/>
    <w:rPr>
      <w:rFonts w:ascii="宋体" w:hAnsi="宋体" w:eastAsia="宋体" w:cs="Times New Roman"/>
      <w:b/>
      <w:bCs/>
      <w:kern w:val="0"/>
      <w:sz w:val="26"/>
      <w:szCs w:val="28"/>
      <w14:ligatures w14:val="none"/>
    </w:rPr>
  </w:style>
  <w:style w:type="paragraph" w:customStyle="1" w:styleId="1891">
    <w:name w:val="规划正文"/>
    <w:basedOn w:val="1"/>
    <w:link w:val="1892"/>
    <w:qFormat/>
    <w:uiPriority w:val="0"/>
    <w:pPr>
      <w:adjustRightInd/>
      <w:snapToGrid/>
      <w:spacing w:line="400" w:lineRule="atLeast"/>
      <w:ind w:firstLine="480"/>
    </w:pPr>
    <w:rPr>
      <w:rFonts w:ascii="宋体" w:hAnsi="宋体"/>
      <w:snapToGrid/>
      <w:kern w:val="2"/>
    </w:rPr>
  </w:style>
  <w:style w:type="character" w:customStyle="1" w:styleId="1892">
    <w:name w:val="规划正文 Char"/>
    <w:link w:val="1891"/>
    <w:qFormat/>
    <w:uiPriority w:val="0"/>
    <w:rPr>
      <w:rFonts w:ascii="宋体" w:hAnsi="宋体" w:eastAsia="宋体" w:cs="Times New Roman"/>
      <w:sz w:val="26"/>
      <w:szCs w:val="24"/>
      <w14:ligatures w14:val="none"/>
    </w:rPr>
  </w:style>
  <w:style w:type="paragraph" w:customStyle="1" w:styleId="1893">
    <w:name w:val="郝2"/>
    <w:basedOn w:val="4"/>
    <w:qFormat/>
    <w:uiPriority w:val="0"/>
    <w:pPr>
      <w:numPr>
        <w:ilvl w:val="0"/>
        <w:numId w:val="0"/>
      </w:numPr>
      <w:adjustRightInd/>
      <w:snapToGrid/>
      <w:spacing w:after="120" w:line="360" w:lineRule="auto"/>
    </w:pPr>
    <w:rPr>
      <w:rFonts w:ascii="Arial" w:hAnsi="Arial"/>
      <w:snapToGrid/>
    </w:rPr>
  </w:style>
  <w:style w:type="paragraph" w:customStyle="1" w:styleId="1894">
    <w:name w:val="黑宋体"/>
    <w:basedOn w:val="6"/>
    <w:qFormat/>
    <w:uiPriority w:val="0"/>
    <w:pPr>
      <w:widowControl/>
      <w:numPr>
        <w:ilvl w:val="0"/>
        <w:numId w:val="0"/>
      </w:numPr>
      <w:tabs>
        <w:tab w:val="left" w:pos="0"/>
      </w:tabs>
      <w:spacing w:line="360" w:lineRule="auto"/>
      <w:ind w:left="1680" w:firstLine="482" w:firstLineChars="50"/>
      <w:jc w:val="both"/>
      <w:textAlignment w:val="baseline"/>
      <w:outlineLvl w:val="9"/>
    </w:pPr>
    <w:rPr>
      <w:b/>
      <w:bCs w:val="0"/>
      <w:color w:val="000000"/>
      <w:kern w:val="2"/>
      <w:sz w:val="21"/>
      <w:szCs w:val="28"/>
    </w:rPr>
  </w:style>
  <w:style w:type="paragraph" w:customStyle="1" w:styleId="1895">
    <w:name w:val="黑体"/>
    <w:basedOn w:val="1"/>
    <w:next w:val="1"/>
    <w:qFormat/>
    <w:uiPriority w:val="0"/>
    <w:pPr>
      <w:tabs>
        <w:tab w:val="left" w:pos="785"/>
      </w:tabs>
      <w:adjustRightInd/>
      <w:snapToGrid/>
      <w:spacing w:afterLines="20" w:line="400" w:lineRule="exact"/>
      <w:ind w:left="-29" w:firstLine="454" w:firstLineChars="0"/>
    </w:pPr>
    <w:rPr>
      <w:snapToGrid/>
      <w:color w:val="FF0000"/>
      <w:kern w:val="2"/>
    </w:rPr>
  </w:style>
  <w:style w:type="character" w:customStyle="1" w:styleId="1896">
    <w:name w:val="宏文本 字符"/>
    <w:link w:val="2"/>
    <w:qFormat/>
    <w:uiPriority w:val="0"/>
    <w:rPr>
      <w:rFonts w:ascii="Courier New" w:hAnsi="Courier New" w:eastAsia="宋体" w:cs="Courier New"/>
      <w:kern w:val="0"/>
      <w:sz w:val="24"/>
      <w:szCs w:val="24"/>
      <w14:ligatures w14:val="none"/>
    </w:rPr>
  </w:style>
  <w:style w:type="character" w:customStyle="1" w:styleId="1897">
    <w:name w:val="宏文本 Char Char"/>
    <w:qFormat/>
    <w:uiPriority w:val="0"/>
    <w:rPr>
      <w:rFonts w:ascii="Courier New" w:hAnsi="Courier New"/>
      <w:sz w:val="24"/>
      <w:lang w:val="en-US" w:eastAsia="zh-CN"/>
    </w:rPr>
  </w:style>
  <w:style w:type="character" w:customStyle="1" w:styleId="1898">
    <w:name w:val="宏文本 字符1"/>
    <w:basedOn w:val="132"/>
    <w:semiHidden/>
    <w:qFormat/>
    <w:uiPriority w:val="0"/>
    <w:rPr>
      <w:rFonts w:ascii="Courier New" w:hAnsi="Courier New" w:eastAsia="宋体" w:cs="Courier New"/>
      <w:kern w:val="0"/>
      <w:sz w:val="24"/>
      <w:szCs w:val="24"/>
    </w:rPr>
  </w:style>
  <w:style w:type="paragraph" w:customStyle="1" w:styleId="1899">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hint="eastAsia" w:ascii="Courier New" w:hAnsi="Courier New" w:eastAsia="宋体" w:cs="Times New Roman"/>
      <w:sz w:val="24"/>
      <w:lang w:val="en-US" w:eastAsia="zh-CN" w:bidi="ar-SA"/>
    </w:rPr>
  </w:style>
  <w:style w:type="paragraph" w:customStyle="1" w:styleId="1900">
    <w:name w:val="环 1级 1"/>
    <w:basedOn w:val="1"/>
    <w:semiHidden/>
    <w:qFormat/>
    <w:uiPriority w:val="0"/>
    <w:pPr>
      <w:adjustRightInd/>
      <w:snapToGrid/>
      <w:spacing w:beforeLines="50" w:afterLines="50" w:line="240" w:lineRule="auto"/>
      <w:ind w:firstLine="0" w:firstLineChars="0"/>
      <w:jc w:val="center"/>
      <w:outlineLvl w:val="0"/>
    </w:pPr>
    <w:rPr>
      <w:rFonts w:ascii="宋体" w:hAnsi="宋体"/>
      <w:b/>
      <w:snapToGrid/>
      <w:kern w:val="2"/>
      <w:sz w:val="32"/>
    </w:rPr>
  </w:style>
  <w:style w:type="paragraph" w:customStyle="1" w:styleId="1901">
    <w:name w:val="环 2级 1.1"/>
    <w:basedOn w:val="1"/>
    <w:autoRedefine/>
    <w:semiHidden/>
    <w:qFormat/>
    <w:uiPriority w:val="0"/>
    <w:pPr>
      <w:adjustRightInd/>
      <w:snapToGrid/>
      <w:spacing w:line="240" w:lineRule="auto"/>
      <w:ind w:firstLine="0" w:firstLineChars="0"/>
      <w:outlineLvl w:val="0"/>
    </w:pPr>
    <w:rPr>
      <w:rFonts w:ascii="宋体" w:hAnsi="宋体"/>
      <w:bCs/>
      <w:snapToGrid/>
      <w:kern w:val="2"/>
    </w:rPr>
  </w:style>
  <w:style w:type="paragraph" w:customStyle="1" w:styleId="1902">
    <w:name w:val="环 3级 1.1.1"/>
    <w:basedOn w:val="1"/>
    <w:autoRedefine/>
    <w:semiHidden/>
    <w:qFormat/>
    <w:uiPriority w:val="0"/>
    <w:pPr>
      <w:adjustRightInd/>
      <w:snapToGrid/>
      <w:spacing w:line="240" w:lineRule="auto"/>
      <w:ind w:firstLine="0" w:firstLineChars="0"/>
    </w:pPr>
    <w:rPr>
      <w:rFonts w:ascii="宋体" w:hAnsi="宋体"/>
      <w:b/>
      <w:bCs/>
      <w:snapToGrid/>
      <w:kern w:val="2"/>
    </w:rPr>
  </w:style>
  <w:style w:type="paragraph" w:customStyle="1" w:styleId="1903">
    <w:name w:val="环 内容"/>
    <w:basedOn w:val="1"/>
    <w:link w:val="1904"/>
    <w:semiHidden/>
    <w:qFormat/>
    <w:uiPriority w:val="0"/>
    <w:pPr>
      <w:adjustRightInd/>
      <w:snapToGrid/>
      <w:spacing w:line="240" w:lineRule="auto"/>
    </w:pPr>
    <w:rPr>
      <w:rFonts w:ascii="宋体" w:hAnsi="宋体"/>
      <w:kern w:val="2"/>
    </w:rPr>
  </w:style>
  <w:style w:type="character" w:customStyle="1" w:styleId="1904">
    <w:name w:val="环 内容 Char"/>
    <w:link w:val="1903"/>
    <w:semiHidden/>
    <w:qFormat/>
    <w:uiPriority w:val="0"/>
    <w:rPr>
      <w:rFonts w:ascii="宋体" w:hAnsi="宋体" w:eastAsia="宋体" w:cs="Times New Roman"/>
      <w:snapToGrid w:val="0"/>
      <w:sz w:val="26"/>
      <w:szCs w:val="24"/>
      <w14:ligatures w14:val="none"/>
    </w:rPr>
  </w:style>
  <w:style w:type="paragraph" w:customStyle="1" w:styleId="1905">
    <w:name w:val="环 5级 1"/>
    <w:basedOn w:val="1903"/>
    <w:link w:val="1906"/>
    <w:semiHidden/>
    <w:qFormat/>
    <w:uiPriority w:val="0"/>
    <w:rPr>
      <w:b/>
    </w:rPr>
  </w:style>
  <w:style w:type="character" w:customStyle="1" w:styleId="1906">
    <w:name w:val="环 5级 1 Char"/>
    <w:link w:val="1905"/>
    <w:semiHidden/>
    <w:qFormat/>
    <w:uiPriority w:val="0"/>
    <w:rPr>
      <w:rFonts w:ascii="宋体" w:hAnsi="宋体" w:eastAsia="宋体" w:cs="Times New Roman"/>
      <w:b/>
      <w:snapToGrid w:val="0"/>
      <w:sz w:val="26"/>
      <w:szCs w:val="24"/>
      <w14:ligatures w14:val="none"/>
    </w:rPr>
  </w:style>
  <w:style w:type="paragraph" w:customStyle="1" w:styleId="1907">
    <w:name w:val="环 表号"/>
    <w:basedOn w:val="1"/>
    <w:link w:val="1908"/>
    <w:semiHidden/>
    <w:qFormat/>
    <w:uiPriority w:val="0"/>
    <w:pPr>
      <w:adjustRightInd/>
      <w:snapToGrid/>
      <w:spacing w:line="240" w:lineRule="auto"/>
      <w:ind w:firstLine="0" w:firstLineChars="0"/>
    </w:pPr>
    <w:rPr>
      <w:rFonts w:ascii="宋体"/>
      <w:b/>
      <w:bCs/>
      <w:snapToGrid/>
      <w:kern w:val="2"/>
      <w:sz w:val="21"/>
      <w:szCs w:val="21"/>
    </w:rPr>
  </w:style>
  <w:style w:type="character" w:customStyle="1" w:styleId="1908">
    <w:name w:val="环 表号 Char"/>
    <w:link w:val="1907"/>
    <w:semiHidden/>
    <w:qFormat/>
    <w:uiPriority w:val="0"/>
    <w:rPr>
      <w:rFonts w:ascii="宋体" w:hAnsi="Times New Roman" w:eastAsia="宋体" w:cs="Times New Roman"/>
      <w:b/>
      <w:bCs/>
      <w:szCs w:val="21"/>
      <w14:ligatures w14:val="none"/>
    </w:rPr>
  </w:style>
  <w:style w:type="paragraph" w:customStyle="1" w:styleId="1909">
    <w:name w:val="环 表内容"/>
    <w:basedOn w:val="1"/>
    <w:link w:val="1910"/>
    <w:semiHidden/>
    <w:qFormat/>
    <w:uiPriority w:val="0"/>
    <w:pPr>
      <w:wordWrap w:val="0"/>
      <w:adjustRightInd/>
      <w:snapToGrid/>
      <w:spacing w:line="240" w:lineRule="exact"/>
      <w:ind w:firstLine="0" w:firstLineChars="0"/>
      <w:jc w:val="center"/>
    </w:pPr>
    <w:rPr>
      <w:rFonts w:ascii="宋体" w:hAnsi="宋体"/>
      <w:snapToGrid/>
      <w:kern w:val="2"/>
      <w:sz w:val="18"/>
      <w:szCs w:val="21"/>
    </w:rPr>
  </w:style>
  <w:style w:type="character" w:customStyle="1" w:styleId="1910">
    <w:name w:val="环 表内容 Char Char"/>
    <w:link w:val="1909"/>
    <w:semiHidden/>
    <w:qFormat/>
    <w:uiPriority w:val="0"/>
    <w:rPr>
      <w:rFonts w:ascii="宋体" w:hAnsi="宋体" w:eastAsia="宋体" w:cs="Times New Roman"/>
      <w:sz w:val="18"/>
      <w:szCs w:val="21"/>
      <w14:ligatures w14:val="none"/>
    </w:rPr>
  </w:style>
  <w:style w:type="paragraph" w:customStyle="1" w:styleId="1911">
    <w:name w:val="环 表题"/>
    <w:basedOn w:val="1"/>
    <w:link w:val="1912"/>
    <w:semiHidden/>
    <w:qFormat/>
    <w:uiPriority w:val="0"/>
    <w:pPr>
      <w:wordWrap w:val="0"/>
      <w:adjustRightInd/>
      <w:snapToGrid/>
      <w:spacing w:line="240" w:lineRule="auto"/>
      <w:ind w:firstLine="0" w:firstLineChars="0"/>
      <w:jc w:val="center"/>
    </w:pPr>
    <w:rPr>
      <w:rFonts w:ascii="宋体"/>
      <w:b/>
      <w:snapToGrid/>
      <w:kern w:val="2"/>
    </w:rPr>
  </w:style>
  <w:style w:type="character" w:customStyle="1" w:styleId="1912">
    <w:name w:val="环 表题 Char"/>
    <w:link w:val="1911"/>
    <w:semiHidden/>
    <w:qFormat/>
    <w:uiPriority w:val="0"/>
    <w:rPr>
      <w:rFonts w:ascii="宋体" w:hAnsi="Times New Roman" w:eastAsia="宋体" w:cs="Times New Roman"/>
      <w:b/>
      <w:sz w:val="26"/>
      <w:szCs w:val="24"/>
      <w14:ligatures w14:val="none"/>
    </w:rPr>
  </w:style>
  <w:style w:type="paragraph" w:customStyle="1" w:styleId="1913">
    <w:name w:val="环评"/>
    <w:basedOn w:val="1"/>
    <w:qFormat/>
    <w:uiPriority w:val="0"/>
    <w:pPr>
      <w:tabs>
        <w:tab w:val="left" w:pos="662"/>
      </w:tabs>
      <w:adjustRightInd/>
      <w:snapToGrid/>
      <w:spacing w:line="240" w:lineRule="auto"/>
      <w:ind w:firstLine="0" w:firstLineChars="0"/>
    </w:pPr>
    <w:rPr>
      <w:snapToGrid/>
      <w:kern w:val="2"/>
      <w:sz w:val="28"/>
      <w:szCs w:val="20"/>
    </w:rPr>
  </w:style>
  <w:style w:type="paragraph" w:customStyle="1" w:styleId="1914">
    <w:name w:val="环评标题二级"/>
    <w:basedOn w:val="3"/>
    <w:uiPriority w:val="0"/>
    <w:pPr>
      <w:numPr>
        <w:numId w:val="0"/>
      </w:numPr>
      <w:spacing w:beforeLines="50" w:afterLines="50" w:line="360" w:lineRule="exact"/>
      <w:ind w:left="620" w:hanging="420"/>
      <w:jc w:val="left"/>
    </w:pPr>
  </w:style>
  <w:style w:type="paragraph" w:customStyle="1" w:styleId="1915">
    <w:name w:val="环评标题三级"/>
    <w:basedOn w:val="4"/>
    <w:uiPriority w:val="0"/>
    <w:pPr>
      <w:numPr>
        <w:ilvl w:val="0"/>
        <w:numId w:val="0"/>
      </w:numPr>
      <w:adjustRightInd/>
      <w:snapToGrid/>
      <w:spacing w:before="156" w:after="156" w:line="360" w:lineRule="exact"/>
      <w:ind w:left="840" w:hanging="420"/>
      <w:outlineLvl w:val="2"/>
    </w:pPr>
  </w:style>
  <w:style w:type="paragraph" w:customStyle="1" w:styleId="1916">
    <w:name w:val="环评标题一级"/>
    <w:basedOn w:val="3"/>
    <w:uiPriority w:val="0"/>
    <w:pPr>
      <w:numPr>
        <w:numId w:val="0"/>
      </w:numPr>
      <w:spacing w:beforeLines="50" w:afterLines="50" w:line="360" w:lineRule="exact"/>
      <w:ind w:left="620" w:hanging="420"/>
    </w:pPr>
    <w:rPr>
      <w:sz w:val="32"/>
    </w:rPr>
  </w:style>
  <w:style w:type="paragraph" w:customStyle="1" w:styleId="1917">
    <w:name w:val="环评证文"/>
    <w:basedOn w:val="1"/>
    <w:link w:val="1918"/>
    <w:qFormat/>
    <w:uiPriority w:val="0"/>
    <w:pPr>
      <w:adjustRightInd/>
      <w:snapToGrid/>
      <w:spacing w:line="440" w:lineRule="exact"/>
      <w:ind w:firstLine="480"/>
    </w:pPr>
    <w:rPr>
      <w:rFonts w:ascii="宋体" w:hAnsi="宋体" w:cstheme="minorBidi"/>
      <w:snapToGrid/>
      <w:color w:val="000000"/>
      <w:kern w:val="2"/>
      <w:sz w:val="24"/>
    </w:rPr>
  </w:style>
  <w:style w:type="character" w:customStyle="1" w:styleId="1918">
    <w:name w:val="环评证文 Char"/>
    <w:link w:val="1917"/>
    <w:qFormat/>
    <w:locked/>
    <w:uiPriority w:val="0"/>
    <w:rPr>
      <w:rFonts w:ascii="宋体" w:hAnsi="宋体" w:eastAsia="宋体"/>
      <w:color w:val="000000"/>
      <w:sz w:val="24"/>
      <w:szCs w:val="24"/>
      <w14:ligatures w14:val="none"/>
    </w:rPr>
  </w:style>
  <w:style w:type="paragraph" w:customStyle="1" w:styleId="1919">
    <w:name w:val="环四号1.1.1（三级楷）"/>
    <w:link w:val="1920"/>
    <w:semiHidden/>
    <w:qFormat/>
    <w:uiPriority w:val="0"/>
    <w:pPr>
      <w:widowControl w:val="0"/>
      <w:outlineLvl w:val="2"/>
    </w:pPr>
    <w:rPr>
      <w:rFonts w:ascii="楷体_GB2312" w:hAnsi="宋体" w:eastAsia="楷体_GB2312" w:cs="Times New Roman"/>
      <w:b/>
      <w:bCs/>
      <w:color w:val="000000"/>
      <w:kern w:val="2"/>
      <w:sz w:val="28"/>
      <w:szCs w:val="28"/>
      <w:lang w:val="en-US" w:eastAsia="zh-CN" w:bidi="ar-SA"/>
    </w:rPr>
  </w:style>
  <w:style w:type="character" w:customStyle="1" w:styleId="1920">
    <w:name w:val="环四号1.1.1（三级楷） Char Char"/>
    <w:link w:val="1919"/>
    <w:semiHidden/>
    <w:qFormat/>
    <w:uiPriority w:val="0"/>
    <w:rPr>
      <w:rFonts w:ascii="楷体_GB2312" w:hAnsi="宋体" w:eastAsia="楷体_GB2312" w:cs="Times New Roman"/>
      <w:b/>
      <w:bCs/>
      <w:color w:val="000000"/>
      <w:sz w:val="28"/>
      <w:szCs w:val="28"/>
      <w14:ligatures w14:val="none"/>
    </w:rPr>
  </w:style>
  <w:style w:type="paragraph" w:customStyle="1" w:styleId="1921">
    <w:name w:val="环四号内容"/>
    <w:link w:val="1922"/>
    <w:semiHidden/>
    <w:qFormat/>
    <w:uiPriority w:val="0"/>
    <w:pPr>
      <w:widowControl w:val="0"/>
      <w:ind w:firstLine="200" w:firstLineChars="200"/>
      <w:jc w:val="both"/>
    </w:pPr>
    <w:rPr>
      <w:rFonts w:ascii="宋体" w:hAnsi="宋体" w:eastAsia="宋体" w:cs="Times New Roman"/>
      <w:color w:val="000000"/>
      <w:kern w:val="2"/>
      <w:sz w:val="28"/>
      <w:szCs w:val="28"/>
      <w:lang w:val="en-US" w:eastAsia="zh-CN" w:bidi="ar-SA"/>
    </w:rPr>
  </w:style>
  <w:style w:type="character" w:customStyle="1" w:styleId="1922">
    <w:name w:val="环四号内容 Char Char"/>
    <w:link w:val="1921"/>
    <w:semiHidden/>
    <w:uiPriority w:val="0"/>
    <w:rPr>
      <w:rFonts w:ascii="宋体" w:hAnsi="宋体" w:eastAsia="宋体" w:cs="Times New Roman"/>
      <w:color w:val="000000"/>
      <w:sz w:val="28"/>
      <w:szCs w:val="28"/>
      <w14:ligatures w14:val="none"/>
    </w:rPr>
  </w:style>
  <w:style w:type="paragraph" w:customStyle="1" w:styleId="1923">
    <w:name w:val="环小四（一级章节）"/>
    <w:qFormat/>
    <w:uiPriority w:val="0"/>
    <w:pPr>
      <w:widowControl w:val="0"/>
      <w:spacing w:beforeLines="50" w:afterLines="50"/>
      <w:jc w:val="center"/>
      <w:outlineLvl w:val="0"/>
    </w:pPr>
    <w:rPr>
      <w:rFonts w:ascii="宋体" w:hAnsi="宋体" w:eastAsia="宋体" w:cs="Times New Roman"/>
      <w:b/>
      <w:bCs/>
      <w:color w:val="000000"/>
      <w:kern w:val="2"/>
      <w:sz w:val="30"/>
      <w:szCs w:val="32"/>
      <w:lang w:val="en-US" w:eastAsia="zh-CN" w:bidi="ar-SA"/>
    </w:rPr>
  </w:style>
  <w:style w:type="paragraph" w:customStyle="1" w:styleId="1924">
    <w:name w:val="环小四1.1（二级）"/>
    <w:uiPriority w:val="0"/>
    <w:pPr>
      <w:widowControl w:val="0"/>
      <w:outlineLvl w:val="1"/>
    </w:pPr>
    <w:rPr>
      <w:rFonts w:ascii="宋体" w:hAnsi="宋体" w:eastAsia="宋体" w:cs="Times New Roman"/>
      <w:b/>
      <w:bCs/>
      <w:color w:val="000000"/>
      <w:kern w:val="24"/>
      <w:sz w:val="24"/>
      <w:szCs w:val="24"/>
      <w:lang w:val="en-US" w:eastAsia="zh-CN" w:bidi="ar-SA"/>
    </w:rPr>
  </w:style>
  <w:style w:type="paragraph" w:customStyle="1" w:styleId="1925">
    <w:name w:val="环小四1.1.1（三级）"/>
    <w:qFormat/>
    <w:uiPriority w:val="0"/>
    <w:pPr>
      <w:widowControl w:val="0"/>
      <w:outlineLvl w:val="2"/>
    </w:pPr>
    <w:rPr>
      <w:rFonts w:ascii="楷体_GB2312" w:hAnsi="宋体" w:eastAsia="楷体_GB2312" w:cs="Times New Roman"/>
      <w:b/>
      <w:bCs/>
      <w:color w:val="000000"/>
      <w:kern w:val="24"/>
      <w:sz w:val="24"/>
      <w:szCs w:val="24"/>
      <w:lang w:val="en-US" w:eastAsia="zh-CN" w:bidi="ar-SA"/>
    </w:rPr>
  </w:style>
  <w:style w:type="paragraph" w:customStyle="1" w:styleId="1926">
    <w:name w:val="环小四1.1.1.1（四级）"/>
    <w:qFormat/>
    <w:uiPriority w:val="0"/>
    <w:pPr>
      <w:widowControl w:val="0"/>
      <w:outlineLvl w:val="3"/>
    </w:pPr>
    <w:rPr>
      <w:rFonts w:ascii="宋体" w:hAnsi="宋体" w:eastAsia="宋体" w:cs="Times New Roman"/>
      <w:b/>
      <w:color w:val="000000"/>
      <w:kern w:val="2"/>
      <w:sz w:val="24"/>
      <w:szCs w:val="24"/>
      <w:lang w:val="en-US" w:eastAsia="zh-CN" w:bidi="ar-SA"/>
    </w:rPr>
  </w:style>
  <w:style w:type="paragraph" w:customStyle="1" w:styleId="1927">
    <w:name w:val="环小四12345"/>
    <w:qFormat/>
    <w:uiPriority w:val="0"/>
    <w:pPr>
      <w:widowControl w:val="0"/>
      <w:ind w:firstLine="200" w:firstLineChars="200"/>
    </w:pPr>
    <w:rPr>
      <w:rFonts w:ascii="宋体" w:hAnsi="宋体" w:eastAsia="宋体" w:cs="Times New Roman"/>
      <w:b/>
      <w:snapToGrid w:val="0"/>
      <w:kern w:val="2"/>
      <w:sz w:val="24"/>
      <w:szCs w:val="24"/>
      <w:lang w:val="en-US" w:eastAsia="zh-CN" w:bidi="ar-SA"/>
    </w:rPr>
  </w:style>
  <w:style w:type="paragraph" w:customStyle="1" w:styleId="1928">
    <w:name w:val="环小四表内容"/>
    <w:basedOn w:val="1"/>
    <w:qFormat/>
    <w:uiPriority w:val="0"/>
    <w:pPr>
      <w:wordWrap w:val="0"/>
      <w:adjustRightInd/>
      <w:snapToGrid/>
      <w:spacing w:line="240" w:lineRule="exact"/>
      <w:ind w:firstLine="0" w:firstLineChars="0"/>
      <w:jc w:val="center"/>
    </w:pPr>
    <w:rPr>
      <w:rFonts w:ascii="宋体" w:hAnsi="宋体"/>
      <w:snapToGrid/>
      <w:kern w:val="2"/>
      <w:sz w:val="18"/>
      <w:szCs w:val="21"/>
    </w:rPr>
  </w:style>
  <w:style w:type="paragraph" w:customStyle="1" w:styleId="1929">
    <w:name w:val="环小四表题"/>
    <w:basedOn w:val="1"/>
    <w:link w:val="1930"/>
    <w:qFormat/>
    <w:uiPriority w:val="0"/>
    <w:pPr>
      <w:wordWrap w:val="0"/>
      <w:adjustRightInd/>
      <w:snapToGrid/>
      <w:spacing w:line="400" w:lineRule="exact"/>
      <w:ind w:firstLine="0" w:firstLineChars="0"/>
      <w:jc w:val="right"/>
    </w:pPr>
    <w:rPr>
      <w:rFonts w:ascii="宋体"/>
      <w:b/>
      <w:snapToGrid/>
      <w:kern w:val="2"/>
    </w:rPr>
  </w:style>
  <w:style w:type="character" w:customStyle="1" w:styleId="1930">
    <w:name w:val="环小四表题 Char"/>
    <w:link w:val="1929"/>
    <w:qFormat/>
    <w:uiPriority w:val="0"/>
    <w:rPr>
      <w:rFonts w:ascii="宋体" w:hAnsi="Times New Roman" w:eastAsia="宋体" w:cs="Times New Roman"/>
      <w:b/>
      <w:sz w:val="26"/>
      <w:szCs w:val="24"/>
      <w14:ligatures w14:val="none"/>
    </w:rPr>
  </w:style>
  <w:style w:type="paragraph" w:customStyle="1" w:styleId="1931">
    <w:name w:val="环小四表尾"/>
    <w:link w:val="1932"/>
    <w:qFormat/>
    <w:uiPriority w:val="0"/>
    <w:pPr>
      <w:spacing w:line="560" w:lineRule="exact"/>
      <w:jc w:val="right"/>
    </w:pPr>
    <w:rPr>
      <w:rFonts w:ascii="宋体" w:hAnsi="Times New Roman" w:eastAsia="宋体" w:cs="Times New Roman"/>
      <w:b/>
      <w:bCs/>
      <w:sz w:val="21"/>
      <w:szCs w:val="21"/>
      <w:lang w:val="en-US" w:eastAsia="zh-CN" w:bidi="ar-SA"/>
    </w:rPr>
  </w:style>
  <w:style w:type="character" w:customStyle="1" w:styleId="1932">
    <w:name w:val="环小四表尾 Char"/>
    <w:link w:val="1931"/>
    <w:uiPriority w:val="0"/>
    <w:rPr>
      <w:rFonts w:ascii="宋体" w:hAnsi="Times New Roman" w:eastAsia="宋体" w:cs="Times New Roman"/>
      <w:b/>
      <w:bCs/>
      <w:kern w:val="0"/>
      <w:szCs w:val="21"/>
      <w14:ligatures w14:val="none"/>
    </w:rPr>
  </w:style>
  <w:style w:type="paragraph" w:customStyle="1" w:styleId="1933">
    <w:name w:val="环小四图名"/>
    <w:basedOn w:val="1"/>
    <w:link w:val="1934"/>
    <w:autoRedefine/>
    <w:qFormat/>
    <w:uiPriority w:val="0"/>
    <w:pPr>
      <w:adjustRightInd/>
      <w:snapToGrid/>
      <w:spacing w:line="240" w:lineRule="auto"/>
      <w:ind w:firstLine="0" w:firstLineChars="0"/>
      <w:jc w:val="center"/>
    </w:pPr>
    <w:rPr>
      <w:rFonts w:ascii="宋体" w:hAnsi="宋体"/>
      <w:b/>
      <w:snapToGrid/>
      <w:kern w:val="2"/>
      <w:sz w:val="21"/>
      <w:szCs w:val="21"/>
    </w:rPr>
  </w:style>
  <w:style w:type="character" w:customStyle="1" w:styleId="1934">
    <w:name w:val="环小四图名 Char"/>
    <w:link w:val="1933"/>
    <w:qFormat/>
    <w:uiPriority w:val="0"/>
    <w:rPr>
      <w:rFonts w:ascii="宋体" w:hAnsi="宋体" w:eastAsia="宋体" w:cs="Times New Roman"/>
      <w:b/>
      <w:szCs w:val="21"/>
      <w14:ligatures w14:val="none"/>
    </w:rPr>
  </w:style>
  <w:style w:type="paragraph" w:customStyle="1" w:styleId="1935">
    <w:name w:val="环小四文中说明"/>
    <w:link w:val="1936"/>
    <w:qFormat/>
    <w:uiPriority w:val="0"/>
    <w:pPr>
      <w:widowControl w:val="0"/>
      <w:ind w:firstLine="200" w:firstLineChars="200"/>
      <w:jc w:val="both"/>
    </w:pPr>
    <w:rPr>
      <w:rFonts w:ascii="宋体" w:hAnsi="宋体" w:eastAsia="宋体" w:cs="Times New Roman"/>
      <w:kern w:val="2"/>
      <w:sz w:val="24"/>
      <w:szCs w:val="24"/>
      <w:lang w:val="en-US" w:eastAsia="zh-CN" w:bidi="ar-SA"/>
    </w:rPr>
  </w:style>
  <w:style w:type="character" w:customStyle="1" w:styleId="1936">
    <w:name w:val="环小四文中说明 Char"/>
    <w:link w:val="1935"/>
    <w:qFormat/>
    <w:uiPriority w:val="0"/>
    <w:rPr>
      <w:rFonts w:ascii="宋体" w:hAnsi="宋体" w:eastAsia="宋体" w:cs="Times New Roman"/>
      <w:sz w:val="24"/>
      <w:szCs w:val="24"/>
      <w14:ligatures w14:val="none"/>
    </w:rPr>
  </w:style>
  <w:style w:type="paragraph" w:customStyle="1" w:styleId="1937">
    <w:name w:val="环正文"/>
    <w:basedOn w:val="1"/>
    <w:autoRedefine/>
    <w:qFormat/>
    <w:uiPriority w:val="0"/>
    <w:pPr>
      <w:widowControl/>
      <w:suppressAutoHyphens/>
      <w:spacing w:line="360" w:lineRule="auto"/>
      <w:ind w:firstLine="549"/>
      <w:textAlignment w:val="baseline"/>
    </w:pPr>
    <w:rPr>
      <w:rFonts w:eastAsia="仿宋_GB2312"/>
      <w:snapToGrid/>
      <w:szCs w:val="20"/>
    </w:rPr>
  </w:style>
  <w:style w:type="paragraph" w:customStyle="1" w:styleId="1938">
    <w:name w:val="黄龙溪正文"/>
    <w:basedOn w:val="1"/>
    <w:uiPriority w:val="0"/>
    <w:pPr>
      <w:adjustRightInd/>
      <w:snapToGrid/>
      <w:spacing w:line="312" w:lineRule="auto"/>
      <w:ind w:firstLine="480"/>
    </w:pPr>
    <w:rPr>
      <w:rFonts w:ascii="Arial" w:hAnsi="Arial" w:eastAsia="华文细黑"/>
      <w:snapToGrid/>
      <w:kern w:val="2"/>
    </w:rPr>
  </w:style>
  <w:style w:type="paragraph" w:customStyle="1" w:styleId="1939">
    <w:name w:val="基文"/>
    <w:qFormat/>
    <w:uiPriority w:val="0"/>
    <w:pPr>
      <w:spacing w:line="360" w:lineRule="auto"/>
      <w:ind w:firstLine="480" w:firstLineChars="200"/>
    </w:pPr>
    <w:rPr>
      <w:rFonts w:ascii="宋体" w:hAnsi="Courier New" w:eastAsia="宋体" w:cs="Courier New"/>
      <w:bCs/>
      <w:kern w:val="2"/>
      <w:sz w:val="24"/>
      <w:szCs w:val="24"/>
      <w:lang w:val="en-US" w:eastAsia="zh-CN" w:bidi="ar-SA"/>
    </w:rPr>
  </w:style>
  <w:style w:type="paragraph" w:customStyle="1" w:styleId="1940">
    <w:name w:val="基准标题"/>
    <w:basedOn w:val="1"/>
    <w:next w:val="34"/>
    <w:autoRedefine/>
    <w:qFormat/>
    <w:uiPriority w:val="0"/>
    <w:pPr>
      <w:widowControl/>
      <w:spacing w:line="360" w:lineRule="auto"/>
      <w:ind w:firstLine="0" w:firstLineChars="0"/>
    </w:pPr>
    <w:rPr>
      <w:rFonts w:ascii="宋体" w:hAnsi="宋体" w:eastAsia="楷体_GB2312"/>
      <w:snapToGrid/>
      <w:kern w:val="2"/>
      <w:sz w:val="44"/>
      <w:szCs w:val="44"/>
    </w:rPr>
  </w:style>
  <w:style w:type="paragraph" w:customStyle="1" w:styleId="1941">
    <w:name w:val="基准页眉样式"/>
    <w:basedOn w:val="1"/>
    <w:autoRedefine/>
    <w:qFormat/>
    <w:uiPriority w:val="0"/>
    <w:pPr>
      <w:adjustRightInd/>
      <w:spacing w:beforeLines="50" w:afterLines="50" w:line="300" w:lineRule="exact"/>
      <w:ind w:firstLine="0" w:firstLineChars="0"/>
      <w:jc w:val="center"/>
    </w:pPr>
    <w:rPr>
      <w:rFonts w:hAnsi="Arial"/>
      <w:snapToGrid/>
      <w:kern w:val="2"/>
      <w:sz w:val="21"/>
      <w:szCs w:val="20"/>
    </w:rPr>
  </w:style>
  <w:style w:type="paragraph" w:customStyle="1" w:styleId="1942">
    <w:name w:val="集团正文"/>
    <w:basedOn w:val="1"/>
    <w:semiHidden/>
    <w:qFormat/>
    <w:uiPriority w:val="0"/>
    <w:pPr>
      <w:adjustRightInd/>
      <w:snapToGrid/>
      <w:ind w:firstLine="560"/>
    </w:pPr>
    <w:rPr>
      <w:rFonts w:ascii="仿宋_GB2312" w:hAnsi="华文仿宋" w:eastAsia="仿宋_GB2312"/>
      <w:snapToGrid/>
      <w:kern w:val="2"/>
    </w:rPr>
  </w:style>
  <w:style w:type="character" w:customStyle="1" w:styleId="1943">
    <w:name w:val="技术文件 Char"/>
    <w:qFormat/>
    <w:uiPriority w:val="0"/>
    <w:rPr>
      <w:rFonts w:ascii="Arial" w:hAnsi="Arial" w:eastAsia="黑体"/>
      <w:bCs/>
      <w:kern w:val="2"/>
      <w:sz w:val="24"/>
      <w:szCs w:val="24"/>
      <w:lang w:val="en-US" w:eastAsia="zh-CN" w:bidi="ar-SA"/>
    </w:rPr>
  </w:style>
  <w:style w:type="paragraph" w:customStyle="1" w:styleId="1944">
    <w:name w:val="寄信人地址1"/>
    <w:basedOn w:val="1"/>
    <w:qFormat/>
    <w:uiPriority w:val="0"/>
    <w:pPr>
      <w:spacing w:before="31"/>
    </w:pPr>
    <w:rPr>
      <w:rFonts w:ascii="Arial" w:hAnsi="Arial" w:cs="Arial"/>
      <w:szCs w:val="22"/>
    </w:rPr>
  </w:style>
  <w:style w:type="paragraph" w:customStyle="1" w:styleId="1945">
    <w:name w:val="简单回函地址"/>
    <w:basedOn w:val="1"/>
    <w:qFormat/>
    <w:uiPriority w:val="0"/>
    <w:pPr>
      <w:spacing w:line="240" w:lineRule="auto"/>
      <w:ind w:firstLine="0" w:firstLineChars="0"/>
    </w:pPr>
    <w:rPr>
      <w:rFonts w:ascii="宋体" w:hAnsi="宋体"/>
      <w:snapToGrid/>
      <w:kern w:val="2"/>
      <w:szCs w:val="32"/>
    </w:rPr>
  </w:style>
  <w:style w:type="table" w:customStyle="1" w:styleId="1946">
    <w:name w:val="简明型 11"/>
    <w:basedOn w:val="88"/>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47">
    <w:name w:val="简明型 111"/>
    <w:basedOn w:val="88"/>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48">
    <w:name w:val="简明型 112"/>
    <w:basedOn w:val="88"/>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49">
    <w:name w:val="简明型 1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8000" w:sz="12" w:space="0"/>
        <w:bottom w:val="single" w:color="008000" w:sz="12" w:space="0"/>
      </w:tblBorders>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50">
    <w:name w:val="简明型 13"/>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8000" w:sz="12" w:space="0"/>
        <w:bottom w:val="single" w:color="008000" w:sz="12" w:space="0"/>
      </w:tblBorders>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51">
    <w:name w:val="简明型 2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1952">
    <w:name w:val="简明型 2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1953">
    <w:name w:val="简明型 3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cPr>
        <w:tcBorders>
          <w:tl2br w:val="nil"/>
          <w:tr2bl w:val="nil"/>
        </w:tcBorders>
        <w:shd w:val="solid" w:color="000000" w:fill="FFFFFF"/>
      </w:tcPr>
    </w:tblStylePr>
  </w:style>
  <w:style w:type="table" w:customStyle="1" w:styleId="1954">
    <w:name w:val="简明型 3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cPr>
        <w:tcBorders>
          <w:tl2br w:val="nil"/>
          <w:tr2bl w:val="nil"/>
        </w:tcBorders>
        <w:shd w:val="solid" w:color="000000" w:fill="FFFFFF"/>
      </w:tcPr>
    </w:tblStylePr>
  </w:style>
  <w:style w:type="paragraph" w:customStyle="1" w:styleId="1955">
    <w:name w:val="建设单位"/>
    <w:basedOn w:val="84"/>
    <w:uiPriority w:val="0"/>
    <w:pPr>
      <w:adjustRightInd/>
      <w:snapToGrid/>
      <w:spacing w:line="240" w:lineRule="auto"/>
    </w:pPr>
    <w:rPr>
      <w:rFonts w:cs="Arial"/>
    </w:rPr>
  </w:style>
  <w:style w:type="paragraph" w:customStyle="1" w:styleId="1956">
    <w:name w:val="交通公文"/>
    <w:basedOn w:val="1"/>
    <w:qFormat/>
    <w:uiPriority w:val="0"/>
    <w:pPr>
      <w:adjustRightInd/>
      <w:snapToGrid/>
      <w:spacing w:line="600" w:lineRule="exact"/>
      <w:ind w:firstLine="0" w:firstLineChars="0"/>
    </w:pPr>
    <w:rPr>
      <w:rFonts w:eastAsia="方正仿宋简体"/>
      <w:snapToGrid/>
      <w:spacing w:val="10"/>
      <w:kern w:val="2"/>
      <w:sz w:val="32"/>
    </w:rPr>
  </w:style>
  <w:style w:type="character" w:customStyle="1" w:styleId="1957">
    <w:name w:val="脚注文本 字符"/>
    <w:qFormat/>
    <w:uiPriority w:val="0"/>
    <w:rPr>
      <w:snapToGrid w:val="0"/>
      <w:sz w:val="18"/>
      <w:szCs w:val="18"/>
    </w:rPr>
  </w:style>
  <w:style w:type="character" w:customStyle="1" w:styleId="1958">
    <w:name w:val="脚注文本 字符3"/>
    <w:link w:val="67"/>
    <w:qFormat/>
    <w:uiPriority w:val="0"/>
    <w:rPr>
      <w:rFonts w:ascii="Times New Roman" w:hAnsi="Times New Roman" w:eastAsia="宋体" w:cs="Times New Roman"/>
      <w:sz w:val="18"/>
      <w:szCs w:val="18"/>
      <w14:ligatures w14:val="none"/>
    </w:rPr>
  </w:style>
  <w:style w:type="character" w:customStyle="1" w:styleId="1959">
    <w:name w:val="脚注文本 Char Char"/>
    <w:qFormat/>
    <w:uiPriority w:val="0"/>
    <w:rPr>
      <w:rFonts w:hAnsi="宋体"/>
      <w:sz w:val="18"/>
      <w:lang w:val="en-US" w:eastAsia="zh-CN"/>
    </w:rPr>
  </w:style>
  <w:style w:type="character" w:customStyle="1" w:styleId="1960">
    <w:name w:val="脚注文本 字符1"/>
    <w:semiHidden/>
    <w:qFormat/>
    <w:uiPriority w:val="0"/>
    <w:rPr>
      <w:sz w:val="18"/>
      <w:szCs w:val="18"/>
    </w:rPr>
  </w:style>
  <w:style w:type="character" w:customStyle="1" w:styleId="1961">
    <w:name w:val="脚注文本 字符2"/>
    <w:semiHidden/>
    <w:locked/>
    <w:uiPriority w:val="0"/>
    <w:rPr>
      <w:kern w:val="2"/>
      <w:sz w:val="18"/>
      <w:szCs w:val="18"/>
    </w:rPr>
  </w:style>
  <w:style w:type="character" w:customStyle="1" w:styleId="1962">
    <w:name w:val="节 Char Char"/>
    <w:uiPriority w:val="0"/>
    <w:rPr>
      <w:rFonts w:ascii="Arial" w:hAnsi="Arial" w:eastAsia="黑体" w:cs="Times New Roman"/>
      <w:b/>
      <w:bCs/>
      <w:kern w:val="2"/>
      <w:sz w:val="32"/>
      <w:szCs w:val="32"/>
      <w:lang w:val="en-US" w:eastAsia="zh-CN" w:bidi="ar-SA"/>
    </w:rPr>
  </w:style>
  <w:style w:type="paragraph" w:customStyle="1" w:styleId="1963">
    <w:name w:val="节，一、"/>
    <w:basedOn w:val="1"/>
    <w:next w:val="5"/>
    <w:semiHidden/>
    <w:qFormat/>
    <w:uiPriority w:val="0"/>
    <w:pPr>
      <w:snapToGrid/>
      <w:spacing w:after="120" w:line="360" w:lineRule="exact"/>
      <w:ind w:firstLine="567" w:firstLineChars="0"/>
      <w:outlineLvl w:val="2"/>
    </w:pPr>
    <w:rPr>
      <w:snapToGrid/>
      <w:kern w:val="2"/>
      <w:sz w:val="32"/>
    </w:rPr>
  </w:style>
  <w:style w:type="character" w:customStyle="1" w:styleId="1964">
    <w:name w:val="结束语 字符"/>
    <w:semiHidden/>
    <w:qFormat/>
    <w:uiPriority w:val="0"/>
    <w:rPr>
      <w:snapToGrid w:val="0"/>
      <w:sz w:val="24"/>
      <w:szCs w:val="24"/>
    </w:rPr>
  </w:style>
  <w:style w:type="character" w:customStyle="1" w:styleId="1965">
    <w:name w:val="结束语 字符2"/>
    <w:link w:val="32"/>
    <w:qFormat/>
    <w:uiPriority w:val="0"/>
    <w:rPr>
      <w:rFonts w:ascii="Times New Roman" w:hAnsi="Times New Roman" w:eastAsia="宋体" w:cs="Times New Roman"/>
      <w:snapToGrid w:val="0"/>
      <w:kern w:val="0"/>
      <w:sz w:val="26"/>
      <w:szCs w:val="24"/>
      <w14:ligatures w14:val="none"/>
    </w:rPr>
  </w:style>
  <w:style w:type="character" w:customStyle="1" w:styleId="1966">
    <w:name w:val="结束语 Char1"/>
    <w:semiHidden/>
    <w:uiPriority w:val="0"/>
    <w:rPr>
      <w:rFonts w:ascii="Times New Roman" w:hAnsi="Times New Roman"/>
      <w:kern w:val="2"/>
      <w:sz w:val="26"/>
      <w:szCs w:val="22"/>
    </w:rPr>
  </w:style>
  <w:style w:type="character" w:customStyle="1" w:styleId="1967">
    <w:name w:val="结束语 字符1"/>
    <w:semiHidden/>
    <w:qFormat/>
    <w:uiPriority w:val="0"/>
    <w:rPr>
      <w:sz w:val="24"/>
      <w:szCs w:val="24"/>
    </w:rPr>
  </w:style>
  <w:style w:type="paragraph" w:customStyle="1" w:styleId="1968">
    <w:name w:val="结束语1"/>
    <w:basedOn w:val="1"/>
    <w:qFormat/>
    <w:uiPriority w:val="0"/>
    <w:pPr>
      <w:spacing w:before="31"/>
      <w:ind w:left="100" w:leftChars="2100"/>
    </w:pPr>
    <w:rPr>
      <w:rFonts w:ascii="Calibri" w:hAnsi="Calibri"/>
    </w:rPr>
  </w:style>
  <w:style w:type="paragraph" w:customStyle="1" w:styleId="1969">
    <w:name w:val="君邦正文"/>
    <w:link w:val="1970"/>
    <w:qFormat/>
    <w:uiPriority w:val="0"/>
    <w:pPr>
      <w:spacing w:line="360" w:lineRule="auto"/>
      <w:ind w:left="-2" w:leftChars="-2" w:firstLine="480" w:firstLineChars="200"/>
      <w:jc w:val="both"/>
    </w:pPr>
    <w:rPr>
      <w:rFonts w:ascii="宋体" w:hAnsi="宋体" w:eastAsia="宋体" w:cs="Times New Roman"/>
      <w:kern w:val="2"/>
      <w:sz w:val="24"/>
      <w:lang w:val="en-US" w:eastAsia="zh-CN" w:bidi="ar-SA"/>
    </w:rPr>
  </w:style>
  <w:style w:type="character" w:customStyle="1" w:styleId="1970">
    <w:name w:val="君邦正文 Char2"/>
    <w:link w:val="1969"/>
    <w:qFormat/>
    <w:uiPriority w:val="0"/>
    <w:rPr>
      <w:rFonts w:ascii="宋体" w:hAnsi="宋体" w:eastAsia="宋体" w:cs="Times New Roman"/>
      <w:sz w:val="24"/>
      <w:szCs w:val="20"/>
      <w14:ligatures w14:val="none"/>
    </w:rPr>
  </w:style>
  <w:style w:type="paragraph" w:customStyle="1" w:styleId="1971">
    <w:name w:val="楷体（一）"/>
    <w:basedOn w:val="1"/>
    <w:semiHidden/>
    <w:qFormat/>
    <w:uiPriority w:val="0"/>
    <w:pPr>
      <w:adjustRightInd/>
      <w:snapToGrid/>
      <w:spacing w:line="240" w:lineRule="auto"/>
      <w:outlineLvl w:val="2"/>
    </w:pPr>
    <w:rPr>
      <w:rFonts w:ascii="楷体_GB2312" w:eastAsia="楷体_GB2312"/>
      <w:b/>
      <w:snapToGrid/>
      <w:kern w:val="2"/>
      <w:sz w:val="28"/>
      <w:szCs w:val="28"/>
    </w:rPr>
  </w:style>
  <w:style w:type="paragraph" w:customStyle="1" w:styleId="1972">
    <w:name w:val="课题号"/>
    <w:basedOn w:val="1"/>
    <w:qFormat/>
    <w:uiPriority w:val="0"/>
    <w:pPr>
      <w:widowControl/>
      <w:tabs>
        <w:tab w:val="left" w:pos="-24"/>
      </w:tabs>
      <w:adjustRightInd/>
      <w:snapToGrid/>
      <w:ind w:firstLine="436" w:firstLineChars="0"/>
      <w:textAlignment w:val="baseline"/>
    </w:pPr>
    <w:rPr>
      <w:rFonts w:ascii="宋体" w:hAnsi="宋体"/>
      <w:b/>
      <w:bCs/>
      <w:snapToGrid/>
      <w:color w:val="000000"/>
      <w:sz w:val="30"/>
      <w:szCs w:val="20"/>
      <w:u w:color="000000"/>
    </w:rPr>
  </w:style>
  <w:style w:type="paragraph" w:customStyle="1" w:styleId="1973">
    <w:name w:val="空行"/>
    <w:basedOn w:val="1"/>
    <w:uiPriority w:val="0"/>
    <w:pPr>
      <w:overflowPunct w:val="0"/>
      <w:topLinePunct/>
      <w:autoSpaceDE w:val="0"/>
      <w:spacing w:afterLines="50" w:line="240" w:lineRule="atLeast"/>
      <w:ind w:firstLine="454" w:firstLineChars="0"/>
    </w:pPr>
    <w:rPr>
      <w:snapToGrid/>
      <w:kern w:val="2"/>
      <w:sz w:val="13"/>
      <w:szCs w:val="20"/>
    </w:rPr>
  </w:style>
  <w:style w:type="paragraph" w:customStyle="1" w:styleId="1974">
    <w:name w:val="块项目"/>
    <w:next w:val="86"/>
    <w:qFormat/>
    <w:uiPriority w:val="0"/>
    <w:pPr>
      <w:tabs>
        <w:tab w:val="left" w:pos="425"/>
      </w:tabs>
      <w:spacing w:before="120" w:after="120" w:line="360" w:lineRule="auto"/>
      <w:ind w:left="992" w:hanging="527"/>
    </w:pPr>
    <w:rPr>
      <w:rFonts w:ascii="Times New Roman" w:hAnsi="Times New Roman" w:eastAsia="宋体" w:cs="Times New Roman"/>
      <w:spacing w:val="20"/>
      <w:sz w:val="28"/>
      <w:szCs w:val="28"/>
      <w:lang w:val="en-US" w:eastAsia="zh-CN" w:bidi="ar-SA"/>
    </w:rPr>
  </w:style>
  <w:style w:type="paragraph" w:customStyle="1" w:styleId="1975">
    <w:name w:val="款，1."/>
    <w:basedOn w:val="1"/>
    <w:link w:val="1976"/>
    <w:uiPriority w:val="0"/>
    <w:pPr>
      <w:adjustRightInd/>
      <w:snapToGrid/>
      <w:ind w:firstLine="567" w:firstLineChars="0"/>
      <w:outlineLvl w:val="2"/>
    </w:pPr>
    <w:rPr>
      <w:rFonts w:eastAsia="仿宋_GB2312"/>
      <w:snapToGrid/>
      <w:kern w:val="2"/>
      <w:sz w:val="28"/>
      <w:szCs w:val="20"/>
    </w:rPr>
  </w:style>
  <w:style w:type="character" w:customStyle="1" w:styleId="1976">
    <w:name w:val="款，1. Char"/>
    <w:link w:val="1975"/>
    <w:qFormat/>
    <w:uiPriority w:val="0"/>
    <w:rPr>
      <w:rFonts w:ascii="Times New Roman" w:hAnsi="Times New Roman" w:eastAsia="仿宋_GB2312" w:cs="Times New Roman"/>
      <w:sz w:val="28"/>
      <w:szCs w:val="20"/>
      <w14:ligatures w14:val="none"/>
    </w:rPr>
  </w:style>
  <w:style w:type="character" w:customStyle="1" w:styleId="1977">
    <w:name w:val="款标题1.1.1.1 Char Char"/>
    <w:uiPriority w:val="0"/>
    <w:rPr>
      <w:rFonts w:ascii="仿宋_GB2312" w:eastAsia="仿宋_GB2312"/>
      <w:kern w:val="2"/>
      <w:sz w:val="28"/>
      <w:lang w:val="en-US" w:eastAsia="zh-CN" w:bidi="ar-SA"/>
    </w:rPr>
  </w:style>
  <w:style w:type="paragraph" w:customStyle="1" w:styleId="1978">
    <w:name w:val="矿化度0.2"/>
    <w:basedOn w:val="1"/>
    <w:qFormat/>
    <w:uiPriority w:val="0"/>
    <w:pPr>
      <w:adjustRightInd/>
      <w:snapToGrid/>
      <w:spacing w:line="240" w:lineRule="auto"/>
      <w:ind w:firstLine="420"/>
    </w:pPr>
    <w:rPr>
      <w:snapToGrid/>
      <w:kern w:val="2"/>
      <w:sz w:val="21"/>
    </w:rPr>
  </w:style>
  <w:style w:type="paragraph" w:customStyle="1" w:styleId="1979">
    <w:name w:val="框图"/>
    <w:basedOn w:val="1"/>
    <w:semiHidden/>
    <w:qFormat/>
    <w:uiPriority w:val="0"/>
    <w:pPr>
      <w:adjustRightInd/>
      <w:snapToGrid/>
      <w:spacing w:line="240" w:lineRule="auto"/>
      <w:ind w:firstLine="560"/>
    </w:pPr>
    <w:rPr>
      <w:rFonts w:ascii="宋体"/>
      <w:snapToGrid/>
      <w:kern w:val="2"/>
    </w:rPr>
  </w:style>
  <w:style w:type="paragraph" w:customStyle="1" w:styleId="1980">
    <w:name w:val="样式 ZW + 宋体 小四 自动设置"/>
    <w:basedOn w:val="1"/>
    <w:link w:val="1981"/>
    <w:uiPriority w:val="0"/>
    <w:pPr>
      <w:autoSpaceDE w:val="0"/>
      <w:autoSpaceDN w:val="0"/>
      <w:spacing w:line="560" w:lineRule="exact"/>
    </w:pPr>
    <w:rPr>
      <w:rFonts w:ascii="仿宋_GB2312" w:hAnsi="宋体" w:eastAsia="仿宋_GB2312"/>
      <w:snapToGrid/>
      <w:color w:val="000000"/>
      <w:kern w:val="2"/>
      <w:sz w:val="28"/>
      <w:szCs w:val="28"/>
    </w:rPr>
  </w:style>
  <w:style w:type="character" w:customStyle="1" w:styleId="1981">
    <w:name w:val="样式 ZW + 宋体 小四 自动设置 Char"/>
    <w:link w:val="1980"/>
    <w:uiPriority w:val="0"/>
    <w:rPr>
      <w:rFonts w:ascii="仿宋_GB2312" w:hAnsi="宋体" w:eastAsia="仿宋_GB2312" w:cs="Times New Roman"/>
      <w:color w:val="000000"/>
      <w:sz w:val="28"/>
      <w:szCs w:val="28"/>
      <w14:ligatures w14:val="none"/>
    </w:rPr>
  </w:style>
  <w:style w:type="paragraph" w:customStyle="1" w:styleId="1982">
    <w:name w:val="括号"/>
    <w:basedOn w:val="1980"/>
    <w:qFormat/>
    <w:uiPriority w:val="0"/>
    <w:rPr>
      <w:rFonts w:ascii="楷体_GB2312" w:eastAsia="楷体_GB2312"/>
    </w:rPr>
  </w:style>
  <w:style w:type="paragraph" w:customStyle="1" w:styleId="1983">
    <w:name w:val="乐山-标题 1"/>
    <w:basedOn w:val="3"/>
    <w:next w:val="1"/>
    <w:autoRedefine/>
    <w:uiPriority w:val="0"/>
    <w:pPr>
      <w:keepLines/>
      <w:pageBreakBefore/>
      <w:numPr>
        <w:ilvl w:val="0"/>
        <w:numId w:val="0"/>
      </w:numPr>
      <w:adjustRightInd/>
      <w:snapToGrid/>
      <w:spacing w:before="3000" w:afterLines="0" w:line="240" w:lineRule="auto"/>
      <w:ind w:left="425" w:hanging="425"/>
      <w:jc w:val="both"/>
    </w:pPr>
    <w:rPr>
      <w:rFonts w:ascii="隶书" w:hAnsi="隶书" w:eastAsia="华文细黑"/>
      <w:snapToGrid/>
      <w:sz w:val="48"/>
      <w:szCs w:val="48"/>
    </w:rPr>
  </w:style>
  <w:style w:type="paragraph" w:customStyle="1" w:styleId="1984">
    <w:name w:val="乐山-标题 2"/>
    <w:basedOn w:val="4"/>
    <w:next w:val="1"/>
    <w:qFormat/>
    <w:uiPriority w:val="0"/>
    <w:pPr>
      <w:numPr>
        <w:ilvl w:val="0"/>
        <w:numId w:val="0"/>
      </w:numPr>
      <w:shd w:val="clear" w:color="CC9900" w:fill="auto"/>
      <w:overflowPunct w:val="0"/>
      <w:adjustRightInd/>
      <w:spacing w:after="120" w:line="440" w:lineRule="exact"/>
      <w:ind w:left="927" w:hanging="567"/>
    </w:pPr>
    <w:rPr>
      <w:rFonts w:ascii="华文细黑" w:hAnsi="隶书" w:eastAsia="华文细黑" w:cs="宋体"/>
      <w:bCs/>
      <w:snapToGrid/>
      <w:kern w:val="44"/>
      <w:szCs w:val="30"/>
    </w:rPr>
  </w:style>
  <w:style w:type="paragraph" w:customStyle="1" w:styleId="1985">
    <w:name w:val="乐山-标题 3"/>
    <w:basedOn w:val="1"/>
    <w:next w:val="1"/>
    <w:qFormat/>
    <w:uiPriority w:val="0"/>
    <w:pPr>
      <w:keepNext/>
      <w:keepLines/>
      <w:numPr>
        <w:ilvl w:val="2"/>
        <w:numId w:val="17"/>
      </w:numPr>
      <w:overflowPunct w:val="0"/>
      <w:adjustRightInd/>
      <w:spacing w:line="440" w:lineRule="exact"/>
      <w:ind w:firstLine="0" w:firstLineChars="0"/>
      <w:outlineLvl w:val="2"/>
    </w:pPr>
    <w:rPr>
      <w:rFonts w:ascii="华文细黑" w:hAnsi="华文细黑" w:eastAsia="华文细黑" w:cs="宋体"/>
      <w:snapToGrid/>
      <w:szCs w:val="28"/>
    </w:rPr>
  </w:style>
  <w:style w:type="paragraph" w:customStyle="1" w:styleId="1986">
    <w:name w:val="乐山-标题 4"/>
    <w:basedOn w:val="1"/>
    <w:next w:val="1"/>
    <w:qFormat/>
    <w:uiPriority w:val="0"/>
    <w:pPr>
      <w:keepNext/>
      <w:keepLines/>
      <w:overflowPunct w:val="0"/>
      <w:adjustRightInd/>
      <w:spacing w:line="440" w:lineRule="exact"/>
      <w:ind w:firstLine="0" w:firstLineChars="0"/>
      <w:outlineLvl w:val="3"/>
    </w:pPr>
    <w:rPr>
      <w:rFonts w:ascii="华文细黑" w:hAnsi="华文细黑" w:eastAsia="华文细黑" w:cs="宋体"/>
      <w:snapToGrid/>
    </w:rPr>
  </w:style>
  <w:style w:type="paragraph" w:customStyle="1" w:styleId="1987">
    <w:name w:val="乐山-正文 Char"/>
    <w:basedOn w:val="1"/>
    <w:next w:val="1"/>
    <w:uiPriority w:val="0"/>
    <w:pPr>
      <w:adjustRightInd/>
      <w:snapToGrid/>
      <w:spacing w:line="440" w:lineRule="exact"/>
    </w:pPr>
    <w:rPr>
      <w:rFonts w:ascii="Arial" w:hAnsi="Arial" w:eastAsia="华文细黑" w:cs="宋体"/>
      <w:snapToGrid/>
      <w:kern w:val="2"/>
      <w:sz w:val="21"/>
      <w:szCs w:val="20"/>
    </w:rPr>
  </w:style>
  <w:style w:type="paragraph" w:customStyle="1" w:styleId="1988">
    <w:name w:val="李海涛正文"/>
    <w:basedOn w:val="1"/>
    <w:next w:val="1"/>
    <w:uiPriority w:val="0"/>
    <w:pPr>
      <w:widowControl/>
      <w:adjustRightInd/>
      <w:snapToGrid/>
      <w:spacing w:line="360" w:lineRule="auto"/>
      <w:ind w:firstLine="480"/>
    </w:pPr>
    <w:rPr>
      <w:rFonts w:ascii="宋体" w:hAnsi="宋体"/>
      <w:szCs w:val="20"/>
    </w:rPr>
  </w:style>
  <w:style w:type="paragraph" w:customStyle="1" w:styleId="1989">
    <w:name w:val="李恒正文"/>
    <w:basedOn w:val="1"/>
    <w:uiPriority w:val="0"/>
    <w:pPr>
      <w:adjustRightInd/>
      <w:snapToGrid/>
      <w:spacing w:line="360" w:lineRule="auto"/>
      <w:ind w:firstLine="480"/>
    </w:pPr>
    <w:rPr>
      <w:rFonts w:cs="宋体"/>
      <w:snapToGrid/>
      <w:kern w:val="2"/>
      <w:szCs w:val="20"/>
    </w:rPr>
  </w:style>
  <w:style w:type="table" w:customStyle="1" w:styleId="1990">
    <w:name w:val="立体型 1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1991">
    <w:name w:val="立体型 1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1992">
    <w:name w:val="立体型 3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1993">
    <w:name w:val="立体型 3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paragraph" w:customStyle="1" w:styleId="1994">
    <w:name w:val="连续正文文字"/>
    <w:basedOn w:val="34"/>
    <w:autoRedefine/>
    <w:qFormat/>
    <w:uiPriority w:val="0"/>
    <w:pPr>
      <w:keepNext/>
      <w:widowControl/>
      <w:adjustRightInd/>
      <w:snapToGrid/>
      <w:spacing w:after="120" w:line="240" w:lineRule="auto"/>
    </w:pPr>
    <w:rPr>
      <w:rFonts w:ascii="楷体_GB2312" w:hAnsi="Calibri" w:eastAsia="楷体_GB2312"/>
      <w:snapToGrid/>
      <w:kern w:val="2"/>
      <w:sz w:val="44"/>
      <w:szCs w:val="44"/>
    </w:rPr>
  </w:style>
  <w:style w:type="character" w:customStyle="1" w:styleId="1995">
    <w:name w:val="链接"/>
    <w:qFormat/>
    <w:uiPriority w:val="0"/>
    <w:rPr>
      <w:rFonts w:ascii="Times New Roman" w:eastAsia="宋体"/>
      <w:color w:val="0000FF"/>
      <w:sz w:val="21"/>
      <w:u w:val="single" w:color="0000FF"/>
      <w:vertAlign w:val="baseline"/>
      <w:lang w:val="en-US" w:eastAsia="zh-CN"/>
    </w:rPr>
  </w:style>
  <w:style w:type="character" w:customStyle="1" w:styleId="1996">
    <w:name w:val="列表 2 字符"/>
    <w:link w:val="37"/>
    <w:uiPriority w:val="0"/>
    <w:rPr>
      <w:rFonts w:ascii="Times New Roman" w:hAnsi="Times New Roman" w:eastAsia="宋体" w:cs="Times New Roman"/>
      <w:snapToGrid w:val="0"/>
      <w:kern w:val="0"/>
      <w:sz w:val="26"/>
      <w:szCs w:val="24"/>
      <w14:ligatures w14:val="none"/>
    </w:rPr>
  </w:style>
  <w:style w:type="paragraph" w:customStyle="1" w:styleId="1997">
    <w:name w:val="列表 21"/>
    <w:basedOn w:val="1"/>
    <w:uiPriority w:val="0"/>
    <w:pPr>
      <w:spacing w:before="31"/>
      <w:ind w:left="100" w:leftChars="200" w:hanging="200" w:hangingChars="200"/>
    </w:pPr>
    <w:rPr>
      <w:szCs w:val="22"/>
    </w:rPr>
  </w:style>
  <w:style w:type="paragraph" w:customStyle="1" w:styleId="1998">
    <w:name w:val="列表 31"/>
    <w:basedOn w:val="1"/>
    <w:qFormat/>
    <w:uiPriority w:val="0"/>
    <w:pPr>
      <w:spacing w:before="31"/>
      <w:ind w:left="100" w:leftChars="400" w:hanging="200" w:hangingChars="200"/>
    </w:pPr>
    <w:rPr>
      <w:szCs w:val="22"/>
    </w:rPr>
  </w:style>
  <w:style w:type="paragraph" w:customStyle="1" w:styleId="1999">
    <w:name w:val="列表 41"/>
    <w:basedOn w:val="1"/>
    <w:qFormat/>
    <w:uiPriority w:val="0"/>
    <w:pPr>
      <w:spacing w:before="31"/>
      <w:ind w:left="100" w:leftChars="600" w:hanging="200" w:hangingChars="200"/>
    </w:pPr>
    <w:rPr>
      <w:szCs w:val="22"/>
    </w:rPr>
  </w:style>
  <w:style w:type="paragraph" w:customStyle="1" w:styleId="2000">
    <w:name w:val="列表 51"/>
    <w:basedOn w:val="1"/>
    <w:qFormat/>
    <w:uiPriority w:val="0"/>
    <w:pPr>
      <w:spacing w:before="31"/>
      <w:ind w:left="100" w:leftChars="800" w:hanging="200" w:hangingChars="200"/>
    </w:pPr>
    <w:rPr>
      <w:szCs w:val="22"/>
    </w:rPr>
  </w:style>
  <w:style w:type="paragraph" w:customStyle="1" w:styleId="2001">
    <w:name w:val="列表编号 21"/>
    <w:basedOn w:val="1"/>
    <w:qFormat/>
    <w:uiPriority w:val="0"/>
    <w:pPr>
      <w:tabs>
        <w:tab w:val="left" w:pos="780"/>
      </w:tabs>
      <w:spacing w:before="31"/>
      <w:ind w:left="780" w:hanging="360"/>
    </w:pPr>
    <w:rPr>
      <w:szCs w:val="22"/>
    </w:rPr>
  </w:style>
  <w:style w:type="paragraph" w:customStyle="1" w:styleId="2002">
    <w:name w:val="列表编号 31"/>
    <w:basedOn w:val="1"/>
    <w:qFormat/>
    <w:uiPriority w:val="0"/>
    <w:pPr>
      <w:tabs>
        <w:tab w:val="left" w:pos="1200"/>
      </w:tabs>
      <w:spacing w:before="31"/>
      <w:ind w:left="1200" w:hanging="360"/>
    </w:pPr>
    <w:rPr>
      <w:szCs w:val="22"/>
    </w:rPr>
  </w:style>
  <w:style w:type="paragraph" w:customStyle="1" w:styleId="2003">
    <w:name w:val="列表编号 41"/>
    <w:basedOn w:val="1"/>
    <w:uiPriority w:val="0"/>
    <w:pPr>
      <w:tabs>
        <w:tab w:val="left" w:pos="1620"/>
      </w:tabs>
      <w:spacing w:before="31"/>
      <w:ind w:left="1620" w:hanging="360"/>
    </w:pPr>
    <w:rPr>
      <w:szCs w:val="22"/>
    </w:rPr>
  </w:style>
  <w:style w:type="paragraph" w:customStyle="1" w:styleId="2004">
    <w:name w:val="列表编号 51"/>
    <w:basedOn w:val="1"/>
    <w:qFormat/>
    <w:uiPriority w:val="0"/>
    <w:pPr>
      <w:tabs>
        <w:tab w:val="left" w:pos="2040"/>
      </w:tabs>
      <w:spacing w:before="31"/>
      <w:ind w:left="2040" w:hanging="360"/>
    </w:pPr>
    <w:rPr>
      <w:szCs w:val="22"/>
    </w:rPr>
  </w:style>
  <w:style w:type="paragraph" w:styleId="2005">
    <w:name w:val="List Paragraph"/>
    <w:basedOn w:val="1"/>
    <w:link w:val="2006"/>
    <w:qFormat/>
    <w:uiPriority w:val="34"/>
    <w:pPr>
      <w:ind w:firstLine="420"/>
    </w:pPr>
  </w:style>
  <w:style w:type="character" w:customStyle="1" w:styleId="2006">
    <w:name w:val="列表段落 字符"/>
    <w:link w:val="2005"/>
    <w:qFormat/>
    <w:uiPriority w:val="34"/>
    <w:rPr>
      <w:rFonts w:ascii="Times New Roman" w:hAnsi="Times New Roman" w:eastAsia="宋体" w:cs="Times New Roman"/>
      <w:snapToGrid w:val="0"/>
      <w:kern w:val="0"/>
      <w:sz w:val="26"/>
      <w:szCs w:val="24"/>
      <w14:ligatures w14:val="none"/>
    </w:rPr>
  </w:style>
  <w:style w:type="paragraph" w:customStyle="1" w:styleId="2007">
    <w:name w:val="列表接续 21"/>
    <w:basedOn w:val="1"/>
    <w:qFormat/>
    <w:uiPriority w:val="0"/>
    <w:pPr>
      <w:spacing w:before="31" w:after="120"/>
      <w:ind w:left="840" w:leftChars="400"/>
    </w:pPr>
    <w:rPr>
      <w:szCs w:val="22"/>
    </w:rPr>
  </w:style>
  <w:style w:type="paragraph" w:customStyle="1" w:styleId="2008">
    <w:name w:val="列表接续 31"/>
    <w:basedOn w:val="1"/>
    <w:qFormat/>
    <w:uiPriority w:val="0"/>
    <w:pPr>
      <w:spacing w:before="31" w:after="120"/>
      <w:ind w:left="1260" w:leftChars="600"/>
    </w:pPr>
    <w:rPr>
      <w:szCs w:val="22"/>
    </w:rPr>
  </w:style>
  <w:style w:type="paragraph" w:customStyle="1" w:styleId="2009">
    <w:name w:val="列表接续 41"/>
    <w:basedOn w:val="1"/>
    <w:qFormat/>
    <w:uiPriority w:val="0"/>
    <w:pPr>
      <w:spacing w:before="31" w:after="120"/>
      <w:ind w:left="1680" w:leftChars="800"/>
    </w:pPr>
    <w:rPr>
      <w:szCs w:val="22"/>
    </w:rPr>
  </w:style>
  <w:style w:type="paragraph" w:customStyle="1" w:styleId="2010">
    <w:name w:val="列表接续 51"/>
    <w:basedOn w:val="1"/>
    <w:uiPriority w:val="0"/>
    <w:pPr>
      <w:spacing w:before="31" w:after="120"/>
      <w:ind w:left="2100" w:leftChars="1000"/>
    </w:pPr>
    <w:rPr>
      <w:szCs w:val="22"/>
    </w:rPr>
  </w:style>
  <w:style w:type="paragraph" w:customStyle="1" w:styleId="2011">
    <w:name w:val="列表接续1"/>
    <w:basedOn w:val="1"/>
    <w:qFormat/>
    <w:uiPriority w:val="0"/>
    <w:pPr>
      <w:spacing w:before="31" w:after="120"/>
      <w:ind w:left="420" w:leftChars="200"/>
    </w:pPr>
    <w:rPr>
      <w:szCs w:val="22"/>
    </w:rPr>
  </w:style>
  <w:style w:type="paragraph" w:customStyle="1" w:styleId="2012">
    <w:name w:val="列表内容"/>
    <w:basedOn w:val="1"/>
    <w:uiPriority w:val="0"/>
    <w:pPr>
      <w:keepNext/>
      <w:keepLines/>
      <w:spacing w:line="240" w:lineRule="auto"/>
      <w:ind w:firstLine="0" w:firstLineChars="0"/>
      <w:jc w:val="center"/>
    </w:pPr>
    <w:rPr>
      <w:szCs w:val="28"/>
    </w:rPr>
  </w:style>
  <w:style w:type="paragraph" w:customStyle="1" w:styleId="2013">
    <w:name w:val="列表内容 1"/>
    <w:basedOn w:val="1"/>
    <w:next w:val="1"/>
    <w:qFormat/>
    <w:uiPriority w:val="0"/>
    <w:pPr>
      <w:keepLines/>
      <w:spacing w:line="240" w:lineRule="auto"/>
      <w:ind w:firstLine="0" w:firstLineChars="0"/>
      <w:jc w:val="center"/>
    </w:pPr>
    <w:rPr>
      <w:rFonts w:ascii="宋体" w:hAnsi="宋体"/>
    </w:rPr>
  </w:style>
  <w:style w:type="character" w:customStyle="1" w:styleId="2014">
    <w:name w:val="列表项目符号 2 字符"/>
    <w:link w:val="40"/>
    <w:qFormat/>
    <w:uiPriority w:val="0"/>
    <w:rPr>
      <w:rFonts w:ascii="Times New Roman" w:hAnsi="Times New Roman" w:eastAsia="宋体" w:cs="Times New Roman"/>
      <w:snapToGrid w:val="0"/>
      <w:kern w:val="0"/>
      <w:sz w:val="26"/>
      <w:szCs w:val="24"/>
      <w14:ligatures w14:val="none"/>
    </w:rPr>
  </w:style>
  <w:style w:type="table" w:customStyle="1" w:styleId="2015">
    <w:name w:val="列表型 1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016">
    <w:name w:val="列表型 1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017">
    <w:name w:val="列表型 2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bottom w:val="single" w:color="808080" w:sz="12" w:space="0"/>
      </w:tblBorders>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018">
    <w:name w:val="列表型 2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bottom w:val="single" w:color="808080" w:sz="12" w:space="0"/>
      </w:tblBorders>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019">
    <w:name w:val="列表型 3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bottom w:val="single" w:color="000000" w:sz="12" w:space="0"/>
        <w:insideH w:val="single" w:color="000000" w:sz="6" w:space="0"/>
      </w:tblBorders>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020">
    <w:name w:val="列表型 3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bottom w:val="single" w:color="000000" w:sz="12" w:space="0"/>
        <w:insideH w:val="single" w:color="000000" w:sz="6" w:space="0"/>
      </w:tblBorders>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021">
    <w:name w:val="列表型 4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cPr>
        <w:tcBorders>
          <w:bottom w:val="single" w:color="000000" w:sz="12" w:space="0"/>
          <w:tl2br w:val="nil"/>
          <w:tr2bl w:val="nil"/>
        </w:tcBorders>
        <w:shd w:val="solid" w:color="808080" w:fill="FFFFFF"/>
      </w:tcPr>
    </w:tblStylePr>
  </w:style>
  <w:style w:type="table" w:customStyle="1" w:styleId="2022">
    <w:name w:val="列表型 4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cPr>
        <w:tcBorders>
          <w:bottom w:val="single" w:color="000000" w:sz="12" w:space="0"/>
          <w:tl2br w:val="nil"/>
          <w:tr2bl w:val="nil"/>
        </w:tcBorders>
        <w:shd w:val="solid" w:color="808080" w:fill="FFFFFF"/>
      </w:tcPr>
    </w:tblStylePr>
  </w:style>
  <w:style w:type="table" w:customStyle="1" w:styleId="2023">
    <w:name w:val="列表型 5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2024">
    <w:name w:val="列表型 5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2025">
    <w:name w:val="列表型 7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026">
    <w:name w:val="列表型 7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027">
    <w:name w:val="列表型 8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2028">
    <w:name w:val="列表型 8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paragraph" w:customStyle="1" w:styleId="2029">
    <w:name w:val="列表延续 5"/>
    <w:basedOn w:val="1"/>
    <w:qFormat/>
    <w:uiPriority w:val="0"/>
    <w:pPr>
      <w:autoSpaceDE w:val="0"/>
      <w:autoSpaceDN w:val="0"/>
      <w:snapToGrid/>
      <w:spacing w:after="120" w:line="400" w:lineRule="exact"/>
      <w:ind w:left="1260" w:firstLine="0" w:firstLineChars="0"/>
    </w:pPr>
    <w:rPr>
      <w:rFonts w:ascii="宋体" w:hAnsi="Tms Rmn"/>
      <w:snapToGrid/>
      <w:spacing w:val="-5"/>
      <w:szCs w:val="20"/>
    </w:rPr>
  </w:style>
  <w:style w:type="paragraph" w:customStyle="1" w:styleId="2030">
    <w:name w:val="列出段落1"/>
    <w:basedOn w:val="1"/>
    <w:link w:val="2031"/>
    <w:uiPriority w:val="0"/>
    <w:pPr>
      <w:adjustRightInd/>
      <w:snapToGrid/>
      <w:spacing w:line="240" w:lineRule="auto"/>
      <w:ind w:left="720" w:firstLine="0" w:firstLineChars="0"/>
    </w:pPr>
    <w:rPr>
      <w:snapToGrid/>
      <w:kern w:val="2"/>
      <w:sz w:val="21"/>
      <w:szCs w:val="21"/>
    </w:rPr>
  </w:style>
  <w:style w:type="character" w:customStyle="1" w:styleId="2031">
    <w:name w:val="List Paragraph Char"/>
    <w:link w:val="2030"/>
    <w:qFormat/>
    <w:locked/>
    <w:uiPriority w:val="0"/>
    <w:rPr>
      <w:rFonts w:ascii="Times New Roman" w:hAnsi="Times New Roman" w:eastAsia="宋体" w:cs="Times New Roman"/>
      <w:szCs w:val="21"/>
      <w14:ligatures w14:val="none"/>
    </w:rPr>
  </w:style>
  <w:style w:type="paragraph" w:customStyle="1" w:styleId="2032">
    <w:name w:val="列出段落11"/>
    <w:basedOn w:val="1"/>
    <w:qFormat/>
    <w:uiPriority w:val="0"/>
    <w:pPr>
      <w:adjustRightInd/>
      <w:snapToGrid/>
      <w:spacing w:line="240" w:lineRule="auto"/>
      <w:ind w:left="720" w:firstLine="0" w:firstLineChars="0"/>
    </w:pPr>
    <w:rPr>
      <w:snapToGrid/>
      <w:kern w:val="2"/>
      <w:sz w:val="21"/>
      <w:szCs w:val="21"/>
    </w:rPr>
  </w:style>
  <w:style w:type="paragraph" w:customStyle="1" w:styleId="2033">
    <w:name w:val="列出段落2"/>
    <w:basedOn w:val="1"/>
    <w:qFormat/>
    <w:uiPriority w:val="0"/>
    <w:pPr>
      <w:adjustRightInd/>
      <w:snapToGrid/>
      <w:spacing w:line="240" w:lineRule="auto"/>
      <w:ind w:firstLine="420"/>
    </w:pPr>
    <w:rPr>
      <w:rFonts w:ascii="Calibri" w:hAnsi="Calibri"/>
      <w:snapToGrid/>
      <w:kern w:val="2"/>
      <w:sz w:val="21"/>
      <w:szCs w:val="22"/>
    </w:rPr>
  </w:style>
  <w:style w:type="paragraph" w:customStyle="1" w:styleId="2034">
    <w:name w:val="列项——（一级）"/>
    <w:qFormat/>
    <w:uiPriority w:val="0"/>
    <w:pPr>
      <w:widowControl w:val="0"/>
      <w:tabs>
        <w:tab w:val="left" w:pos="555"/>
      </w:tabs>
      <w:ind w:left="555" w:hanging="555"/>
      <w:jc w:val="both"/>
    </w:pPr>
    <w:rPr>
      <w:rFonts w:ascii="宋体" w:hAnsi="Times New Roman" w:eastAsia="宋体" w:cs="Times New Roman"/>
      <w:sz w:val="21"/>
      <w:lang w:val="en-US" w:eastAsia="zh-CN" w:bidi="ar-SA"/>
    </w:rPr>
  </w:style>
  <w:style w:type="paragraph" w:customStyle="1" w:styleId="2035">
    <w:name w:val="流程图"/>
    <w:basedOn w:val="1"/>
    <w:qFormat/>
    <w:uiPriority w:val="0"/>
    <w:pPr>
      <w:spacing w:after="60" w:line="240" w:lineRule="auto"/>
      <w:ind w:firstLine="0" w:firstLineChars="0"/>
      <w:jc w:val="center"/>
      <w:textAlignment w:val="baseline"/>
    </w:pPr>
    <w:rPr>
      <w:rFonts w:ascii="宋体" w:hAnsi="Bookman Old Style"/>
      <w:snapToGrid/>
      <w:spacing w:val="5"/>
      <w:kern w:val="44"/>
      <w:position w:val="-10"/>
      <w:sz w:val="21"/>
      <w:szCs w:val="20"/>
    </w:rPr>
  </w:style>
  <w:style w:type="table" w:customStyle="1" w:styleId="2036">
    <w:name w:val="流行型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insideH w:val="single" w:color="FFFFFF" w:sz="18" w:space="0"/>
        <w:insideV w:val="single" w:color="FFFFFF" w:sz="18" w:space="0"/>
      </w:tblBorders>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037">
    <w:name w:val="流行型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insideH w:val="single" w:color="FFFFFF" w:sz="18" w:space="0"/>
        <w:insideV w:val="single" w:color="FFFFFF" w:sz="18" w:space="0"/>
      </w:tblBorders>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paragraph" w:customStyle="1" w:styleId="2038">
    <w:name w:val="六号表文"/>
    <w:basedOn w:val="1"/>
    <w:qFormat/>
    <w:uiPriority w:val="0"/>
    <w:pPr>
      <w:tabs>
        <w:tab w:val="left" w:pos="840"/>
      </w:tabs>
      <w:snapToGrid/>
      <w:spacing w:line="200" w:lineRule="exact"/>
      <w:ind w:firstLine="0" w:firstLineChars="0"/>
      <w:textAlignment w:val="baseline"/>
    </w:pPr>
    <w:rPr>
      <w:rFonts w:ascii="宋体" w:hAnsi="宋体"/>
      <w:snapToGrid/>
      <w:kern w:val="2"/>
      <w:sz w:val="18"/>
      <w:szCs w:val="18"/>
    </w:rPr>
  </w:style>
  <w:style w:type="paragraph" w:customStyle="1" w:styleId="2039">
    <w:name w:val="小表文"/>
    <w:basedOn w:val="1"/>
    <w:qFormat/>
    <w:uiPriority w:val="0"/>
    <w:pPr>
      <w:autoSpaceDE w:val="0"/>
      <w:autoSpaceDN w:val="0"/>
      <w:snapToGrid/>
      <w:spacing w:line="312" w:lineRule="auto"/>
      <w:ind w:firstLine="482" w:firstLineChars="0"/>
      <w:textAlignment w:val="baseline"/>
    </w:pPr>
    <w:rPr>
      <w:snapToGrid/>
      <w:sz w:val="18"/>
      <w:szCs w:val="20"/>
    </w:rPr>
  </w:style>
  <w:style w:type="paragraph" w:customStyle="1" w:styleId="2040">
    <w:name w:val="六号小表文"/>
    <w:basedOn w:val="2039"/>
    <w:uiPriority w:val="0"/>
    <w:pPr>
      <w:snapToGrid w:val="0"/>
      <w:spacing w:line="180" w:lineRule="exact"/>
      <w:ind w:firstLine="0" w:firstLineChars="200"/>
    </w:pPr>
    <w:rPr>
      <w:color w:val="000000"/>
      <w:spacing w:val="-16"/>
      <w:sz w:val="15"/>
    </w:rPr>
  </w:style>
  <w:style w:type="paragraph" w:customStyle="1" w:styleId="2041">
    <w:name w:val="论文正文"/>
    <w:basedOn w:val="1"/>
    <w:qFormat/>
    <w:uiPriority w:val="0"/>
    <w:pPr>
      <w:adjustRightInd/>
      <w:snapToGrid/>
      <w:spacing w:line="300" w:lineRule="auto"/>
      <w:ind w:firstLine="480"/>
    </w:pPr>
    <w:rPr>
      <w:rFonts w:ascii="仿宋_GB2312" w:eastAsia="仿宋_GB2312"/>
      <w:snapToGrid/>
    </w:rPr>
  </w:style>
  <w:style w:type="character" w:customStyle="1" w:styleId="2042">
    <w:name w:val="落款 Char Char"/>
    <w:qFormat/>
    <w:uiPriority w:val="0"/>
    <w:rPr>
      <w:rFonts w:ascii="Times New Roman" w:hAnsi="Times New Roman" w:eastAsia="宋体" w:cs="Times New Roman"/>
      <w:b/>
      <w:sz w:val="28"/>
      <w:szCs w:val="24"/>
    </w:rPr>
  </w:style>
  <w:style w:type="character" w:customStyle="1" w:styleId="2043">
    <w:name w:val="落款 Char"/>
    <w:qFormat/>
    <w:uiPriority w:val="0"/>
    <w:rPr>
      <w:rFonts w:eastAsia="宋体"/>
      <w:b/>
      <w:kern w:val="2"/>
      <w:sz w:val="21"/>
      <w:szCs w:val="24"/>
      <w:lang w:val="en-US" w:eastAsia="zh-CN" w:bidi="ar-SA"/>
    </w:rPr>
  </w:style>
  <w:style w:type="paragraph" w:customStyle="1" w:styleId="2044">
    <w:name w:val="名录"/>
    <w:basedOn w:val="1"/>
    <w:link w:val="2045"/>
    <w:uiPriority w:val="0"/>
    <w:pPr>
      <w:adjustRightInd/>
      <w:snapToGrid/>
      <w:spacing w:line="360" w:lineRule="auto"/>
      <w:ind w:firstLine="0" w:firstLineChars="0"/>
      <w:jc w:val="center"/>
    </w:pPr>
    <w:rPr>
      <w:snapToGrid/>
      <w:spacing w:val="6"/>
      <w:kern w:val="2"/>
      <w:sz w:val="21"/>
    </w:rPr>
  </w:style>
  <w:style w:type="character" w:customStyle="1" w:styleId="2045">
    <w:name w:val="名录 Char Char"/>
    <w:link w:val="2044"/>
    <w:uiPriority w:val="0"/>
    <w:rPr>
      <w:rFonts w:ascii="Times New Roman" w:hAnsi="Times New Roman" w:eastAsia="宋体" w:cs="Times New Roman"/>
      <w:spacing w:val="6"/>
      <w:szCs w:val="24"/>
      <w14:ligatures w14:val="none"/>
    </w:rPr>
  </w:style>
  <w:style w:type="paragraph" w:customStyle="1" w:styleId="2046">
    <w:name w:val="名录 + 倾斜"/>
    <w:basedOn w:val="2044"/>
    <w:link w:val="2047"/>
    <w:uiPriority w:val="0"/>
    <w:pPr>
      <w:spacing w:line="240" w:lineRule="auto"/>
      <w:jc w:val="both"/>
    </w:pPr>
    <w:rPr>
      <w:i/>
      <w:iCs/>
      <w:szCs w:val="21"/>
    </w:rPr>
  </w:style>
  <w:style w:type="character" w:customStyle="1" w:styleId="2047">
    <w:name w:val="名录 + 倾斜 Char Char"/>
    <w:link w:val="2046"/>
    <w:qFormat/>
    <w:uiPriority w:val="0"/>
    <w:rPr>
      <w:rFonts w:ascii="Times New Roman" w:hAnsi="Times New Roman" w:eastAsia="宋体" w:cs="Times New Roman"/>
      <w:i/>
      <w:iCs/>
      <w:spacing w:val="6"/>
      <w:szCs w:val="21"/>
      <w14:ligatures w14:val="none"/>
    </w:rPr>
  </w:style>
  <w:style w:type="character" w:customStyle="1" w:styleId="2048">
    <w:name w:val="明显参考1"/>
    <w:qFormat/>
    <w:uiPriority w:val="0"/>
    <w:rPr>
      <w:b/>
      <w:bCs/>
      <w:smallCaps/>
      <w:color w:val="C0504D"/>
      <w:spacing w:val="5"/>
      <w:u w:val="single"/>
    </w:rPr>
  </w:style>
  <w:style w:type="character" w:customStyle="1" w:styleId="2049">
    <w:name w:val="明显参考12"/>
    <w:qFormat/>
    <w:uiPriority w:val="0"/>
    <w:rPr>
      <w:rFonts w:cs="Times New Roman"/>
      <w:b/>
      <w:bCs/>
      <w:smallCaps/>
      <w:color w:val="C0504D"/>
      <w:spacing w:val="5"/>
      <w:u w:val="single"/>
    </w:rPr>
  </w:style>
  <w:style w:type="character" w:customStyle="1" w:styleId="2050">
    <w:name w:val="明显参考11"/>
    <w:qFormat/>
    <w:uiPriority w:val="0"/>
    <w:rPr>
      <w:rFonts w:ascii="Calibri" w:hAnsi="Calibri" w:eastAsia="宋体"/>
      <w:b/>
      <w:i/>
      <w:color w:val="622423"/>
    </w:rPr>
  </w:style>
  <w:style w:type="character" w:customStyle="1" w:styleId="2051">
    <w:name w:val="明显参考2"/>
    <w:qFormat/>
    <w:uiPriority w:val="0"/>
    <w:rPr>
      <w:rFonts w:ascii="Calibri" w:hAnsi="Calibri" w:eastAsia="宋体"/>
      <w:b/>
      <w:i/>
      <w:color w:val="622423"/>
    </w:rPr>
  </w:style>
  <w:style w:type="character" w:customStyle="1" w:styleId="2052">
    <w:name w:val="明显强调1"/>
    <w:qFormat/>
    <w:uiPriority w:val="0"/>
    <w:rPr>
      <w:b/>
      <w:bCs/>
      <w:i/>
      <w:iCs/>
      <w:color w:val="4F81BD"/>
    </w:rPr>
  </w:style>
  <w:style w:type="character" w:customStyle="1" w:styleId="2053">
    <w:name w:val="明显强调12"/>
    <w:qFormat/>
    <w:uiPriority w:val="0"/>
    <w:rPr>
      <w:rFonts w:cs="Times New Roman"/>
      <w:b/>
      <w:bCs/>
      <w:i/>
      <w:iCs/>
      <w:color w:val="4F81BD"/>
    </w:rPr>
  </w:style>
  <w:style w:type="character" w:customStyle="1" w:styleId="2054">
    <w:name w:val="明显强调11"/>
    <w:qFormat/>
    <w:uiPriority w:val="0"/>
    <w:rPr>
      <w:i/>
      <w:caps/>
      <w:spacing w:val="10"/>
      <w:sz w:val="20"/>
    </w:rPr>
  </w:style>
  <w:style w:type="character" w:customStyle="1" w:styleId="2055">
    <w:name w:val="明显强调2"/>
    <w:qFormat/>
    <w:uiPriority w:val="0"/>
    <w:rPr>
      <w:i/>
      <w:caps/>
      <w:spacing w:val="10"/>
      <w:sz w:val="20"/>
    </w:rPr>
  </w:style>
  <w:style w:type="paragraph" w:styleId="2056">
    <w:name w:val="Intense Quote"/>
    <w:basedOn w:val="1"/>
    <w:next w:val="1"/>
    <w:link w:val="2057"/>
    <w:qFormat/>
    <w:uiPriority w:val="0"/>
    <w:pPr>
      <w:pBdr>
        <w:bottom w:val="single" w:color="4F81BD" w:sz="4" w:space="4"/>
      </w:pBdr>
      <w:spacing w:after="280" w:line="480" w:lineRule="exact"/>
      <w:ind w:left="936" w:right="936"/>
    </w:pPr>
    <w:rPr>
      <w:b/>
      <w:bCs/>
      <w:i/>
      <w:iCs/>
      <w:snapToGrid/>
      <w:color w:val="4F81BD"/>
      <w:szCs w:val="20"/>
    </w:rPr>
  </w:style>
  <w:style w:type="character" w:customStyle="1" w:styleId="2057">
    <w:name w:val="明显引用 字符"/>
    <w:link w:val="2056"/>
    <w:qFormat/>
    <w:uiPriority w:val="0"/>
    <w:rPr>
      <w:rFonts w:ascii="Times New Roman" w:hAnsi="Times New Roman" w:eastAsia="宋体" w:cs="Times New Roman"/>
      <w:b/>
      <w:bCs/>
      <w:i/>
      <w:iCs/>
      <w:color w:val="4F81BD"/>
      <w:kern w:val="0"/>
      <w:sz w:val="26"/>
      <w:szCs w:val="20"/>
      <w14:ligatures w14:val="none"/>
    </w:rPr>
  </w:style>
  <w:style w:type="character" w:customStyle="1" w:styleId="2058">
    <w:name w:val="明显引用 字符1"/>
    <w:basedOn w:val="132"/>
    <w:qFormat/>
    <w:uiPriority w:val="0"/>
    <w:rPr>
      <w:rFonts w:ascii="Times New Roman" w:hAnsi="Times New Roman" w:cs="Times New Roman"/>
      <w:i/>
      <w:iCs/>
      <w:color w:val="4472C4" w:themeColor="accent1"/>
      <w:kern w:val="0"/>
      <w:sz w:val="26"/>
      <w:szCs w:val="24"/>
      <w14:textFill>
        <w14:solidFill>
          <w14:schemeClr w14:val="accent1"/>
        </w14:solidFill>
      </w14:textFill>
    </w:rPr>
  </w:style>
  <w:style w:type="paragraph" w:customStyle="1" w:styleId="2059">
    <w:name w:val="明显引用1"/>
    <w:basedOn w:val="1"/>
    <w:next w:val="1"/>
    <w:link w:val="2060"/>
    <w:qFormat/>
    <w:uiPriority w:val="0"/>
    <w:pPr>
      <w:pBdr>
        <w:bottom w:val="single" w:color="4F81BD" w:sz="4" w:space="4"/>
      </w:pBdr>
      <w:adjustRightInd/>
      <w:snapToGrid/>
      <w:spacing w:after="280" w:line="240" w:lineRule="auto"/>
      <w:ind w:left="936" w:right="936" w:firstLine="0" w:firstLineChars="0"/>
    </w:pPr>
    <w:rPr>
      <w:b/>
      <w:bCs/>
      <w:i/>
      <w:iCs/>
      <w:snapToGrid/>
      <w:color w:val="4F81BD"/>
      <w:kern w:val="2"/>
      <w:sz w:val="21"/>
    </w:rPr>
  </w:style>
  <w:style w:type="character" w:customStyle="1" w:styleId="2060">
    <w:name w:val="Intense Quote Char1"/>
    <w:link w:val="2059"/>
    <w:qFormat/>
    <w:locked/>
    <w:uiPriority w:val="0"/>
    <w:rPr>
      <w:rFonts w:ascii="Times New Roman" w:hAnsi="Times New Roman" w:eastAsia="宋体" w:cs="Times New Roman"/>
      <w:b/>
      <w:bCs/>
      <w:i/>
      <w:iCs/>
      <w:color w:val="4F81BD"/>
      <w:szCs w:val="24"/>
      <w14:ligatures w14:val="none"/>
    </w:rPr>
  </w:style>
  <w:style w:type="paragraph" w:customStyle="1" w:styleId="2061">
    <w:name w:val="明显引用11"/>
    <w:basedOn w:val="1"/>
    <w:next w:val="1"/>
    <w:link w:val="2062"/>
    <w:qFormat/>
    <w:uiPriority w:val="0"/>
    <w:pPr>
      <w:pBdr>
        <w:bottom w:val="single" w:color="4F81BD" w:sz="4" w:space="4"/>
      </w:pBdr>
      <w:adjustRightInd/>
      <w:snapToGrid/>
      <w:spacing w:after="280" w:line="240" w:lineRule="auto"/>
      <w:ind w:left="936" w:right="936" w:firstLine="0" w:firstLineChars="0"/>
    </w:pPr>
    <w:rPr>
      <w:b/>
      <w:bCs/>
      <w:i/>
      <w:iCs/>
      <w:snapToGrid/>
      <w:color w:val="4F81BD"/>
      <w:sz w:val="21"/>
      <w:szCs w:val="21"/>
    </w:rPr>
  </w:style>
  <w:style w:type="character" w:customStyle="1" w:styleId="2062">
    <w:name w:val="Intense Quote Char"/>
    <w:link w:val="2061"/>
    <w:qFormat/>
    <w:locked/>
    <w:uiPriority w:val="0"/>
    <w:rPr>
      <w:rFonts w:ascii="Times New Roman" w:hAnsi="Times New Roman" w:eastAsia="宋体" w:cs="Times New Roman"/>
      <w:b/>
      <w:bCs/>
      <w:i/>
      <w:iCs/>
      <w:color w:val="4F81BD"/>
      <w:kern w:val="0"/>
      <w:szCs w:val="21"/>
      <w14:ligatures w14:val="none"/>
    </w:rPr>
  </w:style>
  <w:style w:type="paragraph" w:customStyle="1" w:styleId="2063">
    <w:name w:val="明显引用2"/>
    <w:basedOn w:val="1"/>
    <w:next w:val="1"/>
    <w:link w:val="2064"/>
    <w:qFormat/>
    <w:uiPriority w:val="0"/>
    <w:pPr>
      <w:pBdr>
        <w:top w:val="dotted" w:color="632423" w:sz="2" w:space="10"/>
        <w:bottom w:val="dotted" w:color="632423" w:sz="2" w:space="4"/>
      </w:pBdr>
      <w:adjustRightInd/>
      <w:snapToGrid/>
      <w:spacing w:line="300" w:lineRule="auto"/>
      <w:ind w:left="1440" w:right="1440" w:firstLine="482" w:firstLineChars="0"/>
    </w:pPr>
    <w:rPr>
      <w:rFonts w:ascii="Cambria" w:hAnsi="Cambria"/>
      <w:caps/>
      <w:snapToGrid/>
      <w:color w:val="622423"/>
      <w:spacing w:val="5"/>
      <w:sz w:val="20"/>
      <w:szCs w:val="20"/>
      <w:lang w:eastAsia="en-US"/>
    </w:rPr>
  </w:style>
  <w:style w:type="character" w:customStyle="1" w:styleId="2064">
    <w:name w:val="Intense Quote Char Char"/>
    <w:link w:val="2063"/>
    <w:qFormat/>
    <w:uiPriority w:val="0"/>
    <w:rPr>
      <w:rFonts w:ascii="Cambria" w:hAnsi="Cambria" w:eastAsia="宋体" w:cs="Times New Roman"/>
      <w:caps/>
      <w:color w:val="622423"/>
      <w:spacing w:val="5"/>
      <w:kern w:val="0"/>
      <w:sz w:val="20"/>
      <w:szCs w:val="20"/>
      <w:lang w:eastAsia="en-US"/>
      <w14:ligatures w14:val="none"/>
    </w:rPr>
  </w:style>
  <w:style w:type="paragraph" w:customStyle="1" w:styleId="2065">
    <w:name w:val="明显引用3"/>
    <w:basedOn w:val="1"/>
    <w:next w:val="1"/>
    <w:qFormat/>
    <w:uiPriority w:val="0"/>
    <w:pPr>
      <w:pBdr>
        <w:top w:val="dotted" w:color="632423" w:sz="2" w:space="10"/>
        <w:bottom w:val="dotted" w:color="632423" w:sz="2" w:space="4"/>
      </w:pBdr>
      <w:adjustRightInd/>
      <w:snapToGrid/>
      <w:spacing w:line="300" w:lineRule="auto"/>
      <w:ind w:left="1440" w:right="1440" w:firstLine="482" w:firstLineChars="0"/>
    </w:pPr>
    <w:rPr>
      <w:rFonts w:ascii="Cambria" w:hAnsi="Cambria"/>
      <w:caps/>
      <w:snapToGrid/>
      <w:color w:val="622423"/>
      <w:spacing w:val="5"/>
      <w:sz w:val="20"/>
      <w:szCs w:val="20"/>
      <w:lang w:eastAsia="en-US"/>
    </w:rPr>
  </w:style>
  <w:style w:type="paragraph" w:customStyle="1" w:styleId="2066">
    <w:name w:val="模式说明 Char"/>
    <w:basedOn w:val="1"/>
    <w:uiPriority w:val="0"/>
    <w:pPr>
      <w:tabs>
        <w:tab w:val="left" w:pos="840"/>
      </w:tabs>
      <w:adjustRightInd/>
      <w:spacing w:line="300" w:lineRule="auto"/>
      <w:ind w:firstLine="480"/>
    </w:pPr>
    <w:rPr>
      <w:snapToGrid/>
      <w:kern w:val="2"/>
    </w:rPr>
  </w:style>
  <w:style w:type="paragraph" w:customStyle="1" w:styleId="2067">
    <w:name w:val="默认段落"/>
    <w:basedOn w:val="1"/>
    <w:uiPriority w:val="0"/>
    <w:pPr>
      <w:spacing w:line="240" w:lineRule="auto"/>
      <w:ind w:firstLine="480" w:firstLineChars="0"/>
    </w:pPr>
    <w:rPr>
      <w:rFonts w:cs="黑体"/>
      <w:snapToGrid/>
      <w:kern w:val="2"/>
      <w:sz w:val="21"/>
      <w:szCs w:val="20"/>
    </w:rPr>
  </w:style>
  <w:style w:type="character" w:customStyle="1" w:styleId="2068">
    <w:name w:val="默认段落 Char"/>
    <w:qFormat/>
    <w:uiPriority w:val="0"/>
    <w:rPr>
      <w:rFonts w:eastAsia="宋体" w:cs="宋体"/>
      <w:sz w:val="24"/>
      <w:lang w:val="en-US" w:eastAsia="zh-CN" w:bidi="ar-SA"/>
    </w:rPr>
  </w:style>
  <w:style w:type="character" w:customStyle="1" w:styleId="2069">
    <w:name w:val="默认段落 Char Char"/>
    <w:qFormat/>
    <w:uiPriority w:val="0"/>
    <w:rPr>
      <w:rFonts w:eastAsia="宋体" w:cs="黑体"/>
      <w:sz w:val="24"/>
      <w:lang w:val="en-US" w:eastAsia="zh-CN" w:bidi="ar-SA"/>
    </w:rPr>
  </w:style>
  <w:style w:type="paragraph" w:customStyle="1" w:styleId="2070">
    <w:name w:val="默认段落字体 Char Char Char"/>
    <w:basedOn w:val="1"/>
    <w:uiPriority w:val="0"/>
    <w:pPr>
      <w:adjustRightInd/>
      <w:snapToGrid/>
      <w:spacing w:line="240" w:lineRule="auto"/>
      <w:ind w:firstLine="0" w:firstLineChars="0"/>
    </w:pPr>
    <w:rPr>
      <w:snapToGrid/>
      <w:kern w:val="2"/>
    </w:rPr>
  </w:style>
  <w:style w:type="paragraph" w:customStyle="1" w:styleId="2071">
    <w:name w:val="默认段落字体 Para Char"/>
    <w:basedOn w:val="1"/>
    <w:next w:val="1"/>
    <w:qFormat/>
    <w:uiPriority w:val="0"/>
    <w:pPr>
      <w:adjustRightInd/>
      <w:snapToGrid/>
      <w:spacing w:line="360" w:lineRule="auto"/>
    </w:pPr>
    <w:rPr>
      <w:rFonts w:ascii="宋体" w:hAnsi="宋体" w:eastAsia="汉鼎简书宋" w:cs="宋体"/>
      <w:snapToGrid/>
      <w:kern w:val="2"/>
    </w:rPr>
  </w:style>
  <w:style w:type="paragraph" w:customStyle="1" w:styleId="2072">
    <w:name w:val="默认段落字体 Para Char Char Char Char"/>
    <w:basedOn w:val="1"/>
    <w:uiPriority w:val="0"/>
    <w:pPr>
      <w:adjustRightInd/>
      <w:snapToGrid/>
      <w:spacing w:line="240" w:lineRule="auto"/>
      <w:ind w:firstLine="0" w:firstLineChars="0"/>
    </w:pPr>
    <w:rPr>
      <w:snapToGrid/>
      <w:kern w:val="2"/>
    </w:rPr>
  </w:style>
  <w:style w:type="paragraph" w:customStyle="1" w:styleId="2073">
    <w:name w:val="默认段落字体 Para Char Char Char Char Char Char Char Char Char Char"/>
    <w:basedOn w:val="1"/>
    <w:qFormat/>
    <w:uiPriority w:val="0"/>
    <w:pPr>
      <w:adjustRightInd/>
      <w:snapToGrid/>
      <w:spacing w:line="240" w:lineRule="auto"/>
      <w:ind w:firstLine="0" w:firstLineChars="0"/>
    </w:pPr>
    <w:rPr>
      <w:snapToGrid/>
      <w:kern w:val="2"/>
      <w:sz w:val="21"/>
    </w:rPr>
  </w:style>
  <w:style w:type="paragraph" w:customStyle="1" w:styleId="2074">
    <w:name w:val="默认段落字体 Para Char Char Char Char Char Char Char Char Char Char Char Char"/>
    <w:basedOn w:val="26"/>
    <w:autoRedefine/>
    <w:qFormat/>
    <w:uiPriority w:val="0"/>
    <w:pPr>
      <w:snapToGrid/>
      <w:spacing w:line="436" w:lineRule="exact"/>
      <w:ind w:left="357" w:firstLine="0" w:firstLineChars="0"/>
      <w:outlineLvl w:val="3"/>
    </w:pPr>
    <w:rPr>
      <w:rFonts w:ascii="Tahoma" w:hAnsi="Tahoma"/>
      <w:b/>
      <w:snapToGrid/>
      <w:kern w:val="2"/>
    </w:rPr>
  </w:style>
  <w:style w:type="paragraph" w:customStyle="1" w:styleId="2075">
    <w:name w:val="默认段落字体 Para Char Char Char Char Char Char Char Char Char Char Char Char Char"/>
    <w:basedOn w:val="1"/>
    <w:uiPriority w:val="0"/>
    <w:pPr>
      <w:adjustRightInd/>
      <w:snapToGrid/>
      <w:spacing w:line="240" w:lineRule="auto"/>
      <w:ind w:firstLine="0" w:firstLineChars="0"/>
    </w:pPr>
    <w:rPr>
      <w:snapToGrid/>
      <w:kern w:val="2"/>
      <w:sz w:val="21"/>
    </w:rPr>
  </w:style>
  <w:style w:type="paragraph" w:customStyle="1" w:styleId="2076">
    <w:name w:val="默认段落字体 Para Char Char Char Char Char Char Char Char Char Char Char Char Char Char Char Char"/>
    <w:basedOn w:val="1"/>
    <w:uiPriority w:val="0"/>
    <w:pPr>
      <w:adjustRightInd/>
      <w:snapToGrid/>
      <w:spacing w:line="480" w:lineRule="exact"/>
    </w:pPr>
    <w:rPr>
      <w:rFonts w:ascii="宋体" w:hAnsi="宋体" w:cs="宋体"/>
      <w:snapToGrid/>
      <w:kern w:val="2"/>
    </w:rPr>
  </w:style>
  <w:style w:type="paragraph" w:customStyle="1" w:styleId="2077">
    <w:name w:val="默认段落字体 Para Char Char Char Char Char Char Char Char Char Char Char Char Char Char Char Char Char Char Char"/>
    <w:basedOn w:val="1"/>
    <w:qFormat/>
    <w:uiPriority w:val="0"/>
    <w:pPr>
      <w:adjustRightInd/>
      <w:snapToGrid/>
      <w:spacing w:line="480" w:lineRule="exact"/>
    </w:pPr>
    <w:rPr>
      <w:rFonts w:ascii="宋体" w:hAnsi="宋体" w:cs="宋体"/>
      <w:snapToGrid/>
      <w:kern w:val="2"/>
      <w:sz w:val="28"/>
    </w:rPr>
  </w:style>
  <w:style w:type="paragraph" w:customStyle="1" w:styleId="2078">
    <w:name w:val="文档结构图1"/>
    <w:basedOn w:val="1"/>
    <w:qFormat/>
    <w:uiPriority w:val="0"/>
    <w:pPr>
      <w:shd w:val="clear" w:color="auto" w:fill="000080"/>
      <w:spacing w:line="480" w:lineRule="exact"/>
    </w:pPr>
    <w:rPr>
      <w:snapToGrid/>
      <w:kern w:val="2"/>
    </w:rPr>
  </w:style>
  <w:style w:type="paragraph" w:customStyle="1" w:styleId="2079">
    <w:name w:val="默认段落字体 Para Char Char Char Char Char Char Char Char Char Char Char Char Char1 Char"/>
    <w:basedOn w:val="2078"/>
    <w:uiPriority w:val="0"/>
    <w:pPr>
      <w:spacing w:line="240" w:lineRule="auto"/>
      <w:ind w:firstLine="0" w:firstLineChars="0"/>
    </w:pPr>
    <w:rPr>
      <w:rFonts w:ascii="Tahoma" w:hAnsi="Tahoma"/>
    </w:rPr>
  </w:style>
  <w:style w:type="character" w:customStyle="1" w:styleId="2080">
    <w:name w:val="默认段落字体1"/>
    <w:qFormat/>
    <w:uiPriority w:val="0"/>
    <w:rPr>
      <w:rFonts w:ascii="Times New Roman" w:eastAsia="宋体"/>
      <w:color w:val="000000"/>
      <w:spacing w:val="0"/>
      <w:w w:val="100"/>
      <w:sz w:val="21"/>
      <w:u w:val="none" w:color="000000"/>
      <w:vertAlign w:val="baseline"/>
      <w:lang w:val="en-US" w:eastAsia="zh-CN"/>
    </w:rPr>
  </w:style>
  <w:style w:type="paragraph" w:customStyle="1" w:styleId="2081">
    <w:name w:val="默认段落字体1 Para Char"/>
    <w:basedOn w:val="1"/>
    <w:next w:val="1"/>
    <w:qFormat/>
    <w:uiPriority w:val="0"/>
    <w:pPr>
      <w:adjustRightInd/>
      <w:snapToGrid/>
      <w:spacing w:line="360" w:lineRule="auto"/>
    </w:pPr>
    <w:rPr>
      <w:rFonts w:eastAsia="楷体_GB2312"/>
      <w:snapToGrid/>
      <w:kern w:val="2"/>
      <w:sz w:val="28"/>
      <w:szCs w:val="20"/>
    </w:rPr>
  </w:style>
  <w:style w:type="paragraph" w:customStyle="1" w:styleId="2082">
    <w:name w:val="目标题"/>
    <w:basedOn w:val="5"/>
    <w:qFormat/>
    <w:uiPriority w:val="0"/>
    <w:pPr>
      <w:keepNext/>
      <w:keepLines/>
      <w:numPr>
        <w:ilvl w:val="0"/>
        <w:numId w:val="0"/>
      </w:numPr>
      <w:adjustRightInd/>
      <w:snapToGrid/>
      <w:spacing w:line="360" w:lineRule="auto"/>
      <w:ind w:left="720" w:hanging="432"/>
      <w:jc w:val="both"/>
    </w:pPr>
    <w:rPr>
      <w:snapToGrid/>
      <w:kern w:val="2"/>
    </w:rPr>
  </w:style>
  <w:style w:type="character" w:customStyle="1" w:styleId="2083">
    <w:name w:val="目标题 1) Char Char"/>
    <w:qFormat/>
    <w:uiPriority w:val="0"/>
    <w:rPr>
      <w:rFonts w:ascii="Arial" w:hAnsi="Arial" w:eastAsia="黑体"/>
      <w:kern w:val="2"/>
      <w:sz w:val="24"/>
      <w:lang w:val="en-US" w:eastAsia="zh-CN" w:bidi="ar-SA"/>
    </w:rPr>
  </w:style>
  <w:style w:type="character" w:customStyle="1" w:styleId="2084">
    <w:name w:val="目标题 1) Char Char1"/>
    <w:uiPriority w:val="0"/>
    <w:rPr>
      <w:rFonts w:ascii="Cambria" w:hAnsi="Cambria"/>
      <w:b/>
      <w:bCs/>
      <w:i/>
      <w:iCs/>
      <w:color w:val="9BBB59"/>
    </w:rPr>
  </w:style>
  <w:style w:type="paragraph" w:customStyle="1" w:styleId="2085">
    <w:name w:val="目标题1"/>
    <w:basedOn w:val="5"/>
    <w:uiPriority w:val="0"/>
    <w:pPr>
      <w:keepNext/>
      <w:keepLines/>
      <w:numPr>
        <w:ilvl w:val="0"/>
        <w:numId w:val="0"/>
      </w:numPr>
      <w:adjustRightInd/>
      <w:snapToGrid/>
      <w:spacing w:line="360" w:lineRule="auto"/>
      <w:ind w:left="720" w:hanging="432"/>
      <w:jc w:val="both"/>
    </w:pPr>
    <w:rPr>
      <w:snapToGrid/>
      <w:kern w:val="2"/>
    </w:rPr>
  </w:style>
  <w:style w:type="paragraph" w:customStyle="1" w:styleId="2086">
    <w:name w:val="目后"/>
    <w:basedOn w:val="1"/>
    <w:uiPriority w:val="0"/>
    <w:pPr>
      <w:keepNext/>
      <w:keepLines/>
      <w:tabs>
        <w:tab w:val="left" w:pos="360"/>
        <w:tab w:val="left" w:pos="2403"/>
      </w:tabs>
      <w:spacing w:beforeLines="100" w:afterLines="100" w:line="360" w:lineRule="auto"/>
      <w:ind w:hanging="420" w:firstLineChars="0"/>
      <w:outlineLvl w:val="3"/>
    </w:pPr>
    <w:rPr>
      <w:rFonts w:ascii="Times" w:hAnsi="Times"/>
      <w:b/>
      <w:snapToGrid/>
      <w:kern w:val="2"/>
      <w:szCs w:val="20"/>
    </w:rPr>
  </w:style>
  <w:style w:type="paragraph" w:customStyle="1" w:styleId="2087">
    <w:name w:val="目录1"/>
    <w:basedOn w:val="1"/>
    <w:next w:val="1"/>
    <w:link w:val="2088"/>
    <w:qFormat/>
    <w:uiPriority w:val="0"/>
    <w:pPr>
      <w:widowControl/>
      <w:tabs>
        <w:tab w:val="left" w:leader="dot" w:pos="8503"/>
      </w:tabs>
      <w:adjustRightInd/>
      <w:snapToGrid/>
      <w:spacing w:after="102" w:line="215" w:lineRule="atLeast"/>
      <w:ind w:firstLine="419" w:firstLineChars="0"/>
      <w:textAlignment w:val="baseline"/>
    </w:pPr>
    <w:rPr>
      <w:snapToGrid/>
      <w:color w:val="000000"/>
      <w:sz w:val="21"/>
      <w:szCs w:val="20"/>
      <w:u w:color="000000"/>
    </w:rPr>
  </w:style>
  <w:style w:type="character" w:customStyle="1" w:styleId="2088">
    <w:name w:val="目录1 Char"/>
    <w:link w:val="2087"/>
    <w:qFormat/>
    <w:uiPriority w:val="0"/>
    <w:rPr>
      <w:rFonts w:ascii="Times New Roman" w:hAnsi="Times New Roman" w:eastAsia="宋体" w:cs="Times New Roman"/>
      <w:color w:val="000000"/>
      <w:kern w:val="0"/>
      <w:szCs w:val="20"/>
      <w:u w:color="000000"/>
      <w14:ligatures w14:val="none"/>
    </w:rPr>
  </w:style>
  <w:style w:type="paragraph" w:customStyle="1" w:styleId="2089">
    <w:name w:val="目录2"/>
    <w:basedOn w:val="1"/>
    <w:next w:val="1"/>
    <w:qFormat/>
    <w:uiPriority w:val="0"/>
    <w:pPr>
      <w:widowControl/>
      <w:tabs>
        <w:tab w:val="left" w:leader="dot" w:pos="8503"/>
      </w:tabs>
      <w:adjustRightInd/>
      <w:snapToGrid/>
      <w:spacing w:line="317" w:lineRule="atLeast"/>
      <w:ind w:left="419" w:firstLine="419" w:firstLineChars="0"/>
      <w:textAlignment w:val="baseline"/>
    </w:pPr>
    <w:rPr>
      <w:snapToGrid/>
      <w:color w:val="000000"/>
      <w:sz w:val="21"/>
      <w:szCs w:val="20"/>
      <w:u w:color="000000"/>
    </w:rPr>
  </w:style>
  <w:style w:type="paragraph" w:customStyle="1" w:styleId="2090">
    <w:name w:val="目录3"/>
    <w:basedOn w:val="1"/>
    <w:next w:val="1"/>
    <w:qFormat/>
    <w:uiPriority w:val="0"/>
    <w:pPr>
      <w:widowControl/>
      <w:tabs>
        <w:tab w:val="left" w:leader="dot" w:pos="8503"/>
      </w:tabs>
      <w:adjustRightInd/>
      <w:snapToGrid/>
      <w:spacing w:line="317" w:lineRule="atLeast"/>
      <w:ind w:left="419" w:firstLine="419" w:firstLineChars="0"/>
      <w:textAlignment w:val="baseline"/>
    </w:pPr>
    <w:rPr>
      <w:snapToGrid/>
      <w:color w:val="000000"/>
      <w:sz w:val="21"/>
      <w:szCs w:val="20"/>
      <w:u w:color="000000"/>
    </w:rPr>
  </w:style>
  <w:style w:type="paragraph" w:customStyle="1" w:styleId="2091">
    <w:name w:val="目录4"/>
    <w:basedOn w:val="1"/>
    <w:next w:val="1"/>
    <w:qFormat/>
    <w:uiPriority w:val="0"/>
    <w:pPr>
      <w:widowControl/>
      <w:tabs>
        <w:tab w:val="left" w:leader="dot" w:pos="8503"/>
      </w:tabs>
      <w:adjustRightInd/>
      <w:snapToGrid/>
      <w:spacing w:line="317" w:lineRule="atLeast"/>
      <w:ind w:left="419" w:firstLine="629" w:firstLineChars="0"/>
      <w:textAlignment w:val="baseline"/>
    </w:pPr>
    <w:rPr>
      <w:snapToGrid/>
      <w:color w:val="000000"/>
      <w:sz w:val="21"/>
      <w:szCs w:val="20"/>
      <w:u w:color="000000"/>
    </w:rPr>
  </w:style>
  <w:style w:type="paragraph" w:customStyle="1" w:styleId="2092">
    <w:name w:val="目录标题"/>
    <w:basedOn w:val="1"/>
    <w:next w:val="1"/>
    <w:qFormat/>
    <w:uiPriority w:val="0"/>
    <w:pPr>
      <w:widowControl/>
      <w:adjustRightInd/>
      <w:snapToGrid/>
      <w:spacing w:after="419" w:line="436" w:lineRule="atLeast"/>
      <w:ind w:firstLine="419" w:firstLineChars="0"/>
      <w:jc w:val="center"/>
      <w:textAlignment w:val="baseline"/>
    </w:pPr>
    <w:rPr>
      <w:rFonts w:ascii="Arial" w:eastAsia="黑体"/>
      <w:snapToGrid/>
      <w:color w:val="000000"/>
      <w:spacing w:val="283"/>
      <w:sz w:val="42"/>
      <w:szCs w:val="20"/>
      <w:u w:color="000000"/>
    </w:rPr>
  </w:style>
  <w:style w:type="paragraph" w:customStyle="1" w:styleId="2093">
    <w:name w:val="南大梁1.1.1.1-1标题"/>
    <w:basedOn w:val="1"/>
    <w:qFormat/>
    <w:uiPriority w:val="0"/>
    <w:pPr>
      <w:adjustRightInd/>
      <w:snapToGrid/>
      <w:spacing w:after="60" w:line="360" w:lineRule="auto"/>
      <w:ind w:firstLine="0" w:firstLineChars="0"/>
    </w:pPr>
    <w:rPr>
      <w:rFonts w:ascii="黑体" w:hAnsi="宋体" w:eastAsia="黑体"/>
      <w:snapToGrid/>
      <w:kern w:val="2"/>
    </w:rPr>
  </w:style>
  <w:style w:type="paragraph" w:customStyle="1" w:styleId="2094">
    <w:name w:val="内1"/>
    <w:basedOn w:val="1"/>
    <w:link w:val="2095"/>
    <w:semiHidden/>
    <w:uiPriority w:val="0"/>
    <w:pPr>
      <w:adjustRightInd/>
      <w:snapToGrid/>
      <w:spacing w:line="240" w:lineRule="auto"/>
    </w:pPr>
    <w:rPr>
      <w:rFonts w:ascii="宋体"/>
      <w:snapToGrid/>
      <w:kern w:val="2"/>
    </w:rPr>
  </w:style>
  <w:style w:type="character" w:customStyle="1" w:styleId="2095">
    <w:name w:val="内1 Char"/>
    <w:link w:val="2094"/>
    <w:semiHidden/>
    <w:qFormat/>
    <w:uiPriority w:val="0"/>
    <w:rPr>
      <w:rFonts w:ascii="宋体" w:hAnsi="Times New Roman" w:eastAsia="宋体" w:cs="Times New Roman"/>
      <w:sz w:val="26"/>
      <w:szCs w:val="24"/>
      <w14:ligatures w14:val="none"/>
    </w:rPr>
  </w:style>
  <w:style w:type="paragraph" w:customStyle="1" w:styleId="2096">
    <w:name w:val="内容"/>
    <w:basedOn w:val="1"/>
    <w:link w:val="2097"/>
    <w:semiHidden/>
    <w:qFormat/>
    <w:uiPriority w:val="0"/>
    <w:pPr>
      <w:adjustRightInd/>
      <w:snapToGrid/>
      <w:spacing w:line="240" w:lineRule="auto"/>
    </w:pPr>
    <w:rPr>
      <w:rFonts w:ascii="宋体" w:hAnsi="宋体"/>
      <w:bCs/>
      <w:snapToGrid/>
    </w:rPr>
  </w:style>
  <w:style w:type="character" w:customStyle="1" w:styleId="2097">
    <w:name w:val="内容 Char"/>
    <w:link w:val="2096"/>
    <w:semiHidden/>
    <w:qFormat/>
    <w:uiPriority w:val="0"/>
    <w:rPr>
      <w:rFonts w:ascii="宋体" w:hAnsi="宋体" w:eastAsia="宋体" w:cs="Times New Roman"/>
      <w:bCs/>
      <w:kern w:val="0"/>
      <w:sz w:val="26"/>
      <w:szCs w:val="24"/>
      <w14:ligatures w14:val="none"/>
    </w:rPr>
  </w:style>
  <w:style w:type="paragraph" w:customStyle="1" w:styleId="2098">
    <w:name w:val="内容 Char Char"/>
    <w:basedOn w:val="1"/>
    <w:qFormat/>
    <w:uiPriority w:val="0"/>
    <w:pPr>
      <w:adjustRightInd/>
      <w:snapToGrid/>
      <w:spacing w:line="360" w:lineRule="auto"/>
      <w:ind w:firstLine="420" w:firstLineChars="0"/>
    </w:pPr>
    <w:rPr>
      <w:snapToGrid/>
      <w:kern w:val="2"/>
      <w:sz w:val="28"/>
      <w:szCs w:val="20"/>
    </w:rPr>
  </w:style>
  <w:style w:type="paragraph" w:customStyle="1" w:styleId="2099">
    <w:name w:val="内容一"/>
    <w:basedOn w:val="1"/>
    <w:link w:val="2100"/>
    <w:semiHidden/>
    <w:qFormat/>
    <w:uiPriority w:val="0"/>
    <w:pPr>
      <w:adjustRightInd/>
      <w:snapToGrid/>
      <w:spacing w:line="240" w:lineRule="auto"/>
      <w:ind w:firstLine="560" w:firstLineChars="0"/>
      <w:contextualSpacing/>
    </w:pPr>
    <w:rPr>
      <w:rFonts w:ascii="宋体"/>
      <w:snapToGrid/>
      <w:kern w:val="2"/>
      <w:sz w:val="28"/>
      <w:szCs w:val="28"/>
    </w:rPr>
  </w:style>
  <w:style w:type="character" w:customStyle="1" w:styleId="2100">
    <w:name w:val="内容一 Char"/>
    <w:link w:val="2099"/>
    <w:semiHidden/>
    <w:qFormat/>
    <w:uiPriority w:val="0"/>
    <w:rPr>
      <w:rFonts w:ascii="宋体" w:hAnsi="Times New Roman" w:eastAsia="宋体" w:cs="Times New Roman"/>
      <w:sz w:val="28"/>
      <w:szCs w:val="28"/>
      <w14:ligatures w14:val="none"/>
    </w:rPr>
  </w:style>
  <w:style w:type="paragraph" w:customStyle="1" w:styleId="2101">
    <w:name w:val="内容正文"/>
    <w:basedOn w:val="1"/>
    <w:link w:val="2102"/>
    <w:semiHidden/>
    <w:qFormat/>
    <w:uiPriority w:val="0"/>
    <w:pPr>
      <w:adjustRightInd/>
      <w:snapToGrid/>
      <w:spacing w:line="240" w:lineRule="auto"/>
    </w:pPr>
    <w:rPr>
      <w:rFonts w:ascii="宋体"/>
      <w:snapToGrid/>
      <w:kern w:val="2"/>
      <w:sz w:val="28"/>
      <w:szCs w:val="28"/>
    </w:rPr>
  </w:style>
  <w:style w:type="character" w:customStyle="1" w:styleId="2102">
    <w:name w:val="内容正文 Char"/>
    <w:link w:val="2101"/>
    <w:semiHidden/>
    <w:qFormat/>
    <w:uiPriority w:val="0"/>
    <w:rPr>
      <w:rFonts w:ascii="宋体" w:hAnsi="Times New Roman" w:eastAsia="宋体" w:cs="Times New Roman"/>
      <w:sz w:val="28"/>
      <w:szCs w:val="28"/>
      <w14:ligatures w14:val="none"/>
    </w:rPr>
  </w:style>
  <w:style w:type="paragraph" w:customStyle="1" w:styleId="2103">
    <w:name w:val="内苡"/>
    <w:basedOn w:val="1"/>
    <w:link w:val="2104"/>
    <w:semiHidden/>
    <w:qFormat/>
    <w:uiPriority w:val="0"/>
    <w:pPr>
      <w:adjustRightInd/>
      <w:snapToGrid/>
      <w:spacing w:line="240" w:lineRule="auto"/>
      <w:ind w:firstLine="560"/>
    </w:pPr>
    <w:rPr>
      <w:rFonts w:ascii="宋体" w:hAnsi="宋体"/>
      <w:snapToGrid/>
      <w:kern w:val="2"/>
    </w:rPr>
  </w:style>
  <w:style w:type="character" w:customStyle="1" w:styleId="2104">
    <w:name w:val="内苡 Char"/>
    <w:link w:val="2103"/>
    <w:semiHidden/>
    <w:uiPriority w:val="0"/>
    <w:rPr>
      <w:rFonts w:ascii="宋体" w:hAnsi="宋体" w:eastAsia="宋体" w:cs="Times New Roman"/>
      <w:sz w:val="26"/>
      <w:szCs w:val="24"/>
      <w14:ligatures w14:val="none"/>
    </w:rPr>
  </w:style>
  <w:style w:type="paragraph" w:customStyle="1" w:styleId="2105">
    <w:name w:val="宁波至温州正文"/>
    <w:basedOn w:val="1"/>
    <w:qFormat/>
    <w:uiPriority w:val="0"/>
    <w:pPr>
      <w:keepNext/>
      <w:adjustRightInd/>
      <w:snapToGrid/>
      <w:spacing w:line="360" w:lineRule="exact"/>
    </w:pPr>
    <w:rPr>
      <w:snapToGrid/>
      <w:kern w:val="2"/>
      <w:szCs w:val="20"/>
    </w:rPr>
  </w:style>
  <w:style w:type="paragraph" w:customStyle="1" w:styleId="2106">
    <w:name w:val="排版正文"/>
    <w:basedOn w:val="1"/>
    <w:next w:val="1"/>
    <w:link w:val="2107"/>
    <w:qFormat/>
    <w:uiPriority w:val="0"/>
    <w:pPr>
      <w:adjustRightInd/>
      <w:snapToGrid/>
      <w:ind w:firstLine="510" w:firstLineChars="0"/>
    </w:pPr>
    <w:rPr>
      <w:snapToGrid/>
      <w:kern w:val="2"/>
      <w:szCs w:val="22"/>
    </w:rPr>
  </w:style>
  <w:style w:type="character" w:customStyle="1" w:styleId="2107">
    <w:name w:val="排版正文 Char"/>
    <w:link w:val="2106"/>
    <w:qFormat/>
    <w:uiPriority w:val="0"/>
    <w:rPr>
      <w:rFonts w:ascii="Times New Roman" w:hAnsi="Times New Roman" w:eastAsia="宋体" w:cs="Times New Roman"/>
      <w:sz w:val="26"/>
      <w14:ligatures w14:val="none"/>
    </w:rPr>
  </w:style>
  <w:style w:type="character" w:customStyle="1" w:styleId="2108">
    <w:name w:val="排版正文 Char Char"/>
    <w:uiPriority w:val="0"/>
    <w:rPr>
      <w:szCs w:val="24"/>
    </w:rPr>
  </w:style>
  <w:style w:type="paragraph" w:customStyle="1" w:styleId="2109">
    <w:name w:val="排列部分"/>
    <w:basedOn w:val="1"/>
    <w:qFormat/>
    <w:uiPriority w:val="0"/>
    <w:pPr>
      <w:autoSpaceDE w:val="0"/>
      <w:autoSpaceDN w:val="0"/>
      <w:snapToGrid/>
      <w:spacing w:after="36" w:line="400" w:lineRule="exact"/>
      <w:ind w:firstLine="0" w:firstLineChars="0"/>
      <w:jc w:val="center"/>
    </w:pPr>
    <w:rPr>
      <w:rFonts w:ascii="宋体" w:hAnsi="宋体"/>
      <w:snapToGrid/>
      <w:kern w:val="2"/>
      <w:szCs w:val="20"/>
    </w:rPr>
  </w:style>
  <w:style w:type="character" w:customStyle="1" w:styleId="2110">
    <w:name w:val="批注框文本 字符"/>
    <w:semiHidden/>
    <w:uiPriority w:val="0"/>
    <w:rPr>
      <w:snapToGrid/>
      <w:sz w:val="18"/>
      <w:szCs w:val="18"/>
    </w:rPr>
  </w:style>
  <w:style w:type="character" w:customStyle="1" w:styleId="2111">
    <w:name w:val="批注框文本 字符3"/>
    <w:link w:val="54"/>
    <w:qFormat/>
    <w:uiPriority w:val="99"/>
    <w:rPr>
      <w:rFonts w:ascii="Times New Roman" w:hAnsi="Times New Roman" w:eastAsia="宋体" w:cs="Times New Roman"/>
      <w:snapToGrid w:val="0"/>
      <w:kern w:val="0"/>
      <w:sz w:val="18"/>
      <w:szCs w:val="18"/>
      <w14:ligatures w14:val="none"/>
    </w:rPr>
  </w:style>
  <w:style w:type="paragraph" w:customStyle="1" w:styleId="2112">
    <w:name w:val="批注框文本 Char Char"/>
    <w:basedOn w:val="1"/>
    <w:uiPriority w:val="0"/>
    <w:pPr>
      <w:adjustRightInd/>
      <w:snapToGrid/>
      <w:spacing w:line="240" w:lineRule="auto"/>
      <w:ind w:firstLine="0" w:firstLineChars="0"/>
    </w:pPr>
    <w:rPr>
      <w:snapToGrid/>
      <w:kern w:val="2"/>
      <w:sz w:val="18"/>
      <w:szCs w:val="20"/>
    </w:rPr>
  </w:style>
  <w:style w:type="character" w:customStyle="1" w:styleId="2113">
    <w:name w:val="批注框文本 Char Char Char Char"/>
    <w:qFormat/>
    <w:uiPriority w:val="0"/>
    <w:rPr>
      <w:rFonts w:hAnsi="宋体"/>
      <w:sz w:val="18"/>
      <w:lang w:val="en-US" w:eastAsia="zh-CN"/>
    </w:rPr>
  </w:style>
  <w:style w:type="character" w:customStyle="1" w:styleId="2114">
    <w:name w:val="批注框文本 Char1"/>
    <w:semiHidden/>
    <w:qFormat/>
    <w:uiPriority w:val="0"/>
    <w:rPr>
      <w:rFonts w:ascii="Times New Roman" w:hAnsi="Times New Roman" w:eastAsia="宋体" w:cs="Times New Roman"/>
      <w:sz w:val="18"/>
      <w:szCs w:val="18"/>
    </w:rPr>
  </w:style>
  <w:style w:type="character" w:customStyle="1" w:styleId="2115">
    <w:name w:val="批注框文本 字符1"/>
    <w:semiHidden/>
    <w:qFormat/>
    <w:uiPriority w:val="0"/>
    <w:rPr>
      <w:sz w:val="18"/>
      <w:szCs w:val="18"/>
    </w:rPr>
  </w:style>
  <w:style w:type="character" w:customStyle="1" w:styleId="2116">
    <w:name w:val="批注框文本 字符2"/>
    <w:semiHidden/>
    <w:qFormat/>
    <w:locked/>
    <w:uiPriority w:val="0"/>
    <w:rPr>
      <w:sz w:val="18"/>
      <w:szCs w:val="18"/>
    </w:rPr>
  </w:style>
  <w:style w:type="paragraph" w:customStyle="1" w:styleId="2117">
    <w:name w:val="批注框文本1"/>
    <w:basedOn w:val="1"/>
    <w:qFormat/>
    <w:uiPriority w:val="0"/>
    <w:pPr>
      <w:adjustRightInd/>
      <w:snapToGrid/>
      <w:spacing w:line="360" w:lineRule="atLeast"/>
      <w:ind w:firstLine="0" w:firstLineChars="0"/>
      <w:textAlignment w:val="baseline"/>
    </w:pPr>
    <w:rPr>
      <w:rFonts w:hint="eastAsia" w:ascii="宋体"/>
      <w:snapToGrid/>
      <w:sz w:val="18"/>
      <w:szCs w:val="20"/>
    </w:rPr>
  </w:style>
  <w:style w:type="paragraph" w:customStyle="1" w:styleId="2118">
    <w:name w:val="批注框文本2"/>
    <w:basedOn w:val="1"/>
    <w:uiPriority w:val="0"/>
    <w:pPr>
      <w:adjustRightInd/>
      <w:spacing w:beforeLines="50" w:line="360" w:lineRule="auto"/>
      <w:ind w:firstLine="0" w:firstLineChars="0"/>
    </w:pPr>
    <w:rPr>
      <w:snapToGrid/>
      <w:kern w:val="2"/>
      <w:sz w:val="18"/>
      <w:szCs w:val="18"/>
    </w:rPr>
  </w:style>
  <w:style w:type="character" w:customStyle="1" w:styleId="2119">
    <w:name w:val="批注文字 字符"/>
    <w:semiHidden/>
    <w:uiPriority w:val="0"/>
    <w:rPr>
      <w:sz w:val="24"/>
      <w:szCs w:val="24"/>
    </w:rPr>
  </w:style>
  <w:style w:type="character" w:customStyle="1" w:styleId="2120">
    <w:name w:val="批注文字 字符2"/>
    <w:link w:val="28"/>
    <w:qFormat/>
    <w:uiPriority w:val="99"/>
    <w:rPr>
      <w:rFonts w:ascii="Times New Roman" w:hAnsi="Times New Roman" w:eastAsia="宋体" w:cs="Times New Roman"/>
      <w:snapToGrid w:val="0"/>
      <w:kern w:val="0"/>
      <w:szCs w:val="24"/>
      <w14:ligatures w14:val="none"/>
    </w:rPr>
  </w:style>
  <w:style w:type="character" w:customStyle="1" w:styleId="2121">
    <w:name w:val="批注文字 Char Char"/>
    <w:uiPriority w:val="0"/>
    <w:rPr>
      <w:rFonts w:hAnsi="宋体"/>
      <w:sz w:val="24"/>
      <w:lang w:val="en-US" w:eastAsia="zh-CN"/>
    </w:rPr>
  </w:style>
  <w:style w:type="character" w:customStyle="1" w:styleId="2122">
    <w:name w:val="批注文字 Char1"/>
    <w:semiHidden/>
    <w:uiPriority w:val="0"/>
    <w:rPr>
      <w:rFonts w:ascii="Times New Roman" w:hAnsi="Times New Roman" w:eastAsia="宋体" w:cs="Times New Roman"/>
      <w:sz w:val="26"/>
    </w:rPr>
  </w:style>
  <w:style w:type="character" w:customStyle="1" w:styleId="2123">
    <w:name w:val="批注文字 字符1"/>
    <w:semiHidden/>
    <w:qFormat/>
    <w:locked/>
    <w:uiPriority w:val="99"/>
    <w:rPr>
      <w:sz w:val="24"/>
      <w:szCs w:val="24"/>
    </w:rPr>
  </w:style>
  <w:style w:type="character" w:customStyle="1" w:styleId="2124">
    <w:name w:val="批注引用1"/>
    <w:qFormat/>
    <w:uiPriority w:val="0"/>
    <w:rPr>
      <w:sz w:val="21"/>
      <w:szCs w:val="21"/>
    </w:rPr>
  </w:style>
  <w:style w:type="character" w:customStyle="1" w:styleId="2125">
    <w:name w:val="批注主题 字符"/>
    <w:semiHidden/>
    <w:qFormat/>
    <w:uiPriority w:val="0"/>
    <w:rPr>
      <w:b/>
      <w:bCs/>
      <w:snapToGrid/>
      <w:sz w:val="24"/>
      <w:szCs w:val="24"/>
    </w:rPr>
  </w:style>
  <w:style w:type="character" w:customStyle="1" w:styleId="2126">
    <w:name w:val="批注主题 字符3"/>
    <w:link w:val="85"/>
    <w:qFormat/>
    <w:uiPriority w:val="0"/>
    <w:rPr>
      <w:rFonts w:ascii="Times New Roman" w:hAnsi="Times New Roman" w:eastAsia="宋体" w:cs="Times New Roman"/>
      <w:b/>
      <w:bCs/>
      <w:snapToGrid w:val="0"/>
      <w:kern w:val="0"/>
      <w:szCs w:val="24"/>
      <w14:ligatures w14:val="none"/>
    </w:rPr>
  </w:style>
  <w:style w:type="character" w:customStyle="1" w:styleId="2127">
    <w:name w:val="批注主题 Char Char"/>
    <w:uiPriority w:val="0"/>
    <w:rPr>
      <w:rFonts w:hAnsi="宋体"/>
      <w:b/>
      <w:sz w:val="24"/>
      <w:lang w:val="en-US" w:eastAsia="zh-CN"/>
    </w:rPr>
  </w:style>
  <w:style w:type="character" w:customStyle="1" w:styleId="2128">
    <w:name w:val="批注主题 Char1"/>
    <w:qFormat/>
    <w:locked/>
    <w:uiPriority w:val="0"/>
    <w:rPr>
      <w:rFonts w:ascii="Calibri" w:hAnsi="Calibri" w:eastAsia="宋体"/>
      <w:b/>
      <w:bCs/>
      <w:kern w:val="2"/>
      <w:sz w:val="21"/>
      <w:szCs w:val="24"/>
      <w:lang w:bidi="ar-SA"/>
    </w:rPr>
  </w:style>
  <w:style w:type="character" w:customStyle="1" w:styleId="2129">
    <w:name w:val="批注主题 字符1"/>
    <w:semiHidden/>
    <w:uiPriority w:val="0"/>
    <w:rPr>
      <w:b/>
      <w:bCs/>
      <w:sz w:val="24"/>
      <w:szCs w:val="24"/>
    </w:rPr>
  </w:style>
  <w:style w:type="character" w:customStyle="1" w:styleId="2130">
    <w:name w:val="批注主题 字符2"/>
    <w:semiHidden/>
    <w:qFormat/>
    <w:locked/>
    <w:uiPriority w:val="0"/>
    <w:rPr>
      <w:b/>
      <w:bCs/>
      <w:sz w:val="24"/>
      <w:szCs w:val="24"/>
    </w:rPr>
  </w:style>
  <w:style w:type="paragraph" w:customStyle="1" w:styleId="2131">
    <w:name w:val="批注主题1"/>
    <w:basedOn w:val="28"/>
    <w:next w:val="28"/>
    <w:qFormat/>
    <w:uiPriority w:val="99"/>
    <w:pPr>
      <w:spacing w:before="31"/>
      <w:jc w:val="both"/>
    </w:pPr>
    <w:rPr>
      <w:rFonts w:ascii="Calibri" w:hAnsi="Calibri"/>
      <w:b/>
      <w:bCs/>
    </w:rPr>
  </w:style>
  <w:style w:type="character" w:customStyle="1" w:styleId="2132">
    <w:name w:val="篇1"/>
    <w:uiPriority w:val="0"/>
    <w:rPr>
      <w:rFonts w:ascii="宋体" w:hAnsi="宋体" w:eastAsia="宋体"/>
      <w:b/>
      <w:bCs/>
      <w:kern w:val="44"/>
      <w:sz w:val="32"/>
      <w:szCs w:val="44"/>
      <w:lang w:val="en-US" w:eastAsia="zh-CN" w:bidi="ar-SA"/>
    </w:rPr>
  </w:style>
  <w:style w:type="paragraph" w:customStyle="1" w:styleId="2133">
    <w:name w:val="普通(Web)1"/>
    <w:basedOn w:val="1"/>
    <w:qFormat/>
    <w:uiPriority w:val="0"/>
    <w:pPr>
      <w:widowControl/>
      <w:adjustRightInd/>
      <w:snapToGrid/>
      <w:spacing w:after="90" w:line="240" w:lineRule="auto"/>
      <w:ind w:firstLine="420" w:firstLineChars="0"/>
    </w:pPr>
    <w:rPr>
      <w:rFonts w:ascii="宋体" w:hAnsi="宋体" w:cs="宋体"/>
      <w:snapToGrid/>
    </w:rPr>
  </w:style>
  <w:style w:type="paragraph" w:customStyle="1" w:styleId="2134">
    <w:name w:val="普通(Web)4"/>
    <w:basedOn w:val="1"/>
    <w:uiPriority w:val="0"/>
    <w:pPr>
      <w:widowControl/>
      <w:adjustRightInd/>
      <w:snapToGrid/>
      <w:spacing w:line="240" w:lineRule="auto"/>
      <w:ind w:firstLine="0" w:firstLineChars="0"/>
    </w:pPr>
    <w:rPr>
      <w:rFonts w:ascii="宋体" w:hAnsi="宋体" w:cs="宋体"/>
      <w:snapToGrid/>
    </w:rPr>
  </w:style>
  <w:style w:type="paragraph" w:customStyle="1" w:styleId="2135">
    <w:name w:val="普通(网站)1"/>
    <w:basedOn w:val="1"/>
    <w:qFormat/>
    <w:uiPriority w:val="0"/>
    <w:pPr>
      <w:widowControl/>
      <w:spacing w:beforeAutospacing="1" w:after="100" w:afterAutospacing="1" w:line="240" w:lineRule="auto"/>
      <w:ind w:firstLine="0" w:firstLineChars="0"/>
    </w:pPr>
    <w:rPr>
      <w:rFonts w:ascii="宋体" w:hAnsi="宋体"/>
      <w:snapToGrid/>
      <w:color w:val="000000"/>
      <w:szCs w:val="22"/>
    </w:rPr>
  </w:style>
  <w:style w:type="paragraph" w:customStyle="1" w:styleId="2136">
    <w:name w:val="普通文字 Char Char Char Char Char Char Char Char Char Char Char Char Char Char Char Char Char"/>
    <w:basedOn w:val="1"/>
    <w:next w:val="45"/>
    <w:qFormat/>
    <w:uiPriority w:val="0"/>
    <w:pPr>
      <w:adjustRightInd/>
      <w:snapToGrid/>
      <w:spacing w:line="240" w:lineRule="auto"/>
      <w:ind w:firstLine="0" w:firstLineChars="0"/>
    </w:pPr>
    <w:rPr>
      <w:rFonts w:ascii="宋体" w:hAnsi="Courier New"/>
      <w:snapToGrid/>
      <w:kern w:val="2"/>
      <w:sz w:val="21"/>
      <w:szCs w:val="20"/>
    </w:rPr>
  </w:style>
  <w:style w:type="character" w:customStyle="1" w:styleId="2137">
    <w:name w:val="普通文字 Char Char Char Char Char Char"/>
    <w:uiPriority w:val="0"/>
    <w:rPr>
      <w:rFonts w:ascii="宋体" w:eastAsia="宋体"/>
      <w:sz w:val="21"/>
      <w:lang w:val="en-US" w:eastAsia="zh-CN" w:bidi="ar-SA"/>
    </w:rPr>
  </w:style>
  <w:style w:type="character" w:customStyle="1" w:styleId="2138">
    <w:name w:val="普通文字 Char Char1 Char Char"/>
    <w:qFormat/>
    <w:uiPriority w:val="0"/>
    <w:rPr>
      <w:rFonts w:ascii="宋体" w:hAnsi="Courier New" w:eastAsia="宋体"/>
      <w:kern w:val="2"/>
      <w:sz w:val="21"/>
      <w:szCs w:val="24"/>
      <w:lang w:val="en-US" w:eastAsia="zh-CN" w:bidi="ar-SA"/>
    </w:rPr>
  </w:style>
  <w:style w:type="character" w:customStyle="1" w:styleId="2139">
    <w:name w:val="普通文字 Char Char1"/>
    <w:uiPriority w:val="0"/>
    <w:rPr>
      <w:rFonts w:ascii="宋体" w:hAnsi="Courier New" w:eastAsia="宋体"/>
      <w:kern w:val="44"/>
      <w:sz w:val="21"/>
      <w:lang w:val="en-US" w:eastAsia="zh-CN"/>
    </w:rPr>
  </w:style>
  <w:style w:type="character" w:customStyle="1" w:styleId="2140">
    <w:name w:val="普通文字 Char Char11"/>
    <w:uiPriority w:val="0"/>
    <w:rPr>
      <w:rFonts w:ascii="宋体" w:hAnsi="Courier New" w:eastAsia="宋体" w:cs="Courier New"/>
      <w:kern w:val="2"/>
      <w:sz w:val="21"/>
      <w:szCs w:val="21"/>
      <w:lang w:val="en-US" w:eastAsia="zh-CN" w:bidi="ar-SA"/>
    </w:rPr>
  </w:style>
  <w:style w:type="character" w:customStyle="1" w:styleId="2141">
    <w:name w:val="普通文字 Char Char5"/>
    <w:qFormat/>
    <w:uiPriority w:val="0"/>
    <w:rPr>
      <w:rFonts w:ascii="宋体" w:hAnsi="Courier New" w:eastAsia="宋体"/>
      <w:kern w:val="28"/>
      <w:sz w:val="28"/>
      <w:lang w:val="en-US" w:eastAsia="zh-CN"/>
    </w:rPr>
  </w:style>
  <w:style w:type="character" w:customStyle="1" w:styleId="2142">
    <w:name w:val="普通文字 Char Char7"/>
    <w:qFormat/>
    <w:uiPriority w:val="0"/>
    <w:rPr>
      <w:rFonts w:ascii="宋体" w:hAnsi="Courier New" w:eastAsia="宋体"/>
      <w:kern w:val="28"/>
      <w:sz w:val="28"/>
    </w:rPr>
  </w:style>
  <w:style w:type="character" w:customStyle="1" w:styleId="2143">
    <w:name w:val="普通文字 Char Char9"/>
    <w:qFormat/>
    <w:uiPriority w:val="0"/>
    <w:rPr>
      <w:rFonts w:ascii="宋体" w:hAnsi="Courier New" w:eastAsia="宋体"/>
      <w:kern w:val="28"/>
      <w:sz w:val="28"/>
      <w:lang w:val="en-US" w:eastAsia="zh-CN"/>
    </w:rPr>
  </w:style>
  <w:style w:type="character" w:customStyle="1" w:styleId="2144">
    <w:name w:val="普通文字 Char3"/>
    <w:qFormat/>
    <w:uiPriority w:val="0"/>
    <w:rPr>
      <w:rFonts w:ascii="宋体" w:hAnsi="Courier New" w:eastAsia="宋体" w:cs="Courier New"/>
      <w:kern w:val="2"/>
      <w:sz w:val="24"/>
      <w:szCs w:val="21"/>
      <w:lang w:val="en-US" w:eastAsia="zh-CN" w:bidi="ar-SA"/>
    </w:rPr>
  </w:style>
  <w:style w:type="character" w:customStyle="1" w:styleId="2145">
    <w:name w:val="普通文字2"/>
    <w:qFormat/>
    <w:uiPriority w:val="0"/>
    <w:rPr>
      <w:rFonts w:ascii="仿宋_GB2312" w:hAnsi="仿宋_GB2312" w:eastAsia="宋体"/>
      <w:color w:val="000000"/>
      <w:sz w:val="24"/>
    </w:rPr>
  </w:style>
  <w:style w:type="character" w:customStyle="1" w:styleId="2146">
    <w:name w:val="签名 字符1"/>
    <w:semiHidden/>
    <w:uiPriority w:val="0"/>
    <w:rPr>
      <w:sz w:val="24"/>
      <w:szCs w:val="24"/>
    </w:rPr>
  </w:style>
  <w:style w:type="paragraph" w:customStyle="1" w:styleId="2147">
    <w:name w:val="签名1"/>
    <w:basedOn w:val="1"/>
    <w:qFormat/>
    <w:uiPriority w:val="0"/>
    <w:pPr>
      <w:spacing w:before="31"/>
      <w:ind w:left="100" w:leftChars="2100"/>
    </w:pPr>
    <w:rPr>
      <w:rFonts w:ascii="Calibri" w:hAnsi="Calibri"/>
    </w:rPr>
  </w:style>
  <w:style w:type="paragraph" w:customStyle="1" w:styleId="2148">
    <w:name w:val="签字表"/>
    <w:basedOn w:val="1"/>
    <w:qFormat/>
    <w:uiPriority w:val="0"/>
    <w:pPr>
      <w:adjustRightInd/>
      <w:snapToGrid/>
      <w:spacing w:line="240" w:lineRule="auto"/>
      <w:ind w:firstLine="0" w:firstLineChars="0"/>
      <w:jc w:val="center"/>
    </w:pPr>
    <w:rPr>
      <w:snapToGrid/>
      <w:spacing w:val="-6"/>
      <w:kern w:val="2"/>
      <w:sz w:val="21"/>
      <w:szCs w:val="21"/>
    </w:rPr>
  </w:style>
  <w:style w:type="paragraph" w:customStyle="1" w:styleId="2149">
    <w:name w:val="签字表头"/>
    <w:basedOn w:val="1"/>
    <w:uiPriority w:val="0"/>
    <w:pPr>
      <w:adjustRightInd/>
      <w:snapToGrid/>
      <w:ind w:firstLine="0" w:firstLineChars="0"/>
    </w:pPr>
    <w:rPr>
      <w:snapToGrid/>
      <w:kern w:val="2"/>
      <w:sz w:val="28"/>
      <w:szCs w:val="21"/>
    </w:rPr>
  </w:style>
  <w:style w:type="paragraph" w:customStyle="1" w:styleId="2150">
    <w:name w:val="签字页"/>
    <w:basedOn w:val="1"/>
    <w:qFormat/>
    <w:uiPriority w:val="0"/>
    <w:pPr>
      <w:widowControl/>
      <w:tabs>
        <w:tab w:val="left" w:pos="-24"/>
      </w:tabs>
      <w:adjustRightInd/>
      <w:snapToGrid/>
      <w:spacing w:line="0" w:lineRule="atLeast"/>
      <w:ind w:firstLine="0" w:firstLineChars="0"/>
      <w:jc w:val="center"/>
      <w:textAlignment w:val="baseline"/>
    </w:pPr>
    <w:rPr>
      <w:rFonts w:ascii="宋体" w:hAnsi="宋体"/>
      <w:b/>
      <w:bCs/>
      <w:snapToGrid/>
      <w:color w:val="000000"/>
      <w:sz w:val="21"/>
      <w:szCs w:val="20"/>
      <w:u w:color="000000"/>
    </w:rPr>
  </w:style>
  <w:style w:type="paragraph" w:customStyle="1" w:styleId="2151">
    <w:name w:val="前言、引言标题"/>
    <w:next w:val="1"/>
    <w:qFormat/>
    <w:uiPriority w:val="0"/>
    <w:pPr>
      <w:numPr>
        <w:ilvl w:val="0"/>
        <w:numId w:val="18"/>
      </w:numPr>
      <w:shd w:val="clear" w:color="FFFFFF" w:fill="FFFFFF"/>
      <w:spacing w:before="640" w:after="560"/>
      <w:jc w:val="center"/>
      <w:outlineLvl w:val="0"/>
    </w:pPr>
    <w:rPr>
      <w:rFonts w:ascii="黑体" w:hAnsi="Times New Roman" w:eastAsia="黑体" w:cs="Times New Roman"/>
      <w:sz w:val="32"/>
      <w:lang w:val="en-US" w:eastAsia="zh-CN" w:bidi="ar-SA"/>
    </w:rPr>
  </w:style>
  <w:style w:type="table" w:customStyle="1" w:styleId="2152">
    <w:name w:val="浅色底纹1"/>
    <w:basedOn w:val="88"/>
    <w:qFormat/>
    <w:uiPriority w:val="0"/>
    <w:rPr>
      <w:rFonts w:ascii="Calibri" w:hAnsi="Calibri" w:eastAsia="宋体"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153">
    <w:name w:val="浅色底纹11"/>
    <w:basedOn w:val="88"/>
    <w:uiPriority w:val="0"/>
    <w:rPr>
      <w:rFonts w:ascii="Calibri" w:hAnsi="Calibri" w:eastAsia="宋体" w:cs="Times New Roman"/>
      <w:color w:val="000000"/>
    </w:rPr>
    <w:tblPr>
      <w:tblBorders>
        <w:top w:val="single" w:color="000000" w:sz="8" w:space="0"/>
        <w:bottom w:val="single" w:color="000000" w:sz="8" w:space="0"/>
      </w:tblBorders>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154">
    <w:name w:val="浅色底纹12"/>
    <w:basedOn w:val="88"/>
    <w:qFormat/>
    <w:uiPriority w:val="0"/>
    <w:rPr>
      <w:rFonts w:ascii="Calibri" w:hAnsi="Calibri" w:eastAsia="宋体" w:cs="Times New Roman"/>
      <w:color w:val="000000"/>
    </w:rPr>
    <w:tblPr>
      <w:tblBorders>
        <w:top w:val="single" w:color="000000" w:sz="8" w:space="0"/>
        <w:bottom w:val="single" w:color="000000" w:sz="8" w:space="0"/>
      </w:tblBorders>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2155">
    <w:name w:val="强调1"/>
    <w:uiPriority w:val="0"/>
  </w:style>
  <w:style w:type="paragraph" w:customStyle="1" w:styleId="2156">
    <w:name w:val="清除格式"/>
    <w:basedOn w:val="1"/>
    <w:semiHidden/>
    <w:qFormat/>
    <w:uiPriority w:val="0"/>
    <w:pPr>
      <w:adjustRightInd/>
      <w:snapToGrid/>
      <w:spacing w:line="240" w:lineRule="auto"/>
      <w:ind w:firstLine="0" w:firstLineChars="0"/>
    </w:pPr>
    <w:rPr>
      <w:rFonts w:ascii="宋体" w:hAnsi="宋体"/>
      <w:kern w:val="2"/>
    </w:rPr>
  </w:style>
  <w:style w:type="paragraph" w:customStyle="1" w:styleId="2157">
    <w:name w:val="缺省文本"/>
    <w:basedOn w:val="1"/>
    <w:qFormat/>
    <w:uiPriority w:val="0"/>
    <w:pPr>
      <w:autoSpaceDE w:val="0"/>
      <w:autoSpaceDN w:val="0"/>
      <w:snapToGrid/>
      <w:spacing w:line="240" w:lineRule="auto"/>
      <w:ind w:firstLine="0" w:firstLineChars="0"/>
    </w:pPr>
    <w:rPr>
      <w:snapToGrid/>
      <w:szCs w:val="20"/>
    </w:rPr>
  </w:style>
  <w:style w:type="character" w:customStyle="1" w:styleId="2158">
    <w:name w:val="日期 字符"/>
    <w:semiHidden/>
    <w:qFormat/>
    <w:uiPriority w:val="0"/>
    <w:rPr>
      <w:snapToGrid/>
      <w:sz w:val="24"/>
      <w:szCs w:val="24"/>
    </w:rPr>
  </w:style>
  <w:style w:type="character" w:customStyle="1" w:styleId="2159">
    <w:name w:val="日期 字符3"/>
    <w:link w:val="50"/>
    <w:uiPriority w:val="0"/>
    <w:rPr>
      <w:rFonts w:ascii="Times New Roman" w:hAnsi="Times New Roman" w:eastAsia="宋体" w:cs="Times New Roman"/>
      <w:snapToGrid w:val="0"/>
      <w:kern w:val="0"/>
      <w:sz w:val="26"/>
      <w:szCs w:val="26"/>
      <w14:ligatures w14:val="none"/>
    </w:rPr>
  </w:style>
  <w:style w:type="character" w:customStyle="1" w:styleId="2160">
    <w:name w:val="日期 Char Char"/>
    <w:qFormat/>
    <w:uiPriority w:val="0"/>
    <w:rPr>
      <w:rFonts w:hAnsi="宋体"/>
      <w:sz w:val="24"/>
      <w:lang w:val="en-US" w:eastAsia="zh-CN"/>
    </w:rPr>
  </w:style>
  <w:style w:type="character" w:customStyle="1" w:styleId="2161">
    <w:name w:val="日期 Char1"/>
    <w:semiHidden/>
    <w:qFormat/>
    <w:uiPriority w:val="0"/>
    <w:rPr>
      <w:rFonts w:ascii="Times New Roman" w:hAnsi="Times New Roman"/>
      <w:kern w:val="2"/>
      <w:sz w:val="26"/>
      <w:szCs w:val="22"/>
    </w:rPr>
  </w:style>
  <w:style w:type="character" w:customStyle="1" w:styleId="2162">
    <w:name w:val="日期 字符1"/>
    <w:semiHidden/>
    <w:uiPriority w:val="0"/>
    <w:rPr>
      <w:sz w:val="24"/>
      <w:szCs w:val="24"/>
    </w:rPr>
  </w:style>
  <w:style w:type="character" w:customStyle="1" w:styleId="2163">
    <w:name w:val="日期 字符2"/>
    <w:semiHidden/>
    <w:qFormat/>
    <w:locked/>
    <w:uiPriority w:val="0"/>
    <w:rPr>
      <w:sz w:val="24"/>
      <w:szCs w:val="26"/>
    </w:rPr>
  </w:style>
  <w:style w:type="paragraph" w:customStyle="1" w:styleId="2164">
    <w:name w:val="日期1"/>
    <w:basedOn w:val="1"/>
    <w:next w:val="1"/>
    <w:qFormat/>
    <w:uiPriority w:val="0"/>
    <w:pPr>
      <w:spacing w:before="31"/>
      <w:ind w:left="100" w:leftChars="2500"/>
    </w:pPr>
    <w:rPr>
      <w:rFonts w:ascii="Calibri" w:hAnsi="Calibri"/>
      <w:szCs w:val="26"/>
    </w:rPr>
  </w:style>
  <w:style w:type="paragraph" w:customStyle="1" w:styleId="2165">
    <w:name w:val="日期2"/>
    <w:basedOn w:val="1"/>
    <w:next w:val="1"/>
    <w:uiPriority w:val="0"/>
    <w:pPr>
      <w:snapToGrid/>
      <w:spacing w:beforeAutospacing="1" w:after="100" w:afterAutospacing="1" w:line="240" w:lineRule="auto"/>
      <w:textAlignment w:val="baseline"/>
    </w:pPr>
    <w:rPr>
      <w:kern w:val="2"/>
      <w:szCs w:val="20"/>
    </w:rPr>
  </w:style>
  <w:style w:type="paragraph" w:customStyle="1" w:styleId="2166">
    <w:name w:val="三级(1)"/>
    <w:basedOn w:val="1"/>
    <w:qFormat/>
    <w:uiPriority w:val="0"/>
    <w:pPr>
      <w:spacing w:line="360" w:lineRule="exact"/>
      <w:ind w:firstLine="0" w:firstLineChars="0"/>
      <w:textAlignment w:val="baseline"/>
    </w:pPr>
    <w:rPr>
      <w:snapToGrid/>
      <w:sz w:val="21"/>
      <w:szCs w:val="20"/>
    </w:rPr>
  </w:style>
  <w:style w:type="paragraph" w:customStyle="1" w:styleId="2167">
    <w:name w:val="三级标题光"/>
    <w:basedOn w:val="1"/>
    <w:uiPriority w:val="0"/>
    <w:pPr>
      <w:adjustRightInd/>
      <w:snapToGrid/>
      <w:spacing w:beforeLines="25" w:afterLines="25"/>
      <w:ind w:firstLine="0" w:firstLineChars="0"/>
      <w:outlineLvl w:val="2"/>
    </w:pPr>
    <w:rPr>
      <w:rFonts w:ascii="黑体" w:hAnsi="宋体" w:eastAsia="黑体"/>
      <w:b/>
      <w:snapToGrid/>
      <w:kern w:val="2"/>
      <w:szCs w:val="28"/>
    </w:rPr>
  </w:style>
  <w:style w:type="paragraph" w:customStyle="1" w:styleId="2168">
    <w:name w:val="三级目录"/>
    <w:basedOn w:val="5"/>
    <w:link w:val="2169"/>
    <w:qFormat/>
    <w:uiPriority w:val="0"/>
    <w:pPr>
      <w:keepNext/>
      <w:keepLines/>
      <w:numPr>
        <w:ilvl w:val="0"/>
        <w:numId w:val="0"/>
      </w:numPr>
      <w:tabs>
        <w:tab w:val="left" w:pos="709"/>
      </w:tabs>
      <w:spacing w:before="160" w:after="160" w:line="240" w:lineRule="auto"/>
      <w:textAlignment w:val="baseline"/>
    </w:pPr>
    <w:rPr>
      <w:rFonts w:eastAsia="黑体"/>
      <w:b w:val="0"/>
      <w:sz w:val="28"/>
      <w:szCs w:val="24"/>
    </w:rPr>
  </w:style>
  <w:style w:type="character" w:customStyle="1" w:styleId="2169">
    <w:name w:val="三级目录 Char Char"/>
    <w:link w:val="2168"/>
    <w:qFormat/>
    <w:uiPriority w:val="0"/>
    <w:rPr>
      <w:rFonts w:ascii="Times New Roman" w:hAnsi="Times New Roman" w:eastAsia="黑体" w:cs="Times New Roman"/>
      <w:snapToGrid w:val="0"/>
      <w:kern w:val="0"/>
      <w:sz w:val="28"/>
      <w:szCs w:val="24"/>
      <w14:ligatures w14:val="none"/>
    </w:rPr>
  </w:style>
  <w:style w:type="character" w:customStyle="1" w:styleId="2170">
    <w:name w:val="三级目录 Char"/>
    <w:qFormat/>
    <w:uiPriority w:val="0"/>
    <w:rPr>
      <w:rFonts w:eastAsia="黑体"/>
      <w:snapToGrid w:val="0"/>
      <w:sz w:val="28"/>
      <w:szCs w:val="24"/>
      <w:lang w:val="en-US" w:eastAsia="zh-CN" w:bidi="ar-SA"/>
    </w:rPr>
  </w:style>
  <w:style w:type="paragraph" w:customStyle="1" w:styleId="2171">
    <w:name w:val="三级条标题"/>
    <w:basedOn w:val="1816"/>
    <w:next w:val="1"/>
    <w:uiPriority w:val="0"/>
    <w:pPr>
      <w:tabs>
        <w:tab w:val="left" w:pos="2100"/>
        <w:tab w:val="clear" w:pos="1680"/>
      </w:tabs>
      <w:ind w:left="2100"/>
      <w:outlineLvl w:val="4"/>
    </w:pPr>
  </w:style>
  <w:style w:type="table" w:customStyle="1" w:styleId="2172">
    <w:name w:val="三线表"/>
    <w:basedOn w:val="88"/>
    <w:qFormat/>
    <w:uiPriority w:val="0"/>
    <w:rPr>
      <w:rFonts w:ascii="Times New Roman" w:hAnsi="Times New Roman" w:eastAsia="宋体" w:cs="Times New Roman"/>
    </w:rPr>
    <w:tblPr>
      <w:tblBorders>
        <w:top w:val="single" w:color="auto" w:sz="4" w:space="0"/>
        <w:bottom w:val="single" w:color="auto" w:sz="4" w:space="0"/>
      </w:tblBorders>
    </w:tblPr>
    <w:tblStylePr w:type="firstRow">
      <w:tcPr>
        <w:tcBorders>
          <w:top w:val="single" w:color="auto" w:sz="4" w:space="0"/>
          <w:left w:val="nil"/>
          <w:bottom w:val="single" w:color="auto" w:sz="4" w:space="0"/>
          <w:right w:val="nil"/>
          <w:insideH w:val="nil"/>
          <w:insideV w:val="nil"/>
        </w:tcBorders>
      </w:tcPr>
    </w:tblStylePr>
  </w:style>
  <w:style w:type="paragraph" w:customStyle="1" w:styleId="2173">
    <w:name w:val="三章正文"/>
    <w:basedOn w:val="34"/>
    <w:uiPriority w:val="0"/>
    <w:pPr>
      <w:adjustRightInd/>
      <w:snapToGrid/>
      <w:spacing w:line="360" w:lineRule="auto"/>
      <w:ind w:firstLine="200" w:firstLineChars="200"/>
    </w:pPr>
    <w:rPr>
      <w:rFonts w:ascii="Calibri" w:hAnsi="Calibri"/>
      <w:snapToGrid/>
      <w:kern w:val="2"/>
      <w:szCs w:val="20"/>
    </w:rPr>
  </w:style>
  <w:style w:type="paragraph" w:customStyle="1" w:styleId="2174">
    <w:name w:val="山西 王 表名13黑"/>
    <w:basedOn w:val="1"/>
    <w:qFormat/>
    <w:uiPriority w:val="0"/>
    <w:pPr>
      <w:adjustRightInd/>
      <w:snapToGrid/>
      <w:spacing w:line="240" w:lineRule="auto"/>
      <w:ind w:firstLine="0" w:firstLineChars="0"/>
      <w:jc w:val="center"/>
    </w:pPr>
    <w:rPr>
      <w:rFonts w:eastAsia="黑体"/>
      <w:snapToGrid/>
      <w:kern w:val="2"/>
      <w:szCs w:val="26"/>
    </w:rPr>
  </w:style>
  <w:style w:type="paragraph" w:customStyle="1" w:styleId="2175">
    <w:name w:val="设计说明1"/>
    <w:basedOn w:val="1"/>
    <w:qFormat/>
    <w:uiPriority w:val="0"/>
    <w:pPr>
      <w:tabs>
        <w:tab w:val="left" w:pos="1967"/>
      </w:tabs>
      <w:adjustRightInd/>
      <w:snapToGrid/>
      <w:spacing w:after="240" w:line="400" w:lineRule="exact"/>
      <w:ind w:left="952" w:hanging="425" w:firstLineChars="0"/>
      <w:outlineLvl w:val="0"/>
    </w:pPr>
    <w:rPr>
      <w:rFonts w:ascii="宋体" w:hAnsi="宋体"/>
      <w:b/>
      <w:snapToGrid/>
      <w:kern w:val="2"/>
      <w:szCs w:val="20"/>
    </w:rPr>
  </w:style>
  <w:style w:type="paragraph" w:customStyle="1" w:styleId="2176">
    <w:name w:val="设计说明2"/>
    <w:basedOn w:val="1"/>
    <w:qFormat/>
    <w:uiPriority w:val="0"/>
    <w:pPr>
      <w:tabs>
        <w:tab w:val="left" w:pos="630"/>
        <w:tab w:val="left" w:pos="1247"/>
      </w:tabs>
      <w:adjustRightInd/>
      <w:snapToGrid/>
      <w:spacing w:after="120" w:line="400" w:lineRule="exact"/>
      <w:ind w:left="1094" w:hanging="567" w:firstLineChars="0"/>
      <w:outlineLvl w:val="1"/>
    </w:pPr>
    <w:rPr>
      <w:rFonts w:ascii="新宋体" w:hAnsi="新宋体"/>
      <w:b/>
      <w:snapToGrid/>
      <w:kern w:val="2"/>
      <w:sz w:val="28"/>
      <w:szCs w:val="20"/>
    </w:rPr>
  </w:style>
  <w:style w:type="paragraph" w:customStyle="1" w:styleId="2177">
    <w:name w:val="设计说明3"/>
    <w:basedOn w:val="2176"/>
    <w:next w:val="1"/>
    <w:qFormat/>
    <w:uiPriority w:val="0"/>
  </w:style>
  <w:style w:type="paragraph" w:customStyle="1" w:styleId="2178">
    <w:name w:val="生物附录"/>
    <w:uiPriority w:val="0"/>
    <w:pPr>
      <w:jc w:val="both"/>
    </w:pPr>
    <w:rPr>
      <w:rFonts w:ascii="Times New Roman" w:hAnsi="Times New Roman" w:eastAsia="宋体" w:cs="Times New Roman"/>
      <w:b/>
      <w:spacing w:val="20"/>
      <w:sz w:val="28"/>
      <w:lang w:val="en-US" w:eastAsia="zh-CN" w:bidi="ar-SA"/>
    </w:rPr>
  </w:style>
  <w:style w:type="paragraph" w:customStyle="1" w:styleId="2179">
    <w:name w:val="生物拉丁文"/>
    <w:basedOn w:val="1"/>
    <w:uiPriority w:val="0"/>
    <w:pPr>
      <w:tabs>
        <w:tab w:val="left" w:pos="-120"/>
      </w:tabs>
      <w:overflowPunct w:val="0"/>
      <w:topLinePunct/>
      <w:autoSpaceDE w:val="0"/>
      <w:spacing w:afterLines="50" w:line="0" w:lineRule="atLeast"/>
      <w:ind w:firstLine="454" w:firstLineChars="0"/>
    </w:pPr>
    <w:rPr>
      <w:i/>
      <w:snapToGrid/>
      <w:spacing w:val="20"/>
      <w:kern w:val="2"/>
      <w:szCs w:val="20"/>
    </w:rPr>
  </w:style>
  <w:style w:type="paragraph" w:customStyle="1" w:styleId="2180">
    <w:name w:val="生物拉丁文名"/>
    <w:basedOn w:val="1"/>
    <w:uiPriority w:val="0"/>
    <w:pPr>
      <w:tabs>
        <w:tab w:val="left" w:pos="-120"/>
      </w:tabs>
      <w:overflowPunct w:val="0"/>
      <w:topLinePunct/>
      <w:autoSpaceDE w:val="0"/>
      <w:spacing w:afterLines="50" w:line="0" w:lineRule="atLeast"/>
      <w:ind w:firstLine="454" w:firstLineChars="0"/>
    </w:pPr>
    <w:rPr>
      <w:i/>
      <w:snapToGrid/>
      <w:spacing w:val="20"/>
      <w:kern w:val="2"/>
      <w:szCs w:val="20"/>
    </w:rPr>
  </w:style>
  <w:style w:type="paragraph" w:customStyle="1" w:styleId="2181">
    <w:name w:val="生物中文类名"/>
    <w:basedOn w:val="1"/>
    <w:qFormat/>
    <w:uiPriority w:val="0"/>
    <w:pPr>
      <w:tabs>
        <w:tab w:val="left" w:pos="-120"/>
      </w:tabs>
      <w:overflowPunct w:val="0"/>
      <w:topLinePunct/>
      <w:autoSpaceDE w:val="0"/>
      <w:spacing w:afterLines="50" w:line="310" w:lineRule="atLeast"/>
      <w:ind w:firstLine="454" w:firstLineChars="0"/>
    </w:pPr>
    <w:rPr>
      <w:b/>
      <w:snapToGrid/>
      <w:spacing w:val="20"/>
      <w:kern w:val="2"/>
      <w:szCs w:val="20"/>
    </w:rPr>
  </w:style>
  <w:style w:type="paragraph" w:customStyle="1" w:styleId="2182">
    <w:name w:val="生物中文名"/>
    <w:basedOn w:val="1"/>
    <w:qFormat/>
    <w:uiPriority w:val="0"/>
    <w:pPr>
      <w:tabs>
        <w:tab w:val="left" w:pos="-120"/>
      </w:tabs>
      <w:overflowPunct w:val="0"/>
      <w:topLinePunct/>
      <w:autoSpaceDE w:val="0"/>
      <w:spacing w:afterLines="50" w:line="0" w:lineRule="atLeast"/>
      <w:ind w:firstLine="454" w:firstLineChars="0"/>
    </w:pPr>
    <w:rPr>
      <w:snapToGrid/>
      <w:spacing w:val="20"/>
      <w:kern w:val="2"/>
      <w:szCs w:val="20"/>
    </w:rPr>
  </w:style>
  <w:style w:type="character" w:customStyle="1" w:styleId="2183">
    <w:name w:val="式样b Char"/>
    <w:qFormat/>
    <w:uiPriority w:val="0"/>
    <w:rPr>
      <w:i/>
      <w:iCs/>
      <w:kern w:val="2"/>
      <w:sz w:val="21"/>
      <w:szCs w:val="24"/>
    </w:rPr>
  </w:style>
  <w:style w:type="character" w:customStyle="1" w:styleId="2184">
    <w:name w:val="式样b Char1"/>
    <w:qFormat/>
    <w:uiPriority w:val="0"/>
    <w:rPr>
      <w:i/>
      <w:iCs/>
      <w:kern w:val="2"/>
      <w:sz w:val="21"/>
      <w:szCs w:val="24"/>
    </w:rPr>
  </w:style>
  <w:style w:type="paragraph" w:customStyle="1" w:styleId="2185">
    <w:name w:val="收信人地址1"/>
    <w:basedOn w:val="1"/>
    <w:qFormat/>
    <w:uiPriority w:val="0"/>
    <w:pPr>
      <w:spacing w:before="31"/>
      <w:ind w:left="100" w:leftChars="1400"/>
    </w:pPr>
    <w:rPr>
      <w:rFonts w:ascii="Arial" w:hAnsi="Arial" w:cs="Arial"/>
      <w:szCs w:val="22"/>
    </w:rPr>
  </w:style>
  <w:style w:type="paragraph" w:customStyle="1" w:styleId="2186">
    <w:name w:val="首行缩进 Char Char"/>
    <w:basedOn w:val="1"/>
    <w:qFormat/>
    <w:uiPriority w:val="0"/>
    <w:pPr>
      <w:adjustRightInd/>
      <w:spacing w:line="360" w:lineRule="auto"/>
      <w:ind w:firstLine="499" w:firstLineChars="0"/>
    </w:pPr>
    <w:rPr>
      <w:rFonts w:ascii="宋体"/>
      <w:snapToGrid/>
      <w:kern w:val="2"/>
      <w:szCs w:val="20"/>
    </w:rPr>
  </w:style>
  <w:style w:type="character" w:customStyle="1" w:styleId="2187">
    <w:name w:val="首行缩进 Char Char Char Char Char"/>
    <w:qFormat/>
    <w:uiPriority w:val="0"/>
    <w:rPr>
      <w:rFonts w:ascii="宋体" w:eastAsia="宋体"/>
      <w:kern w:val="2"/>
      <w:sz w:val="28"/>
      <w:lang w:val="en-US" w:eastAsia="zh-CN" w:bidi="ar-SA"/>
    </w:rPr>
  </w:style>
  <w:style w:type="paragraph" w:customStyle="1" w:styleId="2188">
    <w:name w:val="首行缩进:  2 字符"/>
    <w:basedOn w:val="1"/>
    <w:next w:val="1"/>
    <w:uiPriority w:val="0"/>
    <w:pPr>
      <w:autoSpaceDE w:val="0"/>
      <w:autoSpaceDN w:val="0"/>
      <w:snapToGrid/>
      <w:spacing w:after="60" w:line="240" w:lineRule="auto"/>
      <w:ind w:firstLine="0" w:firstLineChars="0"/>
    </w:pPr>
    <w:rPr>
      <w:rFonts w:ascii="宋体"/>
      <w:snapToGrid/>
    </w:rPr>
  </w:style>
  <w:style w:type="paragraph" w:customStyle="1" w:styleId="2189">
    <w:name w:val="首行缩进2"/>
    <w:basedOn w:val="1"/>
    <w:qFormat/>
    <w:uiPriority w:val="0"/>
    <w:pPr>
      <w:adjustRightInd/>
      <w:snapToGrid/>
      <w:spacing w:line="360" w:lineRule="auto"/>
      <w:ind w:firstLine="480"/>
    </w:pPr>
    <w:rPr>
      <w:rFonts w:cs="宋体"/>
      <w:snapToGrid/>
      <w:szCs w:val="20"/>
    </w:rPr>
  </w:style>
  <w:style w:type="paragraph" w:customStyle="1" w:styleId="2190">
    <w:name w:val="首行缩进2字符"/>
    <w:basedOn w:val="1"/>
    <w:link w:val="2191"/>
    <w:uiPriority w:val="0"/>
    <w:pPr>
      <w:adjustRightInd/>
      <w:snapToGrid/>
      <w:spacing w:line="240" w:lineRule="auto"/>
    </w:pPr>
    <w:rPr>
      <w:snapToGrid/>
      <w:kern w:val="2"/>
      <w:sz w:val="21"/>
    </w:rPr>
  </w:style>
  <w:style w:type="character" w:customStyle="1" w:styleId="2191">
    <w:name w:val="首行缩进2字符 Char"/>
    <w:link w:val="2190"/>
    <w:qFormat/>
    <w:uiPriority w:val="0"/>
    <w:rPr>
      <w:rFonts w:ascii="Times New Roman" w:hAnsi="Times New Roman" w:eastAsia="宋体" w:cs="Times New Roman"/>
      <w:szCs w:val="24"/>
      <w14:ligatures w14:val="none"/>
    </w:rPr>
  </w:style>
  <w:style w:type="character" w:customStyle="1" w:styleId="2192">
    <w:name w:val="书籍标题1"/>
    <w:uiPriority w:val="0"/>
    <w:rPr>
      <w:b/>
      <w:bCs/>
      <w:smallCaps/>
      <w:spacing w:val="5"/>
    </w:rPr>
  </w:style>
  <w:style w:type="character" w:customStyle="1" w:styleId="2193">
    <w:name w:val="书籍标题12"/>
    <w:uiPriority w:val="0"/>
    <w:rPr>
      <w:rFonts w:cs="Times New Roman"/>
      <w:b/>
      <w:bCs/>
      <w:smallCaps/>
      <w:spacing w:val="5"/>
    </w:rPr>
  </w:style>
  <w:style w:type="character" w:customStyle="1" w:styleId="2194">
    <w:name w:val="书籍标题11"/>
    <w:qFormat/>
    <w:uiPriority w:val="0"/>
    <w:rPr>
      <w:b/>
      <w:bCs/>
      <w:smallCaps/>
      <w:spacing w:val="5"/>
    </w:rPr>
  </w:style>
  <w:style w:type="character" w:customStyle="1" w:styleId="2195">
    <w:name w:val="书籍标题2"/>
    <w:qFormat/>
    <w:uiPriority w:val="0"/>
    <w:rPr>
      <w:caps/>
      <w:color w:val="622423"/>
      <w:spacing w:val="5"/>
      <w:u w:color="622423"/>
    </w:rPr>
  </w:style>
  <w:style w:type="table" w:customStyle="1" w:styleId="2196">
    <w:name w:val="竖列型 11"/>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197">
    <w:name w:val="竖列型 1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198">
    <w:name w:val="竖列型 2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199">
    <w:name w:val="竖列型 2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200">
    <w:name w:val="竖列型 3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2201">
    <w:name w:val="竖列型 3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2202">
    <w:name w:val="竖列型 4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203">
    <w:name w:val="竖列型 4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204">
    <w:name w:val="竖列型 51"/>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205">
    <w:name w:val="竖列型 5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paragraph" w:customStyle="1" w:styleId="2206">
    <w:name w:val="水1"/>
    <w:basedOn w:val="3"/>
    <w:next w:val="39"/>
    <w:qFormat/>
    <w:uiPriority w:val="0"/>
    <w:pPr>
      <w:keepNext/>
      <w:keepLines/>
      <w:numPr>
        <w:numId w:val="0"/>
      </w:numPr>
      <w:adjustRightInd/>
      <w:snapToGrid/>
      <w:spacing w:beforeLines="50" w:afterLines="50" w:line="240" w:lineRule="auto"/>
    </w:pPr>
    <w:rPr>
      <w:rFonts w:ascii="黑体" w:hAnsi="Calibri"/>
      <w:b w:val="0"/>
      <w:bCs w:val="0"/>
      <w:snapToGrid/>
      <w:color w:val="0000FF"/>
      <w:sz w:val="36"/>
      <w:szCs w:val="36"/>
    </w:rPr>
  </w:style>
  <w:style w:type="paragraph" w:customStyle="1" w:styleId="2207">
    <w:name w:val="水2"/>
    <w:basedOn w:val="3"/>
    <w:qFormat/>
    <w:uiPriority w:val="0"/>
    <w:pPr>
      <w:keepNext/>
      <w:keepLines/>
      <w:numPr>
        <w:numId w:val="0"/>
      </w:numPr>
      <w:adjustRightInd/>
      <w:snapToGrid/>
      <w:spacing w:beforeLines="50" w:afterLines="50" w:line="240" w:lineRule="auto"/>
      <w:jc w:val="left"/>
    </w:pPr>
    <w:rPr>
      <w:rFonts w:ascii="黑体" w:hAnsi="Calibri"/>
      <w:b w:val="0"/>
      <w:bCs w:val="0"/>
      <w:snapToGrid/>
      <w:spacing w:val="24"/>
      <w:szCs w:val="30"/>
    </w:rPr>
  </w:style>
  <w:style w:type="paragraph" w:customStyle="1" w:styleId="2208">
    <w:name w:val="水3"/>
    <w:basedOn w:val="3"/>
    <w:next w:val="44"/>
    <w:qFormat/>
    <w:uiPriority w:val="0"/>
    <w:pPr>
      <w:keepLines/>
      <w:numPr>
        <w:numId w:val="0"/>
      </w:numPr>
      <w:adjustRightInd/>
      <w:snapToGrid/>
      <w:spacing w:beforeLines="50" w:beforeAutospacing="1" w:afterLines="50" w:afterAutospacing="1" w:line="240" w:lineRule="auto"/>
      <w:jc w:val="both"/>
    </w:pPr>
    <w:rPr>
      <w:rFonts w:ascii="宋体" w:hAnsi="宋体"/>
      <w:b w:val="0"/>
      <w:bCs w:val="0"/>
      <w:snapToGrid/>
      <w:szCs w:val="30"/>
    </w:rPr>
  </w:style>
  <w:style w:type="paragraph" w:customStyle="1" w:styleId="2209">
    <w:name w:val="水4"/>
    <w:basedOn w:val="3"/>
    <w:next w:val="59"/>
    <w:qFormat/>
    <w:uiPriority w:val="0"/>
    <w:pPr>
      <w:keepNext/>
      <w:keepLines/>
      <w:numPr>
        <w:numId w:val="0"/>
      </w:numPr>
      <w:adjustRightInd/>
      <w:snapToGrid/>
      <w:spacing w:beforeLines="50" w:afterLines="50" w:line="240" w:lineRule="auto"/>
      <w:jc w:val="left"/>
    </w:pPr>
    <w:rPr>
      <w:rFonts w:ascii="Calibri" w:hAnsi="Calibri"/>
      <w:b w:val="0"/>
      <w:bCs w:val="0"/>
      <w:snapToGrid/>
      <w:szCs w:val="30"/>
    </w:rPr>
  </w:style>
  <w:style w:type="paragraph" w:customStyle="1" w:styleId="2210">
    <w:name w:val="水5"/>
    <w:basedOn w:val="2209"/>
    <w:uiPriority w:val="0"/>
    <w:pPr>
      <w:tabs>
        <w:tab w:val="left" w:pos="1653"/>
      </w:tabs>
      <w:ind w:left="573"/>
    </w:pPr>
    <w:rPr>
      <w:b/>
      <w:bCs/>
      <w:color w:val="FF00FF"/>
    </w:rPr>
  </w:style>
  <w:style w:type="paragraph" w:customStyle="1" w:styleId="2211">
    <w:name w:val="水保1级"/>
    <w:basedOn w:val="3"/>
    <w:uiPriority w:val="0"/>
    <w:pPr>
      <w:numPr>
        <w:numId w:val="0"/>
      </w:numPr>
      <w:spacing w:before="340" w:afterLines="0" w:line="576" w:lineRule="auto"/>
      <w:ind w:left="620" w:hanging="420"/>
    </w:pPr>
  </w:style>
  <w:style w:type="paragraph" w:customStyle="1" w:styleId="2212">
    <w:name w:val="水保2级"/>
    <w:basedOn w:val="4"/>
    <w:uiPriority w:val="0"/>
    <w:pPr>
      <w:numPr>
        <w:ilvl w:val="0"/>
        <w:numId w:val="0"/>
      </w:numPr>
      <w:adjustRightInd/>
      <w:snapToGrid/>
      <w:spacing w:after="260" w:line="413" w:lineRule="auto"/>
      <w:ind w:left="840" w:hanging="420"/>
    </w:pPr>
    <w:rPr>
      <w:rFonts w:ascii="Arial" w:hAnsi="Arial"/>
      <w:b w:val="0"/>
    </w:rPr>
  </w:style>
  <w:style w:type="paragraph" w:customStyle="1" w:styleId="2213">
    <w:name w:val="水保3级"/>
    <w:basedOn w:val="5"/>
    <w:uiPriority w:val="0"/>
    <w:pPr>
      <w:keepNext/>
      <w:keepLines/>
      <w:numPr>
        <w:ilvl w:val="0"/>
        <w:numId w:val="0"/>
      </w:numPr>
      <w:adjustRightInd/>
      <w:snapToGrid/>
      <w:spacing w:before="260" w:after="260" w:line="500" w:lineRule="exact"/>
      <w:ind w:firstLine="480" w:firstLineChars="200"/>
      <w:jc w:val="both"/>
    </w:pPr>
    <w:rPr>
      <w:b w:val="0"/>
      <w:snapToGrid/>
      <w:kern w:val="2"/>
      <w:sz w:val="28"/>
    </w:rPr>
  </w:style>
  <w:style w:type="paragraph" w:customStyle="1" w:styleId="2214">
    <w:name w:val="水保4级"/>
    <w:basedOn w:val="6"/>
    <w:qFormat/>
    <w:uiPriority w:val="0"/>
    <w:pPr>
      <w:keepNext/>
      <w:keepLines/>
      <w:numPr>
        <w:ilvl w:val="0"/>
        <w:numId w:val="0"/>
      </w:numPr>
      <w:adjustRightInd/>
      <w:snapToGrid/>
      <w:spacing w:after="290" w:line="360" w:lineRule="auto"/>
      <w:jc w:val="both"/>
    </w:pPr>
    <w:rPr>
      <w:rFonts w:ascii="Arial" w:hAnsi="Arial"/>
      <w:snapToGrid/>
      <w:kern w:val="2"/>
      <w:szCs w:val="28"/>
      <w:lang w:val="en-US"/>
    </w:rPr>
  </w:style>
  <w:style w:type="paragraph" w:customStyle="1" w:styleId="2215">
    <w:name w:val="水保正文"/>
    <w:basedOn w:val="1"/>
    <w:qFormat/>
    <w:uiPriority w:val="0"/>
    <w:pPr>
      <w:adjustRightInd/>
      <w:snapToGrid/>
      <w:spacing w:beforeLines="50" w:afterLines="50" w:line="360" w:lineRule="auto"/>
    </w:pPr>
    <w:rPr>
      <w:rFonts w:ascii="宋体" w:hAnsi="宋体" w:cs="宋体"/>
      <w:snapToGrid/>
      <w:kern w:val="2"/>
    </w:rPr>
  </w:style>
  <w:style w:type="paragraph" w:customStyle="1" w:styleId="2216">
    <w:name w:val="水泥厂正文"/>
    <w:basedOn w:val="1"/>
    <w:qFormat/>
    <w:uiPriority w:val="0"/>
    <w:pPr>
      <w:ind w:firstLine="480"/>
    </w:pPr>
    <w:rPr>
      <w:rFonts w:ascii="宋体" w:hAnsi="宋体"/>
      <w:snapToGrid/>
      <w:kern w:val="2"/>
      <w:szCs w:val="20"/>
    </w:rPr>
  </w:style>
  <w:style w:type="paragraph" w:customStyle="1" w:styleId="2217">
    <w:name w:val="水正文"/>
    <w:basedOn w:val="51"/>
    <w:qFormat/>
    <w:uiPriority w:val="0"/>
    <w:pPr>
      <w:adjustRightInd/>
      <w:snapToGrid/>
      <w:spacing w:line="640" w:lineRule="exact"/>
      <w:ind w:firstLine="573" w:firstLineChars="0"/>
    </w:pPr>
    <w:rPr>
      <w:rFonts w:ascii="宋体" w:hAnsi="Calibri"/>
      <w:snapToGrid/>
      <w:color w:val="auto"/>
      <w:spacing w:val="10"/>
      <w:kern w:val="2"/>
      <w:sz w:val="30"/>
      <w:szCs w:val="30"/>
    </w:rPr>
  </w:style>
  <w:style w:type="paragraph" w:customStyle="1" w:styleId="2218">
    <w:name w:val="顺序"/>
    <w:basedOn w:val="1"/>
    <w:next w:val="1"/>
    <w:qFormat/>
    <w:uiPriority w:val="0"/>
    <w:pPr>
      <w:adjustRightInd/>
      <w:snapToGrid/>
      <w:spacing w:line="240" w:lineRule="auto"/>
      <w:ind w:firstLine="0" w:firstLineChars="0"/>
    </w:pPr>
    <w:rPr>
      <w:rFonts w:ascii="宋体" w:hAnsi="宋体"/>
      <w:snapToGrid/>
    </w:rPr>
  </w:style>
  <w:style w:type="paragraph" w:customStyle="1" w:styleId="2219">
    <w:name w:val="说明书正文"/>
    <w:basedOn w:val="1"/>
    <w:link w:val="2220"/>
    <w:uiPriority w:val="0"/>
    <w:pPr>
      <w:adjustRightInd/>
      <w:snapToGrid/>
      <w:spacing w:line="480" w:lineRule="exact"/>
      <w:ind w:firstLine="600"/>
    </w:pPr>
    <w:rPr>
      <w:rFonts w:eastAsia="仿宋_GB2312"/>
      <w:snapToGrid/>
      <w:color w:val="000000"/>
      <w:kern w:val="2"/>
      <w:sz w:val="30"/>
    </w:rPr>
  </w:style>
  <w:style w:type="character" w:customStyle="1" w:styleId="2220">
    <w:name w:val="说明书正文 Char"/>
    <w:link w:val="2219"/>
    <w:qFormat/>
    <w:uiPriority w:val="0"/>
    <w:rPr>
      <w:rFonts w:ascii="Times New Roman" w:hAnsi="Times New Roman" w:eastAsia="仿宋_GB2312" w:cs="Times New Roman"/>
      <w:color w:val="000000"/>
      <w:sz w:val="30"/>
      <w:szCs w:val="24"/>
      <w14:ligatures w14:val="none"/>
    </w:rPr>
  </w:style>
  <w:style w:type="character" w:customStyle="1" w:styleId="2221">
    <w:name w:val="四 Char Char"/>
    <w:uiPriority w:val="0"/>
    <w:rPr>
      <w:rFonts w:eastAsia="宋体"/>
      <w:b/>
      <w:bCs/>
      <w:color w:val="000000"/>
      <w:kern w:val="2"/>
      <w:sz w:val="24"/>
      <w:szCs w:val="28"/>
      <w:lang w:val="en-US" w:eastAsia="zh-CN" w:bidi="ar-SA"/>
    </w:rPr>
  </w:style>
  <w:style w:type="character" w:customStyle="1" w:styleId="2222">
    <w:name w:val="四 Char Char1"/>
    <w:qFormat/>
    <w:uiPriority w:val="0"/>
    <w:rPr>
      <w:rFonts w:ascii="Arial" w:hAnsi="Arial" w:eastAsia="宋体"/>
      <w:b/>
      <w:bCs/>
      <w:i/>
      <w:kern w:val="2"/>
      <w:sz w:val="24"/>
      <w:szCs w:val="28"/>
      <w:lang w:val="en-US" w:eastAsia="zh-CN" w:bidi="ar-SA"/>
    </w:rPr>
  </w:style>
  <w:style w:type="paragraph" w:customStyle="1" w:styleId="2223">
    <w:name w:val="四级标题"/>
    <w:basedOn w:val="5"/>
    <w:next w:val="1721"/>
    <w:autoRedefine/>
    <w:qFormat/>
    <w:uiPriority w:val="0"/>
    <w:pPr>
      <w:numPr>
        <w:ilvl w:val="0"/>
        <w:numId w:val="0"/>
      </w:numPr>
      <w:adjustRightInd/>
      <w:snapToGrid/>
      <w:spacing w:line="480" w:lineRule="exact"/>
      <w:ind w:firstLine="522"/>
      <w:outlineLvl w:val="3"/>
    </w:pPr>
    <w:rPr>
      <w:snapToGrid/>
      <w:kern w:val="2"/>
      <w:szCs w:val="22"/>
    </w:rPr>
  </w:style>
  <w:style w:type="paragraph" w:customStyle="1" w:styleId="2224">
    <w:name w:val="四级标题 + 四号"/>
    <w:basedOn w:val="1"/>
    <w:semiHidden/>
    <w:qFormat/>
    <w:uiPriority w:val="0"/>
    <w:pPr>
      <w:keepNext/>
      <w:keepLines/>
      <w:tabs>
        <w:tab w:val="left" w:pos="851"/>
      </w:tabs>
      <w:adjustRightInd/>
      <w:snapToGrid/>
      <w:spacing w:after="290" w:line="360" w:lineRule="auto"/>
      <w:ind w:left="851" w:hanging="851" w:firstLineChars="0"/>
      <w:outlineLvl w:val="3"/>
    </w:pPr>
    <w:rPr>
      <w:rFonts w:eastAsia="黑体"/>
      <w:bCs/>
      <w:snapToGrid/>
      <w:sz w:val="28"/>
      <w:szCs w:val="28"/>
    </w:rPr>
  </w:style>
  <w:style w:type="paragraph" w:customStyle="1" w:styleId="2225">
    <w:name w:val="四级目录"/>
    <w:basedOn w:val="2168"/>
    <w:next w:val="1"/>
    <w:link w:val="2226"/>
    <w:qFormat/>
    <w:uiPriority w:val="0"/>
    <w:pPr>
      <w:tabs>
        <w:tab w:val="clear" w:pos="709"/>
      </w:tabs>
      <w:spacing w:before="140" w:after="140"/>
      <w:outlineLvl w:val="3"/>
    </w:pPr>
    <w:rPr>
      <w:b/>
      <w:bCs/>
      <w:sz w:val="24"/>
    </w:rPr>
  </w:style>
  <w:style w:type="character" w:customStyle="1" w:styleId="2226">
    <w:name w:val="四级目录 Char Char"/>
    <w:link w:val="2225"/>
    <w:qFormat/>
    <w:uiPriority w:val="0"/>
    <w:rPr>
      <w:rFonts w:ascii="Times New Roman" w:hAnsi="Times New Roman" w:eastAsia="黑体" w:cs="Times New Roman"/>
      <w:b/>
      <w:bCs/>
      <w:snapToGrid w:val="0"/>
      <w:kern w:val="0"/>
      <w:sz w:val="24"/>
      <w:szCs w:val="24"/>
      <w14:ligatures w14:val="none"/>
    </w:rPr>
  </w:style>
  <w:style w:type="character" w:customStyle="1" w:styleId="2227">
    <w:name w:val="四级目录 Char"/>
    <w:qFormat/>
    <w:uiPriority w:val="0"/>
    <w:rPr>
      <w:rFonts w:eastAsia="黑体"/>
      <w:snapToGrid w:val="0"/>
      <w:sz w:val="24"/>
      <w:szCs w:val="24"/>
      <w:lang w:val="en-US" w:eastAsia="zh-CN" w:bidi="ar-SA"/>
    </w:rPr>
  </w:style>
  <w:style w:type="paragraph" w:customStyle="1" w:styleId="2228">
    <w:name w:val="四级条标题"/>
    <w:basedOn w:val="2171"/>
    <w:next w:val="1"/>
    <w:qFormat/>
    <w:uiPriority w:val="0"/>
    <w:pPr>
      <w:tabs>
        <w:tab w:val="left" w:pos="2520"/>
        <w:tab w:val="clear" w:pos="2100"/>
      </w:tabs>
      <w:ind w:left="2520"/>
      <w:outlineLvl w:val="5"/>
    </w:pPr>
  </w:style>
  <w:style w:type="paragraph" w:customStyle="1" w:styleId="2229">
    <w:name w:val="宋体1、"/>
    <w:basedOn w:val="1"/>
    <w:link w:val="2230"/>
    <w:semiHidden/>
    <w:qFormat/>
    <w:uiPriority w:val="0"/>
    <w:pPr>
      <w:adjustRightInd/>
      <w:snapToGrid/>
      <w:spacing w:line="240" w:lineRule="auto"/>
    </w:pPr>
    <w:rPr>
      <w:rFonts w:ascii="宋体"/>
      <w:b/>
      <w:snapToGrid/>
      <w:kern w:val="2"/>
      <w:sz w:val="28"/>
      <w:szCs w:val="28"/>
    </w:rPr>
  </w:style>
  <w:style w:type="character" w:customStyle="1" w:styleId="2230">
    <w:name w:val="宋体1、 Char"/>
    <w:link w:val="2229"/>
    <w:semiHidden/>
    <w:qFormat/>
    <w:uiPriority w:val="0"/>
    <w:rPr>
      <w:rFonts w:ascii="宋体" w:hAnsi="Times New Roman" w:eastAsia="宋体" w:cs="Times New Roman"/>
      <w:b/>
      <w:sz w:val="28"/>
      <w:szCs w:val="28"/>
      <w14:ligatures w14:val="none"/>
    </w:rPr>
  </w:style>
  <w:style w:type="paragraph" w:customStyle="1" w:styleId="2231">
    <w:name w:val="隧道室正文"/>
    <w:autoRedefine/>
    <w:uiPriority w:val="0"/>
    <w:pPr>
      <w:spacing w:before="100" w:beforeAutospacing="1" w:line="360" w:lineRule="auto"/>
      <w:ind w:firstLine="480" w:firstLineChars="200"/>
      <w:jc w:val="both"/>
    </w:pPr>
    <w:rPr>
      <w:rFonts w:ascii="宋体" w:hAnsi="宋体" w:eastAsia="宋体" w:cs="Times New Roman"/>
      <w:sz w:val="24"/>
      <w:szCs w:val="24"/>
      <w:lang w:val="en-US" w:eastAsia="zh-CN" w:bidi="ar-SA"/>
    </w:rPr>
  </w:style>
  <w:style w:type="paragraph" w:customStyle="1" w:styleId="2232">
    <w:name w:val="缩进"/>
    <w:basedOn w:val="1"/>
    <w:qFormat/>
    <w:uiPriority w:val="0"/>
    <w:pPr>
      <w:autoSpaceDE w:val="0"/>
      <w:autoSpaceDN w:val="0"/>
      <w:snapToGrid/>
      <w:spacing w:line="400" w:lineRule="atLeast"/>
      <w:ind w:firstLine="425" w:firstLineChars="0"/>
      <w:textAlignment w:val="baseline"/>
    </w:pPr>
    <w:rPr>
      <w:snapToGrid/>
      <w:szCs w:val="20"/>
    </w:rPr>
  </w:style>
  <w:style w:type="paragraph" w:customStyle="1" w:styleId="2233">
    <w:name w:val="缩进2字符文字"/>
    <w:basedOn w:val="1"/>
    <w:uiPriority w:val="0"/>
    <w:pPr>
      <w:adjustRightInd/>
      <w:snapToGrid/>
      <w:spacing w:line="300" w:lineRule="auto"/>
      <w:ind w:firstLine="420"/>
    </w:pPr>
    <w:rPr>
      <w:snapToGrid/>
      <w:kern w:val="2"/>
      <w:sz w:val="21"/>
    </w:rPr>
  </w:style>
  <w:style w:type="paragraph" w:customStyle="1" w:styleId="2234">
    <w:name w:val="缩五"/>
    <w:basedOn w:val="1"/>
    <w:autoRedefine/>
    <w:qFormat/>
    <w:uiPriority w:val="0"/>
    <w:pPr>
      <w:tabs>
        <w:tab w:val="right" w:pos="8320"/>
      </w:tabs>
      <w:adjustRightInd/>
      <w:snapToGrid/>
      <w:spacing w:line="240" w:lineRule="exact"/>
      <w:ind w:firstLine="0" w:firstLineChars="0"/>
    </w:pPr>
    <w:rPr>
      <w:rFonts w:ascii="宋体" w:hAnsi="宋体"/>
      <w:b/>
      <w:snapToGrid/>
      <w:color w:val="000000"/>
      <w:kern w:val="2"/>
      <w:sz w:val="21"/>
      <w:szCs w:val="21"/>
    </w:rPr>
  </w:style>
  <w:style w:type="paragraph" w:customStyle="1" w:styleId="2235">
    <w:name w:val="索引 11"/>
    <w:basedOn w:val="1"/>
    <w:next w:val="1"/>
    <w:uiPriority w:val="0"/>
    <w:pPr>
      <w:spacing w:line="400" w:lineRule="exact"/>
      <w:ind w:firstLine="0" w:firstLineChars="0"/>
    </w:pPr>
    <w:rPr>
      <w:snapToGrid/>
      <w:kern w:val="2"/>
      <w:sz w:val="21"/>
      <w:szCs w:val="22"/>
    </w:rPr>
  </w:style>
  <w:style w:type="paragraph" w:customStyle="1" w:styleId="2236">
    <w:name w:val="特2"/>
    <w:basedOn w:val="1"/>
    <w:semiHidden/>
    <w:uiPriority w:val="0"/>
    <w:pPr>
      <w:tabs>
        <w:tab w:val="left" w:pos="5977"/>
      </w:tabs>
      <w:adjustRightInd/>
      <w:snapToGrid/>
      <w:spacing w:line="240" w:lineRule="auto"/>
      <w:ind w:firstLine="0" w:firstLineChars="0"/>
      <w:outlineLvl w:val="1"/>
    </w:pPr>
    <w:rPr>
      <w:rFonts w:ascii="宋体" w:hAnsi="宋体"/>
      <w:b/>
      <w:snapToGrid/>
      <w:color w:val="000000"/>
      <w:kern w:val="2"/>
      <w:sz w:val="28"/>
      <w:szCs w:val="28"/>
      <w:lang w:val="zh-CN"/>
    </w:rPr>
  </w:style>
  <w:style w:type="character" w:customStyle="1" w:styleId="2237">
    <w:name w:val="特点标题 Char Char"/>
    <w:uiPriority w:val="0"/>
    <w:rPr>
      <w:rFonts w:eastAsia="宋体"/>
      <w:kern w:val="2"/>
      <w:sz w:val="21"/>
      <w:szCs w:val="21"/>
      <w:lang w:val="en-US" w:eastAsia="zh-CN" w:bidi="ar-SA"/>
    </w:rPr>
  </w:style>
  <w:style w:type="character" w:customStyle="1" w:styleId="2238">
    <w:name w:val="特点标题 Char Char Char"/>
    <w:qFormat/>
    <w:uiPriority w:val="0"/>
    <w:rPr>
      <w:rFonts w:hint="default" w:eastAsia="宋体"/>
      <w:kern w:val="2"/>
      <w:sz w:val="24"/>
      <w:lang w:val="en-US" w:eastAsia="zh-CN"/>
    </w:rPr>
  </w:style>
  <w:style w:type="paragraph" w:customStyle="1" w:styleId="2239">
    <w:name w:val="题目"/>
    <w:basedOn w:val="3"/>
    <w:next w:val="1"/>
    <w:qFormat/>
    <w:uiPriority w:val="0"/>
    <w:pPr>
      <w:keepNext/>
      <w:keepLines/>
      <w:numPr>
        <w:numId w:val="0"/>
      </w:numPr>
      <w:adjustRightInd/>
      <w:snapToGrid/>
      <w:spacing w:before="340" w:afterLines="0" w:line="578" w:lineRule="auto"/>
      <w:jc w:val="both"/>
    </w:pPr>
    <w:rPr>
      <w:rFonts w:eastAsia="宋体"/>
      <w:snapToGrid/>
    </w:rPr>
  </w:style>
  <w:style w:type="character" w:customStyle="1" w:styleId="2240">
    <w:name w:val="题目 Char Char"/>
    <w:qFormat/>
    <w:uiPriority w:val="0"/>
    <w:rPr>
      <w:rFonts w:ascii="Arial" w:hAnsi="Arial" w:eastAsia="宋体" w:cs="Arial"/>
      <w:b/>
      <w:bCs/>
      <w:kern w:val="28"/>
      <w:sz w:val="32"/>
      <w:szCs w:val="32"/>
      <w:lang w:val="en-US" w:eastAsia="zh-CN" w:bidi="ar-SA"/>
    </w:rPr>
  </w:style>
  <w:style w:type="character" w:customStyle="1" w:styleId="2241">
    <w:name w:val="题注 字符"/>
    <w:link w:val="22"/>
    <w:qFormat/>
    <w:uiPriority w:val="99"/>
    <w:rPr>
      <w:rFonts w:ascii="Times New Roman" w:hAnsi="Times New Roman" w:eastAsia="宋体" w:cs="Times New Roman"/>
      <w:b/>
      <w:bCs/>
      <w:kern w:val="0"/>
      <w:sz w:val="26"/>
      <w:szCs w:val="21"/>
      <w14:ligatures w14:val="none"/>
    </w:rPr>
  </w:style>
  <w:style w:type="paragraph" w:customStyle="1" w:styleId="2242">
    <w:name w:val="题注两端对齐"/>
    <w:basedOn w:val="22"/>
    <w:qFormat/>
    <w:uiPriority w:val="0"/>
    <w:pPr>
      <w:adjustRightInd/>
      <w:snapToGrid/>
      <w:spacing w:line="240" w:lineRule="auto"/>
    </w:pPr>
    <w:rPr>
      <w:rFonts w:cs="Arial"/>
      <w:snapToGrid w:val="0"/>
      <w:kern w:val="2"/>
      <w:sz w:val="24"/>
      <w:szCs w:val="24"/>
    </w:rPr>
  </w:style>
  <w:style w:type="character" w:customStyle="1" w:styleId="2243">
    <w:name w:val="条，（一） Char Char"/>
    <w:qFormat/>
    <w:uiPriority w:val="0"/>
    <w:rPr>
      <w:rFonts w:ascii="Verdana" w:hAnsi="Verdana" w:eastAsia="宋体"/>
      <w:b/>
      <w:bCs/>
      <w:kern w:val="2"/>
      <w:sz w:val="32"/>
      <w:szCs w:val="32"/>
      <w:lang w:val="en-US" w:eastAsia="zh-CN" w:bidi="ar-SA"/>
    </w:rPr>
  </w:style>
  <w:style w:type="character" w:customStyle="1" w:styleId="2244">
    <w:name w:val="条，(一) Char"/>
    <w:qFormat/>
    <w:uiPriority w:val="0"/>
    <w:rPr>
      <w:rFonts w:eastAsia="宋体"/>
      <w:b/>
      <w:bCs/>
      <w:color w:val="000000"/>
      <w:kern w:val="2"/>
      <w:sz w:val="24"/>
      <w:szCs w:val="28"/>
      <w:lang w:val="en-US" w:eastAsia="zh-CN" w:bidi="ar-SA"/>
    </w:rPr>
  </w:style>
  <w:style w:type="paragraph" w:customStyle="1" w:styleId="2245">
    <w:name w:val="条例"/>
    <w:basedOn w:val="1"/>
    <w:autoRedefine/>
    <w:uiPriority w:val="0"/>
    <w:pPr>
      <w:adjustRightInd/>
      <w:snapToGrid/>
      <w:spacing w:line="360" w:lineRule="auto"/>
      <w:ind w:firstLine="0" w:firstLineChars="0"/>
    </w:pPr>
    <w:rPr>
      <w:rFonts w:ascii="宋体" w:hAnsi="宋体" w:cs="宋体"/>
      <w:snapToGrid/>
      <w:kern w:val="2"/>
      <w:szCs w:val="20"/>
    </w:rPr>
  </w:style>
  <w:style w:type="paragraph" w:customStyle="1" w:styleId="2246">
    <w:name w:val="图"/>
    <w:basedOn w:val="1"/>
    <w:qFormat/>
    <w:uiPriority w:val="0"/>
    <w:pPr>
      <w:adjustRightInd/>
      <w:snapToGrid/>
      <w:spacing w:after="240" w:line="240" w:lineRule="auto"/>
      <w:ind w:firstLine="0" w:firstLineChars="0"/>
      <w:jc w:val="center"/>
      <w:outlineLvl w:val="0"/>
    </w:pPr>
    <w:rPr>
      <w:snapToGrid/>
      <w:kern w:val="2"/>
      <w:sz w:val="36"/>
      <w:szCs w:val="30"/>
    </w:rPr>
  </w:style>
  <w:style w:type="paragraph" w:customStyle="1" w:styleId="2247">
    <w:name w:val="图1"/>
    <w:basedOn w:val="1"/>
    <w:next w:val="1"/>
    <w:qFormat/>
    <w:uiPriority w:val="0"/>
    <w:pPr>
      <w:widowControl/>
      <w:tabs>
        <w:tab w:val="left" w:pos="777"/>
      </w:tabs>
      <w:adjustRightInd/>
      <w:snapToGrid/>
      <w:spacing w:beforeLines="50" w:afterLines="100" w:line="360" w:lineRule="auto"/>
      <w:ind w:left="2210" w:hanging="748" w:firstLineChars="0"/>
      <w:jc w:val="center"/>
    </w:pPr>
    <w:rPr>
      <w:rFonts w:ascii="宋体" w:hAnsi="宋体" w:cs="宋体"/>
      <w:snapToGrid/>
      <w:szCs w:val="28"/>
    </w:rPr>
  </w:style>
  <w:style w:type="paragraph" w:customStyle="1" w:styleId="2248">
    <w:name w:val="图标题"/>
    <w:basedOn w:val="1"/>
    <w:uiPriority w:val="0"/>
    <w:pPr>
      <w:snapToGrid/>
      <w:spacing w:after="240" w:line="240" w:lineRule="auto"/>
      <w:ind w:firstLine="0" w:firstLineChars="0"/>
      <w:jc w:val="center"/>
      <w:textAlignment w:val="baseline"/>
    </w:pPr>
    <w:rPr>
      <w:b/>
      <w:snapToGrid/>
      <w:sz w:val="28"/>
      <w:szCs w:val="20"/>
    </w:rPr>
  </w:style>
  <w:style w:type="paragraph" w:customStyle="1" w:styleId="2249">
    <w:name w:val="图表1"/>
    <w:next w:val="1"/>
    <w:qFormat/>
    <w:uiPriority w:val="0"/>
    <w:pPr>
      <w:spacing w:line="240" w:lineRule="atLeast"/>
      <w:jc w:val="center"/>
    </w:pPr>
    <w:rPr>
      <w:rFonts w:ascii="楷体_GB2312" w:hAnsi="Times New Roman" w:eastAsia="楷体_GB2312" w:cs="Times New Roman"/>
      <w:sz w:val="21"/>
      <w:lang w:val="en-US" w:eastAsia="zh-CN" w:bidi="ar-SA"/>
    </w:rPr>
  </w:style>
  <w:style w:type="paragraph" w:customStyle="1" w:styleId="2250">
    <w:name w:val="图表标题"/>
    <w:basedOn w:val="1"/>
    <w:uiPriority w:val="0"/>
    <w:pPr>
      <w:jc w:val="left"/>
    </w:pPr>
    <w:rPr>
      <w:b/>
    </w:rPr>
  </w:style>
  <w:style w:type="paragraph" w:customStyle="1" w:styleId="2251">
    <w:name w:val="图表号"/>
    <w:basedOn w:val="5"/>
    <w:qFormat/>
    <w:uiPriority w:val="0"/>
    <w:pPr>
      <w:numPr>
        <w:ilvl w:val="0"/>
        <w:numId w:val="0"/>
      </w:numPr>
      <w:adjustRightInd/>
      <w:snapToGrid/>
      <w:spacing w:before="60" w:after="60" w:line="500" w:lineRule="exact"/>
      <w:jc w:val="center"/>
    </w:pPr>
    <w:rPr>
      <w:rFonts w:eastAsia="黑体"/>
      <w:b w:val="0"/>
      <w:bCs/>
      <w:snapToGrid/>
      <w:szCs w:val="28"/>
    </w:rPr>
  </w:style>
  <w:style w:type="paragraph" w:customStyle="1" w:styleId="2252">
    <w:name w:val="图表脚注"/>
    <w:next w:val="5"/>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253">
    <w:name w:val="图表名"/>
    <w:basedOn w:val="1"/>
    <w:link w:val="2254"/>
    <w:uiPriority w:val="0"/>
    <w:pPr>
      <w:spacing w:beforeLines="30" w:afterLines="30" w:line="440" w:lineRule="exact"/>
      <w:ind w:firstLine="0" w:firstLineChars="0"/>
    </w:pPr>
    <w:rPr>
      <w:rFonts w:eastAsia="黑体"/>
      <w:snapToGrid/>
      <w:color w:val="000000"/>
      <w:kern w:val="2"/>
      <w:szCs w:val="22"/>
    </w:rPr>
  </w:style>
  <w:style w:type="character" w:customStyle="1" w:styleId="2254">
    <w:name w:val="图表名 Char"/>
    <w:link w:val="2253"/>
    <w:qFormat/>
    <w:uiPriority w:val="0"/>
    <w:rPr>
      <w:rFonts w:ascii="Times New Roman" w:hAnsi="Times New Roman" w:eastAsia="黑体" w:cs="Times New Roman"/>
      <w:color w:val="000000"/>
      <w:sz w:val="26"/>
      <w14:ligatures w14:val="none"/>
    </w:rPr>
  </w:style>
  <w:style w:type="paragraph" w:customStyle="1" w:styleId="2255">
    <w:name w:val="图表名称"/>
    <w:basedOn w:val="1"/>
    <w:link w:val="2256"/>
    <w:qFormat/>
    <w:uiPriority w:val="0"/>
    <w:pPr>
      <w:adjustRightInd/>
      <w:snapToGrid/>
      <w:spacing w:line="440" w:lineRule="exact"/>
      <w:ind w:firstLine="0" w:firstLineChars="0"/>
      <w:jc w:val="center"/>
    </w:pPr>
    <w:rPr>
      <w:rFonts w:eastAsia="黑体"/>
      <w:snapToGrid/>
      <w:kern w:val="2"/>
      <w:sz w:val="21"/>
      <w:szCs w:val="20"/>
    </w:rPr>
  </w:style>
  <w:style w:type="character" w:customStyle="1" w:styleId="2256">
    <w:name w:val="图表名称 Char"/>
    <w:link w:val="2255"/>
    <w:uiPriority w:val="0"/>
    <w:rPr>
      <w:rFonts w:ascii="Times New Roman" w:hAnsi="Times New Roman" w:eastAsia="黑体" w:cs="Times New Roman"/>
      <w:szCs w:val="20"/>
      <w14:ligatures w14:val="none"/>
    </w:rPr>
  </w:style>
  <w:style w:type="paragraph" w:customStyle="1" w:styleId="2257">
    <w:name w:val="图表目录1"/>
    <w:basedOn w:val="1"/>
    <w:next w:val="1"/>
    <w:qFormat/>
    <w:uiPriority w:val="0"/>
    <w:pPr>
      <w:spacing w:before="31"/>
      <w:ind w:left="520" w:hanging="520"/>
    </w:pPr>
    <w:rPr>
      <w:caps/>
      <w:szCs w:val="22"/>
    </w:rPr>
  </w:style>
  <w:style w:type="paragraph" w:customStyle="1" w:styleId="2258">
    <w:name w:val="图表内文"/>
    <w:basedOn w:val="1"/>
    <w:autoRedefine/>
    <w:qFormat/>
    <w:uiPriority w:val="0"/>
    <w:pPr>
      <w:adjustRightInd/>
      <w:snapToGrid/>
      <w:spacing w:line="360" w:lineRule="exact"/>
      <w:ind w:firstLine="0" w:firstLineChars="0"/>
      <w:jc w:val="center"/>
    </w:pPr>
    <w:rPr>
      <w:snapToGrid/>
      <w:kern w:val="2"/>
    </w:rPr>
  </w:style>
  <w:style w:type="paragraph" w:customStyle="1" w:styleId="2259">
    <w:name w:val="图表说明"/>
    <w:basedOn w:val="1"/>
    <w:qFormat/>
    <w:uiPriority w:val="0"/>
    <w:pPr>
      <w:tabs>
        <w:tab w:val="left" w:pos="5670"/>
      </w:tabs>
      <w:spacing w:line="360" w:lineRule="auto"/>
      <w:ind w:firstLine="9" w:firstLineChars="4"/>
      <w:jc w:val="center"/>
      <w:textAlignment w:val="baseline"/>
    </w:pPr>
    <w:rPr>
      <w:rFonts w:eastAsia="黑体"/>
      <w:snapToGrid/>
      <w:kern w:val="24"/>
      <w:sz w:val="21"/>
      <w:szCs w:val="21"/>
    </w:rPr>
  </w:style>
  <w:style w:type="paragraph" w:customStyle="1" w:styleId="2260">
    <w:name w:val="图表题"/>
    <w:basedOn w:val="1"/>
    <w:next w:val="1"/>
    <w:link w:val="2261"/>
    <w:qFormat/>
    <w:uiPriority w:val="0"/>
    <w:pPr>
      <w:adjustRightInd/>
      <w:snapToGrid/>
      <w:spacing w:line="360" w:lineRule="auto"/>
      <w:ind w:firstLine="0" w:firstLineChars="0"/>
      <w:jc w:val="center"/>
    </w:pPr>
    <w:rPr>
      <w:rFonts w:ascii="黑体" w:hAnsi="宋体" w:eastAsia="黑体"/>
      <w:b/>
      <w:bCs/>
      <w:snapToGrid/>
      <w:kern w:val="2"/>
    </w:rPr>
  </w:style>
  <w:style w:type="character" w:customStyle="1" w:styleId="2261">
    <w:name w:val="图表题 Char"/>
    <w:link w:val="2260"/>
    <w:uiPriority w:val="0"/>
    <w:rPr>
      <w:rFonts w:ascii="黑体" w:hAnsi="宋体" w:eastAsia="黑体" w:cs="Times New Roman"/>
      <w:b/>
      <w:bCs/>
      <w:sz w:val="26"/>
      <w:szCs w:val="24"/>
      <w14:ligatures w14:val="none"/>
    </w:rPr>
  </w:style>
  <w:style w:type="paragraph" w:customStyle="1" w:styleId="2262">
    <w:name w:val="图表头"/>
    <w:basedOn w:val="1"/>
    <w:qFormat/>
    <w:uiPriority w:val="0"/>
    <w:pPr>
      <w:spacing w:line="240" w:lineRule="auto"/>
      <w:ind w:firstLine="0" w:firstLineChars="0"/>
      <w:jc w:val="center"/>
      <w:textAlignment w:val="baseline"/>
    </w:pPr>
    <w:rPr>
      <w:b/>
      <w:snapToGrid/>
      <w:kern w:val="2"/>
      <w:sz w:val="21"/>
      <w:szCs w:val="21"/>
    </w:rPr>
  </w:style>
  <w:style w:type="character" w:customStyle="1" w:styleId="2263">
    <w:name w:val="图表头 Char"/>
    <w:qFormat/>
    <w:uiPriority w:val="0"/>
    <w:rPr>
      <w:rFonts w:ascii="宋体" w:hAnsi="宋体" w:eastAsia="宋体"/>
      <w:b/>
      <w:kern w:val="2"/>
      <w:sz w:val="24"/>
      <w:lang w:val="en-US" w:eastAsia="zh-CN"/>
    </w:rPr>
  </w:style>
  <w:style w:type="character" w:customStyle="1" w:styleId="2264">
    <w:name w:val="图表头 Char Char"/>
    <w:qFormat/>
    <w:uiPriority w:val="0"/>
    <w:rPr>
      <w:rFonts w:ascii="宋体" w:hAnsi="宋体" w:eastAsia="宋体"/>
      <w:b/>
      <w:kern w:val="2"/>
      <w:sz w:val="24"/>
      <w:lang w:val="en-US" w:eastAsia="zh-CN"/>
    </w:rPr>
  </w:style>
  <w:style w:type="character" w:customStyle="1" w:styleId="2265">
    <w:name w:val="图表头 Char1"/>
    <w:qFormat/>
    <w:uiPriority w:val="0"/>
    <w:rPr>
      <w:rFonts w:ascii="宋体" w:hAnsi="宋体" w:eastAsia="宋体" w:cs="宋体"/>
      <w:b/>
      <w:bCs/>
      <w:kern w:val="2"/>
      <w:sz w:val="24"/>
      <w:szCs w:val="24"/>
      <w:lang w:val="en-US" w:eastAsia="zh-CN"/>
    </w:rPr>
  </w:style>
  <w:style w:type="paragraph" w:customStyle="1" w:styleId="2266">
    <w:name w:val="图表头2"/>
    <w:basedOn w:val="2262"/>
    <w:qFormat/>
    <w:uiPriority w:val="0"/>
    <w:pPr>
      <w:adjustRightInd/>
      <w:snapToGrid/>
      <w:spacing w:beforeLines="50" w:line="360" w:lineRule="auto"/>
      <w:ind w:right="42" w:rightChars="20"/>
    </w:pPr>
    <w:rPr>
      <w:b w:val="0"/>
      <w:iCs/>
      <w:spacing w:val="5"/>
    </w:rPr>
  </w:style>
  <w:style w:type="paragraph" w:customStyle="1" w:styleId="2267">
    <w:name w:val="图表文字"/>
    <w:basedOn w:val="1"/>
    <w:next w:val="1"/>
    <w:qFormat/>
    <w:uiPriority w:val="0"/>
    <w:pPr>
      <w:spacing w:line="240" w:lineRule="auto"/>
      <w:ind w:firstLine="0" w:firstLineChars="0"/>
      <w:jc w:val="center"/>
    </w:pPr>
    <w:rPr>
      <w:rFonts w:eastAsia="仿宋_GB2312"/>
      <w:snapToGrid/>
      <w:kern w:val="2"/>
    </w:rPr>
  </w:style>
  <w:style w:type="paragraph" w:customStyle="1" w:styleId="2268">
    <w:name w:val="图表正文"/>
    <w:basedOn w:val="1"/>
    <w:qFormat/>
    <w:uiPriority w:val="0"/>
    <w:pPr>
      <w:spacing w:beforeLines="2" w:afterLines="2" w:line="320" w:lineRule="exact"/>
      <w:ind w:firstLine="0" w:firstLineChars="0"/>
      <w:jc w:val="center"/>
    </w:pPr>
    <w:rPr>
      <w:rFonts w:ascii="宋体" w:hAnsi="宋体"/>
      <w:snapToGrid/>
      <w:kern w:val="2"/>
      <w:sz w:val="21"/>
      <w:szCs w:val="22"/>
    </w:rPr>
  </w:style>
  <w:style w:type="paragraph" w:customStyle="1" w:styleId="2269">
    <w:name w:val="图表正文加粗"/>
    <w:basedOn w:val="1245"/>
    <w:next w:val="2268"/>
    <w:uiPriority w:val="0"/>
    <w:pPr>
      <w:spacing w:line="240" w:lineRule="auto"/>
      <w:jc w:val="both"/>
    </w:pPr>
    <w:rPr>
      <w:b/>
      <w:szCs w:val="24"/>
    </w:rPr>
  </w:style>
  <w:style w:type="paragraph" w:customStyle="1" w:styleId="2270">
    <w:name w:val="样式 图号"/>
    <w:basedOn w:val="1"/>
    <w:qFormat/>
    <w:uiPriority w:val="0"/>
    <w:pPr>
      <w:spacing w:line="360" w:lineRule="auto"/>
      <w:ind w:firstLine="1956" w:firstLineChars="0"/>
      <w:jc w:val="center"/>
      <w:textAlignment w:val="baseline"/>
    </w:pPr>
    <w:rPr>
      <w:sz w:val="21"/>
      <w:szCs w:val="20"/>
    </w:rPr>
  </w:style>
  <w:style w:type="paragraph" w:customStyle="1" w:styleId="2271">
    <w:name w:val="图号"/>
    <w:basedOn w:val="2270"/>
    <w:link w:val="2272"/>
    <w:qFormat/>
    <w:uiPriority w:val="0"/>
    <w:pPr>
      <w:ind w:firstLine="1711"/>
    </w:pPr>
  </w:style>
  <w:style w:type="character" w:customStyle="1" w:styleId="2272">
    <w:name w:val="图号 Char"/>
    <w:link w:val="2271"/>
    <w:qFormat/>
    <w:uiPriority w:val="0"/>
    <w:rPr>
      <w:rFonts w:ascii="Times New Roman" w:hAnsi="Times New Roman" w:eastAsia="宋体" w:cs="Times New Roman"/>
      <w:snapToGrid w:val="0"/>
      <w:kern w:val="0"/>
      <w:szCs w:val="20"/>
      <w14:ligatures w14:val="none"/>
    </w:rPr>
  </w:style>
  <w:style w:type="paragraph" w:customStyle="1" w:styleId="2273">
    <w:name w:val="图框文字"/>
    <w:basedOn w:val="1555"/>
    <w:qFormat/>
    <w:uiPriority w:val="0"/>
    <w:pPr>
      <w:widowControl/>
      <w:tabs>
        <w:tab w:val="left" w:pos="-24"/>
      </w:tabs>
      <w:adjustRightInd/>
      <w:snapToGrid/>
      <w:spacing w:line="0" w:lineRule="atLeast"/>
      <w:textAlignment w:val="baseline"/>
    </w:pPr>
    <w:rPr>
      <w:rFonts w:ascii="宋体" w:hAnsi="宋体" w:eastAsia="宋体"/>
      <w:color w:val="000000"/>
      <w:kern w:val="0"/>
      <w:sz w:val="21"/>
      <w:u w:color="000000"/>
    </w:rPr>
  </w:style>
  <w:style w:type="paragraph" w:customStyle="1" w:styleId="2274">
    <w:name w:val="图例"/>
    <w:qFormat/>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2275">
    <w:name w:val="图名"/>
    <w:basedOn w:val="1"/>
    <w:link w:val="2276"/>
    <w:autoRedefine/>
    <w:qFormat/>
    <w:uiPriority w:val="0"/>
    <w:pPr>
      <w:adjustRightInd/>
      <w:snapToGrid/>
      <w:spacing w:beforeLines="20" w:afterLines="20" w:line="300" w:lineRule="auto"/>
      <w:ind w:firstLine="480"/>
      <w:jc w:val="center"/>
    </w:pPr>
    <w:rPr>
      <w:bCs/>
      <w:snapToGrid/>
      <w:kern w:val="2"/>
    </w:rPr>
  </w:style>
  <w:style w:type="character" w:customStyle="1" w:styleId="2276">
    <w:name w:val="图名 Char"/>
    <w:link w:val="2275"/>
    <w:qFormat/>
    <w:uiPriority w:val="0"/>
    <w:rPr>
      <w:rFonts w:ascii="Times New Roman" w:hAnsi="Times New Roman" w:eastAsia="宋体" w:cs="Times New Roman"/>
      <w:bCs/>
      <w:sz w:val="26"/>
      <w:szCs w:val="24"/>
      <w14:ligatures w14:val="none"/>
    </w:rPr>
  </w:style>
  <w:style w:type="paragraph" w:customStyle="1" w:styleId="2277">
    <w:name w:val="图名称"/>
    <w:basedOn w:val="1"/>
    <w:semiHidden/>
    <w:uiPriority w:val="0"/>
    <w:pPr>
      <w:adjustRightInd/>
      <w:snapToGrid/>
      <w:spacing w:line="240" w:lineRule="auto"/>
      <w:ind w:firstLine="0" w:firstLineChars="0"/>
      <w:jc w:val="center"/>
    </w:pPr>
    <w:rPr>
      <w:rFonts w:ascii="宋体"/>
      <w:b/>
      <w:snapToGrid/>
      <w:spacing w:val="-3"/>
      <w:kern w:val="2"/>
      <w:szCs w:val="28"/>
    </w:rPr>
  </w:style>
  <w:style w:type="paragraph" w:customStyle="1" w:styleId="2278">
    <w:name w:val="图目"/>
    <w:basedOn w:val="1"/>
    <w:qFormat/>
    <w:uiPriority w:val="0"/>
    <w:pPr>
      <w:adjustRightInd/>
      <w:spacing w:beforeLines="50" w:line="440" w:lineRule="atLeast"/>
      <w:ind w:firstLine="0" w:firstLineChars="0"/>
      <w:jc w:val="center"/>
      <w:textAlignment w:val="baseline"/>
    </w:pPr>
    <w:rPr>
      <w:rFonts w:hint="eastAsia" w:ascii="仿宋_GB2312" w:hAnsi="Arial" w:eastAsia="仿宋_GB2312"/>
      <w:snapToGrid/>
      <w:spacing w:val="10"/>
      <w:position w:val="12"/>
      <w:sz w:val="28"/>
      <w:szCs w:val="20"/>
    </w:rPr>
  </w:style>
  <w:style w:type="paragraph" w:customStyle="1" w:styleId="2279">
    <w:name w:val="图目录"/>
    <w:basedOn w:val="1"/>
    <w:uiPriority w:val="0"/>
    <w:pPr>
      <w:spacing w:beforeLines="20" w:afterLines="20" w:line="360" w:lineRule="auto"/>
      <w:ind w:firstLine="624" w:firstLineChars="0"/>
      <w:jc w:val="center"/>
    </w:pPr>
    <w:rPr>
      <w:rFonts w:ascii="宋体"/>
      <w:snapToGrid/>
      <w:spacing w:val="14"/>
      <w:szCs w:val="20"/>
    </w:rPr>
  </w:style>
  <w:style w:type="paragraph" w:customStyle="1" w:styleId="2280">
    <w:name w:val="图片"/>
    <w:basedOn w:val="1"/>
    <w:qFormat/>
    <w:uiPriority w:val="0"/>
    <w:pPr>
      <w:wordWrap w:val="0"/>
      <w:topLinePunct/>
      <w:adjustRightInd/>
      <w:snapToGrid/>
      <w:spacing w:beforeLines="50" w:afterLines="50" w:line="240" w:lineRule="auto"/>
      <w:ind w:firstLine="400" w:firstLineChars="0"/>
      <w:jc w:val="center"/>
    </w:pPr>
    <w:rPr>
      <w:rFonts w:eastAsia="黑体"/>
      <w:b/>
      <w:bCs/>
      <w:snapToGrid/>
      <w:lang w:val="eu-ES"/>
    </w:rPr>
  </w:style>
  <w:style w:type="paragraph" w:customStyle="1" w:styleId="2281">
    <w:name w:val="图片名称"/>
    <w:basedOn w:val="2280"/>
    <w:qFormat/>
    <w:uiPriority w:val="0"/>
    <w:pPr>
      <w:spacing w:beforeLines="0" w:afterLines="0"/>
      <w:ind w:firstLine="0"/>
    </w:pPr>
    <w:rPr>
      <w:szCs w:val="21"/>
      <w:lang w:val="en-US"/>
    </w:rPr>
  </w:style>
  <w:style w:type="paragraph" w:customStyle="1" w:styleId="2282">
    <w:name w:val="图片文字"/>
    <w:basedOn w:val="1"/>
    <w:qFormat/>
    <w:uiPriority w:val="0"/>
    <w:pPr>
      <w:adjustRightInd/>
      <w:snapToGrid/>
      <w:spacing w:line="240" w:lineRule="auto"/>
      <w:ind w:firstLine="0" w:firstLineChars="0"/>
      <w:jc w:val="center"/>
    </w:pPr>
    <w:rPr>
      <w:snapToGrid/>
      <w:color w:val="000000"/>
      <w:kern w:val="2"/>
      <w:sz w:val="21"/>
    </w:rPr>
  </w:style>
  <w:style w:type="paragraph" w:customStyle="1" w:styleId="2283">
    <w:name w:val="图题"/>
    <w:basedOn w:val="1"/>
    <w:next w:val="1774"/>
    <w:link w:val="2284"/>
    <w:uiPriority w:val="0"/>
    <w:pPr>
      <w:adjustRightInd/>
      <w:snapToGrid/>
      <w:spacing w:beforeLines="50" w:line="400" w:lineRule="atLeast"/>
      <w:ind w:firstLine="0" w:firstLineChars="0"/>
      <w:jc w:val="center"/>
    </w:pPr>
    <w:rPr>
      <w:rFonts w:ascii="黑体" w:eastAsia="黑体"/>
      <w:snapToGrid/>
      <w:kern w:val="2"/>
      <w:sz w:val="21"/>
      <w:szCs w:val="21"/>
    </w:rPr>
  </w:style>
  <w:style w:type="character" w:customStyle="1" w:styleId="2284">
    <w:name w:val="图题 Char"/>
    <w:link w:val="2283"/>
    <w:qFormat/>
    <w:uiPriority w:val="0"/>
    <w:rPr>
      <w:rFonts w:ascii="黑体" w:hAnsi="Times New Roman" w:eastAsia="黑体" w:cs="Times New Roman"/>
      <w:szCs w:val="21"/>
      <w14:ligatures w14:val="none"/>
    </w:rPr>
  </w:style>
  <w:style w:type="character" w:customStyle="1" w:styleId="2285">
    <w:name w:val="图题 Char Char"/>
    <w:qFormat/>
    <w:uiPriority w:val="0"/>
    <w:rPr>
      <w:rFonts w:ascii="黑体" w:eastAsia="黑体"/>
      <w:szCs w:val="21"/>
    </w:rPr>
  </w:style>
  <w:style w:type="paragraph" w:customStyle="1" w:styleId="2286">
    <w:name w:val="图头"/>
    <w:basedOn w:val="1"/>
    <w:qFormat/>
    <w:uiPriority w:val="0"/>
    <w:pPr>
      <w:adjustRightInd/>
      <w:snapToGrid/>
      <w:spacing w:afterLines="50" w:line="480" w:lineRule="exact"/>
      <w:ind w:firstLine="0" w:firstLineChars="0"/>
      <w:jc w:val="center"/>
    </w:pPr>
    <w:rPr>
      <w:rFonts w:ascii="宋体"/>
      <w:b/>
      <w:bCs/>
      <w:snapToGrid/>
      <w:kern w:val="2"/>
    </w:rPr>
  </w:style>
  <w:style w:type="paragraph" w:customStyle="1" w:styleId="2287">
    <w:name w:val="图像"/>
    <w:basedOn w:val="2275"/>
    <w:uiPriority w:val="0"/>
    <w:pPr>
      <w:adjustRightInd w:val="0"/>
      <w:snapToGrid w:val="0"/>
      <w:spacing w:beforeLines="100" w:afterLines="0" w:line="240" w:lineRule="auto"/>
      <w:ind w:firstLine="0" w:firstLineChars="0"/>
    </w:pPr>
    <w:rPr>
      <w:bCs w:val="0"/>
      <w:sz w:val="22"/>
      <w:szCs w:val="22"/>
    </w:rPr>
  </w:style>
  <w:style w:type="paragraph" w:customStyle="1" w:styleId="2288">
    <w:name w:val="图形中文字"/>
    <w:basedOn w:val="1"/>
    <w:qFormat/>
    <w:uiPriority w:val="0"/>
    <w:pPr>
      <w:autoSpaceDE w:val="0"/>
      <w:autoSpaceDN w:val="0"/>
      <w:spacing w:line="240" w:lineRule="auto"/>
      <w:ind w:firstLine="0" w:firstLineChars="0"/>
      <w:jc w:val="center"/>
    </w:pPr>
    <w:rPr>
      <w:rFonts w:ascii="宋体" w:hAnsi="Tms Rmn"/>
      <w:snapToGrid/>
      <w:szCs w:val="20"/>
    </w:rPr>
  </w:style>
  <w:style w:type="paragraph" w:customStyle="1" w:styleId="2289">
    <w:name w:val="图正文"/>
    <w:basedOn w:val="1"/>
    <w:uiPriority w:val="0"/>
    <w:pPr>
      <w:snapToGrid/>
      <w:spacing w:line="240" w:lineRule="auto"/>
      <w:ind w:firstLine="0" w:firstLineChars="0"/>
      <w:jc w:val="center"/>
      <w:textAlignment w:val="baseline"/>
    </w:pPr>
    <w:rPr>
      <w:rFonts w:ascii="宋体"/>
      <w:snapToGrid/>
      <w:kern w:val="2"/>
      <w:szCs w:val="20"/>
    </w:rPr>
  </w:style>
  <w:style w:type="paragraph" w:customStyle="1" w:styleId="2290">
    <w:name w:val="图注"/>
    <w:basedOn w:val="1"/>
    <w:next w:val="45"/>
    <w:uiPriority w:val="0"/>
    <w:pPr>
      <w:adjustRightInd/>
      <w:spacing w:line="360" w:lineRule="auto"/>
      <w:ind w:left="280" w:firstLine="590"/>
      <w:jc w:val="right"/>
    </w:pPr>
    <w:rPr>
      <w:rFonts w:ascii="宋体" w:hAnsi="Courier New"/>
      <w:snapToGrid/>
      <w:kern w:val="2"/>
      <w:szCs w:val="20"/>
    </w:rPr>
  </w:style>
  <w:style w:type="paragraph" w:customStyle="1" w:styleId="2291">
    <w:name w:val="王 标题二  章"/>
    <w:basedOn w:val="1"/>
    <w:autoRedefine/>
    <w:semiHidden/>
    <w:qFormat/>
    <w:uiPriority w:val="0"/>
    <w:pPr>
      <w:adjustRightInd/>
      <w:snapToGrid/>
      <w:spacing w:line="560" w:lineRule="exact"/>
      <w:ind w:firstLine="0" w:firstLineChars="0"/>
      <w:jc w:val="center"/>
    </w:pPr>
    <w:rPr>
      <w:rFonts w:ascii="宋体"/>
      <w:snapToGrid/>
      <w:kern w:val="2"/>
      <w:sz w:val="44"/>
    </w:rPr>
  </w:style>
  <w:style w:type="paragraph" w:customStyle="1" w:styleId="2292">
    <w:name w:val="王 标题三 一、"/>
    <w:basedOn w:val="1"/>
    <w:autoRedefine/>
    <w:semiHidden/>
    <w:qFormat/>
    <w:uiPriority w:val="0"/>
    <w:pPr>
      <w:adjustRightInd/>
      <w:snapToGrid/>
      <w:spacing w:line="240" w:lineRule="auto"/>
      <w:ind w:firstLine="560"/>
      <w:outlineLvl w:val="0"/>
    </w:pPr>
    <w:rPr>
      <w:rFonts w:ascii="楷体_GB2312" w:eastAsia="楷体_GB2312"/>
      <w:b/>
      <w:bCs/>
      <w:snapToGrid/>
      <w:kern w:val="2"/>
    </w:rPr>
  </w:style>
  <w:style w:type="paragraph" w:customStyle="1" w:styleId="2293">
    <w:name w:val="样式2"/>
    <w:basedOn w:val="1312"/>
    <w:link w:val="2294"/>
    <w:qFormat/>
    <w:uiPriority w:val="0"/>
    <w:pPr>
      <w:spacing w:beforeLines="50"/>
      <w:ind w:firstLine="0" w:firstLineChars="0"/>
      <w:jc w:val="center"/>
      <w:outlineLvl w:val="4"/>
    </w:pPr>
  </w:style>
  <w:style w:type="character" w:customStyle="1" w:styleId="2294">
    <w:name w:val="样式2 Char Char"/>
    <w:link w:val="2293"/>
    <w:qFormat/>
    <w:uiPriority w:val="0"/>
    <w:rPr>
      <w:rFonts w:ascii="Times New Roman" w:hAnsi="Times New Roman" w:eastAsia="宋体" w:cs="Times New Roman"/>
      <w:sz w:val="26"/>
      <w:szCs w:val="26"/>
      <w14:ligatures w14:val="none"/>
    </w:rPr>
  </w:style>
  <w:style w:type="paragraph" w:customStyle="1" w:styleId="2295">
    <w:name w:val="王 标题四（一）"/>
    <w:basedOn w:val="2293"/>
    <w:autoRedefine/>
    <w:semiHidden/>
    <w:qFormat/>
    <w:uiPriority w:val="0"/>
    <w:pPr>
      <w:tabs>
        <w:tab w:val="left" w:pos="5320"/>
      </w:tabs>
      <w:adjustRightInd/>
      <w:snapToGrid/>
      <w:spacing w:beforeLines="0" w:line="240" w:lineRule="auto"/>
      <w:ind w:firstLine="560" w:firstLineChars="200"/>
      <w:jc w:val="both"/>
      <w:outlineLvl w:val="1"/>
    </w:pPr>
    <w:rPr>
      <w:rFonts w:ascii="宋体" w:hAnsi="宋体"/>
      <w:b/>
      <w:bCs/>
      <w:sz w:val="24"/>
      <w:szCs w:val="24"/>
    </w:rPr>
  </w:style>
  <w:style w:type="paragraph" w:customStyle="1" w:styleId="2296">
    <w:name w:val="王 正文 四宋"/>
    <w:basedOn w:val="1"/>
    <w:link w:val="2297"/>
    <w:autoRedefine/>
    <w:qFormat/>
    <w:uiPriority w:val="0"/>
    <w:pPr>
      <w:adjustRightInd/>
      <w:snapToGrid/>
      <w:spacing w:line="360" w:lineRule="auto"/>
      <w:ind w:firstLine="560"/>
    </w:pPr>
    <w:rPr>
      <w:snapToGrid/>
      <w:color w:val="FF0000"/>
      <w:kern w:val="2"/>
      <w:sz w:val="28"/>
      <w:szCs w:val="28"/>
    </w:rPr>
  </w:style>
  <w:style w:type="character" w:customStyle="1" w:styleId="2297">
    <w:name w:val="王 正文 四宋 Char"/>
    <w:link w:val="2296"/>
    <w:qFormat/>
    <w:uiPriority w:val="0"/>
    <w:rPr>
      <w:rFonts w:ascii="Times New Roman" w:hAnsi="Times New Roman" w:eastAsia="宋体" w:cs="Times New Roman"/>
      <w:color w:val="FF0000"/>
      <w:sz w:val="28"/>
      <w:szCs w:val="28"/>
      <w14:ligatures w14:val="none"/>
    </w:rPr>
  </w:style>
  <w:style w:type="paragraph" w:customStyle="1" w:styleId="2298">
    <w:name w:val="王 表单位五宋"/>
    <w:basedOn w:val="2296"/>
    <w:autoRedefine/>
    <w:semiHidden/>
    <w:uiPriority w:val="0"/>
    <w:pPr>
      <w:spacing w:line="240" w:lineRule="auto"/>
      <w:ind w:firstLine="0" w:firstLineChars="0"/>
      <w:jc w:val="right"/>
    </w:pPr>
    <w:rPr>
      <w:rFonts w:ascii="宋体"/>
      <w:color w:val="auto"/>
      <w:kern w:val="0"/>
      <w:sz w:val="21"/>
      <w:szCs w:val="24"/>
    </w:rPr>
  </w:style>
  <w:style w:type="paragraph" w:customStyle="1" w:styleId="2299">
    <w:name w:val="王 表格，五宋"/>
    <w:autoRedefine/>
    <w:semiHidden/>
    <w:qFormat/>
    <w:uiPriority w:val="0"/>
    <w:pPr>
      <w:widowControl w:val="0"/>
      <w:adjustRightInd w:val="0"/>
      <w:spacing w:line="240" w:lineRule="atLeast"/>
      <w:jc w:val="center"/>
    </w:pPr>
    <w:rPr>
      <w:rFonts w:ascii="Times New Roman" w:hAnsi="Times New Roman" w:eastAsia="宋体" w:cs="Times New Roman"/>
      <w:color w:val="000000"/>
      <w:sz w:val="21"/>
      <w:szCs w:val="21"/>
      <w:lang w:val="en-US" w:eastAsia="zh-CN" w:bidi="ar-SA"/>
    </w:rPr>
  </w:style>
  <w:style w:type="paragraph" w:customStyle="1" w:styleId="2300">
    <w:name w:val="王 表名四黑"/>
    <w:basedOn w:val="1"/>
    <w:link w:val="2301"/>
    <w:autoRedefine/>
    <w:semiHidden/>
    <w:qFormat/>
    <w:uiPriority w:val="0"/>
    <w:pPr>
      <w:adjustRightInd/>
      <w:snapToGrid/>
      <w:spacing w:line="240" w:lineRule="auto"/>
      <w:ind w:firstLine="0" w:firstLineChars="0"/>
      <w:jc w:val="center"/>
    </w:pPr>
    <w:rPr>
      <w:rFonts w:eastAsia="黑体"/>
      <w:bCs/>
      <w:snapToGrid/>
      <w:kern w:val="2"/>
      <w:szCs w:val="21"/>
    </w:rPr>
  </w:style>
  <w:style w:type="character" w:customStyle="1" w:styleId="2301">
    <w:name w:val="王 表名四黑 Char"/>
    <w:link w:val="2300"/>
    <w:semiHidden/>
    <w:qFormat/>
    <w:uiPriority w:val="0"/>
    <w:rPr>
      <w:rFonts w:ascii="Times New Roman" w:hAnsi="Times New Roman" w:eastAsia="黑体" w:cs="Times New Roman"/>
      <w:bCs/>
      <w:sz w:val="26"/>
      <w:szCs w:val="21"/>
      <w14:ligatures w14:val="none"/>
    </w:rPr>
  </w:style>
  <w:style w:type="paragraph" w:customStyle="1" w:styleId="2302">
    <w:name w:val="王 表头"/>
    <w:basedOn w:val="1"/>
    <w:qFormat/>
    <w:uiPriority w:val="0"/>
    <w:pPr>
      <w:adjustRightInd/>
      <w:snapToGrid/>
      <w:spacing w:line="240" w:lineRule="auto"/>
      <w:ind w:firstLine="0" w:firstLineChars="0"/>
      <w:jc w:val="center"/>
    </w:pPr>
    <w:rPr>
      <w:rFonts w:eastAsia="黑体"/>
      <w:snapToGrid/>
      <w:kern w:val="2"/>
      <w:sz w:val="28"/>
      <w:szCs w:val="28"/>
    </w:rPr>
  </w:style>
  <w:style w:type="paragraph" w:customStyle="1" w:styleId="2303">
    <w:name w:val="王表格，五宋"/>
    <w:basedOn w:val="1"/>
    <w:semiHidden/>
    <w:qFormat/>
    <w:uiPriority w:val="0"/>
    <w:pPr>
      <w:adjustRightInd/>
      <w:spacing w:line="240" w:lineRule="auto"/>
      <w:ind w:firstLine="0" w:firstLineChars="0"/>
    </w:pPr>
    <w:rPr>
      <w:sz w:val="18"/>
      <w:szCs w:val="20"/>
    </w:rPr>
  </w:style>
  <w:style w:type="paragraph" w:customStyle="1" w:styleId="2304">
    <w:name w:val="王迪正文"/>
    <w:basedOn w:val="1"/>
    <w:qFormat/>
    <w:uiPriority w:val="0"/>
    <w:pPr>
      <w:adjustRightInd/>
      <w:snapToGrid/>
      <w:spacing w:line="360" w:lineRule="auto"/>
      <w:ind w:firstLine="480"/>
    </w:pPr>
    <w:rPr>
      <w:rFonts w:ascii="宋体" w:hAnsi="宋体" w:cs="宋体"/>
      <w:snapToGrid/>
      <w:kern w:val="2"/>
      <w:szCs w:val="20"/>
    </w:rPr>
  </w:style>
  <w:style w:type="paragraph" w:customStyle="1" w:styleId="2305">
    <w:name w:val="王志臣"/>
    <w:basedOn w:val="1"/>
    <w:uiPriority w:val="0"/>
    <w:pPr>
      <w:adjustRightInd/>
      <w:snapToGrid/>
      <w:spacing w:line="500" w:lineRule="exact"/>
      <w:ind w:firstLine="556" w:firstLineChars="0"/>
    </w:pPr>
    <w:rPr>
      <w:rFonts w:ascii="楷体_GB2312" w:eastAsia="楷体_GB2312"/>
      <w:snapToGrid/>
      <w:kern w:val="2"/>
      <w:sz w:val="28"/>
      <w:szCs w:val="20"/>
    </w:rPr>
  </w:style>
  <w:style w:type="table" w:customStyle="1" w:styleId="2306">
    <w:name w:val="网格型 1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07">
    <w:name w:val="网格型 1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08">
    <w:name w:val="网格型 21"/>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insideH w:val="single" w:color="000000" w:sz="6" w:space="0"/>
        <w:insideV w:val="single" w:color="000000" w:sz="6" w:space="0"/>
      </w:tblBorders>
    </w:tbl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2309">
    <w:name w:val="网格型 2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insideH w:val="single" w:color="000000" w:sz="6" w:space="0"/>
        <w:insideV w:val="single" w:color="000000" w:sz="6" w:space="0"/>
      </w:tblBorders>
    </w:tbl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2310">
    <w:name w:val="网格型 3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11">
    <w:name w:val="网格型 3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12">
    <w:name w:val="网格型 41"/>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left w:val="single" w:color="000000" w:sz="12" w:space="0"/>
        <w:right w:val="single" w:color="000000" w:sz="12" w:space="0"/>
        <w:insideH w:val="single" w:color="000000" w:sz="6" w:space="0"/>
        <w:insideV w:val="single" w:color="000000" w:sz="6" w:space="0"/>
      </w:tblBorders>
    </w:tbl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2313">
    <w:name w:val="网格型 4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left w:val="single" w:color="000000" w:sz="12" w:space="0"/>
        <w:right w:val="single" w:color="000000" w:sz="12" w:space="0"/>
        <w:insideH w:val="single" w:color="000000" w:sz="6" w:space="0"/>
        <w:insideV w:val="single" w:color="000000" w:sz="6" w:space="0"/>
      </w:tblBorders>
    </w:tbl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2314">
    <w:name w:val="网格型 5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15">
    <w:name w:val="网格型 5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16">
    <w:name w:val="网格型 6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2317">
    <w:name w:val="网格型 6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2318">
    <w:name w:val="网格型 7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319">
    <w:name w:val="网格型 7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320">
    <w:name w:val="网格型 8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321">
    <w:name w:val="网格型 8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322">
    <w:name w:val="网格型11"/>
    <w:basedOn w:val="8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网格型2"/>
    <w:basedOn w:val="88"/>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网格型21"/>
    <w:basedOn w:val="88"/>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网格型3"/>
    <w:basedOn w:val="8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6">
    <w:name w:val="网格型4"/>
    <w:basedOn w:val="8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7">
    <w:name w:val="网格型5"/>
    <w:basedOn w:val="88"/>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8">
    <w:name w:val="网页型 1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cPr>
        <w:tcBorders>
          <w:tl2br w:val="nil"/>
          <w:tr2bl w:val="nil"/>
        </w:tcBorders>
      </w:tcPr>
    </w:tblStylePr>
  </w:style>
  <w:style w:type="table" w:customStyle="1" w:styleId="2329">
    <w:name w:val="网页型 12"/>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cPr>
        <w:tcBorders>
          <w:tl2br w:val="nil"/>
          <w:tr2bl w:val="nil"/>
        </w:tcBorders>
      </w:tcPr>
    </w:tblStylePr>
  </w:style>
  <w:style w:type="table" w:customStyle="1" w:styleId="2330">
    <w:name w:val="网页型 21"/>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cPr>
        <w:tcBorders>
          <w:tl2br w:val="nil"/>
          <w:tr2bl w:val="nil"/>
        </w:tcBorders>
      </w:tcPr>
    </w:tblStylePr>
  </w:style>
  <w:style w:type="table" w:customStyle="1" w:styleId="2331">
    <w:name w:val="网页型 2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cPr>
        <w:tcBorders>
          <w:tl2br w:val="nil"/>
          <w:tr2bl w:val="nil"/>
        </w:tcBorders>
      </w:tcPr>
    </w:tblStylePr>
  </w:style>
  <w:style w:type="table" w:customStyle="1" w:styleId="2332">
    <w:name w:val="网页型 31"/>
    <w:basedOn w:val="88"/>
    <w:semiHidden/>
    <w:unhideWhenUsed/>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cPr>
        <w:tcBorders>
          <w:tl2br w:val="nil"/>
          <w:tr2bl w:val="nil"/>
        </w:tcBorders>
      </w:tcPr>
    </w:tblStylePr>
  </w:style>
  <w:style w:type="table" w:customStyle="1" w:styleId="2333">
    <w:name w:val="网页型 32"/>
    <w:basedOn w:val="88"/>
    <w:semiHidden/>
    <w:unhideWhenUsed/>
    <w:qFormat/>
    <w:uiPriority w:val="0"/>
    <w:pPr>
      <w:widowControl w:val="0"/>
      <w:adjustRightInd w:val="0"/>
      <w:snapToGrid w:val="0"/>
      <w:spacing w:beforeLines="10" w:line="460" w:lineRule="exact"/>
      <w:ind w:firstLine="200" w:firstLineChars="200"/>
      <w:jc w:val="both"/>
    </w:pPr>
    <w:rPr>
      <w:rFonts w:ascii="Times New Roman" w:hAnsi="Times New Roman" w:eastAsia="宋体" w:cs="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cPr>
        <w:tcBorders>
          <w:tl2br w:val="nil"/>
          <w:tr2bl w:val="nil"/>
        </w:tcBorders>
      </w:tcPr>
    </w:tblStylePr>
  </w:style>
  <w:style w:type="character" w:customStyle="1" w:styleId="2334">
    <w:name w:val="尾注文本 字符"/>
    <w:qFormat/>
    <w:uiPriority w:val="0"/>
    <w:rPr>
      <w:snapToGrid w:val="0"/>
      <w:sz w:val="24"/>
      <w:szCs w:val="24"/>
    </w:rPr>
  </w:style>
  <w:style w:type="character" w:customStyle="1" w:styleId="2335">
    <w:name w:val="尾注文本 字符3"/>
    <w:link w:val="52"/>
    <w:qFormat/>
    <w:uiPriority w:val="0"/>
    <w:rPr>
      <w:rFonts w:ascii="Times New Roman" w:hAnsi="Times New Roman" w:eastAsia="宋体" w:cs="Times New Roman"/>
      <w:szCs w:val="24"/>
      <w14:ligatures w14:val="none"/>
    </w:rPr>
  </w:style>
  <w:style w:type="character" w:customStyle="1" w:styleId="2336">
    <w:name w:val="尾注文本 Char Char"/>
    <w:qFormat/>
    <w:uiPriority w:val="0"/>
    <w:rPr>
      <w:rFonts w:hAnsi="宋体"/>
      <w:sz w:val="24"/>
      <w:lang w:val="en-US" w:eastAsia="zh-CN"/>
    </w:rPr>
  </w:style>
  <w:style w:type="character" w:customStyle="1" w:styleId="2337">
    <w:name w:val="尾注文本 字符1"/>
    <w:semiHidden/>
    <w:uiPriority w:val="0"/>
    <w:rPr>
      <w:sz w:val="24"/>
      <w:szCs w:val="24"/>
    </w:rPr>
  </w:style>
  <w:style w:type="character" w:customStyle="1" w:styleId="2338">
    <w:name w:val="尾注文本 字符2"/>
    <w:semiHidden/>
    <w:qFormat/>
    <w:locked/>
    <w:uiPriority w:val="0"/>
    <w:rPr>
      <w:kern w:val="2"/>
      <w:sz w:val="21"/>
      <w:szCs w:val="24"/>
    </w:rPr>
  </w:style>
  <w:style w:type="character" w:customStyle="1" w:styleId="2339">
    <w:name w:val="未处理的提及1"/>
    <w:semiHidden/>
    <w:unhideWhenUsed/>
    <w:qFormat/>
    <w:uiPriority w:val="99"/>
    <w:rPr>
      <w:color w:val="808080"/>
      <w:shd w:val="clear" w:color="auto" w:fill="E6E6E6"/>
    </w:rPr>
  </w:style>
  <w:style w:type="paragraph" w:customStyle="1" w:styleId="2340">
    <w:name w:val="文"/>
    <w:basedOn w:val="1"/>
    <w:qFormat/>
    <w:uiPriority w:val="0"/>
    <w:pPr>
      <w:autoSpaceDE w:val="0"/>
      <w:autoSpaceDN w:val="0"/>
      <w:spacing w:line="447" w:lineRule="atLeast"/>
      <w:ind w:firstLine="419"/>
    </w:pPr>
    <w:rPr>
      <w:color w:val="000000"/>
      <w:lang w:val="zh-CN"/>
    </w:rPr>
  </w:style>
  <w:style w:type="character" w:customStyle="1" w:styleId="2341">
    <w:name w:val="文本 Char Char"/>
    <w:qFormat/>
    <w:uiPriority w:val="0"/>
    <w:rPr>
      <w:rFonts w:ascii="宋体" w:eastAsia="宋体"/>
      <w:kern w:val="2"/>
      <w:sz w:val="21"/>
      <w:lang w:val="en-US" w:eastAsia="zh-CN" w:bidi="ar-SA"/>
    </w:rPr>
  </w:style>
  <w:style w:type="character" w:customStyle="1" w:styleId="2342">
    <w:name w:val="文本 Char"/>
    <w:qFormat/>
    <w:uiPriority w:val="0"/>
    <w:rPr>
      <w:rFonts w:ascii="宋体" w:hAnsi="Courier New" w:eastAsia="宋体" w:cs="Courier New"/>
      <w:kern w:val="2"/>
      <w:sz w:val="21"/>
      <w:szCs w:val="21"/>
      <w:lang w:val="en-US" w:eastAsia="zh-CN" w:bidi="ar-SA"/>
    </w:rPr>
  </w:style>
  <w:style w:type="paragraph" w:customStyle="1" w:styleId="2343">
    <w:name w:val="文本块1"/>
    <w:basedOn w:val="1"/>
    <w:qFormat/>
    <w:uiPriority w:val="0"/>
    <w:pPr>
      <w:spacing w:before="31" w:after="120"/>
      <w:ind w:left="1440" w:leftChars="700" w:right="1440" w:rightChars="700"/>
    </w:pPr>
    <w:rPr>
      <w:szCs w:val="22"/>
    </w:rPr>
  </w:style>
  <w:style w:type="paragraph" w:customStyle="1" w:styleId="2344">
    <w:name w:val="文本框"/>
    <w:basedOn w:val="1"/>
    <w:qFormat/>
    <w:uiPriority w:val="0"/>
    <w:pPr>
      <w:spacing w:after="6" w:line="240" w:lineRule="auto"/>
      <w:ind w:firstLine="0" w:firstLineChars="0"/>
      <w:jc w:val="center"/>
    </w:pPr>
    <w:rPr>
      <w:rFonts w:eastAsia="仿宋_GB2312"/>
      <w:snapToGrid/>
      <w:kern w:val="2"/>
      <w:sz w:val="21"/>
      <w:szCs w:val="22"/>
    </w:rPr>
  </w:style>
  <w:style w:type="paragraph" w:customStyle="1" w:styleId="2345">
    <w:name w:val="文本框内文字"/>
    <w:basedOn w:val="1"/>
    <w:uiPriority w:val="0"/>
    <w:pPr>
      <w:spacing w:line="240" w:lineRule="exact"/>
      <w:ind w:left="-120" w:leftChars="-50" w:right="-120" w:rightChars="-50" w:firstLine="0" w:firstLineChars="0"/>
      <w:jc w:val="center"/>
    </w:pPr>
    <w:rPr>
      <w:rFonts w:ascii="仿宋_GB2312" w:eastAsia="仿宋_GB2312"/>
      <w:snapToGrid/>
      <w:kern w:val="2"/>
      <w:szCs w:val="22"/>
    </w:rPr>
  </w:style>
  <w:style w:type="paragraph" w:customStyle="1" w:styleId="2346">
    <w:name w:val="文本框文字"/>
    <w:basedOn w:val="1"/>
    <w:next w:val="1"/>
    <w:link w:val="2347"/>
    <w:qFormat/>
    <w:uiPriority w:val="0"/>
    <w:pPr>
      <w:spacing w:after="20" w:line="320" w:lineRule="exact"/>
      <w:ind w:firstLine="0" w:firstLineChars="0"/>
      <w:jc w:val="center"/>
    </w:pPr>
    <w:rPr>
      <w:snapToGrid/>
      <w:kern w:val="2"/>
      <w:sz w:val="21"/>
    </w:rPr>
  </w:style>
  <w:style w:type="character" w:customStyle="1" w:styleId="2347">
    <w:name w:val="文本框文字 Char"/>
    <w:link w:val="2346"/>
    <w:qFormat/>
    <w:locked/>
    <w:uiPriority w:val="0"/>
    <w:rPr>
      <w:rFonts w:ascii="Times New Roman" w:hAnsi="Times New Roman" w:eastAsia="宋体" w:cs="Times New Roman"/>
      <w:szCs w:val="24"/>
      <w14:ligatures w14:val="none"/>
    </w:rPr>
  </w:style>
  <w:style w:type="character" w:customStyle="1" w:styleId="2348">
    <w:name w:val="文本框文字 Char Char"/>
    <w:qFormat/>
    <w:uiPriority w:val="0"/>
    <w:rPr>
      <w:rFonts w:eastAsia="宋体"/>
      <w:sz w:val="22"/>
      <w:szCs w:val="22"/>
      <w:lang w:val="en-US" w:eastAsia="zh-CN" w:bidi="ar-SA"/>
    </w:rPr>
  </w:style>
  <w:style w:type="character" w:customStyle="1" w:styleId="2349">
    <w:name w:val="文本条款 Char Char Char Char Char Char Char Char"/>
    <w:qFormat/>
    <w:uiPriority w:val="0"/>
    <w:rPr>
      <w:rFonts w:eastAsia="仿宋_GB2312"/>
      <w:kern w:val="2"/>
      <w:sz w:val="28"/>
      <w:szCs w:val="24"/>
      <w:lang w:val="en-US" w:eastAsia="zh-CN" w:bidi="ar-SA"/>
    </w:rPr>
  </w:style>
  <w:style w:type="character" w:customStyle="1" w:styleId="2350">
    <w:name w:val="文本条款 Char4"/>
    <w:qFormat/>
    <w:uiPriority w:val="0"/>
    <w:rPr>
      <w:rFonts w:ascii="Times New Roman" w:hAnsi="Times New Roman" w:eastAsia="宋体" w:cs="Times New Roman"/>
      <w:szCs w:val="20"/>
    </w:rPr>
  </w:style>
  <w:style w:type="paragraph" w:customStyle="1" w:styleId="2351">
    <w:name w:val="文本正文"/>
    <w:basedOn w:val="1"/>
    <w:link w:val="2352"/>
    <w:qFormat/>
    <w:uiPriority w:val="0"/>
    <w:pPr>
      <w:adjustRightInd/>
      <w:spacing w:line="240" w:lineRule="auto"/>
      <w:ind w:right="844" w:firstLine="0" w:firstLineChars="0"/>
      <w:jc w:val="right"/>
    </w:pPr>
    <w:rPr>
      <w:bCs/>
      <w:snapToGrid/>
      <w:color w:val="000000"/>
      <w:sz w:val="28"/>
      <w:szCs w:val="28"/>
    </w:rPr>
  </w:style>
  <w:style w:type="character" w:customStyle="1" w:styleId="2352">
    <w:name w:val="文本正文 Char Char"/>
    <w:link w:val="2351"/>
    <w:qFormat/>
    <w:uiPriority w:val="0"/>
    <w:rPr>
      <w:rFonts w:ascii="Times New Roman" w:hAnsi="Times New Roman" w:eastAsia="宋体" w:cs="Times New Roman"/>
      <w:bCs/>
      <w:color w:val="000000"/>
      <w:kern w:val="0"/>
      <w:sz w:val="28"/>
      <w:szCs w:val="28"/>
      <w14:ligatures w14:val="none"/>
    </w:rPr>
  </w:style>
  <w:style w:type="paragraph" w:customStyle="1" w:styleId="2353">
    <w:name w:val="文本正文 + 红色"/>
    <w:basedOn w:val="1"/>
    <w:link w:val="2354"/>
    <w:qFormat/>
    <w:uiPriority w:val="0"/>
    <w:pPr>
      <w:adjustRightInd/>
      <w:snapToGrid/>
      <w:spacing w:line="360" w:lineRule="auto"/>
      <w:ind w:firstLine="480"/>
    </w:pPr>
    <w:rPr>
      <w:rFonts w:cs="宋体"/>
      <w:bCs/>
      <w:snapToGrid/>
      <w:color w:val="FF0000"/>
    </w:rPr>
  </w:style>
  <w:style w:type="character" w:customStyle="1" w:styleId="2354">
    <w:name w:val="文本正文 + 红色 Char Char"/>
    <w:link w:val="2353"/>
    <w:qFormat/>
    <w:uiPriority w:val="0"/>
    <w:rPr>
      <w:rFonts w:ascii="Times New Roman" w:hAnsi="Times New Roman" w:eastAsia="宋体" w:cs="宋体"/>
      <w:bCs/>
      <w:color w:val="FF0000"/>
      <w:kern w:val="0"/>
      <w:sz w:val="26"/>
      <w:szCs w:val="24"/>
      <w14:ligatures w14:val="none"/>
    </w:rPr>
  </w:style>
  <w:style w:type="character" w:customStyle="1" w:styleId="2355">
    <w:name w:val="文本正文 + 红色 Char"/>
    <w:uiPriority w:val="0"/>
    <w:rPr>
      <w:rFonts w:eastAsia="宋体" w:cs="宋体"/>
      <w:bCs/>
      <w:color w:val="FF0000"/>
      <w:kern w:val="2"/>
      <w:sz w:val="24"/>
      <w:szCs w:val="24"/>
      <w:lang w:val="en-US" w:eastAsia="zh-CN" w:bidi="ar-SA"/>
    </w:rPr>
  </w:style>
  <w:style w:type="character" w:customStyle="1" w:styleId="2356">
    <w:name w:val="文本正文 Char"/>
    <w:qFormat/>
    <w:uiPriority w:val="0"/>
    <w:rPr>
      <w:rFonts w:eastAsia="宋体"/>
      <w:bCs/>
      <w:color w:val="000000"/>
      <w:kern w:val="2"/>
      <w:sz w:val="28"/>
      <w:szCs w:val="28"/>
      <w:lang w:val="en-US" w:eastAsia="zh-CN" w:bidi="ar-SA"/>
    </w:rPr>
  </w:style>
  <w:style w:type="character" w:customStyle="1" w:styleId="2357">
    <w:name w:val="文档结构图 Char Char"/>
    <w:uiPriority w:val="0"/>
    <w:rPr>
      <w:rFonts w:ascii="宋体" w:hAnsi="宋体"/>
      <w:sz w:val="18"/>
      <w:lang w:val="en-US" w:eastAsia="zh-CN"/>
    </w:rPr>
  </w:style>
  <w:style w:type="character" w:customStyle="1" w:styleId="2358">
    <w:name w:val="文档结构图 Char1"/>
    <w:qFormat/>
    <w:uiPriority w:val="0"/>
    <w:rPr>
      <w:rFonts w:eastAsia="宋体"/>
      <w:b/>
      <w:sz w:val="28"/>
      <w:szCs w:val="24"/>
      <w:shd w:val="clear" w:color="auto" w:fill="000080"/>
    </w:rPr>
  </w:style>
  <w:style w:type="character" w:customStyle="1" w:styleId="2359">
    <w:name w:val="文档结构图 字符1"/>
    <w:semiHidden/>
    <w:uiPriority w:val="0"/>
    <w:rPr>
      <w:rFonts w:ascii="Microsoft YaHei UI" w:eastAsia="Microsoft YaHei UI"/>
      <w:sz w:val="18"/>
      <w:szCs w:val="18"/>
    </w:rPr>
  </w:style>
  <w:style w:type="character" w:customStyle="1" w:styleId="2360">
    <w:name w:val="文档结构图 字符2"/>
    <w:semiHidden/>
    <w:qFormat/>
    <w:locked/>
    <w:uiPriority w:val="0"/>
    <w:rPr>
      <w:sz w:val="24"/>
      <w:szCs w:val="24"/>
    </w:rPr>
  </w:style>
  <w:style w:type="paragraph" w:customStyle="1" w:styleId="2361">
    <w:name w:val="文件"/>
    <w:basedOn w:val="1"/>
    <w:qFormat/>
    <w:uiPriority w:val="0"/>
    <w:pPr>
      <w:widowControl/>
      <w:spacing w:after="120" w:line="360" w:lineRule="auto"/>
      <w:ind w:firstLine="0" w:firstLineChars="0"/>
    </w:pPr>
    <w:rPr>
      <w:rFonts w:ascii="黑体" w:eastAsia="黑体" w:cs="宋体"/>
      <w:snapToGrid/>
      <w:sz w:val="28"/>
      <w:szCs w:val="20"/>
    </w:rPr>
  </w:style>
  <w:style w:type="paragraph" w:customStyle="1" w:styleId="2362">
    <w:name w:val="文件正文"/>
    <w:basedOn w:val="1"/>
    <w:link w:val="2363"/>
    <w:qFormat/>
    <w:uiPriority w:val="0"/>
    <w:pPr>
      <w:adjustRightInd/>
      <w:snapToGrid/>
      <w:spacing w:line="240" w:lineRule="auto"/>
    </w:pPr>
    <w:rPr>
      <w:rFonts w:eastAsia="仿宋_GB2312"/>
      <w:snapToGrid/>
      <w:sz w:val="32"/>
    </w:rPr>
  </w:style>
  <w:style w:type="character" w:customStyle="1" w:styleId="2363">
    <w:name w:val="文件正文 Char Char"/>
    <w:link w:val="2362"/>
    <w:uiPriority w:val="0"/>
    <w:rPr>
      <w:rFonts w:ascii="Times New Roman" w:hAnsi="Times New Roman" w:eastAsia="仿宋_GB2312" w:cs="Times New Roman"/>
      <w:kern w:val="0"/>
      <w:sz w:val="32"/>
      <w:szCs w:val="24"/>
      <w14:ligatures w14:val="none"/>
    </w:rPr>
  </w:style>
  <w:style w:type="character" w:customStyle="1" w:styleId="2364">
    <w:name w:val="文件正文 Char"/>
    <w:uiPriority w:val="0"/>
    <w:rPr>
      <w:rFonts w:eastAsia="仿宋_GB2312"/>
      <w:kern w:val="2"/>
      <w:sz w:val="32"/>
      <w:szCs w:val="24"/>
      <w:lang w:val="en-US" w:eastAsia="zh-CN" w:bidi="ar-SA"/>
    </w:rPr>
  </w:style>
  <w:style w:type="paragraph" w:customStyle="1" w:styleId="2365">
    <w:name w:val="文章附标题"/>
    <w:basedOn w:val="1"/>
    <w:uiPriority w:val="0"/>
    <w:pPr>
      <w:widowControl/>
      <w:adjustRightInd/>
      <w:snapToGrid/>
      <w:spacing w:after="175" w:line="374" w:lineRule="atLeast"/>
      <w:ind w:firstLine="0" w:firstLineChars="0"/>
      <w:jc w:val="center"/>
      <w:textAlignment w:val="baseline"/>
    </w:pPr>
    <w:rPr>
      <w:snapToGrid/>
      <w:color w:val="000000"/>
      <w:sz w:val="36"/>
      <w:szCs w:val="20"/>
      <w:u w:color="000000"/>
    </w:rPr>
  </w:style>
  <w:style w:type="paragraph" w:customStyle="1" w:styleId="2366">
    <w:name w:val="文章副标题"/>
    <w:basedOn w:val="1"/>
    <w:next w:val="3"/>
    <w:qFormat/>
    <w:uiPriority w:val="0"/>
    <w:pPr>
      <w:widowControl/>
      <w:adjustRightInd/>
      <w:snapToGrid/>
      <w:spacing w:after="175" w:line="374" w:lineRule="atLeast"/>
      <w:ind w:firstLine="0" w:firstLineChars="0"/>
      <w:jc w:val="center"/>
      <w:textAlignment w:val="baseline"/>
    </w:pPr>
    <w:rPr>
      <w:snapToGrid/>
      <w:color w:val="000000"/>
      <w:sz w:val="36"/>
      <w:szCs w:val="20"/>
      <w:u w:color="000000"/>
    </w:rPr>
  </w:style>
  <w:style w:type="paragraph" w:customStyle="1" w:styleId="2367">
    <w:name w:val="文章正文"/>
    <w:basedOn w:val="1"/>
    <w:qFormat/>
    <w:uiPriority w:val="0"/>
    <w:pPr>
      <w:adjustRightInd/>
      <w:snapToGrid/>
      <w:spacing w:line="360" w:lineRule="auto"/>
      <w:ind w:left="420" w:leftChars="200" w:firstLine="560"/>
    </w:pPr>
    <w:rPr>
      <w:rFonts w:ascii="宋体" w:hAnsi="宋体"/>
      <w:snapToGrid/>
      <w:kern w:val="2"/>
      <w:sz w:val="28"/>
    </w:rPr>
  </w:style>
  <w:style w:type="paragraph" w:customStyle="1" w:styleId="2368">
    <w:name w:val="文章正文 Char"/>
    <w:basedOn w:val="1"/>
    <w:qFormat/>
    <w:uiPriority w:val="0"/>
    <w:pPr>
      <w:adjustRightInd/>
      <w:snapToGrid/>
      <w:spacing w:beforeLines="50" w:afterLines="50" w:line="360" w:lineRule="auto"/>
      <w:ind w:firstLine="480"/>
    </w:pPr>
    <w:rPr>
      <w:rFonts w:ascii="宋体" w:hAnsi="宋体"/>
      <w:snapToGrid/>
      <w:kern w:val="2"/>
    </w:rPr>
  </w:style>
  <w:style w:type="paragraph" w:customStyle="1" w:styleId="2369">
    <w:name w:val="文章总标题"/>
    <w:basedOn w:val="1"/>
    <w:next w:val="2366"/>
    <w:qFormat/>
    <w:uiPriority w:val="0"/>
    <w:pPr>
      <w:widowControl/>
      <w:adjustRightInd/>
      <w:snapToGrid/>
      <w:spacing w:after="544" w:line="566" w:lineRule="atLeast"/>
      <w:ind w:firstLine="0" w:firstLineChars="0"/>
      <w:jc w:val="center"/>
      <w:textAlignment w:val="baseline"/>
    </w:pPr>
    <w:rPr>
      <w:rFonts w:ascii="Arial" w:eastAsia="黑体"/>
      <w:snapToGrid/>
      <w:color w:val="000000"/>
      <w:sz w:val="54"/>
      <w:szCs w:val="20"/>
      <w:u w:color="000000"/>
    </w:rPr>
  </w:style>
  <w:style w:type="paragraph" w:customStyle="1" w:styleId="2370">
    <w:name w:val="文中说明"/>
    <w:basedOn w:val="1"/>
    <w:link w:val="2371"/>
    <w:semiHidden/>
    <w:qFormat/>
    <w:uiPriority w:val="0"/>
    <w:pPr>
      <w:adjustRightInd/>
      <w:snapToGrid/>
      <w:spacing w:line="240" w:lineRule="auto"/>
    </w:pPr>
    <w:rPr>
      <w:rFonts w:ascii="宋体" w:hAnsi="宋体"/>
      <w:snapToGrid/>
      <w:kern w:val="28"/>
    </w:rPr>
  </w:style>
  <w:style w:type="character" w:customStyle="1" w:styleId="2371">
    <w:name w:val="文中说明 Char"/>
    <w:link w:val="2370"/>
    <w:semiHidden/>
    <w:uiPriority w:val="0"/>
    <w:rPr>
      <w:rFonts w:ascii="宋体" w:hAnsi="宋体" w:eastAsia="宋体" w:cs="Times New Roman"/>
      <w:kern w:val="28"/>
      <w:sz w:val="26"/>
      <w:szCs w:val="24"/>
      <w14:ligatures w14:val="none"/>
    </w:rPr>
  </w:style>
  <w:style w:type="paragraph" w:customStyle="1" w:styleId="2372">
    <w:name w:val="文字"/>
    <w:basedOn w:val="1"/>
    <w:uiPriority w:val="0"/>
    <w:pPr>
      <w:widowControl/>
      <w:adjustRightInd/>
      <w:snapToGrid/>
      <w:spacing w:afterLines="50" w:line="360" w:lineRule="auto"/>
      <w:ind w:firstLine="420" w:firstLineChars="0"/>
    </w:pPr>
    <w:rPr>
      <w:snapToGrid/>
    </w:rPr>
  </w:style>
  <w:style w:type="paragraph" w:customStyle="1" w:styleId="2373">
    <w:name w:val="文字块"/>
    <w:basedOn w:val="1"/>
    <w:uiPriority w:val="0"/>
    <w:pPr>
      <w:widowControl/>
      <w:adjustRightInd/>
      <w:snapToGrid/>
      <w:spacing w:line="606" w:lineRule="atLeast"/>
      <w:ind w:left="-351" w:right="-147" w:firstLine="538" w:firstLineChars="0"/>
      <w:textAlignment w:val="baseline"/>
    </w:pPr>
    <w:rPr>
      <w:snapToGrid/>
      <w:color w:val="000000"/>
      <w:szCs w:val="20"/>
      <w:u w:color="000000"/>
    </w:rPr>
  </w:style>
  <w:style w:type="paragraph" w:customStyle="1" w:styleId="2374">
    <w:name w:val="我的（一）"/>
    <w:basedOn w:val="1"/>
    <w:autoRedefine/>
    <w:semiHidden/>
    <w:qFormat/>
    <w:uiPriority w:val="0"/>
    <w:pPr>
      <w:adjustRightInd/>
      <w:snapToGrid/>
      <w:spacing w:line="240" w:lineRule="auto"/>
      <w:ind w:firstLine="562"/>
      <w:outlineLvl w:val="2"/>
    </w:pPr>
    <w:rPr>
      <w:rFonts w:ascii="楷体_GB2312" w:eastAsia="楷体_GB2312"/>
      <w:b/>
      <w:snapToGrid/>
    </w:rPr>
  </w:style>
  <w:style w:type="paragraph" w:customStyle="1" w:styleId="2375">
    <w:name w:val="我的1、"/>
    <w:basedOn w:val="1"/>
    <w:link w:val="2376"/>
    <w:semiHidden/>
    <w:qFormat/>
    <w:uiPriority w:val="0"/>
    <w:pPr>
      <w:adjustRightInd/>
      <w:snapToGrid/>
      <w:spacing w:line="240" w:lineRule="auto"/>
    </w:pPr>
    <w:rPr>
      <w:rFonts w:ascii="宋体"/>
      <w:b/>
      <w:snapToGrid/>
      <w:kern w:val="28"/>
    </w:rPr>
  </w:style>
  <w:style w:type="character" w:customStyle="1" w:styleId="2376">
    <w:name w:val="我的1、 Char"/>
    <w:link w:val="2375"/>
    <w:semiHidden/>
    <w:qFormat/>
    <w:uiPriority w:val="0"/>
    <w:rPr>
      <w:rFonts w:ascii="宋体" w:hAnsi="Times New Roman" w:eastAsia="宋体" w:cs="Times New Roman"/>
      <w:b/>
      <w:kern w:val="28"/>
      <w:sz w:val="26"/>
      <w:szCs w:val="24"/>
      <w14:ligatures w14:val="none"/>
    </w:rPr>
  </w:style>
  <w:style w:type="paragraph" w:customStyle="1" w:styleId="2377">
    <w:name w:val="我的表格内容"/>
    <w:basedOn w:val="1"/>
    <w:semiHidden/>
    <w:uiPriority w:val="0"/>
    <w:pPr>
      <w:adjustRightInd/>
      <w:snapToGrid/>
      <w:spacing w:line="240" w:lineRule="exact"/>
      <w:ind w:firstLine="0" w:firstLineChars="0"/>
      <w:jc w:val="center"/>
    </w:pPr>
    <w:rPr>
      <w:rFonts w:ascii="宋体"/>
      <w:snapToGrid/>
      <w:kern w:val="28"/>
      <w:sz w:val="18"/>
    </w:rPr>
  </w:style>
  <w:style w:type="paragraph" w:customStyle="1" w:styleId="2378">
    <w:name w:val="我的表号"/>
    <w:basedOn w:val="1"/>
    <w:link w:val="2379"/>
    <w:semiHidden/>
    <w:uiPriority w:val="0"/>
    <w:pPr>
      <w:adjustRightInd/>
      <w:snapToGrid/>
      <w:spacing w:line="360" w:lineRule="exact"/>
      <w:ind w:firstLine="0" w:firstLineChars="0"/>
      <w:jc w:val="right"/>
    </w:pPr>
    <w:rPr>
      <w:rFonts w:ascii="宋体"/>
      <w:b/>
      <w:snapToGrid/>
      <w:kern w:val="28"/>
      <w:sz w:val="21"/>
      <w:szCs w:val="21"/>
    </w:rPr>
  </w:style>
  <w:style w:type="character" w:customStyle="1" w:styleId="2379">
    <w:name w:val="我的表号 Char"/>
    <w:link w:val="2378"/>
    <w:semiHidden/>
    <w:qFormat/>
    <w:uiPriority w:val="0"/>
    <w:rPr>
      <w:rFonts w:ascii="宋体" w:hAnsi="Times New Roman" w:eastAsia="宋体" w:cs="Times New Roman"/>
      <w:b/>
      <w:kern w:val="28"/>
      <w:szCs w:val="21"/>
      <w14:ligatures w14:val="none"/>
    </w:rPr>
  </w:style>
  <w:style w:type="paragraph" w:customStyle="1" w:styleId="2380">
    <w:name w:val="我的表头"/>
    <w:basedOn w:val="1"/>
    <w:link w:val="2381"/>
    <w:semiHidden/>
    <w:qFormat/>
    <w:uiPriority w:val="0"/>
    <w:pPr>
      <w:adjustRightInd/>
      <w:snapToGrid/>
      <w:spacing w:line="240" w:lineRule="auto"/>
      <w:ind w:firstLine="0" w:firstLineChars="0"/>
      <w:jc w:val="center"/>
    </w:pPr>
    <w:rPr>
      <w:rFonts w:ascii="宋体"/>
      <w:b/>
      <w:snapToGrid/>
      <w:kern w:val="28"/>
    </w:rPr>
  </w:style>
  <w:style w:type="character" w:customStyle="1" w:styleId="2381">
    <w:name w:val="我的表头 Char"/>
    <w:link w:val="2380"/>
    <w:semiHidden/>
    <w:uiPriority w:val="0"/>
    <w:rPr>
      <w:rFonts w:ascii="宋体" w:hAnsi="Times New Roman" w:eastAsia="宋体" w:cs="Times New Roman"/>
      <w:b/>
      <w:kern w:val="28"/>
      <w:sz w:val="26"/>
      <w:szCs w:val="24"/>
      <w14:ligatures w14:val="none"/>
    </w:rPr>
  </w:style>
  <w:style w:type="paragraph" w:customStyle="1" w:styleId="2382">
    <w:name w:val="我的文章内容"/>
    <w:basedOn w:val="1"/>
    <w:link w:val="2383"/>
    <w:semiHidden/>
    <w:qFormat/>
    <w:uiPriority w:val="0"/>
    <w:pPr>
      <w:adjustRightInd/>
      <w:snapToGrid/>
      <w:spacing w:line="240" w:lineRule="auto"/>
    </w:pPr>
    <w:rPr>
      <w:rFonts w:ascii="宋体"/>
      <w:snapToGrid/>
      <w:kern w:val="28"/>
    </w:rPr>
  </w:style>
  <w:style w:type="character" w:customStyle="1" w:styleId="2383">
    <w:name w:val="我的文章内容 Char"/>
    <w:link w:val="2382"/>
    <w:semiHidden/>
    <w:uiPriority w:val="0"/>
    <w:rPr>
      <w:rFonts w:ascii="宋体" w:hAnsi="Times New Roman" w:eastAsia="宋体" w:cs="Times New Roman"/>
      <w:kern w:val="28"/>
      <w:sz w:val="26"/>
      <w:szCs w:val="24"/>
      <w14:ligatures w14:val="none"/>
    </w:rPr>
  </w:style>
  <w:style w:type="table" w:customStyle="1" w:styleId="2384">
    <w:name w:val="我的样式"/>
    <w:basedOn w:val="90"/>
    <w:qFormat/>
    <w:uiPriority w:val="0"/>
    <w:pPr>
      <w:adjustRightInd/>
      <w:snapToGrid/>
      <w:spacing w:beforeLines="0" w:line="240" w:lineRule="auto"/>
      <w:ind w:firstLine="0" w:firstLineChars="0"/>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6E6E6"/>
    </w:tcPr>
    <w:tblStylePr w:type="firstRow">
      <w:rPr>
        <w:rFonts w:eastAsia="宋体"/>
        <w:color w:val="FFFFFF"/>
      </w:rPr>
      <w:tcPr>
        <w:tcBorders>
          <w:top w:val="single" w:color="FFFFFF" w:sz="4" w:space="0"/>
          <w:left w:val="single" w:color="FFFFFF" w:sz="4" w:space="0"/>
          <w:bottom w:val="single" w:color="FFFFFF" w:sz="4" w:space="0"/>
          <w:right w:val="single" w:color="FFFFFF" w:sz="4" w:space="0"/>
          <w:insideH w:val="single" w:sz="4" w:space="0"/>
          <w:insideV w:val="single" w:sz="4" w:space="0"/>
          <w:tl2br w:val="nil"/>
          <w:tr2bl w:val="nil"/>
        </w:tcBorders>
        <w:shd w:val="clear" w:color="auto" w:fill="00CCFF"/>
      </w:tcPr>
    </w:tblStylePr>
  </w:style>
  <w:style w:type="paragraph" w:customStyle="1" w:styleId="2385">
    <w:name w:val="我的正文"/>
    <w:basedOn w:val="1"/>
    <w:link w:val="2386"/>
    <w:qFormat/>
    <w:uiPriority w:val="0"/>
    <w:pPr>
      <w:adjustRightInd/>
      <w:snapToGrid/>
      <w:spacing w:line="240" w:lineRule="auto"/>
      <w:ind w:firstLine="538" w:firstLineChars="192"/>
    </w:pPr>
    <w:rPr>
      <w:snapToGrid/>
      <w:color w:val="000000"/>
      <w:kern w:val="2"/>
      <w:sz w:val="28"/>
    </w:rPr>
  </w:style>
  <w:style w:type="character" w:customStyle="1" w:styleId="2386">
    <w:name w:val="我的正文 Char"/>
    <w:link w:val="2385"/>
    <w:uiPriority w:val="0"/>
    <w:rPr>
      <w:rFonts w:ascii="Times New Roman" w:hAnsi="Times New Roman" w:eastAsia="宋体" w:cs="Times New Roman"/>
      <w:color w:val="000000"/>
      <w:sz w:val="28"/>
      <w:szCs w:val="24"/>
      <w14:ligatures w14:val="none"/>
    </w:rPr>
  </w:style>
  <w:style w:type="paragraph" w:customStyle="1" w:styleId="2387">
    <w:name w:val="我的正文 Char Char"/>
    <w:basedOn w:val="1"/>
    <w:link w:val="2388"/>
    <w:uiPriority w:val="0"/>
    <w:pPr>
      <w:adjustRightInd/>
      <w:snapToGrid/>
      <w:spacing w:line="360" w:lineRule="auto"/>
    </w:pPr>
    <w:rPr>
      <w:snapToGrid/>
    </w:rPr>
  </w:style>
  <w:style w:type="character" w:customStyle="1" w:styleId="2388">
    <w:name w:val="我的正文 Char Char Char Char Char"/>
    <w:link w:val="2387"/>
    <w:qFormat/>
    <w:uiPriority w:val="0"/>
    <w:rPr>
      <w:rFonts w:ascii="Times New Roman" w:hAnsi="Times New Roman" w:eastAsia="宋体" w:cs="Times New Roman"/>
      <w:kern w:val="0"/>
      <w:sz w:val="26"/>
      <w:szCs w:val="24"/>
      <w14:ligatures w14:val="none"/>
    </w:rPr>
  </w:style>
  <w:style w:type="character" w:customStyle="1" w:styleId="2389">
    <w:name w:val="我的正文 Char Char Char"/>
    <w:qFormat/>
    <w:uiPriority w:val="0"/>
    <w:rPr>
      <w:rFonts w:eastAsia="宋体"/>
      <w:kern w:val="2"/>
      <w:sz w:val="24"/>
      <w:szCs w:val="24"/>
      <w:lang w:val="en-US" w:eastAsia="zh-CN" w:bidi="ar-SA"/>
    </w:rPr>
  </w:style>
  <w:style w:type="character" w:customStyle="1" w:styleId="2390">
    <w:name w:val="我的正文 Char Char Char Char"/>
    <w:qFormat/>
    <w:uiPriority w:val="0"/>
    <w:rPr>
      <w:rFonts w:eastAsia="宋体"/>
      <w:kern w:val="2"/>
      <w:sz w:val="24"/>
      <w:szCs w:val="24"/>
      <w:lang w:val="en-US" w:eastAsia="zh-CN" w:bidi="ar-SA"/>
    </w:rPr>
  </w:style>
  <w:style w:type="paragraph" w:styleId="2391">
    <w:name w:val="No Spacing"/>
    <w:qFormat/>
    <w:uiPriority w:val="0"/>
    <w:pPr>
      <w:widowControl w:val="0"/>
      <w:adjustRightInd w:val="0"/>
      <w:snapToGrid w:val="0"/>
      <w:spacing w:beforeLines="10"/>
      <w:ind w:firstLine="200" w:firstLineChars="200"/>
      <w:jc w:val="both"/>
    </w:pPr>
    <w:rPr>
      <w:rFonts w:ascii="Times New Roman" w:hAnsi="Times New Roman" w:eastAsia="宋体" w:cs="Times New Roman"/>
      <w:snapToGrid w:val="0"/>
      <w:sz w:val="24"/>
      <w:szCs w:val="24"/>
      <w:lang w:val="en-US" w:eastAsia="zh-CN" w:bidi="ar-SA"/>
    </w:rPr>
  </w:style>
  <w:style w:type="character" w:customStyle="1" w:styleId="2392">
    <w:name w:val="无间隔 Char"/>
    <w:uiPriority w:val="0"/>
    <w:rPr>
      <w:snapToGrid w:val="0"/>
      <w:kern w:val="2"/>
      <w:sz w:val="24"/>
      <w:szCs w:val="24"/>
      <w:lang w:val="en-US" w:eastAsia="zh-CN" w:bidi="ar-SA"/>
    </w:rPr>
  </w:style>
  <w:style w:type="character" w:customStyle="1" w:styleId="2393">
    <w:name w:val="无间隔 Char Char"/>
    <w:qFormat/>
    <w:uiPriority w:val="0"/>
    <w:rPr>
      <w:rFonts w:ascii="Calibri" w:hAnsi="Calibri"/>
      <w:sz w:val="22"/>
      <w:szCs w:val="22"/>
      <w:lang w:val="en-US" w:eastAsia="zh-CN" w:bidi="ar-SA"/>
    </w:rPr>
  </w:style>
  <w:style w:type="paragraph" w:customStyle="1" w:styleId="2394">
    <w:name w:val="无间隔2"/>
    <w:qFormat/>
    <w:uiPriority w:val="0"/>
    <w:rPr>
      <w:rFonts w:ascii="Calibri" w:hAnsi="Calibri" w:eastAsia="宋体" w:cs="Times New Roman"/>
      <w:sz w:val="22"/>
      <w:szCs w:val="22"/>
      <w:lang w:val="en-US" w:eastAsia="en-US" w:bidi="ar-SA"/>
    </w:rPr>
  </w:style>
  <w:style w:type="paragraph" w:customStyle="1" w:styleId="2395">
    <w:name w:val="无间隔21"/>
    <w:basedOn w:val="1"/>
    <w:link w:val="2396"/>
    <w:qFormat/>
    <w:uiPriority w:val="0"/>
    <w:pPr>
      <w:adjustRightInd/>
      <w:snapToGrid/>
      <w:spacing w:line="240" w:lineRule="auto"/>
      <w:ind w:firstLine="482" w:firstLineChars="0"/>
    </w:pPr>
    <w:rPr>
      <w:snapToGrid/>
      <w:sz w:val="22"/>
      <w:szCs w:val="20"/>
    </w:rPr>
  </w:style>
  <w:style w:type="character" w:customStyle="1" w:styleId="2396">
    <w:name w:val="No Spacing Char Char"/>
    <w:link w:val="2395"/>
    <w:uiPriority w:val="0"/>
    <w:rPr>
      <w:rFonts w:ascii="Times New Roman" w:hAnsi="Times New Roman" w:eastAsia="宋体" w:cs="Times New Roman"/>
      <w:kern w:val="0"/>
      <w:sz w:val="22"/>
      <w:szCs w:val="20"/>
      <w14:ligatures w14:val="none"/>
    </w:rPr>
  </w:style>
  <w:style w:type="paragraph" w:customStyle="1" w:styleId="2397">
    <w:name w:val="无间隔3"/>
    <w:basedOn w:val="1"/>
    <w:qFormat/>
    <w:uiPriority w:val="0"/>
    <w:pPr>
      <w:adjustRightInd/>
      <w:snapToGrid/>
      <w:spacing w:line="240" w:lineRule="auto"/>
      <w:ind w:firstLine="482" w:firstLineChars="0"/>
    </w:pPr>
    <w:rPr>
      <w:snapToGrid/>
      <w:sz w:val="22"/>
      <w:szCs w:val="22"/>
    </w:rPr>
  </w:style>
  <w:style w:type="paragraph" w:customStyle="1" w:styleId="2398">
    <w:name w:val="无缩进正文"/>
    <w:basedOn w:val="1"/>
    <w:qFormat/>
    <w:uiPriority w:val="0"/>
    <w:pPr>
      <w:spacing w:line="288" w:lineRule="auto"/>
      <w:ind w:firstLine="0" w:firstLineChars="0"/>
      <w:jc w:val="center"/>
    </w:pPr>
    <w:rPr>
      <w:snapToGrid/>
      <w:sz w:val="21"/>
    </w:rPr>
  </w:style>
  <w:style w:type="paragraph" w:customStyle="1" w:styleId="2399">
    <w:name w:val="无悬挂正文5号"/>
    <w:basedOn w:val="1"/>
    <w:uiPriority w:val="0"/>
    <w:pPr>
      <w:widowControl/>
      <w:adjustRightInd/>
      <w:snapToGrid/>
      <w:spacing w:line="240" w:lineRule="auto"/>
      <w:ind w:firstLine="0" w:firstLineChars="0"/>
      <w:jc w:val="center"/>
    </w:pPr>
    <w:rPr>
      <w:rFonts w:cs="宋体"/>
      <w:snapToGrid/>
      <w:sz w:val="21"/>
      <w:szCs w:val="21"/>
    </w:rPr>
  </w:style>
  <w:style w:type="paragraph" w:customStyle="1" w:styleId="2400">
    <w:name w:val="五号表格"/>
    <w:basedOn w:val="1"/>
    <w:qFormat/>
    <w:uiPriority w:val="0"/>
    <w:pPr>
      <w:adjustRightInd/>
      <w:snapToGrid/>
      <w:spacing w:line="240" w:lineRule="atLeast"/>
      <w:ind w:firstLine="0" w:firstLineChars="0"/>
      <w:jc w:val="center"/>
    </w:pPr>
    <w:rPr>
      <w:snapToGrid/>
      <w:kern w:val="2"/>
      <w:sz w:val="21"/>
    </w:rPr>
  </w:style>
  <w:style w:type="paragraph" w:customStyle="1" w:styleId="2401">
    <w:name w:val="五级条标题"/>
    <w:basedOn w:val="2228"/>
    <w:next w:val="1"/>
    <w:qFormat/>
    <w:uiPriority w:val="0"/>
    <w:pPr>
      <w:tabs>
        <w:tab w:val="left" w:pos="2940"/>
        <w:tab w:val="clear" w:pos="2520"/>
      </w:tabs>
      <w:ind w:left="2940"/>
      <w:outlineLvl w:val="6"/>
    </w:pPr>
  </w:style>
  <w:style w:type="character" w:customStyle="1" w:styleId="2402">
    <w:name w:val="下标"/>
    <w:uiPriority w:val="0"/>
    <w:rPr>
      <w:vertAlign w:val="subscript"/>
      <w:lang w:val="en-US" w:eastAsia="zh-CN"/>
    </w:rPr>
  </w:style>
  <w:style w:type="paragraph" w:customStyle="1" w:styleId="2403">
    <w:name w:val="下划线"/>
    <w:basedOn w:val="1"/>
    <w:next w:val="1"/>
    <w:qFormat/>
    <w:uiPriority w:val="0"/>
    <w:pPr>
      <w:adjustRightInd/>
      <w:snapToGrid/>
      <w:spacing w:afterLines="20" w:line="400" w:lineRule="exact"/>
      <w:ind w:firstLine="480"/>
    </w:pPr>
    <w:rPr>
      <w:snapToGrid/>
      <w:lang w:val="zh-CN"/>
    </w:rPr>
  </w:style>
  <w:style w:type="paragraph" w:customStyle="1" w:styleId="2404">
    <w:name w:val="仙女山正文"/>
    <w:basedOn w:val="1"/>
    <w:uiPriority w:val="0"/>
    <w:pPr>
      <w:adjustRightInd/>
      <w:snapToGrid/>
      <w:ind w:firstLine="480"/>
    </w:pPr>
    <w:rPr>
      <w:rFonts w:hAnsi="宋体"/>
      <w:snapToGrid/>
      <w:color w:val="0000FF"/>
    </w:rPr>
  </w:style>
  <w:style w:type="paragraph" w:customStyle="1" w:styleId="2405">
    <w:name w:val="向国兴样式"/>
    <w:basedOn w:val="3"/>
    <w:next w:val="4"/>
    <w:autoRedefine/>
    <w:qFormat/>
    <w:uiPriority w:val="0"/>
    <w:pPr>
      <w:keepNext/>
      <w:keepLines/>
      <w:numPr>
        <w:numId w:val="0"/>
      </w:numPr>
      <w:tabs>
        <w:tab w:val="left" w:pos="1286"/>
      </w:tabs>
      <w:adjustRightInd/>
      <w:snapToGrid/>
      <w:spacing w:afterLines="0" w:line="240" w:lineRule="auto"/>
      <w:ind w:left="1286" w:hanging="720"/>
      <w:jc w:val="both"/>
    </w:pPr>
    <w:rPr>
      <w:rFonts w:ascii="Calibri" w:hAnsi="Calibri" w:eastAsia="宋体"/>
      <w:snapToGrid/>
      <w:sz w:val="28"/>
      <w:szCs w:val="28"/>
    </w:rPr>
  </w:style>
  <w:style w:type="paragraph" w:customStyle="1" w:styleId="2406">
    <w:name w:val="项标题"/>
    <w:basedOn w:val="1"/>
    <w:qFormat/>
    <w:uiPriority w:val="0"/>
    <w:pPr>
      <w:widowControl/>
      <w:snapToGrid/>
      <w:spacing w:line="360" w:lineRule="auto"/>
      <w:textAlignment w:val="baseline"/>
    </w:pPr>
    <w:rPr>
      <w:b/>
      <w:snapToGrid/>
    </w:rPr>
  </w:style>
  <w:style w:type="character" w:customStyle="1" w:styleId="2407">
    <w:name w:val="项标题(1) Char Char"/>
    <w:uiPriority w:val="0"/>
    <w:rPr>
      <w:rFonts w:ascii="仿宋_GB2312" w:eastAsia="仿宋_GB2312"/>
      <w:b/>
      <w:kern w:val="2"/>
      <w:sz w:val="24"/>
      <w:lang w:val="en-US" w:eastAsia="zh-CN" w:bidi="ar-SA"/>
    </w:rPr>
  </w:style>
  <w:style w:type="character" w:customStyle="1" w:styleId="2408">
    <w:name w:val="项标题(1) Char Char1"/>
    <w:uiPriority w:val="0"/>
    <w:rPr>
      <w:rFonts w:ascii="Cambria" w:hAnsi="Cambria"/>
      <w:b/>
      <w:bCs/>
      <w:color w:val="9BBB59"/>
    </w:rPr>
  </w:style>
  <w:style w:type="character" w:customStyle="1" w:styleId="2409">
    <w:name w:val="项目文件 Char"/>
    <w:qFormat/>
    <w:uiPriority w:val="0"/>
    <w:rPr>
      <w:rFonts w:eastAsia="宋体"/>
      <w:bCs/>
      <w:kern w:val="2"/>
      <w:sz w:val="24"/>
      <w:szCs w:val="24"/>
      <w:lang w:val="en-US" w:eastAsia="zh-CN" w:bidi="ar-SA"/>
    </w:rPr>
  </w:style>
  <w:style w:type="paragraph" w:customStyle="1" w:styleId="2410">
    <w:name w:val="小1级"/>
    <w:basedOn w:val="1"/>
    <w:semiHidden/>
    <w:qFormat/>
    <w:uiPriority w:val="0"/>
    <w:pPr>
      <w:adjustRightInd/>
      <w:snapToGrid/>
      <w:spacing w:beforeLines="50" w:afterLines="50" w:line="240" w:lineRule="auto"/>
      <w:ind w:firstLine="0" w:firstLineChars="0"/>
      <w:jc w:val="center"/>
      <w:outlineLvl w:val="0"/>
    </w:pPr>
    <w:rPr>
      <w:rFonts w:ascii="宋体" w:hAnsi="宋体"/>
      <w:b/>
      <w:bCs/>
      <w:snapToGrid/>
      <w:color w:val="000000"/>
      <w:kern w:val="2"/>
      <w:sz w:val="30"/>
      <w:szCs w:val="32"/>
    </w:rPr>
  </w:style>
  <w:style w:type="paragraph" w:customStyle="1" w:styleId="2411">
    <w:name w:val="小2级"/>
    <w:basedOn w:val="1"/>
    <w:link w:val="2412"/>
    <w:semiHidden/>
    <w:qFormat/>
    <w:uiPriority w:val="0"/>
    <w:pPr>
      <w:adjustRightInd/>
      <w:snapToGrid/>
      <w:spacing w:line="500" w:lineRule="exact"/>
      <w:ind w:firstLine="0" w:firstLineChars="0"/>
      <w:outlineLvl w:val="1"/>
    </w:pPr>
    <w:rPr>
      <w:rFonts w:ascii="宋体"/>
      <w:b/>
      <w:bCs/>
      <w:snapToGrid/>
      <w:color w:val="000000"/>
      <w:kern w:val="24"/>
    </w:rPr>
  </w:style>
  <w:style w:type="character" w:customStyle="1" w:styleId="2412">
    <w:name w:val="小2级 Char Char"/>
    <w:link w:val="2411"/>
    <w:semiHidden/>
    <w:qFormat/>
    <w:uiPriority w:val="0"/>
    <w:rPr>
      <w:rFonts w:ascii="宋体" w:hAnsi="Times New Roman" w:eastAsia="宋体" w:cs="Times New Roman"/>
      <w:b/>
      <w:bCs/>
      <w:color w:val="000000"/>
      <w:kern w:val="24"/>
      <w:sz w:val="26"/>
      <w:szCs w:val="24"/>
      <w14:ligatures w14:val="none"/>
    </w:rPr>
  </w:style>
  <w:style w:type="paragraph" w:customStyle="1" w:styleId="2413">
    <w:name w:val="小3级"/>
    <w:basedOn w:val="1"/>
    <w:link w:val="2414"/>
    <w:semiHidden/>
    <w:uiPriority w:val="0"/>
    <w:pPr>
      <w:adjustRightInd/>
      <w:snapToGrid/>
      <w:spacing w:line="500" w:lineRule="exact"/>
      <w:ind w:firstLine="0" w:firstLineChars="0"/>
      <w:outlineLvl w:val="2"/>
    </w:pPr>
    <w:rPr>
      <w:rFonts w:ascii="宋体" w:hAnsi="宋体" w:eastAsia="楷体_GB2312"/>
      <w:b/>
      <w:bCs/>
      <w:snapToGrid/>
      <w:color w:val="000000"/>
      <w:kern w:val="24"/>
    </w:rPr>
  </w:style>
  <w:style w:type="character" w:customStyle="1" w:styleId="2414">
    <w:name w:val="小3级 Char Char"/>
    <w:link w:val="2413"/>
    <w:semiHidden/>
    <w:qFormat/>
    <w:uiPriority w:val="0"/>
    <w:rPr>
      <w:rFonts w:ascii="宋体" w:hAnsi="宋体" w:eastAsia="楷体_GB2312" w:cs="Times New Roman"/>
      <w:b/>
      <w:bCs/>
      <w:color w:val="000000"/>
      <w:kern w:val="24"/>
      <w:sz w:val="26"/>
      <w:szCs w:val="24"/>
      <w14:ligatures w14:val="none"/>
    </w:rPr>
  </w:style>
  <w:style w:type="paragraph" w:customStyle="1" w:styleId="2415">
    <w:name w:val="小4级"/>
    <w:basedOn w:val="1"/>
    <w:semiHidden/>
    <w:qFormat/>
    <w:uiPriority w:val="0"/>
    <w:pPr>
      <w:adjustRightInd/>
      <w:snapToGrid/>
      <w:spacing w:line="500" w:lineRule="exact"/>
      <w:ind w:firstLine="0" w:firstLineChars="0"/>
      <w:outlineLvl w:val="3"/>
    </w:pPr>
    <w:rPr>
      <w:rFonts w:ascii="宋体" w:hAnsi="宋体"/>
      <w:b/>
      <w:snapToGrid/>
      <w:color w:val="000000"/>
      <w:kern w:val="2"/>
    </w:rPr>
  </w:style>
  <w:style w:type="paragraph" w:customStyle="1" w:styleId="2416">
    <w:name w:val="小5级"/>
    <w:basedOn w:val="1"/>
    <w:link w:val="2417"/>
    <w:semiHidden/>
    <w:qFormat/>
    <w:uiPriority w:val="0"/>
    <w:pPr>
      <w:adjustRightInd/>
      <w:snapToGrid/>
      <w:spacing w:line="500" w:lineRule="exact"/>
    </w:pPr>
    <w:rPr>
      <w:rFonts w:ascii="宋体" w:hAnsi="宋体"/>
      <w:b/>
      <w:kern w:val="2"/>
    </w:rPr>
  </w:style>
  <w:style w:type="character" w:customStyle="1" w:styleId="2417">
    <w:name w:val="小5级 Char Char"/>
    <w:link w:val="2416"/>
    <w:semiHidden/>
    <w:qFormat/>
    <w:uiPriority w:val="0"/>
    <w:rPr>
      <w:rFonts w:ascii="宋体" w:hAnsi="宋体" w:eastAsia="宋体" w:cs="Times New Roman"/>
      <w:b/>
      <w:snapToGrid w:val="0"/>
      <w:sz w:val="26"/>
      <w:szCs w:val="24"/>
      <w14:ligatures w14:val="none"/>
    </w:rPr>
  </w:style>
  <w:style w:type="paragraph" w:customStyle="1" w:styleId="2418">
    <w:name w:val="小标题 1"/>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419">
    <w:name w:val="小标题2"/>
    <w:basedOn w:val="1"/>
    <w:qFormat/>
    <w:uiPriority w:val="0"/>
    <w:pPr>
      <w:keepNext/>
      <w:keepLines/>
      <w:adjustRightInd/>
      <w:snapToGrid/>
      <w:spacing w:beforeLines="50" w:afterLines="50" w:line="240" w:lineRule="auto"/>
      <w:ind w:firstLine="0" w:firstLineChars="0"/>
      <w:outlineLvl w:val="0"/>
    </w:pPr>
    <w:rPr>
      <w:rFonts w:cs="宋体"/>
      <w:b/>
      <w:bCs/>
      <w:snapToGrid/>
      <w:kern w:val="44"/>
      <w:sz w:val="30"/>
      <w:szCs w:val="30"/>
    </w:rPr>
  </w:style>
  <w:style w:type="paragraph" w:customStyle="1" w:styleId="2420">
    <w:name w:val="小表内容"/>
    <w:basedOn w:val="1"/>
    <w:link w:val="2421"/>
    <w:semiHidden/>
    <w:qFormat/>
    <w:uiPriority w:val="0"/>
    <w:pPr>
      <w:wordWrap w:val="0"/>
      <w:adjustRightInd/>
      <w:snapToGrid/>
      <w:spacing w:line="240" w:lineRule="exact"/>
      <w:ind w:firstLine="0" w:firstLineChars="0"/>
      <w:jc w:val="center"/>
    </w:pPr>
    <w:rPr>
      <w:rFonts w:ascii="宋体" w:hAnsi="宋体"/>
      <w:snapToGrid/>
      <w:kern w:val="2"/>
      <w:sz w:val="18"/>
      <w:szCs w:val="21"/>
    </w:rPr>
  </w:style>
  <w:style w:type="character" w:customStyle="1" w:styleId="2421">
    <w:name w:val="小表内容 Char Char"/>
    <w:link w:val="2420"/>
    <w:semiHidden/>
    <w:qFormat/>
    <w:uiPriority w:val="0"/>
    <w:rPr>
      <w:rFonts w:ascii="宋体" w:hAnsi="宋体" w:eastAsia="宋体" w:cs="Times New Roman"/>
      <w:sz w:val="18"/>
      <w:szCs w:val="21"/>
      <w14:ligatures w14:val="none"/>
    </w:rPr>
  </w:style>
  <w:style w:type="paragraph" w:customStyle="1" w:styleId="2422">
    <w:name w:val="小表头"/>
    <w:basedOn w:val="1"/>
    <w:link w:val="2423"/>
    <w:semiHidden/>
    <w:qFormat/>
    <w:uiPriority w:val="0"/>
    <w:pPr>
      <w:wordWrap w:val="0"/>
      <w:adjustRightInd/>
      <w:snapToGrid/>
      <w:spacing w:line="400" w:lineRule="exact"/>
      <w:ind w:firstLine="0" w:firstLineChars="0"/>
      <w:jc w:val="right"/>
    </w:pPr>
    <w:rPr>
      <w:rFonts w:ascii="宋体"/>
      <w:b/>
      <w:snapToGrid/>
      <w:kern w:val="2"/>
    </w:rPr>
  </w:style>
  <w:style w:type="character" w:customStyle="1" w:styleId="2423">
    <w:name w:val="小表头 Char"/>
    <w:link w:val="2422"/>
    <w:semiHidden/>
    <w:qFormat/>
    <w:uiPriority w:val="0"/>
    <w:rPr>
      <w:rFonts w:ascii="宋体" w:hAnsi="Times New Roman" w:eastAsia="宋体" w:cs="Times New Roman"/>
      <w:b/>
      <w:sz w:val="26"/>
      <w:szCs w:val="24"/>
      <w14:ligatures w14:val="none"/>
    </w:rPr>
  </w:style>
  <w:style w:type="paragraph" w:customStyle="1" w:styleId="2424">
    <w:name w:val="小表文居中"/>
    <w:basedOn w:val="2039"/>
    <w:qFormat/>
    <w:uiPriority w:val="0"/>
    <w:pPr>
      <w:spacing w:line="240" w:lineRule="auto"/>
      <w:ind w:firstLine="0"/>
      <w:jc w:val="center"/>
    </w:pPr>
  </w:style>
  <w:style w:type="paragraph" w:customStyle="1" w:styleId="2425">
    <w:name w:val="小节"/>
    <w:basedOn w:val="1"/>
    <w:uiPriority w:val="0"/>
    <w:pPr>
      <w:adjustRightInd/>
      <w:spacing w:beforeAutospacing="1" w:after="100" w:afterAutospacing="1" w:line="240" w:lineRule="auto"/>
      <w:ind w:firstLine="0" w:firstLineChars="0"/>
    </w:pPr>
    <w:rPr>
      <w:snapToGrid/>
      <w:kern w:val="2"/>
      <w:szCs w:val="20"/>
    </w:rPr>
  </w:style>
  <w:style w:type="paragraph" w:customStyle="1" w:styleId="2426">
    <w:name w:val="小节2"/>
    <w:next w:val="1"/>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paragraph" w:customStyle="1" w:styleId="2427">
    <w:name w:val="小目"/>
    <w:basedOn w:val="6"/>
    <w:semiHidden/>
    <w:qFormat/>
    <w:uiPriority w:val="0"/>
    <w:pPr>
      <w:keepNext/>
      <w:keepLines/>
      <w:numPr>
        <w:ilvl w:val="0"/>
        <w:numId w:val="0"/>
      </w:numPr>
      <w:adjustRightInd/>
      <w:snapToGrid/>
      <w:spacing w:beforeLines="30" w:afterLines="30" w:line="240" w:lineRule="auto"/>
      <w:jc w:val="both"/>
    </w:pPr>
    <w:rPr>
      <w:rFonts w:ascii="Arial" w:hAnsi="Arial" w:eastAsia="黑体"/>
      <w:b/>
      <w:snapToGrid/>
      <w:kern w:val="2"/>
      <w:sz w:val="21"/>
      <w:szCs w:val="21"/>
      <w:lang w:val="en-US"/>
    </w:rPr>
  </w:style>
  <w:style w:type="paragraph" w:customStyle="1" w:styleId="2428">
    <w:name w:val="小内容"/>
    <w:basedOn w:val="1"/>
    <w:link w:val="2429"/>
    <w:semiHidden/>
    <w:uiPriority w:val="0"/>
    <w:pPr>
      <w:adjustRightInd/>
      <w:snapToGrid/>
      <w:spacing w:line="500" w:lineRule="exact"/>
    </w:pPr>
    <w:rPr>
      <w:rFonts w:ascii="宋体" w:hAnsi="宋体"/>
      <w:snapToGrid/>
      <w:kern w:val="2"/>
    </w:rPr>
  </w:style>
  <w:style w:type="character" w:customStyle="1" w:styleId="2429">
    <w:name w:val="小内容 Char"/>
    <w:link w:val="2428"/>
    <w:semiHidden/>
    <w:qFormat/>
    <w:uiPriority w:val="0"/>
    <w:rPr>
      <w:rFonts w:ascii="宋体" w:hAnsi="宋体" w:eastAsia="宋体" w:cs="Times New Roman"/>
      <w:sz w:val="26"/>
      <w:szCs w:val="24"/>
      <w14:ligatures w14:val="none"/>
    </w:rPr>
  </w:style>
  <w:style w:type="paragraph" w:customStyle="1" w:styleId="2430">
    <w:name w:val="小四+首行缩进"/>
    <w:basedOn w:val="1"/>
    <w:link w:val="2431"/>
    <w:qFormat/>
    <w:uiPriority w:val="0"/>
    <w:pPr>
      <w:adjustRightInd/>
      <w:snapToGrid/>
      <w:spacing w:line="360" w:lineRule="auto"/>
      <w:ind w:firstLine="482" w:firstLineChars="0"/>
    </w:pPr>
    <w:rPr>
      <w:rFonts w:ascii="宋体" w:hAnsi="宋体"/>
      <w:snapToGrid/>
      <w:kern w:val="2"/>
    </w:rPr>
  </w:style>
  <w:style w:type="character" w:customStyle="1" w:styleId="2431">
    <w:name w:val="小四+首行缩进 Char2"/>
    <w:link w:val="2430"/>
    <w:uiPriority w:val="0"/>
    <w:rPr>
      <w:rFonts w:ascii="宋体" w:hAnsi="宋体" w:eastAsia="宋体" w:cs="Times New Roman"/>
      <w:sz w:val="26"/>
      <w:szCs w:val="24"/>
      <w14:ligatures w14:val="none"/>
    </w:rPr>
  </w:style>
  <w:style w:type="paragraph" w:customStyle="1" w:styleId="2432">
    <w:name w:val="小四号表"/>
    <w:basedOn w:val="1"/>
    <w:qFormat/>
    <w:uiPriority w:val="0"/>
    <w:pPr>
      <w:widowControl/>
      <w:adjustRightInd/>
      <w:snapToGrid/>
      <w:spacing w:line="360" w:lineRule="auto"/>
      <w:ind w:firstLine="0" w:firstLineChars="0"/>
      <w:jc w:val="center"/>
      <w:textAlignment w:val="baseline"/>
    </w:pPr>
    <w:rPr>
      <w:rFonts w:ascii="宋体" w:hAnsi="宋体" w:cs="宋体"/>
      <w:snapToGrid/>
      <w:color w:val="000000"/>
      <w:szCs w:val="20"/>
      <w:u w:color="000000"/>
    </w:rPr>
  </w:style>
  <w:style w:type="character" w:customStyle="1" w:styleId="2433">
    <w:name w:val="小四黑 Char Char"/>
    <w:qFormat/>
    <w:uiPriority w:val="0"/>
    <w:rPr>
      <w:rFonts w:eastAsia="黑体"/>
      <w:spacing w:val="6"/>
      <w:sz w:val="21"/>
      <w:lang w:val="en-US" w:eastAsia="zh-CN" w:bidi="ar-SA"/>
    </w:rPr>
  </w:style>
  <w:style w:type="paragraph" w:customStyle="1" w:styleId="2434">
    <w:name w:val="样式 题注 + 首行缩进:  2 字符2"/>
    <w:basedOn w:val="22"/>
    <w:semiHidden/>
    <w:qFormat/>
    <w:uiPriority w:val="0"/>
    <w:pPr>
      <w:snapToGrid/>
      <w:spacing w:after="160" w:line="400" w:lineRule="exact"/>
      <w:ind w:firstLine="400"/>
    </w:pPr>
    <w:rPr>
      <w:rFonts w:ascii="Arial" w:hAnsi="Arial"/>
      <w:snapToGrid w:val="0"/>
      <w:kern w:val="2"/>
      <w:sz w:val="24"/>
      <w:szCs w:val="24"/>
    </w:rPr>
  </w:style>
  <w:style w:type="paragraph" w:customStyle="1" w:styleId="2435">
    <w:name w:val="小四题注1"/>
    <w:basedOn w:val="2434"/>
    <w:semiHidden/>
    <w:qFormat/>
    <w:uiPriority w:val="0"/>
    <w:rPr>
      <w:rFonts w:ascii="宋体" w:hAnsi="宋体"/>
      <w:bCs w:val="0"/>
    </w:rPr>
  </w:style>
  <w:style w:type="character" w:customStyle="1" w:styleId="2436">
    <w:name w:val="小四题注1 Char"/>
    <w:semiHidden/>
    <w:uiPriority w:val="0"/>
    <w:rPr>
      <w:rFonts w:ascii="宋体" w:hAnsi="宋体" w:eastAsia="黑体" w:cs="宋体"/>
      <w:b/>
      <w:bCs/>
      <w:color w:val="FF0000"/>
      <w:kern w:val="2"/>
      <w:sz w:val="24"/>
      <w:szCs w:val="24"/>
      <w:lang w:val="en-US" w:eastAsia="zh-CN" w:bidi="ar-SA"/>
    </w:rPr>
  </w:style>
  <w:style w:type="paragraph" w:customStyle="1" w:styleId="2437">
    <w:name w:val="小四正"/>
    <w:basedOn w:val="1"/>
    <w:uiPriority w:val="0"/>
    <w:pPr>
      <w:adjustRightInd/>
      <w:snapToGrid/>
      <w:spacing w:line="240" w:lineRule="auto"/>
      <w:ind w:firstLine="480"/>
    </w:pPr>
    <w:rPr>
      <w:snapToGrid/>
      <w:kern w:val="2"/>
    </w:rPr>
  </w:style>
  <w:style w:type="paragraph" w:customStyle="1" w:styleId="2438">
    <w:name w:val="小图名"/>
    <w:basedOn w:val="1"/>
    <w:semiHidden/>
    <w:qFormat/>
    <w:uiPriority w:val="0"/>
    <w:pPr>
      <w:adjustRightInd/>
      <w:snapToGrid/>
      <w:spacing w:line="240" w:lineRule="auto"/>
      <w:ind w:firstLine="0" w:firstLineChars="0"/>
      <w:jc w:val="center"/>
    </w:pPr>
    <w:rPr>
      <w:rFonts w:ascii="宋体"/>
      <w:b/>
      <w:kern w:val="2"/>
    </w:rPr>
  </w:style>
  <w:style w:type="paragraph" w:customStyle="1" w:styleId="2439">
    <w:name w:val="小五表格"/>
    <w:basedOn w:val="1"/>
    <w:uiPriority w:val="0"/>
    <w:pPr>
      <w:snapToGrid/>
      <w:spacing w:afterLines="20" w:line="240" w:lineRule="auto"/>
      <w:ind w:firstLine="0" w:firstLineChars="0"/>
      <w:textAlignment w:val="baseline"/>
    </w:pPr>
    <w:rPr>
      <w:snapToGrid/>
      <w:kern w:val="2"/>
      <w:sz w:val="18"/>
    </w:rPr>
  </w:style>
  <w:style w:type="paragraph" w:customStyle="1" w:styleId="2440">
    <w:name w:val="协作单位"/>
    <w:basedOn w:val="1"/>
    <w:autoRedefine/>
    <w:qFormat/>
    <w:uiPriority w:val="0"/>
    <w:pPr>
      <w:adjustRightInd/>
      <w:snapToGrid/>
      <w:spacing w:line="312" w:lineRule="auto"/>
      <w:ind w:firstLine="1260" w:firstLineChars="0"/>
    </w:pPr>
    <w:rPr>
      <w:rFonts w:eastAsia="黑体"/>
      <w:snapToGrid/>
      <w:color w:val="000000"/>
      <w:sz w:val="28"/>
      <w:szCs w:val="20"/>
    </w:rPr>
  </w:style>
  <w:style w:type="paragraph" w:customStyle="1" w:styleId="2441">
    <w:name w:val="斜体正文"/>
    <w:basedOn w:val="1"/>
    <w:qFormat/>
    <w:uiPriority w:val="0"/>
    <w:pPr>
      <w:adjustRightInd/>
      <w:snapToGrid/>
      <w:spacing w:line="360" w:lineRule="auto"/>
    </w:pPr>
    <w:rPr>
      <w:b/>
      <w:i/>
      <w:snapToGrid/>
      <w:spacing w:val="6"/>
      <w:kern w:val="2"/>
    </w:rPr>
  </w:style>
  <w:style w:type="character" w:customStyle="1" w:styleId="2442">
    <w:name w:val="信息标题 字符"/>
    <w:semiHidden/>
    <w:qFormat/>
    <w:uiPriority w:val="0"/>
    <w:rPr>
      <w:rFonts w:ascii="Arial" w:hAnsi="Arial" w:cs="Arial"/>
      <w:snapToGrid w:val="0"/>
      <w:sz w:val="24"/>
      <w:szCs w:val="24"/>
      <w:shd w:val="pct20" w:color="auto" w:fill="auto"/>
    </w:rPr>
  </w:style>
  <w:style w:type="character" w:customStyle="1" w:styleId="2443">
    <w:name w:val="信息标题 字符2"/>
    <w:link w:val="79"/>
    <w:qFormat/>
    <w:uiPriority w:val="0"/>
    <w:rPr>
      <w:rFonts w:ascii="Arial" w:hAnsi="Arial" w:eastAsia="宋体" w:cs="Times New Roman"/>
      <w:snapToGrid w:val="0"/>
      <w:kern w:val="0"/>
      <w:sz w:val="26"/>
      <w:szCs w:val="24"/>
      <w:shd w:val="pct20" w:color="auto" w:fill="auto"/>
      <w14:ligatures w14:val="none"/>
    </w:rPr>
  </w:style>
  <w:style w:type="character" w:customStyle="1" w:styleId="2444">
    <w:name w:val="信息标题 Char1"/>
    <w:semiHidden/>
    <w:qFormat/>
    <w:uiPriority w:val="0"/>
    <w:rPr>
      <w:rFonts w:ascii="Cambria" w:hAnsi="Cambria" w:eastAsia="宋体" w:cs="Times New Roman"/>
      <w:kern w:val="2"/>
      <w:sz w:val="24"/>
      <w:szCs w:val="24"/>
      <w:shd w:val="pct20" w:color="auto" w:fill="auto"/>
    </w:rPr>
  </w:style>
  <w:style w:type="character" w:customStyle="1" w:styleId="2445">
    <w:name w:val="信息标题 字符1"/>
    <w:semiHidden/>
    <w:uiPriority w:val="0"/>
    <w:rPr>
      <w:rFonts w:ascii="等线 Light" w:hAnsi="等线 Light" w:eastAsia="等线 Light" w:cs="Times New Roman"/>
      <w:sz w:val="24"/>
      <w:szCs w:val="24"/>
      <w:shd w:val="pct20" w:color="auto" w:fill="auto"/>
    </w:rPr>
  </w:style>
  <w:style w:type="paragraph" w:customStyle="1" w:styleId="2446">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spacing w:before="31"/>
      <w:ind w:left="1080" w:leftChars="500" w:hanging="1080" w:hangingChars="500"/>
    </w:pPr>
    <w:rPr>
      <w:rFonts w:ascii="Arial" w:hAnsi="Arial"/>
    </w:rPr>
  </w:style>
  <w:style w:type="character" w:customStyle="1" w:styleId="2447">
    <w:name w:val="行号1"/>
    <w:uiPriority w:val="0"/>
  </w:style>
  <w:style w:type="paragraph" w:customStyle="1" w:styleId="2448">
    <w:name w:val="修订4"/>
    <w:semiHidden/>
    <w:qFormat/>
    <w:uiPriority w:val="99"/>
    <w:rPr>
      <w:rFonts w:ascii="Times New Roman" w:hAnsi="Times New Roman" w:eastAsia="宋体" w:cs="Times New Roman"/>
      <w:kern w:val="2"/>
      <w:sz w:val="21"/>
      <w:szCs w:val="24"/>
      <w:lang w:val="en-US" w:eastAsia="zh-CN" w:bidi="ar-SA"/>
    </w:rPr>
  </w:style>
  <w:style w:type="paragraph" w:customStyle="1" w:styleId="2449">
    <w:name w:val="徐萍表格"/>
    <w:basedOn w:val="1"/>
    <w:uiPriority w:val="0"/>
    <w:pPr>
      <w:keepNext/>
      <w:autoSpaceDE w:val="0"/>
      <w:autoSpaceDN w:val="0"/>
      <w:snapToGrid/>
      <w:spacing w:line="240" w:lineRule="exact"/>
      <w:ind w:firstLine="0" w:firstLineChars="0"/>
      <w:jc w:val="center"/>
      <w:textAlignment w:val="baseline"/>
    </w:pPr>
    <w:rPr>
      <w:rFonts w:ascii="宋体" w:hAnsi="宋体"/>
      <w:snapToGrid/>
      <w:sz w:val="21"/>
      <w:szCs w:val="18"/>
    </w:rPr>
  </w:style>
  <w:style w:type="paragraph" w:customStyle="1" w:styleId="2450">
    <w:name w:val="徐萍居中表格名称"/>
    <w:basedOn w:val="2255"/>
    <w:qFormat/>
    <w:uiPriority w:val="0"/>
    <w:pPr>
      <w:keepNext/>
      <w:autoSpaceDE w:val="0"/>
      <w:autoSpaceDN w:val="0"/>
      <w:adjustRightInd w:val="0"/>
      <w:spacing w:beforeLines="50" w:afterLines="50" w:line="240" w:lineRule="auto"/>
      <w:ind w:firstLine="1179" w:firstLineChars="450"/>
      <w:jc w:val="left"/>
      <w:textAlignment w:val="baseline"/>
    </w:pPr>
    <w:rPr>
      <w:rFonts w:eastAsia="宋体"/>
      <w:b/>
      <w:kern w:val="0"/>
      <w:sz w:val="26"/>
      <w:szCs w:val="26"/>
    </w:rPr>
  </w:style>
  <w:style w:type="paragraph" w:customStyle="1" w:styleId="2451">
    <w:name w:val="徐萍自正文1"/>
    <w:basedOn w:val="1"/>
    <w:autoRedefine/>
    <w:qFormat/>
    <w:uiPriority w:val="0"/>
    <w:pPr>
      <w:keepNext/>
      <w:tabs>
        <w:tab w:val="left" w:pos="0"/>
      </w:tabs>
      <w:spacing w:after="50" w:line="360" w:lineRule="auto"/>
      <w:ind w:firstLine="567" w:firstLineChars="218"/>
      <w:textAlignment w:val="baseline"/>
    </w:pPr>
    <w:rPr>
      <w:rFonts w:ascii="宋体"/>
      <w:bCs/>
      <w:snapToGrid/>
      <w:color w:val="000000"/>
      <w:kern w:val="24"/>
      <w:szCs w:val="20"/>
    </w:rPr>
  </w:style>
  <w:style w:type="paragraph" w:customStyle="1" w:styleId="2452">
    <w:name w:val="许克亮标二"/>
    <w:qFormat/>
    <w:uiPriority w:val="0"/>
    <w:pPr>
      <w:adjustRightInd w:val="0"/>
      <w:snapToGrid w:val="0"/>
      <w:spacing w:line="360" w:lineRule="auto"/>
      <w:ind w:firstLine="561"/>
      <w:jc w:val="both"/>
    </w:pPr>
    <w:rPr>
      <w:rFonts w:ascii="Times New Roman" w:hAnsi="Times New Roman" w:eastAsia="宋体" w:cs="Times New Roman"/>
      <w:b/>
      <w:bCs/>
      <w:kern w:val="2"/>
      <w:sz w:val="28"/>
      <w:szCs w:val="28"/>
      <w:lang w:val="en-US" w:eastAsia="zh-CN" w:bidi="ar-SA"/>
    </w:rPr>
  </w:style>
  <w:style w:type="paragraph" w:customStyle="1" w:styleId="2453">
    <w:name w:val="许克亮标三"/>
    <w:qFormat/>
    <w:uiPriority w:val="0"/>
    <w:pPr>
      <w:adjustRightInd w:val="0"/>
      <w:snapToGrid w:val="0"/>
      <w:ind w:firstLine="561"/>
      <w:jc w:val="both"/>
    </w:pPr>
    <w:rPr>
      <w:rFonts w:ascii="Times New Roman" w:hAnsi="Times New Roman" w:eastAsia="宋体" w:cs="Times New Roman"/>
      <w:kern w:val="2"/>
      <w:sz w:val="28"/>
      <w:szCs w:val="28"/>
      <w:lang w:val="en-US" w:eastAsia="zh-CN" w:bidi="ar-SA"/>
    </w:rPr>
  </w:style>
  <w:style w:type="paragraph" w:customStyle="1" w:styleId="2454">
    <w:name w:val="许克亮标一"/>
    <w:qFormat/>
    <w:uiPriority w:val="0"/>
    <w:pPr>
      <w:adjustRightInd w:val="0"/>
      <w:snapToGrid w:val="0"/>
      <w:spacing w:line="360" w:lineRule="auto"/>
      <w:ind w:firstLine="561"/>
      <w:jc w:val="both"/>
    </w:pPr>
    <w:rPr>
      <w:rFonts w:ascii="Times New Roman" w:hAnsi="Times New Roman" w:eastAsia="黑体" w:cs="Times New Roman"/>
      <w:b/>
      <w:bCs/>
      <w:kern w:val="2"/>
      <w:sz w:val="28"/>
      <w:szCs w:val="28"/>
      <w:lang w:val="en-US" w:eastAsia="zh-CN" w:bidi="ar-SA"/>
    </w:rPr>
  </w:style>
  <w:style w:type="paragraph" w:customStyle="1" w:styleId="2455">
    <w:name w:val="许克亮段落"/>
    <w:next w:val="87"/>
    <w:qFormat/>
    <w:uiPriority w:val="0"/>
    <w:pPr>
      <w:adjustRightInd w:val="0"/>
      <w:snapToGrid w:val="0"/>
      <w:ind w:firstLine="200" w:firstLineChars="200"/>
      <w:jc w:val="both"/>
    </w:pPr>
    <w:rPr>
      <w:rFonts w:ascii="Times New Roman" w:hAnsi="Times New Roman" w:eastAsia="宋体" w:cs="Times New Roman"/>
      <w:kern w:val="2"/>
      <w:sz w:val="28"/>
      <w:szCs w:val="28"/>
      <w:lang w:val="en-US" w:eastAsia="zh-CN" w:bidi="ar-SA"/>
    </w:rPr>
  </w:style>
  <w:style w:type="character" w:customStyle="1" w:styleId="2456">
    <w:name w:val="正文文本首行缩进 2 字符"/>
    <w:link w:val="87"/>
    <w:qFormat/>
    <w:uiPriority w:val="0"/>
    <w:rPr>
      <w:rFonts w:ascii="Times New Roman" w:hAnsi="Times New Roman" w:eastAsia="宋体" w:cs="Times New Roman"/>
      <w:snapToGrid w:val="0"/>
      <w:kern w:val="0"/>
      <w:sz w:val="26"/>
      <w:szCs w:val="24"/>
      <w14:ligatures w14:val="none"/>
    </w:rPr>
  </w:style>
  <w:style w:type="paragraph" w:customStyle="1" w:styleId="2457">
    <w:name w:val="序列样式1"/>
    <w:basedOn w:val="1"/>
    <w:qFormat/>
    <w:uiPriority w:val="0"/>
    <w:pPr>
      <w:tabs>
        <w:tab w:val="left" w:pos="1389"/>
      </w:tabs>
      <w:adjustRightInd/>
      <w:snapToGrid/>
      <w:spacing w:after="48" w:line="400" w:lineRule="exact"/>
      <w:ind w:left="227" w:firstLine="57" w:firstLineChars="0"/>
    </w:pPr>
    <w:rPr>
      <w:snapToGrid/>
      <w:kern w:val="2"/>
      <w:szCs w:val="20"/>
    </w:rPr>
  </w:style>
  <w:style w:type="paragraph" w:customStyle="1" w:styleId="2458">
    <w:name w:val="续上表"/>
    <w:basedOn w:val="1528"/>
    <w:semiHidden/>
    <w:qFormat/>
    <w:uiPriority w:val="0"/>
    <w:pPr>
      <w:spacing w:line="340" w:lineRule="exact"/>
    </w:pPr>
    <w:rPr>
      <w:sz w:val="21"/>
      <w:szCs w:val="28"/>
    </w:rPr>
  </w:style>
  <w:style w:type="paragraph" w:customStyle="1" w:styleId="2459">
    <w:name w:val="研究报告"/>
    <w:basedOn w:val="1"/>
    <w:qFormat/>
    <w:uiPriority w:val="0"/>
    <w:pPr>
      <w:adjustRightInd/>
      <w:snapToGrid/>
      <w:spacing w:line="300" w:lineRule="auto"/>
    </w:pPr>
    <w:rPr>
      <w:snapToGrid/>
      <w:kern w:val="2"/>
    </w:rPr>
  </w:style>
  <w:style w:type="paragraph" w:customStyle="1" w:styleId="2460">
    <w:name w:val="样式"/>
    <w:basedOn w:val="1"/>
    <w:next w:val="1"/>
    <w:qFormat/>
    <w:uiPriority w:val="0"/>
    <w:pPr>
      <w:adjustRightInd/>
      <w:snapToGrid/>
      <w:spacing w:beforeLines="50" w:afterLines="50" w:line="360" w:lineRule="auto"/>
    </w:pPr>
    <w:rPr>
      <w:rFonts w:ascii="Arial" w:hAnsi="Arial" w:cs="Arial"/>
      <w:snapToGrid/>
      <w:kern w:val="2"/>
    </w:rPr>
  </w:style>
  <w:style w:type="paragraph" w:customStyle="1" w:styleId="2461">
    <w:name w:val="样式  + 四号 首行缩进:  0.85 厘米 行距: 固定值 23 磅"/>
    <w:qFormat/>
    <w:uiPriority w:val="0"/>
    <w:pPr>
      <w:spacing w:line="748" w:lineRule="atLeast"/>
      <w:jc w:val="both"/>
      <w:textAlignment w:val="baseline"/>
    </w:pPr>
    <w:rPr>
      <w:rFonts w:ascii="Times New Roman" w:hAnsi="Times New Roman" w:eastAsia="宋体" w:cs="Times New Roman"/>
      <w:color w:val="000000"/>
      <w:sz w:val="28"/>
      <w:u w:color="000000"/>
      <w:lang w:val="en-US" w:eastAsia="zh-CN" w:bidi="ar-SA"/>
    </w:rPr>
  </w:style>
  <w:style w:type="paragraph" w:customStyle="1" w:styleId="2462">
    <w:name w:val="样式  + 行距: 固定值 26 磅"/>
    <w:basedOn w:val="1"/>
    <w:qFormat/>
    <w:uiPriority w:val="0"/>
    <w:pPr>
      <w:adjustRightInd/>
      <w:snapToGrid/>
      <w:spacing w:line="560" w:lineRule="exact"/>
      <w:ind w:firstLine="560"/>
    </w:pPr>
    <w:rPr>
      <w:rFonts w:eastAsia="仿宋_GB2312"/>
      <w:snapToGrid/>
      <w:kern w:val="2"/>
      <w:sz w:val="28"/>
      <w:szCs w:val="20"/>
    </w:rPr>
  </w:style>
  <w:style w:type="paragraph" w:customStyle="1" w:styleId="2463">
    <w:name w:val="样式 !标题1(alt+1) + 两端对齐"/>
    <w:basedOn w:val="1"/>
    <w:qFormat/>
    <w:uiPriority w:val="0"/>
    <w:pPr>
      <w:widowControl/>
      <w:adjustRightInd/>
      <w:snapToGrid/>
      <w:spacing w:line="600" w:lineRule="exact"/>
      <w:ind w:firstLine="0" w:firstLineChars="0"/>
      <w:outlineLvl w:val="0"/>
    </w:pPr>
    <w:rPr>
      <w:rFonts w:ascii="Arial" w:hAnsi="Arial" w:eastAsia="黑体" w:cs="宋体"/>
      <w:snapToGrid/>
      <w:spacing w:val="-5"/>
      <w:sz w:val="32"/>
      <w:szCs w:val="20"/>
    </w:rPr>
  </w:style>
  <w:style w:type="paragraph" w:customStyle="1" w:styleId="2464">
    <w:name w:val="样式 !标题3 + 段前: 0.25 行 段后: 0.25 行"/>
    <w:basedOn w:val="1"/>
    <w:qFormat/>
    <w:uiPriority w:val="0"/>
    <w:pPr>
      <w:widowControl/>
      <w:adjustRightInd/>
      <w:snapToGrid/>
      <w:spacing w:before="60" w:after="60" w:line="360" w:lineRule="auto"/>
      <w:ind w:firstLine="0" w:firstLineChars="0"/>
      <w:textAlignment w:val="baseline"/>
      <w:outlineLvl w:val="2"/>
    </w:pPr>
    <w:rPr>
      <w:rFonts w:ascii="Arial" w:hAnsi="Arial" w:eastAsia="黑体" w:cs="宋体"/>
      <w:snapToGrid/>
      <w:color w:val="000000"/>
      <w:sz w:val="28"/>
      <w:szCs w:val="20"/>
      <w:u w:color="000000"/>
    </w:rPr>
  </w:style>
  <w:style w:type="paragraph" w:customStyle="1" w:styleId="2465">
    <w:name w:val="样式 !标题3(alt+3) + 首行缩进:  1 字符2"/>
    <w:basedOn w:val="1"/>
    <w:qFormat/>
    <w:uiPriority w:val="0"/>
    <w:pPr>
      <w:widowControl/>
      <w:adjustRightInd/>
      <w:snapToGrid/>
      <w:spacing w:before="40" w:after="60" w:line="288" w:lineRule="auto"/>
      <w:ind w:firstLine="0" w:firstLineChars="0"/>
      <w:jc w:val="left"/>
      <w:outlineLvl w:val="2"/>
    </w:pPr>
    <w:rPr>
      <w:rFonts w:eastAsia="黑体"/>
      <w:snapToGrid/>
      <w:kern w:val="2"/>
      <w:sz w:val="24"/>
      <w:szCs w:val="20"/>
    </w:rPr>
  </w:style>
  <w:style w:type="paragraph" w:customStyle="1" w:styleId="2466">
    <w:name w:val="样式 !标题3(alt+3) + 首行缩进:  1 字符3"/>
    <w:basedOn w:val="1"/>
    <w:qFormat/>
    <w:uiPriority w:val="0"/>
    <w:pPr>
      <w:widowControl/>
      <w:adjustRightInd/>
      <w:snapToGrid/>
      <w:spacing w:before="120" w:after="80" w:line="360" w:lineRule="auto"/>
      <w:ind w:firstLine="0" w:firstLineChars="0"/>
      <w:jc w:val="left"/>
      <w:outlineLvl w:val="2"/>
    </w:pPr>
    <w:rPr>
      <w:rFonts w:eastAsia="黑体"/>
      <w:snapToGrid/>
      <w:kern w:val="2"/>
      <w:sz w:val="24"/>
      <w:szCs w:val="20"/>
    </w:rPr>
  </w:style>
  <w:style w:type="paragraph" w:customStyle="1" w:styleId="2467">
    <w:name w:val="样式 !标题3(alt+3) + 首行缩进:  1 字符4"/>
    <w:basedOn w:val="1"/>
    <w:qFormat/>
    <w:uiPriority w:val="0"/>
    <w:pPr>
      <w:widowControl/>
      <w:adjustRightInd/>
      <w:snapToGrid/>
      <w:spacing w:before="120" w:after="80" w:line="360" w:lineRule="auto"/>
      <w:ind w:firstLine="0" w:firstLineChars="0"/>
      <w:jc w:val="left"/>
      <w:outlineLvl w:val="2"/>
    </w:pPr>
    <w:rPr>
      <w:rFonts w:ascii="黑体" w:eastAsia="黑体"/>
      <w:snapToGrid/>
      <w:kern w:val="2"/>
      <w:sz w:val="24"/>
      <w:szCs w:val="20"/>
    </w:rPr>
  </w:style>
  <w:style w:type="paragraph" w:customStyle="1" w:styleId="2468">
    <w:name w:val="样式 !标题3(alt+3) + 首行缩进:  1 字符5"/>
    <w:basedOn w:val="1"/>
    <w:qFormat/>
    <w:uiPriority w:val="0"/>
    <w:pPr>
      <w:widowControl/>
      <w:adjustRightInd/>
      <w:snapToGrid/>
      <w:spacing w:before="120" w:after="80" w:line="360" w:lineRule="auto"/>
      <w:ind w:firstLine="0" w:firstLineChars="0"/>
      <w:jc w:val="left"/>
      <w:outlineLvl w:val="2"/>
    </w:pPr>
    <w:rPr>
      <w:rFonts w:ascii="黑体" w:eastAsia="黑体"/>
      <w:snapToGrid/>
      <w:kern w:val="2"/>
      <w:sz w:val="24"/>
      <w:szCs w:val="20"/>
    </w:rPr>
  </w:style>
  <w:style w:type="paragraph" w:customStyle="1" w:styleId="2469">
    <w:name w:val="样式 !表标题(alt+h) + 段前: 0.2 行 段后: 0.2 行"/>
    <w:basedOn w:val="1"/>
    <w:qFormat/>
    <w:uiPriority w:val="0"/>
    <w:pPr>
      <w:widowControl/>
      <w:adjustRightInd/>
      <w:snapToGrid/>
      <w:spacing w:beforeLines="20" w:afterLines="20" w:line="420" w:lineRule="atLeast"/>
      <w:ind w:firstLine="0" w:firstLineChars="0"/>
      <w:jc w:val="center"/>
      <w:textAlignment w:val="baseline"/>
      <w:outlineLvl w:val="3"/>
    </w:pPr>
    <w:rPr>
      <w:rFonts w:ascii="黑体" w:eastAsia="黑体"/>
      <w:snapToGrid/>
      <w:color w:val="000000"/>
      <w:kern w:val="2"/>
      <w:sz w:val="24"/>
      <w:szCs w:val="20"/>
      <w:u w:color="000000"/>
    </w:rPr>
  </w:style>
  <w:style w:type="paragraph" w:customStyle="1" w:styleId="2470">
    <w:name w:val="样式 !正文 + 首行缩进:  2 字符"/>
    <w:basedOn w:val="1"/>
    <w:qFormat/>
    <w:uiPriority w:val="0"/>
    <w:pPr>
      <w:adjustRightInd/>
      <w:spacing w:line="336" w:lineRule="auto"/>
      <w:ind w:firstLine="480"/>
      <w:textAlignment w:val="baseline"/>
    </w:pPr>
    <w:rPr>
      <w:rFonts w:cs="宋体"/>
      <w:snapToGrid/>
      <w:color w:val="000000"/>
      <w:szCs w:val="20"/>
      <w:u w:color="000000"/>
    </w:rPr>
  </w:style>
  <w:style w:type="paragraph" w:customStyle="1" w:styleId="2471">
    <w:name w:val="样式 !正文 + 首行缩进:  2 字符1"/>
    <w:basedOn w:val="1"/>
    <w:link w:val="2472"/>
    <w:qFormat/>
    <w:uiPriority w:val="0"/>
    <w:pPr>
      <w:adjustRightInd/>
      <w:spacing w:line="336" w:lineRule="auto"/>
      <w:ind w:firstLine="480"/>
      <w:textAlignment w:val="baseline"/>
    </w:pPr>
    <w:rPr>
      <w:rFonts w:cs="宋体"/>
      <w:snapToGrid/>
      <w:color w:val="000000"/>
      <w:u w:color="000000"/>
    </w:rPr>
  </w:style>
  <w:style w:type="character" w:customStyle="1" w:styleId="2472">
    <w:name w:val="样式 !正文 + 首行缩进:  2 字符1 Char Char"/>
    <w:link w:val="2471"/>
    <w:qFormat/>
    <w:uiPriority w:val="0"/>
    <w:rPr>
      <w:rFonts w:ascii="Times New Roman" w:hAnsi="Times New Roman" w:eastAsia="宋体" w:cs="宋体"/>
      <w:color w:val="000000"/>
      <w:kern w:val="0"/>
      <w:sz w:val="26"/>
      <w:szCs w:val="24"/>
      <w:u w:color="000000"/>
      <w14:ligatures w14:val="none"/>
    </w:rPr>
  </w:style>
  <w:style w:type="character" w:customStyle="1" w:styleId="2473">
    <w:name w:val="样式 !正文 + 首行缩进:  2 字符1 Char"/>
    <w:qFormat/>
    <w:uiPriority w:val="0"/>
    <w:rPr>
      <w:rFonts w:eastAsia="宋体" w:cs="宋体"/>
      <w:color w:val="000000"/>
      <w:sz w:val="24"/>
      <w:u w:color="000000"/>
      <w:lang w:val="en-US" w:eastAsia="zh-CN" w:bidi="ar-SA"/>
    </w:rPr>
  </w:style>
  <w:style w:type="character" w:customStyle="1" w:styleId="2474">
    <w:name w:val="样式 !正文(alt+c) + 黑色 Char"/>
    <w:qFormat/>
    <w:uiPriority w:val="0"/>
    <w:rPr>
      <w:rFonts w:eastAsia="宋体"/>
      <w:color w:val="000000"/>
      <w:sz w:val="24"/>
      <w:szCs w:val="24"/>
      <w:lang w:val="en-US" w:eastAsia="zh-CN" w:bidi="ar-SA"/>
    </w:rPr>
  </w:style>
  <w:style w:type="paragraph" w:customStyle="1" w:styleId="2475">
    <w:name w:val="样式 !正文(alt+c) + 蓝色"/>
    <w:basedOn w:val="1"/>
    <w:qFormat/>
    <w:uiPriority w:val="0"/>
    <w:pPr>
      <w:widowControl/>
      <w:adjustRightInd/>
      <w:snapToGrid/>
      <w:ind w:firstLine="480"/>
    </w:pPr>
    <w:rPr>
      <w:rFonts w:ascii="宋体" w:hAnsi="宋体"/>
      <w:snapToGrid/>
      <w:color w:val="0000FF"/>
      <w:kern w:val="2"/>
      <w:sz w:val="24"/>
    </w:rPr>
  </w:style>
  <w:style w:type="paragraph" w:customStyle="1" w:styleId="2476">
    <w:name w:val="样式 !正文(alt+c) + 首行缩进:  2 字符"/>
    <w:basedOn w:val="1"/>
    <w:qFormat/>
    <w:uiPriority w:val="0"/>
    <w:pPr>
      <w:widowControl/>
      <w:adjustRightInd/>
      <w:snapToGrid/>
      <w:spacing w:line="440" w:lineRule="exact"/>
      <w:ind w:firstLine="480"/>
    </w:pPr>
    <w:rPr>
      <w:snapToGrid/>
      <w:color w:val="000000"/>
      <w:szCs w:val="20"/>
    </w:rPr>
  </w:style>
  <w:style w:type="paragraph" w:customStyle="1" w:styleId="2477">
    <w:name w:val="样式 !正文(alt+c) + 首行缩进:  2 字符 Char"/>
    <w:basedOn w:val="1"/>
    <w:link w:val="2478"/>
    <w:qFormat/>
    <w:uiPriority w:val="0"/>
    <w:pPr>
      <w:widowControl/>
      <w:adjustRightInd/>
      <w:snapToGrid/>
      <w:spacing w:line="440" w:lineRule="exact"/>
      <w:ind w:firstLine="480"/>
    </w:pPr>
    <w:rPr>
      <w:snapToGrid/>
      <w:color w:val="000000"/>
      <w:szCs w:val="20"/>
    </w:rPr>
  </w:style>
  <w:style w:type="character" w:customStyle="1" w:styleId="2478">
    <w:name w:val="样式 !正文(alt+c) + 首行缩进:  2 字符 Char Char"/>
    <w:link w:val="2477"/>
    <w:qFormat/>
    <w:uiPriority w:val="0"/>
    <w:rPr>
      <w:rFonts w:ascii="Times New Roman" w:hAnsi="Times New Roman" w:eastAsia="宋体" w:cs="Times New Roman"/>
      <w:color w:val="000000"/>
      <w:kern w:val="0"/>
      <w:sz w:val="26"/>
      <w:szCs w:val="20"/>
      <w14:ligatures w14:val="none"/>
    </w:rPr>
  </w:style>
  <w:style w:type="character" w:customStyle="1" w:styleId="2479">
    <w:name w:val="样式 !正文(alt+c) + 首行缩进:  2 字符 Char1"/>
    <w:qFormat/>
    <w:uiPriority w:val="0"/>
    <w:rPr>
      <w:rFonts w:ascii="宋体" w:hAnsi="宋体" w:eastAsia="宋体" w:cs="宋体"/>
      <w:color w:val="000000"/>
      <w:kern w:val="2"/>
      <w:sz w:val="24"/>
      <w:szCs w:val="24"/>
      <w:lang w:val="en-US" w:eastAsia="zh-CN" w:bidi="ar-SA"/>
    </w:rPr>
  </w:style>
  <w:style w:type="paragraph" w:customStyle="1" w:styleId="2480">
    <w:name w:val="样式 （1）"/>
    <w:basedOn w:val="1"/>
    <w:qFormat/>
    <w:uiPriority w:val="0"/>
    <w:pPr>
      <w:widowControl/>
      <w:tabs>
        <w:tab w:val="left" w:pos="432"/>
      </w:tabs>
      <w:adjustRightInd/>
      <w:snapToGrid/>
      <w:ind w:firstLine="720" w:firstLineChars="0"/>
    </w:pPr>
    <w:rPr>
      <w:rFonts w:ascii="宋体" w:hAnsi="宋体" w:cs="宋体"/>
      <w:snapToGrid/>
      <w:szCs w:val="20"/>
    </w:rPr>
  </w:style>
  <w:style w:type="paragraph" w:customStyle="1" w:styleId="2481">
    <w:name w:val="样式 (符号) 宋体 首行缩进:  0.93 厘米 段前: 6 磅 段后: 6 磅 行距: 固定值 18 磅1"/>
    <w:basedOn w:val="1"/>
    <w:qFormat/>
    <w:uiPriority w:val="0"/>
    <w:pPr>
      <w:adjustRightInd/>
      <w:snapToGrid/>
      <w:spacing w:after="160" w:line="320" w:lineRule="exact"/>
      <w:ind w:firstLine="527" w:firstLineChars="0"/>
    </w:pPr>
    <w:rPr>
      <w:rFonts w:hAnsi="宋体"/>
      <w:snapToGrid/>
      <w:kern w:val="2"/>
      <w:szCs w:val="20"/>
    </w:rPr>
  </w:style>
  <w:style w:type="paragraph" w:customStyle="1" w:styleId="2482">
    <w:name w:val="样式 (符号) 宋体 四号 黑色"/>
    <w:basedOn w:val="1"/>
    <w:qFormat/>
    <w:uiPriority w:val="0"/>
    <w:pPr>
      <w:adjustRightInd/>
      <w:snapToGrid/>
      <w:spacing w:line="360" w:lineRule="atLeast"/>
      <w:ind w:firstLine="567" w:firstLineChars="0"/>
      <w:textAlignment w:val="baseline"/>
    </w:pPr>
    <w:rPr>
      <w:rFonts w:hint="eastAsia" w:ascii="宋体" w:hAnsi="宋体"/>
      <w:snapToGrid/>
      <w:color w:val="000000"/>
      <w:kern w:val="2"/>
      <w:szCs w:val="20"/>
    </w:rPr>
  </w:style>
  <w:style w:type="paragraph" w:customStyle="1" w:styleId="2483">
    <w:name w:val="样式 (符号) 宋体 四号 黑色 Char"/>
    <w:basedOn w:val="1"/>
    <w:link w:val="2484"/>
    <w:qFormat/>
    <w:uiPriority w:val="0"/>
    <w:pPr>
      <w:adjustRightInd/>
      <w:snapToGrid/>
      <w:spacing w:line="240" w:lineRule="auto"/>
      <w:ind w:firstLine="567" w:firstLineChars="0"/>
    </w:pPr>
    <w:rPr>
      <w:rFonts w:ascii="宋体" w:hAnsi="宋体"/>
      <w:snapToGrid/>
      <w:color w:val="000000"/>
      <w:kern w:val="2"/>
      <w:sz w:val="28"/>
    </w:rPr>
  </w:style>
  <w:style w:type="character" w:customStyle="1" w:styleId="2484">
    <w:name w:val="样式 (符号) 宋体 四号 黑色 Char Char"/>
    <w:link w:val="2483"/>
    <w:qFormat/>
    <w:uiPriority w:val="0"/>
    <w:rPr>
      <w:rFonts w:ascii="宋体" w:hAnsi="宋体" w:eastAsia="宋体" w:cs="Times New Roman"/>
      <w:color w:val="000000"/>
      <w:sz w:val="28"/>
      <w:szCs w:val="24"/>
      <w14:ligatures w14:val="none"/>
    </w:rPr>
  </w:style>
  <w:style w:type="character" w:customStyle="1" w:styleId="2485">
    <w:name w:val="样式 (符号) 宋体 四号 黑色 Char Char Char Char"/>
    <w:qFormat/>
    <w:uiPriority w:val="0"/>
    <w:rPr>
      <w:rFonts w:ascii="宋体" w:hAnsi="宋体" w:eastAsia="宋体" w:cs="宋体"/>
      <w:color w:val="000000"/>
      <w:kern w:val="2"/>
      <w:sz w:val="28"/>
      <w:szCs w:val="24"/>
      <w:lang w:val="en-US" w:eastAsia="zh-CN" w:bidi="ar-SA"/>
    </w:rPr>
  </w:style>
  <w:style w:type="paragraph" w:customStyle="1" w:styleId="2486">
    <w:name w:val="样式 (符号) 宋体 五号 加粗 居中 段前: 0.5 行 行距: 单倍行距"/>
    <w:basedOn w:val="1"/>
    <w:autoRedefine/>
    <w:qFormat/>
    <w:uiPriority w:val="0"/>
    <w:pPr>
      <w:adjustRightInd/>
      <w:spacing w:line="240" w:lineRule="auto"/>
      <w:ind w:firstLine="0" w:firstLineChars="0"/>
      <w:jc w:val="center"/>
    </w:pPr>
    <w:rPr>
      <w:rFonts w:hAnsi="宋体" w:cs="宋体"/>
      <w:b/>
      <w:bCs/>
      <w:snapToGrid/>
      <w:szCs w:val="20"/>
    </w:rPr>
  </w:style>
  <w:style w:type="paragraph" w:customStyle="1" w:styleId="2487">
    <w:name w:val="样式 (符号) 宋体 五号 居中"/>
    <w:basedOn w:val="1"/>
    <w:qFormat/>
    <w:uiPriority w:val="0"/>
    <w:pPr>
      <w:autoSpaceDE w:val="0"/>
      <w:autoSpaceDN w:val="0"/>
      <w:snapToGrid/>
      <w:spacing w:line="240" w:lineRule="auto"/>
      <w:ind w:firstLine="0" w:firstLineChars="0"/>
      <w:jc w:val="center"/>
    </w:pPr>
    <w:rPr>
      <w:rFonts w:ascii="宋体" w:hAnsi="宋体" w:eastAsia="黑体" w:cs="宋体"/>
      <w:snapToGrid/>
      <w:sz w:val="21"/>
      <w:szCs w:val="20"/>
      <w:lang w:val="zh-CN"/>
    </w:rPr>
  </w:style>
  <w:style w:type="paragraph" w:customStyle="1" w:styleId="2488">
    <w:name w:val="样式 (符号) 宋体 小四 行距: 固定值 24 磅"/>
    <w:basedOn w:val="1"/>
    <w:qFormat/>
    <w:uiPriority w:val="0"/>
    <w:pPr>
      <w:adjustRightInd/>
      <w:snapToGrid/>
      <w:spacing w:line="480" w:lineRule="exact"/>
    </w:pPr>
    <w:rPr>
      <w:rFonts w:hAnsi="宋体" w:cs="宋体"/>
      <w:snapToGrid/>
      <w:kern w:val="2"/>
      <w:szCs w:val="20"/>
    </w:rPr>
  </w:style>
  <w:style w:type="character" w:customStyle="1" w:styleId="2489">
    <w:name w:val="样式 (符号) 宋体 小五"/>
    <w:qFormat/>
    <w:uiPriority w:val="0"/>
    <w:rPr>
      <w:rFonts w:ascii="Times New Roman" w:hAnsi="Times New Roman" w:eastAsia="宋体"/>
      <w:sz w:val="18"/>
    </w:rPr>
  </w:style>
  <w:style w:type="character" w:customStyle="1" w:styleId="2490">
    <w:name w:val="样式 (西文) ˎ̥ 四号"/>
    <w:qFormat/>
    <w:uiPriority w:val="0"/>
    <w:rPr>
      <w:rFonts w:ascii="ˎ̥" w:hAnsi="ˎ̥" w:eastAsia="宋体"/>
      <w:spacing w:val="6"/>
      <w:kern w:val="0"/>
      <w:sz w:val="24"/>
      <w:szCs w:val="24"/>
      <w:lang w:val="en-US" w:eastAsia="zh-CN" w:bidi="ar-SA"/>
    </w:rPr>
  </w:style>
  <w:style w:type="paragraph" w:customStyle="1" w:styleId="2491">
    <w:name w:val="样式 (西文) Times New Roman (中文) 楷体_GB2312 五号 居中 行距: 单倍行距 首行缩进:..."/>
    <w:basedOn w:val="1"/>
    <w:link w:val="2492"/>
    <w:qFormat/>
    <w:uiPriority w:val="0"/>
    <w:pPr>
      <w:adjustRightInd/>
      <w:snapToGrid/>
      <w:spacing w:line="0" w:lineRule="atLeast"/>
      <w:ind w:firstLine="0" w:firstLineChars="0"/>
      <w:jc w:val="center"/>
    </w:pPr>
    <w:rPr>
      <w:rFonts w:ascii="楷体_GB2312" w:eastAsia="楷体_GB2312"/>
      <w:snapToGrid/>
      <w:sz w:val="21"/>
      <w:szCs w:val="20"/>
    </w:rPr>
  </w:style>
  <w:style w:type="character" w:customStyle="1" w:styleId="2492">
    <w:name w:val="样式 (西文) Times New Roman (中文) 楷体_GB2312 五号 居中 行距: 单倍行距 首行缩进:... Char"/>
    <w:link w:val="2491"/>
    <w:qFormat/>
    <w:uiPriority w:val="0"/>
    <w:rPr>
      <w:rFonts w:ascii="楷体_GB2312" w:hAnsi="Times New Roman" w:eastAsia="楷体_GB2312" w:cs="Times New Roman"/>
      <w:kern w:val="0"/>
      <w:szCs w:val="20"/>
      <w14:ligatures w14:val="none"/>
    </w:rPr>
  </w:style>
  <w:style w:type="paragraph" w:customStyle="1" w:styleId="2493">
    <w:name w:val="样式 (西文) 宋体 (中文) 仿宋_GB2312 四号 黑色 行距: 多倍行距 1.48 字行"/>
    <w:basedOn w:val="1"/>
    <w:qFormat/>
    <w:uiPriority w:val="0"/>
    <w:pPr>
      <w:spacing w:line="355" w:lineRule="auto"/>
      <w:ind w:firstLine="560"/>
    </w:pPr>
    <w:rPr>
      <w:rFonts w:ascii="宋体" w:hAnsi="宋体" w:eastAsia="仿宋_GB2312" w:cs="宋体"/>
      <w:snapToGrid/>
      <w:color w:val="000000"/>
      <w:kern w:val="2"/>
      <w:sz w:val="28"/>
      <w:szCs w:val="20"/>
    </w:rPr>
  </w:style>
  <w:style w:type="paragraph" w:customStyle="1" w:styleId="2494">
    <w:name w:val="样式 (西文) 宋体 (中文) 仿宋_GB2312 四号 行距: 多倍行距 1.48 字行"/>
    <w:basedOn w:val="1"/>
    <w:qFormat/>
    <w:uiPriority w:val="0"/>
    <w:pPr>
      <w:spacing w:line="355" w:lineRule="auto"/>
      <w:ind w:firstLine="560"/>
    </w:pPr>
    <w:rPr>
      <w:rFonts w:ascii="宋体" w:hAnsi="宋体" w:eastAsia="仿宋_GB2312" w:cs="宋体"/>
      <w:snapToGrid/>
      <w:kern w:val="2"/>
      <w:sz w:val="28"/>
      <w:szCs w:val="20"/>
    </w:rPr>
  </w:style>
  <w:style w:type="paragraph" w:customStyle="1" w:styleId="2495">
    <w:name w:val="样式 (西文) 宋体 (中文) 黑体 四号"/>
    <w:basedOn w:val="1"/>
    <w:autoRedefine/>
    <w:semiHidden/>
    <w:qFormat/>
    <w:uiPriority w:val="0"/>
    <w:pPr>
      <w:adjustRightInd/>
      <w:snapToGrid/>
      <w:spacing w:line="240" w:lineRule="auto"/>
      <w:ind w:firstLine="480"/>
    </w:pPr>
    <w:rPr>
      <w:rFonts w:ascii="宋体" w:hAnsi="宋体" w:cs="宋体"/>
      <w:snapToGrid/>
      <w:kern w:val="28"/>
      <w:lang w:val="zh-CN"/>
    </w:rPr>
  </w:style>
  <w:style w:type="paragraph" w:customStyle="1" w:styleId="2496">
    <w:name w:val="样式 (西文) 宋体 (中文) 黑体 四号 居中 行距: 固定值 12 磅"/>
    <w:basedOn w:val="1"/>
    <w:autoRedefine/>
    <w:semiHidden/>
    <w:qFormat/>
    <w:uiPriority w:val="0"/>
    <w:pPr>
      <w:wordWrap w:val="0"/>
      <w:adjustRightInd/>
      <w:snapToGrid/>
      <w:spacing w:beforeLines="50" w:afterLines="50" w:line="240" w:lineRule="exact"/>
      <w:ind w:firstLine="0" w:firstLineChars="0"/>
      <w:jc w:val="right"/>
    </w:pPr>
    <w:rPr>
      <w:rFonts w:ascii="宋体" w:hAnsi="宋体" w:cs="宋体"/>
      <w:b/>
      <w:snapToGrid/>
      <w:kern w:val="28"/>
    </w:rPr>
  </w:style>
  <w:style w:type="paragraph" w:customStyle="1" w:styleId="2497">
    <w:name w:val="样式 (西文) 宋体 (中文) 黑体 四号 首行缩进:  0.99 厘米"/>
    <w:basedOn w:val="1"/>
    <w:autoRedefine/>
    <w:semiHidden/>
    <w:qFormat/>
    <w:uiPriority w:val="0"/>
    <w:pPr>
      <w:adjustRightInd/>
      <w:snapToGrid/>
      <w:spacing w:line="240" w:lineRule="auto"/>
      <w:ind w:firstLine="420" w:firstLineChars="150"/>
    </w:pPr>
    <w:rPr>
      <w:rFonts w:ascii="宋体" w:hAnsi="宋体" w:cs="宋体"/>
      <w:snapToGrid/>
      <w:kern w:val="28"/>
      <w:lang w:val="zh-CN"/>
    </w:rPr>
  </w:style>
  <w:style w:type="paragraph" w:customStyle="1" w:styleId="2498">
    <w:name w:val="样式 (西文) 宋体 (中文) 黑体 四号 左侧:  0.63 厘米"/>
    <w:basedOn w:val="1"/>
    <w:autoRedefine/>
    <w:semiHidden/>
    <w:qFormat/>
    <w:uiPriority w:val="0"/>
    <w:pPr>
      <w:adjustRightInd/>
      <w:snapToGrid/>
      <w:spacing w:line="240" w:lineRule="auto"/>
      <w:ind w:left="360" w:firstLine="0" w:firstLineChars="0"/>
    </w:pPr>
    <w:rPr>
      <w:rFonts w:ascii="宋体" w:hAnsi="宋体" w:cs="宋体"/>
      <w:snapToGrid/>
      <w:kern w:val="28"/>
      <w:szCs w:val="20"/>
    </w:rPr>
  </w:style>
  <w:style w:type="paragraph" w:customStyle="1" w:styleId="2499">
    <w:name w:val="样式 (西文) 宋体 (中文) 黑体 四号1"/>
    <w:basedOn w:val="1"/>
    <w:autoRedefine/>
    <w:semiHidden/>
    <w:qFormat/>
    <w:uiPriority w:val="0"/>
    <w:pPr>
      <w:adjustRightInd/>
      <w:snapToGrid/>
      <w:spacing w:line="240" w:lineRule="auto"/>
      <w:ind w:firstLine="480"/>
    </w:pPr>
    <w:rPr>
      <w:rFonts w:ascii="宋体" w:hAnsi="宋体" w:cs="宋体"/>
      <w:snapToGrid/>
      <w:kern w:val="28"/>
      <w:lang w:val="zh-CN"/>
    </w:rPr>
  </w:style>
  <w:style w:type="character" w:customStyle="1" w:styleId="2500">
    <w:name w:val="样式 (西文) 宋体 (中文) 黑体 四号2"/>
    <w:semiHidden/>
    <w:qFormat/>
    <w:uiPriority w:val="0"/>
    <w:rPr>
      <w:rFonts w:ascii="宋体" w:hAnsi="宋体" w:eastAsia="宋体"/>
      <w:color w:val="FF0000"/>
      <w:kern w:val="2"/>
      <w:sz w:val="28"/>
      <w:szCs w:val="21"/>
      <w:lang w:val="en-US" w:eastAsia="zh-CN" w:bidi="ar-SA"/>
    </w:rPr>
  </w:style>
  <w:style w:type="paragraph" w:customStyle="1" w:styleId="2501">
    <w:name w:val="样式 (中文) 仿宋_GB2312"/>
    <w:basedOn w:val="1"/>
    <w:link w:val="2502"/>
    <w:semiHidden/>
    <w:qFormat/>
    <w:uiPriority w:val="0"/>
    <w:pPr>
      <w:adjustRightInd/>
      <w:snapToGrid/>
      <w:spacing w:line="240" w:lineRule="auto"/>
      <w:ind w:firstLine="560"/>
    </w:pPr>
    <w:rPr>
      <w:rFonts w:eastAsia="仿宋_GB2312"/>
      <w:snapToGrid/>
      <w:kern w:val="2"/>
      <w:sz w:val="28"/>
      <w:szCs w:val="20"/>
    </w:rPr>
  </w:style>
  <w:style w:type="character" w:customStyle="1" w:styleId="2502">
    <w:name w:val="样式 (中文) 仿宋_GB2312 Char"/>
    <w:link w:val="2501"/>
    <w:semiHidden/>
    <w:qFormat/>
    <w:uiPriority w:val="0"/>
    <w:rPr>
      <w:rFonts w:ascii="Times New Roman" w:hAnsi="Times New Roman" w:eastAsia="仿宋_GB2312" w:cs="Times New Roman"/>
      <w:sz w:val="28"/>
      <w:szCs w:val="20"/>
      <w14:ligatures w14:val="none"/>
    </w:rPr>
  </w:style>
  <w:style w:type="character" w:customStyle="1" w:styleId="2503">
    <w:name w:val="样式 (中文) 仿宋_GB2312 四号"/>
    <w:semiHidden/>
    <w:qFormat/>
    <w:uiPriority w:val="0"/>
    <w:rPr>
      <w:rFonts w:ascii="Tahoma" w:hAnsi="Tahoma" w:eastAsia="宋体"/>
      <w:color w:val="FF0000"/>
      <w:kern w:val="2"/>
      <w:sz w:val="24"/>
      <w:szCs w:val="21"/>
      <w:lang w:val="en-US" w:eastAsia="zh-CN" w:bidi="ar-SA"/>
    </w:rPr>
  </w:style>
  <w:style w:type="paragraph" w:customStyle="1" w:styleId="2504">
    <w:name w:val="样式 (中文) 仿宋_GB2312 四号 段前: 7.8 磅 段后: 7.8 磅 行距: 固定值 28 磅"/>
    <w:basedOn w:val="1"/>
    <w:qFormat/>
    <w:uiPriority w:val="0"/>
    <w:pPr>
      <w:adjustRightInd/>
      <w:snapToGrid/>
      <w:spacing w:line="560" w:lineRule="exact"/>
      <w:ind w:firstLine="560"/>
    </w:pPr>
    <w:rPr>
      <w:rFonts w:eastAsia="仿宋_GB2312"/>
      <w:snapToGrid/>
      <w:kern w:val="2"/>
      <w:sz w:val="28"/>
      <w:szCs w:val="20"/>
    </w:rPr>
  </w:style>
  <w:style w:type="paragraph" w:customStyle="1" w:styleId="2505">
    <w:name w:val="样式 (中文) 仿宋_GB2312 四号 黑色 首行缩进:  2 字符 行距: 固定值 23 磅"/>
    <w:basedOn w:val="1"/>
    <w:qFormat/>
    <w:uiPriority w:val="0"/>
    <w:pPr>
      <w:adjustRightInd/>
      <w:snapToGrid/>
      <w:spacing w:line="400" w:lineRule="exact"/>
    </w:pPr>
    <w:rPr>
      <w:snapToGrid/>
      <w:color w:val="000000"/>
      <w:kern w:val="2"/>
      <w:szCs w:val="20"/>
    </w:rPr>
  </w:style>
  <w:style w:type="paragraph" w:customStyle="1" w:styleId="2506">
    <w:name w:val="样式 (中文) 仿宋_GB2312 四号 首行缩进:  1.23 厘米 行距: 固定值 28 磅"/>
    <w:basedOn w:val="1"/>
    <w:qFormat/>
    <w:uiPriority w:val="0"/>
    <w:pPr>
      <w:adjustRightInd/>
      <w:snapToGrid/>
      <w:spacing w:line="560" w:lineRule="exact"/>
      <w:ind w:firstLine="560"/>
    </w:pPr>
    <w:rPr>
      <w:rFonts w:eastAsia="仿宋_GB2312" w:cs="宋体"/>
      <w:snapToGrid/>
      <w:kern w:val="2"/>
      <w:sz w:val="28"/>
      <w:szCs w:val="20"/>
    </w:rPr>
  </w:style>
  <w:style w:type="paragraph" w:customStyle="1" w:styleId="2507">
    <w:name w:val="样式 (中文) 仿宋_GB2312 四号 首行缩进:  2 字符 行距: 固定值 23 磅"/>
    <w:basedOn w:val="1"/>
    <w:qFormat/>
    <w:uiPriority w:val="0"/>
    <w:pPr>
      <w:adjustRightInd/>
      <w:snapToGrid/>
      <w:spacing w:line="400" w:lineRule="exact"/>
    </w:pPr>
    <w:rPr>
      <w:snapToGrid/>
      <w:kern w:val="2"/>
      <w:szCs w:val="20"/>
    </w:rPr>
  </w:style>
  <w:style w:type="paragraph" w:customStyle="1" w:styleId="2508">
    <w:name w:val="样式 (中文) 黑体 居中"/>
    <w:basedOn w:val="1"/>
    <w:qFormat/>
    <w:uiPriority w:val="0"/>
    <w:pPr>
      <w:autoSpaceDE w:val="0"/>
      <w:autoSpaceDN w:val="0"/>
      <w:snapToGrid/>
      <w:spacing w:line="312" w:lineRule="auto"/>
      <w:ind w:firstLine="482" w:firstLineChars="0"/>
      <w:jc w:val="center"/>
      <w:textAlignment w:val="baseline"/>
      <w:outlineLvl w:val="5"/>
    </w:pPr>
    <w:rPr>
      <w:rFonts w:eastAsia="黑体" w:cs="宋体"/>
      <w:snapToGrid/>
      <w:szCs w:val="20"/>
    </w:rPr>
  </w:style>
  <w:style w:type="paragraph" w:customStyle="1" w:styleId="2509">
    <w:name w:val="样式 (中文) 黑体 小四 首行缩进:  0.95 厘米 段前: 6 磅 行距: 1.5 倍行距"/>
    <w:basedOn w:val="1"/>
    <w:qFormat/>
    <w:uiPriority w:val="0"/>
    <w:pPr>
      <w:snapToGrid/>
      <w:spacing w:line="360" w:lineRule="auto"/>
      <w:ind w:firstLine="539" w:firstLineChars="0"/>
      <w:textAlignment w:val="baseline"/>
    </w:pPr>
    <w:rPr>
      <w:rFonts w:cs="宋体"/>
      <w:snapToGrid/>
      <w:spacing w:val="5"/>
      <w:szCs w:val="20"/>
    </w:rPr>
  </w:style>
  <w:style w:type="paragraph" w:customStyle="1" w:styleId="2510">
    <w:name w:val="样式 (中文) 黑体 小四 左 行距: 1.5 倍行距"/>
    <w:basedOn w:val="1"/>
    <w:qFormat/>
    <w:uiPriority w:val="0"/>
    <w:pPr>
      <w:snapToGrid/>
      <w:spacing w:line="360" w:lineRule="auto"/>
      <w:ind w:firstLine="420" w:firstLineChars="168"/>
      <w:textAlignment w:val="baseline"/>
    </w:pPr>
    <w:rPr>
      <w:rFonts w:cs="宋体"/>
      <w:snapToGrid/>
      <w:spacing w:val="5"/>
      <w:szCs w:val="20"/>
    </w:rPr>
  </w:style>
  <w:style w:type="paragraph" w:customStyle="1" w:styleId="2511">
    <w:name w:val="样式 +标题1 + 段前: 1 行 段后: 1 行"/>
    <w:basedOn w:val="1"/>
    <w:qFormat/>
    <w:uiPriority w:val="0"/>
    <w:pPr>
      <w:keepNext/>
      <w:keepLines/>
      <w:pageBreakBefore/>
      <w:tabs>
        <w:tab w:val="left" w:pos="360"/>
      </w:tabs>
      <w:adjustRightInd/>
      <w:snapToGrid/>
      <w:spacing w:before="340" w:beforeLines="50" w:afterLines="50" w:line="240" w:lineRule="auto"/>
      <w:ind w:hanging="200" w:hangingChars="200"/>
      <w:jc w:val="center"/>
      <w:outlineLvl w:val="0"/>
    </w:pPr>
    <w:rPr>
      <w:rFonts w:eastAsia="黑体"/>
      <w:b/>
      <w:bCs/>
      <w:snapToGrid/>
      <w:sz w:val="32"/>
      <w:szCs w:val="20"/>
    </w:rPr>
  </w:style>
  <w:style w:type="paragraph" w:customStyle="1" w:styleId="2512">
    <w:name w:val="样式 13 磅 行距: 固定值 23 磅 首行缩进:  2 字符"/>
    <w:basedOn w:val="1"/>
    <w:link w:val="2513"/>
    <w:qFormat/>
    <w:uiPriority w:val="0"/>
    <w:pPr>
      <w:adjustRightInd/>
      <w:snapToGrid/>
      <w:ind w:firstLine="520"/>
    </w:pPr>
    <w:rPr>
      <w:snapToGrid/>
      <w:kern w:val="2"/>
      <w:szCs w:val="20"/>
    </w:rPr>
  </w:style>
  <w:style w:type="character" w:customStyle="1" w:styleId="2513">
    <w:name w:val="样式 13 磅 行距: 固定值 23 磅 首行缩进:  2 字符 Char"/>
    <w:link w:val="2512"/>
    <w:qFormat/>
    <w:uiPriority w:val="0"/>
    <w:rPr>
      <w:rFonts w:ascii="Times New Roman" w:hAnsi="Times New Roman" w:eastAsia="宋体" w:cs="Times New Roman"/>
      <w:sz w:val="26"/>
      <w:szCs w:val="20"/>
      <w14:ligatures w14:val="none"/>
    </w:rPr>
  </w:style>
  <w:style w:type="paragraph" w:customStyle="1" w:styleId="2514">
    <w:name w:val="样式 13 磅 行距: 固定值 25 磅"/>
    <w:basedOn w:val="1"/>
    <w:qFormat/>
    <w:uiPriority w:val="0"/>
    <w:pPr>
      <w:adjustRightInd/>
      <w:snapToGrid/>
      <w:spacing w:line="500" w:lineRule="exact"/>
      <w:ind w:firstLine="520"/>
    </w:pPr>
    <w:rPr>
      <w:rFonts w:cs="宋体"/>
      <w:snapToGrid/>
      <w:kern w:val="2"/>
      <w:szCs w:val="20"/>
    </w:rPr>
  </w:style>
  <w:style w:type="paragraph" w:customStyle="1" w:styleId="2515">
    <w:name w:val="样式 haydonli + 首行缩进:  2 字符"/>
    <w:basedOn w:val="1"/>
    <w:qFormat/>
    <w:uiPriority w:val="0"/>
    <w:pPr>
      <w:spacing w:line="400" w:lineRule="exact"/>
      <w:ind w:firstLine="420" w:firstLineChars="0"/>
    </w:pPr>
    <w:rPr>
      <w:rFonts w:ascii="宋体" w:hAnsi="宋体" w:cs="宋体"/>
      <w:szCs w:val="22"/>
    </w:rPr>
  </w:style>
  <w:style w:type="paragraph" w:customStyle="1" w:styleId="2516">
    <w:name w:val="样式 haydonli + 首行缩进:  2 字符1"/>
    <w:basedOn w:val="680"/>
    <w:qFormat/>
    <w:uiPriority w:val="0"/>
    <w:pPr>
      <w:spacing w:line="480" w:lineRule="exact"/>
      <w:ind w:firstLine="480"/>
    </w:pPr>
    <w:rPr>
      <w:rFonts w:ascii="宋体" w:hAnsi="宋体" w:cs="宋体"/>
      <w:szCs w:val="28"/>
    </w:rPr>
  </w:style>
  <w:style w:type="paragraph" w:customStyle="1" w:styleId="2517">
    <w:name w:val="样式 haydonli + 首行缩进:  2 字符2"/>
    <w:basedOn w:val="680"/>
    <w:qFormat/>
    <w:uiPriority w:val="0"/>
    <w:rPr>
      <w:rFonts w:cs="宋体"/>
    </w:rPr>
  </w:style>
  <w:style w:type="paragraph" w:customStyle="1" w:styleId="2518">
    <w:name w:val="样式 Times New Roman 三号 加粗"/>
    <w:basedOn w:val="1"/>
    <w:qFormat/>
    <w:uiPriority w:val="0"/>
    <w:pPr>
      <w:tabs>
        <w:tab w:val="right" w:leader="dot" w:pos="8931"/>
      </w:tabs>
      <w:adjustRightInd/>
      <w:snapToGrid/>
      <w:spacing w:beforeLines="50" w:afterLines="100" w:line="500" w:lineRule="exact"/>
      <w:ind w:firstLine="0" w:firstLineChars="0"/>
      <w:jc w:val="center"/>
      <w:outlineLvl w:val="0"/>
    </w:pPr>
    <w:rPr>
      <w:b/>
      <w:bCs/>
      <w:snapToGrid/>
      <w:kern w:val="44"/>
      <w:sz w:val="32"/>
      <w:szCs w:val="32"/>
    </w:rPr>
  </w:style>
  <w:style w:type="paragraph" w:customStyle="1" w:styleId="2519">
    <w:name w:val="样式 ZW + 首行缩进:  2 字符"/>
    <w:basedOn w:val="1"/>
    <w:link w:val="2520"/>
    <w:qFormat/>
    <w:uiPriority w:val="0"/>
    <w:pPr>
      <w:spacing w:line="560" w:lineRule="exact"/>
    </w:pPr>
    <w:rPr>
      <w:rFonts w:ascii="仿宋_GB2312" w:hAnsi="宋体" w:eastAsia="仿宋_GB2312"/>
      <w:snapToGrid/>
      <w:sz w:val="28"/>
      <w:szCs w:val="28"/>
      <w:lang w:val="zh-CN"/>
    </w:rPr>
  </w:style>
  <w:style w:type="character" w:customStyle="1" w:styleId="2520">
    <w:name w:val="样式 ZW + 首行缩进:  2 字符 Char"/>
    <w:link w:val="2519"/>
    <w:qFormat/>
    <w:uiPriority w:val="0"/>
    <w:rPr>
      <w:rFonts w:ascii="仿宋_GB2312" w:hAnsi="宋体" w:eastAsia="仿宋_GB2312" w:cs="Times New Roman"/>
      <w:kern w:val="0"/>
      <w:sz w:val="28"/>
      <w:szCs w:val="28"/>
      <w:lang w:val="zh-CN"/>
      <w14:ligatures w14:val="none"/>
    </w:rPr>
  </w:style>
  <w:style w:type="paragraph" w:customStyle="1" w:styleId="2521">
    <w:name w:val="样式 报告 + 首行缩进:  2 字符"/>
    <w:basedOn w:val="1"/>
    <w:qFormat/>
    <w:uiPriority w:val="0"/>
    <w:pPr>
      <w:spacing w:line="360" w:lineRule="auto"/>
      <w:ind w:firstLine="480"/>
    </w:pPr>
    <w:rPr>
      <w:rFonts w:ascii="宋体" w:hAnsi="宋体"/>
      <w:snapToGrid/>
      <w:kern w:val="2"/>
      <w:szCs w:val="20"/>
    </w:rPr>
  </w:style>
  <w:style w:type="paragraph" w:customStyle="1" w:styleId="2522">
    <w:name w:val="样式 报告插图 + 首行缩进:  0 字符"/>
    <w:basedOn w:val="1246"/>
    <w:qFormat/>
    <w:uiPriority w:val="0"/>
    <w:pPr>
      <w:ind w:firstLine="0"/>
    </w:pPr>
    <w:rPr>
      <w:rFonts w:cs="宋体"/>
      <w:bCs/>
      <w:sz w:val="24"/>
      <w:szCs w:val="20"/>
    </w:rPr>
  </w:style>
  <w:style w:type="character" w:customStyle="1" w:styleId="2523">
    <w:name w:val="样式 报告书正文 + Times New Roman Char"/>
    <w:qFormat/>
    <w:uiPriority w:val="0"/>
    <w:rPr>
      <w:rFonts w:ascii="黑体" w:hAnsi="宋体"/>
      <w:kern w:val="2"/>
      <w:sz w:val="24"/>
      <w:lang w:bidi="ar-SA"/>
    </w:rPr>
  </w:style>
  <w:style w:type="paragraph" w:customStyle="1" w:styleId="2524">
    <w:name w:val="样式 报告书正文 + Times New Roman1"/>
    <w:basedOn w:val="1252"/>
    <w:link w:val="2525"/>
    <w:qFormat/>
    <w:uiPriority w:val="0"/>
    <w:pPr>
      <w:tabs>
        <w:tab w:val="left" w:pos="180"/>
      </w:tabs>
      <w:adjustRightInd/>
      <w:spacing w:line="360" w:lineRule="auto"/>
      <w:ind w:left="0" w:leftChars="0" w:firstLine="200" w:firstLineChars="200"/>
      <w:textAlignment w:val="baseline"/>
    </w:pPr>
    <w:rPr>
      <w:rFonts w:ascii="黑体"/>
      <w:snapToGrid/>
      <w:sz w:val="24"/>
      <w:szCs w:val="20"/>
    </w:rPr>
  </w:style>
  <w:style w:type="character" w:customStyle="1" w:styleId="2525">
    <w:name w:val="样式 报告书正文 + Times New Roman1 Char Char"/>
    <w:link w:val="2524"/>
    <w:qFormat/>
    <w:uiPriority w:val="0"/>
    <w:rPr>
      <w:rFonts w:ascii="黑体" w:hAnsi="宋体" w:eastAsia="宋体" w:cs="Times New Roman"/>
      <w:kern w:val="0"/>
      <w:sz w:val="24"/>
      <w:szCs w:val="20"/>
      <w14:ligatures w14:val="none"/>
    </w:rPr>
  </w:style>
  <w:style w:type="character" w:customStyle="1" w:styleId="2526">
    <w:name w:val="样式 报告书正文 + Times New Roman1 Char"/>
    <w:qFormat/>
    <w:uiPriority w:val="0"/>
    <w:rPr>
      <w:rFonts w:ascii="黑体" w:hAnsi="宋体"/>
      <w:kern w:val="2"/>
      <w:sz w:val="24"/>
      <w:lang w:bidi="ar-SA"/>
    </w:rPr>
  </w:style>
  <w:style w:type="paragraph" w:customStyle="1" w:styleId="2527">
    <w:name w:val="样式 报告书正文 + 宋体"/>
    <w:basedOn w:val="1252"/>
    <w:link w:val="2528"/>
    <w:qFormat/>
    <w:uiPriority w:val="0"/>
    <w:pPr>
      <w:tabs>
        <w:tab w:val="left" w:pos="180"/>
      </w:tabs>
      <w:adjustRightInd/>
      <w:snapToGrid w:val="0"/>
      <w:spacing w:line="360" w:lineRule="auto"/>
      <w:ind w:left="0" w:leftChars="0" w:firstLine="440" w:firstLineChars="200"/>
      <w:textAlignment w:val="baseline"/>
    </w:pPr>
    <w:rPr>
      <w:rFonts w:ascii="黑体"/>
      <w:snapToGrid/>
      <w:spacing w:val="-10"/>
      <w:sz w:val="24"/>
      <w:szCs w:val="20"/>
    </w:rPr>
  </w:style>
  <w:style w:type="character" w:customStyle="1" w:styleId="2528">
    <w:name w:val="样式 报告书正文 + 宋体 Char Char"/>
    <w:link w:val="2527"/>
    <w:qFormat/>
    <w:uiPriority w:val="0"/>
    <w:rPr>
      <w:rFonts w:ascii="黑体" w:hAnsi="宋体" w:eastAsia="宋体" w:cs="Times New Roman"/>
      <w:spacing w:val="-10"/>
      <w:kern w:val="0"/>
      <w:sz w:val="24"/>
      <w:szCs w:val="20"/>
      <w14:ligatures w14:val="none"/>
    </w:rPr>
  </w:style>
  <w:style w:type="character" w:customStyle="1" w:styleId="2529">
    <w:name w:val="样式 报告书正文 + 宋体 Char"/>
    <w:qFormat/>
    <w:uiPriority w:val="0"/>
    <w:rPr>
      <w:rFonts w:ascii="黑体" w:hAnsi="宋体"/>
      <w:spacing w:val="-10"/>
      <w:kern w:val="2"/>
      <w:sz w:val="24"/>
      <w:lang w:bidi="ar-SA"/>
    </w:rPr>
  </w:style>
  <w:style w:type="paragraph" w:customStyle="1" w:styleId="2530">
    <w:name w:val="样式 报告书正文 + 宋体 黑色 首行缩进:  2 字符 段前: 6 磅 行距: 最小值 23 磅"/>
    <w:qFormat/>
    <w:uiPriority w:val="0"/>
    <w:pPr>
      <w:spacing w:line="460" w:lineRule="atLeast"/>
      <w:ind w:firstLine="480" w:firstLineChars="200"/>
    </w:pPr>
    <w:rPr>
      <w:rFonts w:ascii="宋体" w:hAnsi="宋体" w:eastAsia="宋体" w:cs="宋体"/>
      <w:color w:val="000000"/>
      <w:lang w:val="en-US" w:eastAsia="zh-CN" w:bidi="ar-SA"/>
    </w:rPr>
  </w:style>
  <w:style w:type="paragraph" w:customStyle="1" w:styleId="2531">
    <w:name w:val="样式 报告书正文 + 小四 首行缩进:  2 字符"/>
    <w:basedOn w:val="1"/>
    <w:qFormat/>
    <w:uiPriority w:val="0"/>
    <w:pPr>
      <w:adjustRightInd/>
      <w:snapToGrid/>
      <w:spacing w:line="440" w:lineRule="exact"/>
    </w:pPr>
    <w:rPr>
      <w:snapToGrid/>
      <w:kern w:val="2"/>
    </w:rPr>
  </w:style>
  <w:style w:type="paragraph" w:customStyle="1" w:styleId="2532">
    <w:name w:val="样式 报告书正文 + 自动设置"/>
    <w:basedOn w:val="1252"/>
    <w:qFormat/>
    <w:uiPriority w:val="0"/>
    <w:pPr>
      <w:snapToGrid w:val="0"/>
      <w:spacing w:line="360" w:lineRule="auto"/>
      <w:ind w:left="0" w:leftChars="0" w:firstLine="960" w:firstLineChars="400"/>
      <w:textAlignment w:val="baseline"/>
      <w:outlineLvl w:val="2"/>
    </w:pPr>
    <w:rPr>
      <w:rFonts w:ascii="黑体" w:eastAsia="黑体"/>
      <w:snapToGrid/>
      <w:kern w:val="2"/>
      <w:sz w:val="24"/>
      <w:szCs w:val="24"/>
    </w:rPr>
  </w:style>
  <w:style w:type="paragraph" w:customStyle="1" w:styleId="2533">
    <w:name w:val="样式 报告正文 + 首行缩进:  2 字符"/>
    <w:basedOn w:val="1"/>
    <w:qFormat/>
    <w:uiPriority w:val="0"/>
    <w:pPr>
      <w:keepNext/>
      <w:adjustRightInd/>
      <w:snapToGrid/>
      <w:spacing w:line="500" w:lineRule="exact"/>
      <w:ind w:firstLine="560"/>
      <w:outlineLvl w:val="1"/>
    </w:pPr>
    <w:rPr>
      <w:rFonts w:eastAsia="楷体_GB2312" w:cs="宋体"/>
      <w:snapToGrid/>
      <w:kern w:val="2"/>
      <w:sz w:val="28"/>
      <w:szCs w:val="20"/>
    </w:rPr>
  </w:style>
  <w:style w:type="paragraph" w:customStyle="1" w:styleId="2534">
    <w:name w:val="样式 备注 + 宋体 首行缩进:  2 字符"/>
    <w:basedOn w:val="1297"/>
    <w:qFormat/>
    <w:uiPriority w:val="0"/>
    <w:pPr>
      <w:ind w:firstLine="420"/>
    </w:pPr>
    <w:rPr>
      <w:rFonts w:ascii="宋体" w:cs="宋体"/>
      <w:sz w:val="18"/>
      <w:szCs w:val="20"/>
    </w:rPr>
  </w:style>
  <w:style w:type="paragraph" w:customStyle="1" w:styleId="2535">
    <w:name w:val="样式 标题 （一） + 右侧:  1 字符"/>
    <w:basedOn w:val="1"/>
    <w:semiHidden/>
    <w:qFormat/>
    <w:uiPriority w:val="0"/>
    <w:pPr>
      <w:tabs>
        <w:tab w:val="left" w:pos="917"/>
      </w:tabs>
      <w:adjustRightInd/>
      <w:snapToGrid/>
      <w:spacing w:line="360" w:lineRule="auto"/>
      <w:ind w:left="176" w:right="100" w:hanging="435" w:firstLineChars="0"/>
      <w:outlineLvl w:val="1"/>
    </w:pPr>
    <w:rPr>
      <w:rFonts w:ascii="宋体" w:hAnsi="宋体" w:eastAsia="华文仿宋"/>
      <w:kern w:val="28"/>
      <w:szCs w:val="20"/>
    </w:rPr>
  </w:style>
  <w:style w:type="paragraph" w:customStyle="1" w:styleId="2536">
    <w:name w:val="样式 标题 1 +"/>
    <w:basedOn w:val="3"/>
    <w:autoRedefine/>
    <w:qFormat/>
    <w:uiPriority w:val="0"/>
    <w:pPr>
      <w:keepNext/>
      <w:keepLines/>
      <w:numPr>
        <w:numId w:val="0"/>
      </w:numPr>
      <w:adjustRightInd/>
      <w:snapToGrid/>
      <w:spacing w:afterLines="0" w:line="360" w:lineRule="auto"/>
    </w:pPr>
    <w:rPr>
      <w:rFonts w:eastAsia="宋体"/>
      <w:bCs w:val="0"/>
      <w:snapToGrid/>
      <w:color w:val="000000"/>
      <w:sz w:val="28"/>
      <w:szCs w:val="28"/>
    </w:rPr>
  </w:style>
  <w:style w:type="paragraph" w:customStyle="1" w:styleId="2537">
    <w:name w:val="样式 标题 1 + (中文) 黑体 三号"/>
    <w:basedOn w:val="3"/>
    <w:qFormat/>
    <w:uiPriority w:val="0"/>
    <w:pPr>
      <w:keepNext/>
      <w:keepLines/>
      <w:numPr>
        <w:numId w:val="0"/>
      </w:numPr>
      <w:adjustRightInd/>
      <w:snapToGrid/>
      <w:spacing w:before="100" w:beforeAutospacing="1" w:afterLines="0" w:afterAutospacing="1" w:line="480" w:lineRule="auto"/>
    </w:pPr>
    <w:rPr>
      <w:rFonts w:cs="Arial"/>
      <w:b w:val="0"/>
      <w:snapToGrid/>
      <w:szCs w:val="28"/>
    </w:rPr>
  </w:style>
  <w:style w:type="paragraph" w:customStyle="1" w:styleId="2538">
    <w:name w:val="样式 标题 1 + (中文) 黑体 三号 Char"/>
    <w:basedOn w:val="3"/>
    <w:link w:val="2539"/>
    <w:qFormat/>
    <w:uiPriority w:val="0"/>
    <w:pPr>
      <w:keepNext/>
      <w:keepLines/>
      <w:numPr>
        <w:numId w:val="0"/>
      </w:numPr>
      <w:adjustRightInd/>
      <w:snapToGrid/>
      <w:spacing w:before="100" w:beforeAutospacing="1" w:afterLines="0" w:afterAutospacing="1" w:line="480" w:lineRule="auto"/>
    </w:pPr>
    <w:rPr>
      <w:rFonts w:ascii="Arial" w:hAnsi="Arial"/>
      <w:snapToGrid/>
      <w:szCs w:val="28"/>
    </w:rPr>
  </w:style>
  <w:style w:type="character" w:customStyle="1" w:styleId="2539">
    <w:name w:val="样式 标题 1 + (中文) 黑体 三号 Char Char"/>
    <w:link w:val="2538"/>
    <w:qFormat/>
    <w:uiPriority w:val="0"/>
    <w:rPr>
      <w:rFonts w:ascii="Arial" w:hAnsi="Arial" w:eastAsia="黑体" w:cs="Times New Roman"/>
      <w:b/>
      <w:bCs/>
      <w:kern w:val="0"/>
      <w:sz w:val="30"/>
      <w:szCs w:val="28"/>
      <w14:ligatures w14:val="none"/>
    </w:rPr>
  </w:style>
  <w:style w:type="character" w:customStyle="1" w:styleId="2540">
    <w:name w:val="样式 标题 1 + (中文) 黑体 三号 Char Char Char"/>
    <w:qFormat/>
    <w:uiPriority w:val="0"/>
    <w:rPr>
      <w:rFonts w:ascii="Arial" w:hAnsi="Arial" w:eastAsia="黑体" w:cs="Arial"/>
      <w:b/>
      <w:spacing w:val="26"/>
      <w:kern w:val="44"/>
      <w:sz w:val="30"/>
      <w:szCs w:val="44"/>
      <w:lang w:val="en-US" w:eastAsia="zh-CN" w:bidi="ar-SA"/>
    </w:rPr>
  </w:style>
  <w:style w:type="paragraph" w:customStyle="1" w:styleId="2541">
    <w:name w:val="样式 标题 1 + (中文) 楷体_GB2312 小二 段前: 11 磅 段后: 11 磅 行距: 单倍行距"/>
    <w:basedOn w:val="3"/>
    <w:qFormat/>
    <w:uiPriority w:val="0"/>
    <w:pPr>
      <w:keepNext/>
      <w:keepLines/>
      <w:numPr>
        <w:numId w:val="0"/>
      </w:numPr>
      <w:tabs>
        <w:tab w:val="center" w:pos="4252"/>
        <w:tab w:val="left" w:pos="6540"/>
      </w:tabs>
      <w:snapToGrid/>
      <w:spacing w:before="220" w:afterLines="0" w:line="240" w:lineRule="auto"/>
      <w:textAlignment w:val="baseline"/>
    </w:pPr>
    <w:rPr>
      <w:rFonts w:ascii="Calibri" w:hAnsi="宋体" w:eastAsia="楷体_GB2312" w:cs="宋体"/>
      <w:snapToGrid/>
      <w:kern w:val="2"/>
      <w:sz w:val="36"/>
      <w:szCs w:val="20"/>
    </w:rPr>
  </w:style>
  <w:style w:type="paragraph" w:customStyle="1" w:styleId="2542">
    <w:name w:val="样式 标题 1 + Times New Roman 三号 非加粗"/>
    <w:basedOn w:val="3"/>
    <w:autoRedefine/>
    <w:qFormat/>
    <w:uiPriority w:val="0"/>
    <w:pPr>
      <w:numPr>
        <w:numId w:val="0"/>
      </w:numPr>
      <w:suppressLineNumbers/>
      <w:suppressAutoHyphens/>
      <w:spacing w:afterLines="0" w:line="240" w:lineRule="atLeast"/>
      <w:jc w:val="both"/>
      <w:textAlignment w:val="center"/>
    </w:pPr>
    <w:rPr>
      <w:snapToGrid/>
      <w:color w:val="000000"/>
      <w:sz w:val="36"/>
      <w:szCs w:val="36"/>
    </w:rPr>
  </w:style>
  <w:style w:type="paragraph" w:customStyle="1" w:styleId="2543">
    <w:name w:val="样式 标题 1 + Times New Roman 四号 段前: 1 行 段后: 1 行 行距: 单倍行距"/>
    <w:basedOn w:val="3"/>
    <w:qFormat/>
    <w:uiPriority w:val="0"/>
    <w:pPr>
      <w:keepNext/>
      <w:keepLines/>
      <w:numPr>
        <w:numId w:val="0"/>
      </w:numPr>
      <w:adjustRightInd/>
      <w:snapToGrid/>
      <w:spacing w:beforeLines="100" w:line="240" w:lineRule="auto"/>
    </w:pPr>
    <w:rPr>
      <w:rFonts w:eastAsia="宋体" w:cs="宋体"/>
      <w:snapToGrid/>
      <w:kern w:val="44"/>
      <w:sz w:val="32"/>
      <w:szCs w:val="20"/>
    </w:rPr>
  </w:style>
  <w:style w:type="paragraph" w:customStyle="1" w:styleId="2544">
    <w:name w:val="样式 标题 1 + 段后: 7.8 磅"/>
    <w:basedOn w:val="3"/>
    <w:qFormat/>
    <w:uiPriority w:val="0"/>
    <w:pPr>
      <w:numPr>
        <w:numId w:val="0"/>
      </w:numPr>
      <w:pBdr>
        <w:bottom w:val="single" w:color="365F91" w:sz="12" w:space="1"/>
      </w:pBdr>
      <w:adjustRightInd/>
      <w:snapToGrid/>
      <w:spacing w:before="600" w:afterLines="0" w:line="240" w:lineRule="auto"/>
      <w:jc w:val="left"/>
    </w:pPr>
    <w:rPr>
      <w:rFonts w:ascii="Cambria" w:hAnsi="Cambria" w:eastAsia="宋体" w:cs="宋体"/>
      <w:snapToGrid/>
      <w:color w:val="365F91"/>
      <w:sz w:val="24"/>
      <w:szCs w:val="20"/>
    </w:rPr>
  </w:style>
  <w:style w:type="paragraph" w:customStyle="1" w:styleId="2545">
    <w:name w:val="样式 标题 1 + 段前: 0 磅 段后: 0 磅"/>
    <w:basedOn w:val="3"/>
    <w:next w:val="63"/>
    <w:qFormat/>
    <w:uiPriority w:val="0"/>
    <w:pPr>
      <w:keepNext/>
      <w:keepLines/>
      <w:numPr>
        <w:numId w:val="0"/>
      </w:numPr>
      <w:tabs>
        <w:tab w:val="left" w:pos="1125"/>
      </w:tabs>
      <w:adjustRightInd/>
      <w:snapToGrid/>
      <w:spacing w:afterLines="0" w:line="240" w:lineRule="auto"/>
      <w:ind w:left="1125" w:hanging="1125"/>
      <w:jc w:val="both"/>
    </w:pPr>
    <w:rPr>
      <w:rFonts w:ascii="宋体" w:hAnsi="宋体" w:eastAsia="宋体"/>
      <w:snapToGrid/>
      <w:kern w:val="2"/>
      <w:sz w:val="36"/>
      <w:szCs w:val="36"/>
      <w:u w:color="000000"/>
    </w:rPr>
  </w:style>
  <w:style w:type="paragraph" w:customStyle="1" w:styleId="2546">
    <w:name w:val="样式 标题 1 + 段前: 0.5 行 段后: 0.5 行"/>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47">
    <w:name w:val="样式 标题 1 + 段前: 0.5 行 段后: 0.5 行1"/>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48">
    <w:name w:val="样式 标题 1 + 段前: 0.5 行 段后: 0.5 行2"/>
    <w:basedOn w:val="3"/>
    <w:uiPriority w:val="0"/>
    <w:pPr>
      <w:keepNext/>
      <w:keepLines/>
      <w:numPr>
        <w:numId w:val="0"/>
      </w:numPr>
      <w:adjustRightInd/>
      <w:snapToGrid/>
      <w:spacing w:before="340" w:afterLines="0" w:line="578" w:lineRule="auto"/>
      <w:jc w:val="both"/>
    </w:pPr>
    <w:rPr>
      <w:rFonts w:eastAsia="宋体"/>
      <w:snapToGrid/>
    </w:rPr>
  </w:style>
  <w:style w:type="paragraph" w:customStyle="1" w:styleId="2549">
    <w:name w:val="样式 标题 1 + 段前: 1 行 段后: 1 行"/>
    <w:basedOn w:val="3"/>
    <w:next w:val="1"/>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50">
    <w:name w:val="样式 标题 1 + 段前: 18 磅"/>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51">
    <w:name w:val="样式 标题 1 + 段前: 7.8 磅 段后: 7.8 磅"/>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52">
    <w:name w:val="样式 标题 1 + 非加粗 段前: 6 磅 段后: 6 磅"/>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53">
    <w:name w:val="样式 标题 1 + 黑体 三号 非加粗 Char Char Char Char Char Char Char Char Char Char Char Char Char"/>
    <w:basedOn w:val="3"/>
    <w:link w:val="2554"/>
    <w:qFormat/>
    <w:uiPriority w:val="0"/>
    <w:pPr>
      <w:keepNext/>
      <w:keepLines/>
      <w:numPr>
        <w:numId w:val="0"/>
      </w:numPr>
      <w:adjustRightInd/>
      <w:snapToGrid/>
      <w:spacing w:before="100" w:beforeAutospacing="1" w:afterLines="0" w:afterAutospacing="1" w:line="480" w:lineRule="auto"/>
    </w:pPr>
    <w:rPr>
      <w:rFonts w:ascii="黑体" w:hAnsi="黑体" w:eastAsia="宋体"/>
      <w:snapToGrid/>
      <w:szCs w:val="28"/>
    </w:rPr>
  </w:style>
  <w:style w:type="character" w:customStyle="1" w:styleId="2554">
    <w:name w:val="样式 标题 1 + 黑体 三号 非加粗 Char Char Char Char Char Char Char Char Char Char Char Char Char Char"/>
    <w:link w:val="2553"/>
    <w:qFormat/>
    <w:uiPriority w:val="0"/>
    <w:rPr>
      <w:rFonts w:ascii="黑体" w:hAnsi="黑体" w:eastAsia="宋体" w:cs="Times New Roman"/>
      <w:b/>
      <w:bCs/>
      <w:kern w:val="0"/>
      <w:sz w:val="30"/>
      <w:szCs w:val="28"/>
      <w14:ligatures w14:val="none"/>
    </w:rPr>
  </w:style>
  <w:style w:type="character" w:customStyle="1" w:styleId="2555">
    <w:name w:val="样式 标题 1 + 黑体 三号 非加粗 Char Char Char Char Char Char Char Char Char Char Char Char Char Char Char"/>
    <w:qFormat/>
    <w:uiPriority w:val="0"/>
    <w:rPr>
      <w:rFonts w:ascii="黑体" w:hAnsi="黑体" w:eastAsia="宋体" w:cs="Arial"/>
      <w:b/>
      <w:bCs/>
      <w:spacing w:val="26"/>
      <w:kern w:val="44"/>
      <w:sz w:val="30"/>
      <w:szCs w:val="44"/>
      <w:lang w:val="en-US" w:eastAsia="zh-CN" w:bidi="ar-SA"/>
    </w:rPr>
  </w:style>
  <w:style w:type="paragraph" w:customStyle="1" w:styleId="2556">
    <w:name w:val="样式 标题 1 + 黑体 四号"/>
    <w:basedOn w:val="3"/>
    <w:semiHidden/>
    <w:qFormat/>
    <w:uiPriority w:val="0"/>
    <w:pPr>
      <w:keepNext/>
      <w:keepLines/>
      <w:numPr>
        <w:numId w:val="0"/>
      </w:numPr>
      <w:adjustRightInd/>
      <w:snapToGrid/>
      <w:spacing w:before="340" w:afterLines="0" w:line="578" w:lineRule="auto"/>
      <w:ind w:firstLine="200" w:firstLineChars="200"/>
      <w:jc w:val="both"/>
    </w:pPr>
    <w:rPr>
      <w:rFonts w:ascii="黑体" w:hAnsi="黑体"/>
      <w:b w:val="0"/>
      <w:bCs w:val="0"/>
      <w:snapToGrid/>
      <w:sz w:val="28"/>
      <w:szCs w:val="28"/>
    </w:rPr>
  </w:style>
  <w:style w:type="paragraph" w:customStyle="1" w:styleId="2557">
    <w:name w:val="样式 标题 1 + 黑体 小三"/>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58">
    <w:name w:val="样式 标题 1 + 红色 Char"/>
    <w:basedOn w:val="3"/>
    <w:link w:val="2559"/>
    <w:qFormat/>
    <w:uiPriority w:val="0"/>
    <w:pPr>
      <w:keepNext/>
      <w:keepLines/>
      <w:numPr>
        <w:numId w:val="0"/>
      </w:numPr>
      <w:adjustRightInd/>
      <w:snapToGrid/>
      <w:spacing w:before="340" w:afterLines="0" w:line="578" w:lineRule="auto"/>
      <w:jc w:val="both"/>
    </w:pPr>
    <w:rPr>
      <w:rFonts w:ascii="宋体" w:hAnsi="宋体"/>
      <w:snapToGrid/>
      <w:color w:val="FF0000"/>
      <w:kern w:val="44"/>
      <w:sz w:val="32"/>
      <w:szCs w:val="44"/>
    </w:rPr>
  </w:style>
  <w:style w:type="character" w:customStyle="1" w:styleId="2559">
    <w:name w:val="样式 标题 1 + 红色 Char Char1"/>
    <w:link w:val="2558"/>
    <w:qFormat/>
    <w:uiPriority w:val="0"/>
    <w:rPr>
      <w:rFonts w:ascii="宋体" w:hAnsi="宋体" w:eastAsia="黑体" w:cs="Times New Roman"/>
      <w:b/>
      <w:bCs/>
      <w:color w:val="FF0000"/>
      <w:kern w:val="44"/>
      <w:sz w:val="32"/>
      <w:szCs w:val="44"/>
      <w14:ligatures w14:val="none"/>
    </w:rPr>
  </w:style>
  <w:style w:type="paragraph" w:customStyle="1" w:styleId="2560">
    <w:name w:val="样式 标题 1 + 红色 Char Char"/>
    <w:basedOn w:val="3"/>
    <w:link w:val="2561"/>
    <w:qFormat/>
    <w:uiPriority w:val="0"/>
    <w:pPr>
      <w:keepNext/>
      <w:keepLines/>
      <w:numPr>
        <w:numId w:val="0"/>
      </w:numPr>
      <w:adjustRightInd/>
      <w:snapToGrid/>
      <w:spacing w:before="340" w:afterLines="0" w:line="578" w:lineRule="auto"/>
      <w:jc w:val="both"/>
    </w:pPr>
    <w:rPr>
      <w:b w:val="0"/>
      <w:snapToGrid/>
      <w:color w:val="FF0000"/>
      <w:kern w:val="44"/>
      <w:sz w:val="32"/>
      <w:szCs w:val="44"/>
    </w:rPr>
  </w:style>
  <w:style w:type="character" w:customStyle="1" w:styleId="2561">
    <w:name w:val="样式 标题 1 + 红色 Char Char Char Char Char Char Char Char"/>
    <w:link w:val="2560"/>
    <w:qFormat/>
    <w:uiPriority w:val="0"/>
    <w:rPr>
      <w:rFonts w:ascii="Times New Roman" w:hAnsi="Times New Roman" w:eastAsia="黑体" w:cs="Times New Roman"/>
      <w:bCs/>
      <w:color w:val="FF0000"/>
      <w:kern w:val="44"/>
      <w:sz w:val="32"/>
      <w:szCs w:val="44"/>
      <w14:ligatures w14:val="none"/>
    </w:rPr>
  </w:style>
  <w:style w:type="character" w:customStyle="1" w:styleId="2562">
    <w:name w:val="样式 标题 1 + 红色 Char Char Char"/>
    <w:qFormat/>
    <w:uiPriority w:val="0"/>
    <w:rPr>
      <w:rFonts w:eastAsia="黑体"/>
      <w:bCs/>
      <w:color w:val="FF0000"/>
      <w:kern w:val="44"/>
      <w:sz w:val="32"/>
      <w:szCs w:val="44"/>
      <w:lang w:val="en-US" w:eastAsia="zh-CN" w:bidi="ar-SA"/>
    </w:rPr>
  </w:style>
  <w:style w:type="paragraph" w:customStyle="1" w:styleId="2563">
    <w:name w:val="样式 标题 1 + 红色 Char Char Char Char"/>
    <w:basedOn w:val="3"/>
    <w:link w:val="2564"/>
    <w:qFormat/>
    <w:uiPriority w:val="0"/>
    <w:pPr>
      <w:keepNext/>
      <w:keepLines/>
      <w:numPr>
        <w:numId w:val="0"/>
      </w:numPr>
      <w:adjustRightInd/>
      <w:snapToGrid/>
      <w:spacing w:before="340" w:afterLines="0" w:line="578" w:lineRule="auto"/>
      <w:jc w:val="both"/>
    </w:pPr>
    <w:rPr>
      <w:b w:val="0"/>
      <w:snapToGrid/>
      <w:color w:val="FF0000"/>
      <w:kern w:val="44"/>
      <w:szCs w:val="44"/>
    </w:rPr>
  </w:style>
  <w:style w:type="character" w:customStyle="1" w:styleId="2564">
    <w:name w:val="样式 标题 1 + 红色 Char Char Char Char Char Char Char"/>
    <w:link w:val="2563"/>
    <w:qFormat/>
    <w:uiPriority w:val="0"/>
    <w:rPr>
      <w:rFonts w:ascii="Times New Roman" w:hAnsi="Times New Roman" w:eastAsia="黑体" w:cs="Times New Roman"/>
      <w:bCs/>
      <w:color w:val="FF0000"/>
      <w:kern w:val="44"/>
      <w:sz w:val="30"/>
      <w:szCs w:val="44"/>
      <w14:ligatures w14:val="none"/>
    </w:rPr>
  </w:style>
  <w:style w:type="character" w:customStyle="1" w:styleId="2565">
    <w:name w:val="样式 标题 1 + 红色 Char Char Char Char Char"/>
    <w:uiPriority w:val="0"/>
    <w:rPr>
      <w:rFonts w:eastAsia="黑体"/>
      <w:bCs/>
      <w:color w:val="FF0000"/>
      <w:kern w:val="44"/>
      <w:sz w:val="30"/>
      <w:szCs w:val="44"/>
      <w:lang w:val="en-US" w:eastAsia="zh-CN" w:bidi="ar-SA"/>
    </w:rPr>
  </w:style>
  <w:style w:type="paragraph" w:customStyle="1" w:styleId="2566">
    <w:name w:val="样式 标题 1 + 加粗"/>
    <w:basedOn w:val="3"/>
    <w:qFormat/>
    <w:uiPriority w:val="0"/>
    <w:pPr>
      <w:keepNext/>
      <w:keepLines/>
      <w:numPr>
        <w:numId w:val="0"/>
      </w:numPr>
      <w:tabs>
        <w:tab w:val="left" w:pos="425"/>
      </w:tabs>
      <w:adjustRightInd/>
      <w:snapToGrid/>
      <w:spacing w:before="100" w:beforeAutospacing="1" w:afterLines="0" w:afterAutospacing="1" w:line="480" w:lineRule="auto"/>
    </w:pPr>
    <w:rPr>
      <w:rFonts w:cs="Arial"/>
      <w:snapToGrid/>
      <w:sz w:val="28"/>
    </w:rPr>
  </w:style>
  <w:style w:type="paragraph" w:customStyle="1" w:styleId="2567">
    <w:name w:val="样式 标题 1 + 加粗1"/>
    <w:basedOn w:val="3"/>
    <w:qFormat/>
    <w:uiPriority w:val="0"/>
    <w:pPr>
      <w:keepNext/>
      <w:keepLines/>
      <w:numPr>
        <w:numId w:val="0"/>
      </w:numPr>
      <w:tabs>
        <w:tab w:val="left" w:pos="425"/>
      </w:tabs>
      <w:adjustRightInd/>
      <w:snapToGrid/>
      <w:spacing w:before="100" w:beforeAutospacing="1" w:afterLines="0" w:afterAutospacing="1" w:line="480" w:lineRule="auto"/>
    </w:pPr>
    <w:rPr>
      <w:rFonts w:cs="Arial"/>
      <w:snapToGrid/>
      <w:sz w:val="28"/>
    </w:rPr>
  </w:style>
  <w:style w:type="paragraph" w:customStyle="1" w:styleId="2568">
    <w:name w:val="样式 标题 1 + 加粗2"/>
    <w:basedOn w:val="3"/>
    <w:qFormat/>
    <w:uiPriority w:val="0"/>
    <w:pPr>
      <w:keepNext/>
      <w:keepLines/>
      <w:numPr>
        <w:numId w:val="0"/>
      </w:numPr>
      <w:tabs>
        <w:tab w:val="left" w:pos="425"/>
      </w:tabs>
      <w:adjustRightInd/>
      <w:snapToGrid/>
      <w:spacing w:afterLines="0" w:line="240" w:lineRule="auto"/>
    </w:pPr>
    <w:rPr>
      <w:rFonts w:cs="Arial"/>
      <w:snapToGrid/>
      <w:sz w:val="32"/>
    </w:rPr>
  </w:style>
  <w:style w:type="paragraph" w:customStyle="1" w:styleId="2569">
    <w:name w:val="样式 标题 1 + 居中"/>
    <w:basedOn w:val="3"/>
    <w:qFormat/>
    <w:uiPriority w:val="0"/>
    <w:pPr>
      <w:keepNext/>
      <w:keepLines/>
      <w:numPr>
        <w:numId w:val="0"/>
      </w:numPr>
      <w:adjustRightInd/>
      <w:snapToGrid/>
      <w:spacing w:beforeLines="20" w:afterLines="20" w:line="360" w:lineRule="auto"/>
    </w:pPr>
    <w:rPr>
      <w:rFonts w:cs="宋体"/>
      <w:snapToGrid/>
      <w:kern w:val="44"/>
      <w:sz w:val="36"/>
      <w:szCs w:val="20"/>
    </w:rPr>
  </w:style>
  <w:style w:type="paragraph" w:customStyle="1" w:styleId="2570">
    <w:name w:val="样式 标题 1 + 居中 段前: 12 磅 段后: 6 磅"/>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71">
    <w:name w:val="样式 标题 1 + 居中 段前: 18 磅 段后: 18 磅 行距: 单倍行距"/>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72">
    <w:name w:val="样式 标题 1 + 两端对齐"/>
    <w:basedOn w:val="3"/>
    <w:qFormat/>
    <w:uiPriority w:val="0"/>
    <w:pPr>
      <w:keepNext/>
      <w:keepLines/>
      <w:numPr>
        <w:numId w:val="0"/>
      </w:numPr>
      <w:tabs>
        <w:tab w:val="left" w:pos="425"/>
      </w:tabs>
      <w:adjustRightInd/>
      <w:snapToGrid/>
      <w:spacing w:before="100" w:beforeAutospacing="1" w:afterLines="0" w:afterAutospacing="1" w:line="480" w:lineRule="auto"/>
      <w:jc w:val="both"/>
    </w:pPr>
    <w:rPr>
      <w:rFonts w:cs="宋体"/>
      <w:b w:val="0"/>
      <w:snapToGrid/>
      <w:sz w:val="32"/>
    </w:rPr>
  </w:style>
  <w:style w:type="paragraph" w:customStyle="1" w:styleId="2573">
    <w:name w:val="样式 标题 1 + 首行缩进:  0 字符"/>
    <w:basedOn w:val="4"/>
    <w:qFormat/>
    <w:uiPriority w:val="0"/>
    <w:pPr>
      <w:numPr>
        <w:ilvl w:val="0"/>
        <w:numId w:val="0"/>
      </w:numPr>
      <w:adjustRightInd/>
      <w:snapToGrid/>
      <w:spacing w:line="360" w:lineRule="auto"/>
    </w:pPr>
    <w:rPr>
      <w:rFonts w:ascii="Arial" w:hAnsi="Arial" w:cs="宋体"/>
      <w:b w:val="0"/>
      <w:bCs/>
      <w:snapToGrid/>
      <w:sz w:val="32"/>
      <w:szCs w:val="20"/>
    </w:rPr>
  </w:style>
  <w:style w:type="paragraph" w:customStyle="1" w:styleId="2574">
    <w:name w:val="样式 标题 1 + 首行缩进:  2 字符"/>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75">
    <w:name w:val="样式 标题 1 + 宋体"/>
    <w:basedOn w:val="3"/>
    <w:autoRedefine/>
    <w:qFormat/>
    <w:uiPriority w:val="0"/>
    <w:pPr>
      <w:keepNext/>
      <w:numPr>
        <w:numId w:val="0"/>
      </w:numPr>
      <w:adjustRightInd/>
      <w:snapToGrid/>
      <w:spacing w:before="340" w:after="330" w:line="240" w:lineRule="auto"/>
    </w:pPr>
    <w:rPr>
      <w:rFonts w:ascii="宋体" w:hAnsi="宋体" w:eastAsia="宋体"/>
      <w:bCs w:val="0"/>
      <w:sz w:val="32"/>
    </w:rPr>
  </w:style>
  <w:style w:type="character" w:customStyle="1" w:styleId="2576">
    <w:name w:val="样式 标题 1 + 宋体 Char"/>
    <w:qFormat/>
    <w:uiPriority w:val="0"/>
    <w:rPr>
      <w:rFonts w:ascii="宋体" w:hAnsi="宋体" w:eastAsia="宋体" w:cs="Times New Roman"/>
      <w:b/>
      <w:snapToGrid w:val="0"/>
      <w:kern w:val="44"/>
      <w:sz w:val="32"/>
      <w:szCs w:val="32"/>
      <w:lang w:val="en-US" w:eastAsia="zh-CN" w:bidi="ar-SA"/>
    </w:rPr>
  </w:style>
  <w:style w:type="paragraph" w:customStyle="1" w:styleId="2577">
    <w:name w:val="样式 标题 1 + 宋体 黑色"/>
    <w:basedOn w:val="3"/>
    <w:link w:val="2578"/>
    <w:qFormat/>
    <w:uiPriority w:val="0"/>
    <w:pPr>
      <w:keepNext/>
      <w:keepLines/>
      <w:numPr>
        <w:numId w:val="0"/>
      </w:numPr>
      <w:adjustRightInd/>
      <w:snapToGrid/>
      <w:spacing w:before="340" w:afterLines="0" w:line="578" w:lineRule="auto"/>
      <w:jc w:val="both"/>
    </w:pPr>
    <w:rPr>
      <w:rFonts w:ascii="宋体" w:hAnsi="宋体" w:eastAsia="宋体"/>
      <w:snapToGrid/>
      <w:color w:val="000000"/>
      <w:sz w:val="32"/>
      <w:szCs w:val="44"/>
    </w:rPr>
  </w:style>
  <w:style w:type="character" w:customStyle="1" w:styleId="2578">
    <w:name w:val="样式 标题 1 + 宋体 黑色 Char Char"/>
    <w:link w:val="2577"/>
    <w:qFormat/>
    <w:uiPriority w:val="0"/>
    <w:rPr>
      <w:rFonts w:ascii="宋体" w:hAnsi="宋体" w:eastAsia="宋体" w:cs="Times New Roman"/>
      <w:b/>
      <w:bCs/>
      <w:color w:val="000000"/>
      <w:kern w:val="0"/>
      <w:sz w:val="32"/>
      <w:szCs w:val="44"/>
      <w14:ligatures w14:val="none"/>
    </w:rPr>
  </w:style>
  <w:style w:type="character" w:customStyle="1" w:styleId="2579">
    <w:name w:val="样式 标题 1 + 宋体 黑色 Char"/>
    <w:qFormat/>
    <w:uiPriority w:val="0"/>
    <w:rPr>
      <w:rFonts w:ascii="宋体" w:hAnsi="宋体" w:eastAsia="宋体"/>
      <w:b/>
      <w:bCs/>
      <w:color w:val="000000"/>
      <w:sz w:val="32"/>
      <w:szCs w:val="44"/>
      <w:lang w:val="en-US" w:eastAsia="zh-CN" w:bidi="ar-SA"/>
    </w:rPr>
  </w:style>
  <w:style w:type="paragraph" w:customStyle="1" w:styleId="2580">
    <w:name w:val="样式 标题 1 + 行距: 多倍行距 2.5 字行"/>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81">
    <w:name w:val="样式 标题 1 + 左侧:  0.39 厘米"/>
    <w:basedOn w:val="3"/>
    <w:qFormat/>
    <w:uiPriority w:val="0"/>
    <w:pPr>
      <w:keepNext/>
      <w:numPr>
        <w:numId w:val="0"/>
      </w:numPr>
      <w:adjustRightInd/>
      <w:snapToGrid/>
      <w:spacing w:afterLines="0" w:line="360" w:lineRule="auto"/>
      <w:ind w:left="1644" w:hanging="1644"/>
      <w:jc w:val="left"/>
    </w:pPr>
    <w:rPr>
      <w:rFonts w:ascii="宋体"/>
      <w:b w:val="0"/>
      <w:bCs w:val="0"/>
      <w:snapToGrid/>
      <w:szCs w:val="20"/>
    </w:rPr>
  </w:style>
  <w:style w:type="paragraph" w:customStyle="1" w:styleId="2582">
    <w:name w:val="样式 标题 1标题 1XW式样bh11st levelSection Headl1章标题 1featurehea..."/>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83">
    <w:name w:val="样式 标题 1篇标题 1 Char标题 1 11 ghostgghost1 ghost1g1ghost11 ..."/>
    <w:basedOn w:val="3"/>
    <w:qFormat/>
    <w:uiPriority w:val="0"/>
    <w:pPr>
      <w:keepNext/>
      <w:keepLines/>
      <w:numPr>
        <w:numId w:val="0"/>
      </w:numPr>
      <w:tabs>
        <w:tab w:val="left" w:pos="425"/>
      </w:tabs>
      <w:adjustRightInd/>
      <w:snapToGrid/>
      <w:spacing w:before="340" w:afterLines="50" w:line="480" w:lineRule="auto"/>
      <w:ind w:left="425" w:hanging="425"/>
      <w:jc w:val="both"/>
    </w:pPr>
    <w:rPr>
      <w:rFonts w:ascii="黑体" w:cs="宋体"/>
      <w:snapToGrid/>
      <w:sz w:val="32"/>
      <w:szCs w:val="20"/>
    </w:rPr>
  </w:style>
  <w:style w:type="paragraph" w:customStyle="1" w:styleId="2584">
    <w:name w:val="样式 标题 1篇标题 1 Char标题 1 11 ghostgghost1 ghost1g1ghost11 ...1"/>
    <w:basedOn w:val="3"/>
    <w:link w:val="2585"/>
    <w:qFormat/>
    <w:uiPriority w:val="0"/>
    <w:pPr>
      <w:keepNext/>
      <w:keepLines/>
      <w:numPr>
        <w:numId w:val="0"/>
      </w:numPr>
      <w:tabs>
        <w:tab w:val="left" w:pos="507"/>
      </w:tabs>
      <w:adjustRightInd/>
      <w:snapToGrid/>
      <w:spacing w:before="340" w:afterLines="50" w:line="240" w:lineRule="auto"/>
      <w:ind w:left="507" w:hanging="432"/>
      <w:jc w:val="both"/>
    </w:pPr>
    <w:rPr>
      <w:snapToGrid/>
      <w:sz w:val="24"/>
    </w:rPr>
  </w:style>
  <w:style w:type="character" w:customStyle="1" w:styleId="2585">
    <w:name w:val="样式 标题 1篇标题 1 Char标题 1 11 ghostgghost1 ghost1g1ghost11 ...1 Char"/>
    <w:link w:val="2584"/>
    <w:qFormat/>
    <w:uiPriority w:val="0"/>
    <w:rPr>
      <w:rFonts w:ascii="Times New Roman" w:hAnsi="Times New Roman" w:eastAsia="黑体" w:cs="Times New Roman"/>
      <w:b/>
      <w:bCs/>
      <w:kern w:val="0"/>
      <w:sz w:val="24"/>
      <w:szCs w:val="32"/>
      <w14:ligatures w14:val="none"/>
    </w:rPr>
  </w:style>
  <w:style w:type="paragraph" w:customStyle="1" w:styleId="2586">
    <w:name w:val="样式 标题 1篇宋二 + 段前: 2 行"/>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87">
    <w:name w:val="样式 标题 1章 + (中文) 黑体 三号"/>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88">
    <w:name w:val="样式 标题 1章 + (中文) 黑体 三号 居中 段前: 15 磅 段后: 16 磅 行距: 最小值 28 磅"/>
    <w:basedOn w:val="3"/>
    <w:qFormat/>
    <w:uiPriority w:val="0"/>
    <w:pPr>
      <w:keepNext/>
      <w:keepLines/>
      <w:numPr>
        <w:numId w:val="0"/>
      </w:numPr>
      <w:adjustRightInd/>
      <w:snapToGrid/>
      <w:spacing w:before="340" w:afterLines="0" w:line="578" w:lineRule="auto"/>
      <w:jc w:val="both"/>
    </w:pPr>
    <w:rPr>
      <w:rFonts w:eastAsia="宋体"/>
      <w:snapToGrid/>
    </w:rPr>
  </w:style>
  <w:style w:type="paragraph" w:customStyle="1" w:styleId="2589">
    <w:name w:val="样式 标题 1章 + Times New Roman 二号 非加粗"/>
    <w:basedOn w:val="3"/>
    <w:qFormat/>
    <w:uiPriority w:val="0"/>
    <w:pPr>
      <w:numPr>
        <w:numId w:val="0"/>
      </w:numPr>
      <w:pBdr>
        <w:bottom w:val="single" w:color="365F91" w:sz="12" w:space="1"/>
      </w:pBdr>
      <w:adjustRightInd/>
      <w:snapToGrid/>
      <w:spacing w:before="40" w:afterLines="0" w:line="240" w:lineRule="auto"/>
      <w:jc w:val="left"/>
    </w:pPr>
    <w:rPr>
      <w:rFonts w:ascii="Cambria" w:hAnsi="Cambria" w:eastAsia="宋体"/>
      <w:bCs w:val="0"/>
      <w:snapToGrid/>
      <w:color w:val="000000"/>
      <w:sz w:val="24"/>
      <w:szCs w:val="20"/>
    </w:rPr>
  </w:style>
  <w:style w:type="paragraph" w:customStyle="1" w:styleId="2590">
    <w:name w:val="样式 标题 1章名11121314151111211311611212213217113123..."/>
    <w:basedOn w:val="3"/>
    <w:autoRedefine/>
    <w:semiHidden/>
    <w:qFormat/>
    <w:uiPriority w:val="0"/>
    <w:pPr>
      <w:keepNext/>
      <w:keepLines/>
      <w:numPr>
        <w:numId w:val="0"/>
      </w:numPr>
      <w:adjustRightInd/>
      <w:snapToGrid/>
      <w:spacing w:beforeLines="50" w:afterLines="50" w:line="240" w:lineRule="auto"/>
      <w:ind w:firstLine="200" w:firstLineChars="200"/>
    </w:pPr>
    <w:rPr>
      <w:rFonts w:ascii="宋体" w:hAnsi="宋体" w:eastAsia="宋体"/>
      <w:snapToGrid/>
      <w:kern w:val="2"/>
      <w:sz w:val="32"/>
    </w:rPr>
  </w:style>
  <w:style w:type="paragraph" w:customStyle="1" w:styleId="2591">
    <w:name w:val="样式 标题 2"/>
    <w:basedOn w:val="4"/>
    <w:qFormat/>
    <w:uiPriority w:val="0"/>
    <w:pPr>
      <w:numPr>
        <w:ilvl w:val="0"/>
        <w:numId w:val="0"/>
      </w:numPr>
      <w:adjustRightInd/>
      <w:snapToGrid/>
      <w:spacing w:after="120" w:line="360" w:lineRule="auto"/>
    </w:pPr>
    <w:rPr>
      <w:rFonts w:ascii="Arial" w:hAnsi="Arial"/>
      <w:snapToGrid/>
    </w:rPr>
  </w:style>
  <w:style w:type="paragraph" w:customStyle="1" w:styleId="2592">
    <w:name w:val="样式 标题 2 +"/>
    <w:basedOn w:val="4"/>
    <w:link w:val="2593"/>
    <w:qFormat/>
    <w:uiPriority w:val="0"/>
    <w:pPr>
      <w:numPr>
        <w:ilvl w:val="0"/>
        <w:numId w:val="0"/>
      </w:numPr>
      <w:tabs>
        <w:tab w:val="left" w:pos="-108"/>
      </w:tabs>
      <w:adjustRightInd/>
      <w:snapToGrid/>
      <w:spacing w:line="300" w:lineRule="auto"/>
    </w:pPr>
    <w:rPr>
      <w:rFonts w:ascii="宋体"/>
      <w:bCs/>
      <w:snapToGrid/>
      <w:spacing w:val="-8"/>
      <w:szCs w:val="20"/>
    </w:rPr>
  </w:style>
  <w:style w:type="character" w:customStyle="1" w:styleId="2593">
    <w:name w:val="样式 标题 2 + Char"/>
    <w:link w:val="2592"/>
    <w:qFormat/>
    <w:uiPriority w:val="0"/>
    <w:rPr>
      <w:rFonts w:ascii="宋体" w:hAnsi="Times New Roman" w:eastAsia="宋体" w:cs="Times New Roman"/>
      <w:b/>
      <w:bCs/>
      <w:spacing w:val="-8"/>
      <w:kern w:val="0"/>
      <w:sz w:val="26"/>
      <w:szCs w:val="20"/>
      <w14:ligatures w14:val="none"/>
    </w:rPr>
  </w:style>
  <w:style w:type="paragraph" w:customStyle="1" w:styleId="2594">
    <w:name w:val="样式 标题 2 + (符号) 黑体"/>
    <w:basedOn w:val="4"/>
    <w:qFormat/>
    <w:uiPriority w:val="0"/>
    <w:pPr>
      <w:numPr>
        <w:ilvl w:val="0"/>
        <w:numId w:val="0"/>
      </w:numPr>
      <w:adjustRightInd/>
      <w:snapToGrid/>
      <w:spacing w:after="120" w:line="360" w:lineRule="auto"/>
    </w:pPr>
    <w:rPr>
      <w:rFonts w:ascii="Arial" w:hAnsi="Arial"/>
      <w:snapToGrid/>
    </w:rPr>
  </w:style>
  <w:style w:type="paragraph" w:customStyle="1" w:styleId="2595">
    <w:name w:val="样式 标题 2 + (西文) Times New Roman (中文) 宋体 小三 段前: 6 磅 段后: 6 磅 行..."/>
    <w:basedOn w:val="4"/>
    <w:qFormat/>
    <w:uiPriority w:val="0"/>
    <w:pPr>
      <w:numPr>
        <w:ilvl w:val="0"/>
        <w:numId w:val="0"/>
      </w:numPr>
      <w:snapToGrid/>
      <w:spacing w:line="500" w:lineRule="exact"/>
    </w:pPr>
    <w:rPr>
      <w:rFonts w:ascii="Calibri" w:hAnsi="Calibri" w:cs="宋体"/>
      <w:bCs/>
      <w:snapToGrid/>
      <w:szCs w:val="30"/>
    </w:rPr>
  </w:style>
  <w:style w:type="character" w:customStyle="1" w:styleId="2596">
    <w:name w:val="样式 标题 2 + (西文) Times New Roman (中文) 宋体 小三 段前: 6 磅 段后: 6 磅 行... Char"/>
    <w:qFormat/>
    <w:uiPriority w:val="0"/>
    <w:rPr>
      <w:rFonts w:ascii="Cambria" w:hAnsi="Cambria" w:eastAsia="宋体" w:cs="宋体"/>
      <w:b/>
      <w:bCs/>
      <w:kern w:val="2"/>
      <w:sz w:val="30"/>
      <w:szCs w:val="30"/>
      <w:lang w:val="en-US" w:eastAsia="zh-CN" w:bidi="ar-SA"/>
    </w:rPr>
  </w:style>
  <w:style w:type="paragraph" w:customStyle="1" w:styleId="2597">
    <w:name w:val="样式 标题 2 + (中文) 黑体 四号"/>
    <w:basedOn w:val="4"/>
    <w:qFormat/>
    <w:uiPriority w:val="0"/>
    <w:pPr>
      <w:numPr>
        <w:ilvl w:val="0"/>
        <w:numId w:val="0"/>
      </w:numPr>
      <w:adjustRightInd/>
      <w:snapToGrid/>
      <w:spacing w:beforeAutospacing="1" w:after="100" w:afterAutospacing="1" w:line="360" w:lineRule="auto"/>
    </w:pPr>
    <w:rPr>
      <w:rFonts w:eastAsia="Times New Roman"/>
      <w:b w:val="0"/>
      <w:snapToGrid/>
      <w:szCs w:val="28"/>
    </w:rPr>
  </w:style>
  <w:style w:type="paragraph" w:customStyle="1" w:styleId="2598">
    <w:name w:val="样式 标题 2 + (中文) 华文中宋 四号"/>
    <w:basedOn w:val="4"/>
    <w:qFormat/>
    <w:uiPriority w:val="0"/>
    <w:pPr>
      <w:numPr>
        <w:ilvl w:val="0"/>
        <w:numId w:val="0"/>
      </w:numPr>
      <w:adjustRightInd/>
      <w:snapToGrid/>
      <w:spacing w:after="120" w:line="360" w:lineRule="auto"/>
    </w:pPr>
    <w:rPr>
      <w:rFonts w:ascii="Arial" w:hAnsi="Arial"/>
      <w:snapToGrid/>
    </w:rPr>
  </w:style>
  <w:style w:type="paragraph" w:customStyle="1" w:styleId="2599">
    <w:name w:val="样式 标题 2 + Times New Roman"/>
    <w:basedOn w:val="4"/>
    <w:link w:val="2600"/>
    <w:autoRedefine/>
    <w:qFormat/>
    <w:uiPriority w:val="0"/>
    <w:pPr>
      <w:numPr>
        <w:ilvl w:val="0"/>
        <w:numId w:val="0"/>
      </w:numPr>
      <w:adjustRightInd/>
      <w:snapToGrid/>
      <w:spacing w:line="240" w:lineRule="auto"/>
      <w:ind w:firstLine="522" w:firstLineChars="200"/>
    </w:pPr>
    <w:rPr>
      <w:snapToGrid/>
    </w:rPr>
  </w:style>
  <w:style w:type="character" w:customStyle="1" w:styleId="2600">
    <w:name w:val="样式 标题 2 + Times New Roman Char"/>
    <w:link w:val="2599"/>
    <w:qFormat/>
    <w:uiPriority w:val="0"/>
    <w:rPr>
      <w:rFonts w:ascii="Times New Roman" w:hAnsi="Times New Roman" w:eastAsia="宋体" w:cs="Times New Roman"/>
      <w:b/>
      <w:sz w:val="26"/>
      <w:szCs w:val="24"/>
      <w14:ligatures w14:val="none"/>
    </w:rPr>
  </w:style>
  <w:style w:type="paragraph" w:customStyle="1" w:styleId="2601">
    <w:name w:val="样式 标题 2 + Times New Roman 段前: 0 磅 段后: 0 磅"/>
    <w:basedOn w:val="4"/>
    <w:qFormat/>
    <w:uiPriority w:val="0"/>
    <w:pPr>
      <w:numPr>
        <w:ilvl w:val="0"/>
        <w:numId w:val="0"/>
      </w:numPr>
      <w:adjustRightInd/>
      <w:snapToGrid/>
      <w:spacing w:after="120" w:line="360" w:lineRule="auto"/>
    </w:pPr>
    <w:rPr>
      <w:rFonts w:ascii="Arial" w:hAnsi="Arial"/>
      <w:snapToGrid/>
    </w:rPr>
  </w:style>
  <w:style w:type="paragraph" w:customStyle="1" w:styleId="2602">
    <w:name w:val="样式 标题 2 + Times New Roman 段前: 12 磅 段后: 0 磅"/>
    <w:basedOn w:val="4"/>
    <w:qFormat/>
    <w:uiPriority w:val="0"/>
    <w:pPr>
      <w:numPr>
        <w:ilvl w:val="0"/>
        <w:numId w:val="0"/>
      </w:numPr>
      <w:adjustRightInd/>
      <w:snapToGrid/>
      <w:spacing w:after="120" w:line="360" w:lineRule="auto"/>
    </w:pPr>
    <w:rPr>
      <w:rFonts w:ascii="Arial" w:hAnsi="Arial"/>
      <w:snapToGrid/>
    </w:rPr>
  </w:style>
  <w:style w:type="paragraph" w:customStyle="1" w:styleId="2603">
    <w:name w:val="样式 标题 2 + Times New Roman 段前: 12 磅 段后: 0 磅1"/>
    <w:basedOn w:val="4"/>
    <w:qFormat/>
    <w:uiPriority w:val="0"/>
    <w:pPr>
      <w:numPr>
        <w:ilvl w:val="0"/>
        <w:numId w:val="0"/>
      </w:numPr>
      <w:adjustRightInd/>
      <w:snapToGrid/>
      <w:spacing w:after="120" w:line="360" w:lineRule="auto"/>
    </w:pPr>
    <w:rPr>
      <w:rFonts w:ascii="Arial" w:hAnsi="Arial"/>
      <w:snapToGrid/>
    </w:rPr>
  </w:style>
  <w:style w:type="paragraph" w:customStyle="1" w:styleId="2604">
    <w:name w:val="样式 标题 2 + Times New Roman 黑色 左侧:  0 厘米 首行缩进:  0 厘米"/>
    <w:basedOn w:val="4"/>
    <w:qFormat/>
    <w:uiPriority w:val="0"/>
    <w:pPr>
      <w:numPr>
        <w:ilvl w:val="0"/>
        <w:numId w:val="0"/>
      </w:numPr>
      <w:adjustRightInd/>
      <w:snapToGrid/>
      <w:spacing w:after="120" w:line="360" w:lineRule="auto"/>
    </w:pPr>
    <w:rPr>
      <w:rFonts w:ascii="Arial" w:hAnsi="Arial"/>
      <w:snapToGrid/>
    </w:rPr>
  </w:style>
  <w:style w:type="paragraph" w:customStyle="1" w:styleId="2605">
    <w:name w:val="样式 标题 2 + Times New Roman 首行缩进:  2 字符"/>
    <w:basedOn w:val="4"/>
    <w:autoRedefine/>
    <w:qFormat/>
    <w:uiPriority w:val="0"/>
    <w:pPr>
      <w:numPr>
        <w:ilvl w:val="0"/>
        <w:numId w:val="0"/>
      </w:numPr>
      <w:spacing w:line="360" w:lineRule="auto"/>
    </w:pPr>
    <w:rPr>
      <w:szCs w:val="28"/>
    </w:rPr>
  </w:style>
  <w:style w:type="paragraph" w:customStyle="1" w:styleId="2606">
    <w:name w:val="样式 标题 2 + Times New Roman 四号 段前: 自动 段后: 自动 行距: 固定值 20 磅"/>
    <w:basedOn w:val="4"/>
    <w:qFormat/>
    <w:uiPriority w:val="0"/>
    <w:pPr>
      <w:numPr>
        <w:ilvl w:val="0"/>
        <w:numId w:val="0"/>
      </w:numPr>
      <w:adjustRightInd/>
      <w:snapToGrid/>
      <w:spacing w:after="120" w:line="360" w:lineRule="auto"/>
    </w:pPr>
    <w:rPr>
      <w:rFonts w:ascii="Arial" w:hAnsi="Arial"/>
      <w:snapToGrid/>
    </w:rPr>
  </w:style>
  <w:style w:type="paragraph" w:customStyle="1" w:styleId="2607">
    <w:name w:val="样式 标题 2 + Times New Roman 四号 行距: 单倍行距"/>
    <w:basedOn w:val="4"/>
    <w:autoRedefine/>
    <w:qFormat/>
    <w:uiPriority w:val="0"/>
    <w:pPr>
      <w:numPr>
        <w:ilvl w:val="0"/>
        <w:numId w:val="0"/>
      </w:numPr>
      <w:adjustRightInd/>
      <w:snapToGrid/>
      <w:spacing w:line="240" w:lineRule="auto"/>
    </w:pPr>
    <w:rPr>
      <w:rFonts w:cs="宋体"/>
      <w:snapToGrid/>
      <w:spacing w:val="16"/>
      <w:szCs w:val="20"/>
    </w:rPr>
  </w:style>
  <w:style w:type="paragraph" w:customStyle="1" w:styleId="2608">
    <w:name w:val="样式 标题 2 + 段后: 0.5 行"/>
    <w:basedOn w:val="4"/>
    <w:qFormat/>
    <w:uiPriority w:val="0"/>
    <w:pPr>
      <w:numPr>
        <w:ilvl w:val="0"/>
        <w:numId w:val="0"/>
      </w:numPr>
      <w:adjustRightInd/>
      <w:snapToGrid/>
      <w:spacing w:after="120" w:line="360" w:lineRule="auto"/>
    </w:pPr>
    <w:rPr>
      <w:rFonts w:ascii="Arial" w:hAnsi="Arial"/>
      <w:snapToGrid/>
    </w:rPr>
  </w:style>
  <w:style w:type="paragraph" w:customStyle="1" w:styleId="2609">
    <w:name w:val="样式 标题 2 + 段前: 0.5 行"/>
    <w:basedOn w:val="4"/>
    <w:autoRedefine/>
    <w:qFormat/>
    <w:uiPriority w:val="0"/>
    <w:pPr>
      <w:numPr>
        <w:ilvl w:val="0"/>
        <w:numId w:val="0"/>
      </w:numPr>
      <w:suppressLineNumbers/>
      <w:suppressAutoHyphens/>
      <w:spacing w:line="240" w:lineRule="atLeast"/>
      <w:textAlignment w:val="center"/>
      <w:outlineLvl w:val="2"/>
    </w:pPr>
    <w:rPr>
      <w:rFonts w:cs="宋体"/>
      <w:b w:val="0"/>
      <w:snapToGrid/>
      <w:szCs w:val="28"/>
    </w:rPr>
  </w:style>
  <w:style w:type="paragraph" w:customStyle="1" w:styleId="2610">
    <w:name w:val="样式 标题 2 + 段前: 0.5 行 段后: 0.5 行"/>
    <w:basedOn w:val="4"/>
    <w:qFormat/>
    <w:uiPriority w:val="0"/>
    <w:pPr>
      <w:numPr>
        <w:ilvl w:val="0"/>
        <w:numId w:val="0"/>
      </w:numPr>
      <w:adjustRightInd/>
      <w:snapToGrid/>
      <w:spacing w:after="120" w:line="360" w:lineRule="auto"/>
    </w:pPr>
    <w:rPr>
      <w:rFonts w:ascii="Arial" w:hAnsi="Arial"/>
      <w:snapToGrid/>
    </w:rPr>
  </w:style>
  <w:style w:type="paragraph" w:customStyle="1" w:styleId="2611">
    <w:name w:val="样式 标题 2 + 段前: 0.5 行 段后: 0.5 行1"/>
    <w:basedOn w:val="4"/>
    <w:qFormat/>
    <w:uiPriority w:val="0"/>
    <w:pPr>
      <w:numPr>
        <w:ilvl w:val="0"/>
        <w:numId w:val="0"/>
      </w:numPr>
      <w:adjustRightInd/>
      <w:snapToGrid/>
      <w:spacing w:after="120" w:line="360" w:lineRule="auto"/>
    </w:pPr>
    <w:rPr>
      <w:rFonts w:ascii="Arial" w:hAnsi="Arial"/>
      <w:snapToGrid/>
    </w:rPr>
  </w:style>
  <w:style w:type="paragraph" w:customStyle="1" w:styleId="2612">
    <w:name w:val="样式 标题 2 + 段前: 7.8 磅 段后: 0 磅 行距: 固定值 20 磅"/>
    <w:basedOn w:val="4"/>
    <w:autoRedefine/>
    <w:semiHidden/>
    <w:qFormat/>
    <w:uiPriority w:val="0"/>
    <w:pPr>
      <w:numPr>
        <w:ilvl w:val="0"/>
        <w:numId w:val="0"/>
      </w:numPr>
      <w:tabs>
        <w:tab w:val="left" w:pos="1260"/>
      </w:tabs>
      <w:snapToGrid/>
      <w:spacing w:line="400" w:lineRule="exact"/>
      <w:ind w:left="1260" w:hanging="420"/>
    </w:pPr>
    <w:rPr>
      <w:rFonts w:ascii="宋体"/>
      <w:snapToGrid/>
      <w:szCs w:val="28"/>
    </w:rPr>
  </w:style>
  <w:style w:type="paragraph" w:customStyle="1" w:styleId="2613">
    <w:name w:val="样式 标题 2 + 红色"/>
    <w:basedOn w:val="4"/>
    <w:qFormat/>
    <w:uiPriority w:val="0"/>
    <w:pPr>
      <w:numPr>
        <w:ilvl w:val="0"/>
        <w:numId w:val="0"/>
      </w:numPr>
      <w:adjustRightInd/>
      <w:snapToGrid/>
      <w:spacing w:after="120" w:line="360" w:lineRule="auto"/>
    </w:pPr>
    <w:rPr>
      <w:rFonts w:ascii="Arial" w:hAnsi="Arial"/>
      <w:snapToGrid/>
    </w:rPr>
  </w:style>
  <w:style w:type="character" w:customStyle="1" w:styleId="2614">
    <w:name w:val="样式 标题 2 + 红色 Char"/>
    <w:qFormat/>
    <w:uiPriority w:val="0"/>
    <w:rPr>
      <w:rFonts w:ascii="Arial" w:hAnsi="Arial" w:eastAsia="黑体"/>
      <w:b/>
      <w:bCs/>
      <w:color w:val="FF0000"/>
      <w:spacing w:val="-8"/>
      <w:w w:val="100"/>
      <w:kern w:val="2"/>
      <w:sz w:val="28"/>
      <w:szCs w:val="32"/>
      <w:u w:val="none" w:color="000000"/>
      <w:vertAlign w:val="baseline"/>
      <w:lang w:val="en-US" w:eastAsia="zh-CN" w:bidi="ar-SA"/>
    </w:rPr>
  </w:style>
  <w:style w:type="character" w:customStyle="1" w:styleId="2615">
    <w:name w:val="样式 标题 2 + 红色 Char Char"/>
    <w:qFormat/>
    <w:uiPriority w:val="0"/>
    <w:rPr>
      <w:rFonts w:ascii="Arial" w:hAnsi="Arial" w:eastAsia="黑体"/>
      <w:b/>
      <w:bCs/>
      <w:color w:val="FF0000"/>
      <w:spacing w:val="-8"/>
      <w:w w:val="100"/>
      <w:kern w:val="2"/>
      <w:sz w:val="28"/>
      <w:szCs w:val="32"/>
      <w:u w:val="none" w:color="000000"/>
      <w:vertAlign w:val="baseline"/>
      <w:lang w:val="en-US" w:eastAsia="zh-CN" w:bidi="ar-SA"/>
    </w:rPr>
  </w:style>
  <w:style w:type="paragraph" w:customStyle="1" w:styleId="2616">
    <w:name w:val="样式 标题 2 + 居中"/>
    <w:basedOn w:val="4"/>
    <w:qFormat/>
    <w:uiPriority w:val="0"/>
    <w:pPr>
      <w:numPr>
        <w:ilvl w:val="0"/>
        <w:numId w:val="0"/>
      </w:numPr>
      <w:adjustRightInd/>
      <w:snapToGrid/>
      <w:spacing w:afterLines="50" w:line="240" w:lineRule="auto"/>
      <w:jc w:val="center"/>
    </w:pPr>
    <w:rPr>
      <w:rFonts w:ascii="Arial" w:hAnsi="Arial" w:eastAsia="黑体" w:cs="宋体"/>
      <w:bCs/>
      <w:snapToGrid/>
      <w:sz w:val="32"/>
      <w:szCs w:val="20"/>
    </w:rPr>
  </w:style>
  <w:style w:type="paragraph" w:customStyle="1" w:styleId="2617">
    <w:name w:val="样式 标题 2 + 首行缩进:  0 厘米"/>
    <w:basedOn w:val="4"/>
    <w:qFormat/>
    <w:uiPriority w:val="0"/>
    <w:pPr>
      <w:numPr>
        <w:numId w:val="0"/>
      </w:numPr>
      <w:tabs>
        <w:tab w:val="left" w:pos="0"/>
      </w:tabs>
      <w:adjustRightInd/>
      <w:snapToGrid/>
      <w:spacing w:line="300" w:lineRule="auto"/>
      <w:ind w:left="113"/>
    </w:pPr>
    <w:rPr>
      <w:rFonts w:ascii="Arial" w:hAnsi="Arial" w:cs="宋体"/>
      <w:b w:val="0"/>
      <w:bCs/>
      <w:snapToGrid/>
      <w:szCs w:val="20"/>
    </w:rPr>
  </w:style>
  <w:style w:type="paragraph" w:customStyle="1" w:styleId="2618">
    <w:name w:val="样式 标题 2 + 首行缩进:  1.66 字符 段前: 0 磅 段后: 0 磅"/>
    <w:basedOn w:val="4"/>
    <w:qFormat/>
    <w:uiPriority w:val="0"/>
    <w:pPr>
      <w:numPr>
        <w:ilvl w:val="0"/>
        <w:numId w:val="0"/>
      </w:numPr>
      <w:adjustRightInd/>
      <w:snapToGrid/>
      <w:spacing w:after="120" w:line="360" w:lineRule="auto"/>
    </w:pPr>
    <w:rPr>
      <w:rFonts w:ascii="Arial" w:hAnsi="Arial"/>
      <w:snapToGrid/>
    </w:rPr>
  </w:style>
  <w:style w:type="paragraph" w:customStyle="1" w:styleId="2619">
    <w:name w:val="样式 标题 2 + 首行缩进:  2 字符"/>
    <w:basedOn w:val="4"/>
    <w:qFormat/>
    <w:uiPriority w:val="0"/>
    <w:pPr>
      <w:numPr>
        <w:ilvl w:val="0"/>
        <w:numId w:val="0"/>
      </w:numPr>
      <w:adjustRightInd/>
      <w:snapToGrid/>
      <w:spacing w:after="120" w:line="360" w:lineRule="auto"/>
    </w:pPr>
    <w:rPr>
      <w:rFonts w:ascii="Arial" w:hAnsi="Arial"/>
      <w:snapToGrid/>
    </w:rPr>
  </w:style>
  <w:style w:type="paragraph" w:customStyle="1" w:styleId="2620">
    <w:name w:val="样式 标题 2 + 首行缩进:  2 字符1"/>
    <w:basedOn w:val="4"/>
    <w:qFormat/>
    <w:uiPriority w:val="0"/>
    <w:pPr>
      <w:numPr>
        <w:ilvl w:val="0"/>
        <w:numId w:val="0"/>
      </w:numPr>
      <w:adjustRightInd/>
      <w:snapToGrid/>
      <w:spacing w:line="360" w:lineRule="auto"/>
    </w:pPr>
    <w:rPr>
      <w:rFonts w:ascii="Arial" w:hAnsi="Arial" w:cs="宋体"/>
      <w:b w:val="0"/>
      <w:bCs/>
      <w:snapToGrid/>
      <w:szCs w:val="20"/>
    </w:rPr>
  </w:style>
  <w:style w:type="paragraph" w:customStyle="1" w:styleId="2621">
    <w:name w:val="样式 标题 2 + 首行缩进:  2 字符2"/>
    <w:basedOn w:val="4"/>
    <w:qFormat/>
    <w:uiPriority w:val="0"/>
    <w:pPr>
      <w:numPr>
        <w:ilvl w:val="0"/>
        <w:numId w:val="0"/>
      </w:numPr>
      <w:adjustRightInd/>
      <w:snapToGrid/>
      <w:spacing w:line="360" w:lineRule="auto"/>
    </w:pPr>
    <w:rPr>
      <w:rFonts w:ascii="Arial" w:hAnsi="Arial" w:cs="宋体"/>
      <w:b w:val="0"/>
      <w:bCs/>
      <w:snapToGrid/>
      <w:szCs w:val="20"/>
    </w:rPr>
  </w:style>
  <w:style w:type="paragraph" w:customStyle="1" w:styleId="2622">
    <w:name w:val="样式 标题 2 + 四号 非加粗"/>
    <w:basedOn w:val="4"/>
    <w:qFormat/>
    <w:uiPriority w:val="0"/>
    <w:pPr>
      <w:numPr>
        <w:ilvl w:val="0"/>
        <w:numId w:val="0"/>
      </w:numPr>
      <w:adjustRightInd/>
      <w:snapToGrid/>
      <w:spacing w:after="120" w:line="360" w:lineRule="auto"/>
    </w:pPr>
    <w:rPr>
      <w:rFonts w:ascii="Arial" w:hAnsi="Arial"/>
      <w:snapToGrid/>
    </w:rPr>
  </w:style>
  <w:style w:type="paragraph" w:customStyle="1" w:styleId="2623">
    <w:name w:val="样式 标题 2 + 四号 非加粗 左侧:  0.74 厘米"/>
    <w:basedOn w:val="4"/>
    <w:link w:val="2624"/>
    <w:autoRedefine/>
    <w:qFormat/>
    <w:uiPriority w:val="0"/>
    <w:pPr>
      <w:numPr>
        <w:numId w:val="0"/>
      </w:numPr>
      <w:tabs>
        <w:tab w:val="left" w:pos="576"/>
      </w:tabs>
      <w:adjustRightInd/>
      <w:snapToGrid/>
      <w:spacing w:line="360" w:lineRule="auto"/>
      <w:ind w:left="576" w:hanging="576"/>
    </w:pPr>
    <w:rPr>
      <w:b w:val="0"/>
      <w:bCs/>
      <w:snapToGrid/>
      <w:szCs w:val="28"/>
      <w:u w:color="000000"/>
    </w:rPr>
  </w:style>
  <w:style w:type="character" w:customStyle="1" w:styleId="2624">
    <w:name w:val="样式 标题 2 + 四号 非加粗 左侧:  0.74 厘米 Char"/>
    <w:link w:val="2623"/>
    <w:qFormat/>
    <w:uiPriority w:val="0"/>
    <w:rPr>
      <w:rFonts w:ascii="Times New Roman" w:hAnsi="Times New Roman" w:eastAsia="宋体" w:cs="Times New Roman"/>
      <w:bCs/>
      <w:sz w:val="26"/>
      <w:szCs w:val="28"/>
      <w:u w:color="000000"/>
      <w14:ligatures w14:val="none"/>
    </w:rPr>
  </w:style>
  <w:style w:type="paragraph" w:customStyle="1" w:styleId="2625">
    <w:name w:val="样式 标题 2 + 四号 行距: 固定值 18 磅"/>
    <w:basedOn w:val="4"/>
    <w:autoRedefine/>
    <w:qFormat/>
    <w:uiPriority w:val="0"/>
    <w:pPr>
      <w:numPr>
        <w:ilvl w:val="0"/>
        <w:numId w:val="0"/>
      </w:numPr>
      <w:adjustRightInd/>
      <w:snapToGrid/>
      <w:spacing w:beforeAutospacing="1" w:after="100" w:afterAutospacing="1" w:line="240" w:lineRule="auto"/>
    </w:pPr>
    <w:rPr>
      <w:rFonts w:ascii="Arial" w:hAnsi="Arial" w:cs="宋体"/>
      <w:b w:val="0"/>
      <w:snapToGrid/>
      <w:szCs w:val="20"/>
    </w:rPr>
  </w:style>
  <w:style w:type="paragraph" w:customStyle="1" w:styleId="2626">
    <w:name w:val="样式 标题 2 + 宋体 四号"/>
    <w:basedOn w:val="4"/>
    <w:autoRedefine/>
    <w:qFormat/>
    <w:uiPriority w:val="0"/>
    <w:pPr>
      <w:numPr>
        <w:ilvl w:val="0"/>
        <w:numId w:val="0"/>
      </w:numPr>
      <w:adjustRightInd/>
      <w:spacing w:line="240" w:lineRule="auto"/>
    </w:pPr>
    <w:rPr>
      <w:rFonts w:ascii="宋体" w:hAnsi="宋体"/>
      <w:b w:val="0"/>
      <w:snapToGrid/>
    </w:rPr>
  </w:style>
  <w:style w:type="paragraph" w:customStyle="1" w:styleId="2627">
    <w:name w:val="样式 标题 2 + 小三 非加粗 段前: 自动 段后: 自动"/>
    <w:basedOn w:val="4"/>
    <w:qFormat/>
    <w:uiPriority w:val="0"/>
    <w:pPr>
      <w:numPr>
        <w:ilvl w:val="0"/>
        <w:numId w:val="0"/>
      </w:numPr>
      <w:tabs>
        <w:tab w:val="left" w:pos="567"/>
      </w:tabs>
      <w:adjustRightInd/>
      <w:snapToGrid/>
      <w:spacing w:line="240" w:lineRule="auto"/>
    </w:pPr>
    <w:rPr>
      <w:rFonts w:eastAsia="新宋体" w:cs="宋体"/>
      <w:b w:val="0"/>
      <w:bCs/>
      <w:snapToGrid/>
      <w:szCs w:val="30"/>
    </w:rPr>
  </w:style>
  <w:style w:type="paragraph" w:customStyle="1" w:styleId="2628">
    <w:name w:val="样式 标题 2 + 小四"/>
    <w:basedOn w:val="4"/>
    <w:link w:val="2629"/>
    <w:qFormat/>
    <w:uiPriority w:val="0"/>
    <w:pPr>
      <w:numPr>
        <w:ilvl w:val="0"/>
        <w:numId w:val="0"/>
      </w:numPr>
      <w:adjustRightInd/>
      <w:snapToGrid/>
      <w:spacing w:after="120" w:line="360" w:lineRule="auto"/>
    </w:pPr>
    <w:rPr>
      <w:rFonts w:ascii="Arial" w:hAnsi="Arial"/>
      <w:b w:val="0"/>
      <w:bCs/>
      <w:snapToGrid/>
      <w:szCs w:val="32"/>
    </w:rPr>
  </w:style>
  <w:style w:type="character" w:customStyle="1" w:styleId="2629">
    <w:name w:val="样式 标题 2 + 小四 Char Char"/>
    <w:link w:val="2628"/>
    <w:qFormat/>
    <w:uiPriority w:val="0"/>
    <w:rPr>
      <w:rFonts w:ascii="Arial" w:hAnsi="Arial" w:eastAsia="宋体" w:cs="Times New Roman"/>
      <w:bCs/>
      <w:kern w:val="0"/>
      <w:sz w:val="26"/>
      <w:szCs w:val="32"/>
      <w14:ligatures w14:val="none"/>
    </w:rPr>
  </w:style>
  <w:style w:type="character" w:customStyle="1" w:styleId="2630">
    <w:name w:val="样式 标题 2 + 小四 Char"/>
    <w:qFormat/>
    <w:uiPriority w:val="0"/>
    <w:rPr>
      <w:rFonts w:ascii="Arial" w:hAnsi="Arial" w:eastAsia="宋体"/>
      <w:bCs/>
      <w:kern w:val="2"/>
      <w:sz w:val="24"/>
      <w:szCs w:val="32"/>
      <w:lang w:val="en-US" w:eastAsia="zh-CN" w:bidi="ar-SA"/>
    </w:rPr>
  </w:style>
  <w:style w:type="paragraph" w:customStyle="1" w:styleId="2631">
    <w:name w:val="样式 标题 2 + 行距: 1.5 倍行距"/>
    <w:basedOn w:val="4"/>
    <w:qFormat/>
    <w:uiPriority w:val="0"/>
    <w:pPr>
      <w:numPr>
        <w:ilvl w:val="0"/>
        <w:numId w:val="0"/>
      </w:numPr>
      <w:adjustRightInd/>
      <w:snapToGrid/>
      <w:spacing w:after="120" w:line="360" w:lineRule="auto"/>
    </w:pPr>
    <w:rPr>
      <w:rFonts w:ascii="Arial" w:hAnsi="Arial"/>
      <w:snapToGrid/>
    </w:rPr>
  </w:style>
  <w:style w:type="paragraph" w:customStyle="1" w:styleId="2632">
    <w:name w:val="样式 标题 2 + 行距: 单倍行距"/>
    <w:basedOn w:val="4"/>
    <w:qFormat/>
    <w:uiPriority w:val="0"/>
    <w:pPr>
      <w:numPr>
        <w:ilvl w:val="0"/>
        <w:numId w:val="0"/>
      </w:numPr>
      <w:adjustRightInd/>
      <w:snapToGrid/>
      <w:spacing w:after="120" w:line="360" w:lineRule="auto"/>
    </w:pPr>
    <w:rPr>
      <w:rFonts w:ascii="Arial" w:hAnsi="Arial"/>
      <w:snapToGrid/>
    </w:rPr>
  </w:style>
  <w:style w:type="paragraph" w:customStyle="1" w:styleId="2633">
    <w:name w:val="样式 标题 2 + 行距: 固定值 22 磅"/>
    <w:basedOn w:val="4"/>
    <w:semiHidden/>
    <w:qFormat/>
    <w:uiPriority w:val="0"/>
    <w:pPr>
      <w:numPr>
        <w:ilvl w:val="0"/>
        <w:numId w:val="0"/>
      </w:numPr>
      <w:tabs>
        <w:tab w:val="left" w:pos="432"/>
      </w:tabs>
      <w:snapToGrid/>
      <w:spacing w:beforeAutospacing="1" w:after="100" w:afterAutospacing="1" w:line="600" w:lineRule="exact"/>
      <w:ind w:left="432" w:hanging="432"/>
    </w:pPr>
    <w:rPr>
      <w:bCs/>
      <w:snapToGrid/>
      <w:color w:val="0000FF"/>
      <w:sz w:val="48"/>
      <w:szCs w:val="48"/>
    </w:rPr>
  </w:style>
  <w:style w:type="paragraph" w:customStyle="1" w:styleId="2634">
    <w:name w:val="样式 标题 2 + 左侧:  0.37 厘米 右侧:  0.37 厘米"/>
    <w:basedOn w:val="4"/>
    <w:qFormat/>
    <w:uiPriority w:val="0"/>
    <w:pPr>
      <w:numPr>
        <w:ilvl w:val="0"/>
        <w:numId w:val="0"/>
      </w:numPr>
      <w:adjustRightInd/>
      <w:snapToGrid/>
      <w:spacing w:after="240" w:line="415" w:lineRule="auto"/>
      <w:ind w:left="1050" w:leftChars="100" w:right="210" w:rightChars="100"/>
    </w:pPr>
    <w:rPr>
      <w:rFonts w:ascii="Arial" w:hAnsi="Arial" w:cs="宋体"/>
      <w:bCs/>
      <w:snapToGrid/>
      <w:szCs w:val="20"/>
    </w:rPr>
  </w:style>
  <w:style w:type="paragraph" w:customStyle="1" w:styleId="2635">
    <w:name w:val="样式 标题 2 + 左侧:  2 字符"/>
    <w:basedOn w:val="4"/>
    <w:semiHidden/>
    <w:qFormat/>
    <w:uiPriority w:val="0"/>
    <w:pPr>
      <w:numPr>
        <w:ilvl w:val="0"/>
        <w:numId w:val="0"/>
      </w:numPr>
      <w:adjustRightInd/>
      <w:spacing w:line="324" w:lineRule="auto"/>
      <w:ind w:left="100" w:leftChars="100"/>
    </w:pPr>
    <w:rPr>
      <w:rFonts w:ascii="Arial" w:hAnsi="Arial" w:cs="黑体"/>
      <w:bCs/>
      <w:snapToGrid/>
      <w:kern w:val="28"/>
      <w:szCs w:val="20"/>
    </w:rPr>
  </w:style>
  <w:style w:type="paragraph" w:customStyle="1" w:styleId="2636">
    <w:name w:val="样式 标题 21.1.1X.1标题2节标题 1.11.1标题 22nd levelh2Header 2Head..."/>
    <w:basedOn w:val="4"/>
    <w:semiHidden/>
    <w:qFormat/>
    <w:uiPriority w:val="0"/>
    <w:pPr>
      <w:numPr>
        <w:ilvl w:val="0"/>
        <w:numId w:val="0"/>
      </w:numPr>
      <w:adjustRightInd/>
      <w:snapToGrid/>
      <w:spacing w:line="360" w:lineRule="auto"/>
    </w:pPr>
    <w:rPr>
      <w:rFonts w:ascii="黑体" w:hAnsi="黑体" w:cs="宋体"/>
      <w:bCs/>
      <w:snapToGrid/>
      <w:spacing w:val="6"/>
      <w:szCs w:val="20"/>
    </w:rPr>
  </w:style>
  <w:style w:type="paragraph" w:customStyle="1" w:styleId="2637">
    <w:name w:val="样式 标题 21.1.1X.1标题2节标题 1.11.1标题 22nd levelh2Header 2Head...1"/>
    <w:basedOn w:val="4"/>
    <w:semiHidden/>
    <w:qFormat/>
    <w:uiPriority w:val="0"/>
    <w:pPr>
      <w:numPr>
        <w:ilvl w:val="0"/>
        <w:numId w:val="0"/>
      </w:numPr>
      <w:adjustRightInd/>
      <w:snapToGrid/>
      <w:spacing w:line="360" w:lineRule="auto"/>
    </w:pPr>
    <w:rPr>
      <w:rFonts w:ascii="宋体" w:hAnsi="宋体" w:cs="宋体"/>
      <w:bCs/>
      <w:snapToGrid/>
      <w:szCs w:val="20"/>
    </w:rPr>
  </w:style>
  <w:style w:type="paragraph" w:customStyle="1" w:styleId="2638">
    <w:name w:val="样式 标题 2标题 1.1标题21.1H2h2第一层条二级标题标题 lxb2二级标题 Char表标题单位名..."/>
    <w:basedOn w:val="4"/>
    <w:link w:val="2639"/>
    <w:qFormat/>
    <w:uiPriority w:val="0"/>
    <w:pPr>
      <w:numPr>
        <w:ilvl w:val="0"/>
        <w:numId w:val="0"/>
      </w:numPr>
      <w:adjustRightInd/>
      <w:snapToGrid/>
      <w:spacing w:line="415" w:lineRule="auto"/>
      <w:ind w:firstLine="200" w:firstLineChars="200"/>
    </w:pPr>
    <w:rPr>
      <w:snapToGrid/>
      <w:szCs w:val="30"/>
    </w:rPr>
  </w:style>
  <w:style w:type="character" w:customStyle="1" w:styleId="2639">
    <w:name w:val="样式 标题 2标题 1.1标题21.1H2h2第一层条二级标题标题 lxb2二级标题 Char表标题单位名... Char"/>
    <w:link w:val="2638"/>
    <w:qFormat/>
    <w:uiPriority w:val="0"/>
    <w:rPr>
      <w:rFonts w:ascii="Times New Roman" w:hAnsi="Times New Roman" w:eastAsia="宋体" w:cs="Times New Roman"/>
      <w:b/>
      <w:sz w:val="26"/>
      <w:szCs w:val="30"/>
      <w14:ligatures w14:val="none"/>
    </w:rPr>
  </w:style>
  <w:style w:type="paragraph" w:customStyle="1" w:styleId="2640">
    <w:name w:val="样式 标题 2标题 2 Char + 宋体"/>
    <w:basedOn w:val="4"/>
    <w:autoRedefine/>
    <w:qFormat/>
    <w:uiPriority w:val="0"/>
    <w:pPr>
      <w:numPr>
        <w:ilvl w:val="0"/>
        <w:numId w:val="0"/>
      </w:numPr>
      <w:adjustRightInd/>
      <w:snapToGrid/>
      <w:spacing w:after="120" w:line="240" w:lineRule="auto"/>
    </w:pPr>
    <w:rPr>
      <w:rFonts w:ascii="宋体" w:hAnsi="宋体"/>
      <w:snapToGrid/>
      <w:sz w:val="32"/>
    </w:rPr>
  </w:style>
  <w:style w:type="paragraph" w:customStyle="1" w:styleId="2641">
    <w:name w:val="样式 标题 2标题 2 Char Char标题 2XW + 小三 左侧:  0 厘米 首行缩进:  0 厘米 段前: ..."/>
    <w:basedOn w:val="4"/>
    <w:qFormat/>
    <w:uiPriority w:val="0"/>
    <w:pPr>
      <w:numPr>
        <w:ilvl w:val="0"/>
        <w:numId w:val="0"/>
      </w:numPr>
      <w:adjustRightInd/>
      <w:snapToGrid/>
      <w:spacing w:after="120" w:line="360" w:lineRule="auto"/>
    </w:pPr>
    <w:rPr>
      <w:rFonts w:ascii="Arial" w:hAnsi="Arial"/>
      <w:snapToGrid/>
    </w:rPr>
  </w:style>
  <w:style w:type="paragraph" w:customStyle="1" w:styleId="2642">
    <w:name w:val="样式 标题 2标题 2XWh2l22nd levelTitre2Header 2节标题 1.1BSH-2标题 ..."/>
    <w:basedOn w:val="4"/>
    <w:qFormat/>
    <w:uiPriority w:val="0"/>
    <w:pPr>
      <w:numPr>
        <w:ilvl w:val="0"/>
        <w:numId w:val="0"/>
      </w:numPr>
      <w:adjustRightInd/>
      <w:snapToGrid/>
      <w:spacing w:after="120" w:line="360" w:lineRule="auto"/>
    </w:pPr>
    <w:rPr>
      <w:rFonts w:ascii="Arial" w:hAnsi="Arial"/>
      <w:snapToGrid/>
    </w:rPr>
  </w:style>
  <w:style w:type="paragraph" w:customStyle="1" w:styleId="2643">
    <w:name w:val="样式 标题 2二级 标题 2标题 2 Char节标题 1.11.1标题2b2k标题 2Chapter Title...2"/>
    <w:basedOn w:val="4"/>
    <w:link w:val="2644"/>
    <w:autoRedefine/>
    <w:qFormat/>
    <w:uiPriority w:val="0"/>
    <w:pPr>
      <w:numPr>
        <w:ilvl w:val="0"/>
        <w:numId w:val="0"/>
      </w:numPr>
      <w:adjustRightInd/>
      <w:snapToGrid/>
      <w:spacing w:line="560" w:lineRule="exact"/>
    </w:pPr>
    <w:rPr>
      <w:snapToGrid/>
      <w:sz w:val="30"/>
      <w:szCs w:val="30"/>
    </w:rPr>
  </w:style>
  <w:style w:type="character" w:customStyle="1" w:styleId="2644">
    <w:name w:val="样式 标题 2二级 标题 2标题 2 Char节标题 1.11.1标题2b2k标题 2Chapter Title...2 Char"/>
    <w:link w:val="2643"/>
    <w:qFormat/>
    <w:locked/>
    <w:uiPriority w:val="0"/>
    <w:rPr>
      <w:rFonts w:ascii="Times New Roman" w:hAnsi="Times New Roman" w:eastAsia="宋体" w:cs="Times New Roman"/>
      <w:b/>
      <w:sz w:val="30"/>
      <w:szCs w:val="30"/>
      <w14:ligatures w14:val="none"/>
    </w:rPr>
  </w:style>
  <w:style w:type="paragraph" w:customStyle="1" w:styleId="2645">
    <w:name w:val="样式 标题 2节 + 段前: 0.5 行 段后: 0.5 行"/>
    <w:basedOn w:val="4"/>
    <w:autoRedefine/>
    <w:qFormat/>
    <w:uiPriority w:val="0"/>
    <w:pPr>
      <w:numPr>
        <w:ilvl w:val="0"/>
        <w:numId w:val="0"/>
      </w:numPr>
      <w:adjustRightInd/>
      <w:snapToGrid/>
      <w:spacing w:after="80" w:line="360" w:lineRule="auto"/>
    </w:pPr>
    <w:rPr>
      <w:rFonts w:cs="宋体"/>
      <w:b w:val="0"/>
      <w:bCs/>
      <w:snapToGrid/>
      <w:color w:val="000000"/>
      <w:lang w:eastAsia="en-US" w:bidi="en-US"/>
    </w:rPr>
  </w:style>
  <w:style w:type="paragraph" w:customStyle="1" w:styleId="2646">
    <w:name w:val="样式 标题 2节，一宋三标题 2 Char2 headlinehheadlineS&amp;R2ERMH2 Char C..."/>
    <w:basedOn w:val="4"/>
    <w:autoRedefine/>
    <w:semiHidden/>
    <w:uiPriority w:val="0"/>
    <w:pPr>
      <w:numPr>
        <w:ilvl w:val="0"/>
        <w:numId w:val="0"/>
      </w:numPr>
      <w:tabs>
        <w:tab w:val="left" w:pos="-108"/>
      </w:tabs>
      <w:adjustRightInd/>
      <w:snapToGrid/>
      <w:spacing w:line="240" w:lineRule="auto"/>
    </w:pPr>
    <w:rPr>
      <w:rFonts w:ascii="宋体" w:hAnsi="宋体"/>
      <w:snapToGrid/>
    </w:rPr>
  </w:style>
  <w:style w:type="paragraph" w:customStyle="1" w:styleId="2647">
    <w:name w:val="样式 标题 2节标题 1.1节标题节标题节 Char标题节 Char Char标题 2 Char Char Char..."/>
    <w:basedOn w:val="4"/>
    <w:qFormat/>
    <w:uiPriority w:val="0"/>
    <w:pPr>
      <w:numPr>
        <w:ilvl w:val="0"/>
        <w:numId w:val="0"/>
      </w:numPr>
      <w:adjustRightInd/>
      <w:snapToGrid/>
      <w:spacing w:after="120" w:line="360" w:lineRule="auto"/>
    </w:pPr>
    <w:rPr>
      <w:rFonts w:ascii="Arial" w:hAnsi="Arial"/>
      <w:snapToGrid/>
    </w:rPr>
  </w:style>
  <w:style w:type="paragraph" w:customStyle="1" w:styleId="2648">
    <w:name w:val="样式 标题 2节名节H22nd levelh2Header 2标题 1.1编号标题2head:2#2 hea..."/>
    <w:basedOn w:val="4"/>
    <w:qFormat/>
    <w:uiPriority w:val="0"/>
    <w:pPr>
      <w:numPr>
        <w:ilvl w:val="0"/>
        <w:numId w:val="0"/>
      </w:numPr>
      <w:adjustRightInd/>
      <w:snapToGrid/>
      <w:spacing w:after="120" w:line="360" w:lineRule="auto"/>
    </w:pPr>
    <w:rPr>
      <w:rFonts w:ascii="Arial" w:hAnsi="Arial"/>
      <w:snapToGrid/>
    </w:rPr>
  </w:style>
  <w:style w:type="paragraph" w:customStyle="1" w:styleId="2649">
    <w:name w:val="样式 标题 2节名节电脑标志H22nd levelh2Header 2标题 1.1编号标题2head:2#..."/>
    <w:basedOn w:val="4"/>
    <w:qFormat/>
    <w:uiPriority w:val="0"/>
    <w:pPr>
      <w:numPr>
        <w:ilvl w:val="0"/>
        <w:numId w:val="0"/>
      </w:numPr>
      <w:adjustRightInd/>
      <w:snapToGrid/>
      <w:spacing w:after="120" w:line="360" w:lineRule="auto"/>
    </w:pPr>
    <w:rPr>
      <w:rFonts w:ascii="Arial" w:hAnsi="Arial"/>
      <w:snapToGrid/>
    </w:rPr>
  </w:style>
  <w:style w:type="paragraph" w:customStyle="1" w:styleId="2650">
    <w:name w:val="样式 标题 2章宋三一、标题 1.1Title 22 headlinehheadlineS&amp;R2ERMH2..."/>
    <w:basedOn w:val="4"/>
    <w:qFormat/>
    <w:uiPriority w:val="0"/>
    <w:pPr>
      <w:numPr>
        <w:ilvl w:val="0"/>
        <w:numId w:val="0"/>
      </w:numPr>
      <w:adjustRightInd/>
      <w:snapToGrid/>
      <w:spacing w:after="120" w:line="360" w:lineRule="auto"/>
    </w:pPr>
    <w:rPr>
      <w:rFonts w:ascii="Arial" w:hAnsi="Arial"/>
      <w:snapToGrid/>
    </w:rPr>
  </w:style>
  <w:style w:type="paragraph" w:customStyle="1" w:styleId="2651">
    <w:name w:val="样式 标题 2章宋三一、标题 1.1Title 22 headlinehheadlineS&amp;R2ERMH2...1"/>
    <w:basedOn w:val="4"/>
    <w:qFormat/>
    <w:uiPriority w:val="0"/>
    <w:pPr>
      <w:numPr>
        <w:ilvl w:val="0"/>
        <w:numId w:val="0"/>
      </w:numPr>
      <w:tabs>
        <w:tab w:val="left" w:pos="0"/>
      </w:tabs>
      <w:spacing w:beforeLines="30" w:line="240" w:lineRule="auto"/>
      <w:contextualSpacing/>
    </w:pPr>
    <w:rPr>
      <w:rFonts w:ascii="Arial" w:hAnsi="Arial"/>
      <w:bCs/>
      <w:snapToGrid/>
    </w:rPr>
  </w:style>
  <w:style w:type="paragraph" w:customStyle="1" w:styleId="2652">
    <w:name w:val="样式 标题 3"/>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53">
    <w:name w:val="样式 标题 3 +"/>
    <w:basedOn w:val="5"/>
    <w:link w:val="2654"/>
    <w:qFormat/>
    <w:uiPriority w:val="0"/>
    <w:pPr>
      <w:keepNext/>
      <w:keepLines/>
      <w:numPr>
        <w:ilvl w:val="0"/>
        <w:numId w:val="0"/>
      </w:numPr>
      <w:adjustRightInd/>
      <w:snapToGrid/>
      <w:spacing w:line="360" w:lineRule="auto"/>
      <w:ind w:left="720" w:hanging="432"/>
      <w:jc w:val="both"/>
    </w:pPr>
    <w:rPr>
      <w:bCs/>
      <w:snapToGrid/>
      <w:sz w:val="28"/>
      <w:szCs w:val="32"/>
    </w:rPr>
  </w:style>
  <w:style w:type="character" w:customStyle="1" w:styleId="2654">
    <w:name w:val="样式 标题 3 + Char Char"/>
    <w:link w:val="2653"/>
    <w:qFormat/>
    <w:uiPriority w:val="0"/>
    <w:rPr>
      <w:rFonts w:ascii="Times New Roman" w:hAnsi="Times New Roman" w:eastAsia="宋体" w:cs="Times New Roman"/>
      <w:b/>
      <w:bCs/>
      <w:kern w:val="0"/>
      <w:sz w:val="28"/>
      <w:szCs w:val="32"/>
      <w14:ligatures w14:val="none"/>
    </w:rPr>
  </w:style>
  <w:style w:type="paragraph" w:customStyle="1" w:styleId="2655">
    <w:name w:val="样式 标题 3 + (西文) Times New Roman (中文) 宋体 非加粗 段前: 自动 段后: 自动 行距..."/>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56">
    <w:name w:val="样式 标题 3 + (中文) 黑体"/>
    <w:basedOn w:val="5"/>
    <w:qFormat/>
    <w:uiPriority w:val="0"/>
    <w:pPr>
      <w:keepNext/>
      <w:keepLines/>
      <w:numPr>
        <w:ilvl w:val="0"/>
        <w:numId w:val="0"/>
      </w:numPr>
      <w:adjustRightInd/>
      <w:snapToGrid/>
      <w:spacing w:line="360" w:lineRule="auto"/>
      <w:ind w:left="720" w:hanging="432"/>
      <w:jc w:val="both"/>
    </w:pPr>
    <w:rPr>
      <w:snapToGrid/>
      <w:kern w:val="2"/>
    </w:rPr>
  </w:style>
  <w:style w:type="character" w:customStyle="1" w:styleId="2657">
    <w:name w:val="样式 标题 3 + (中文) 黑体 Char"/>
    <w:qFormat/>
    <w:uiPriority w:val="0"/>
    <w:rPr>
      <w:rFonts w:eastAsia="黑体"/>
      <w:sz w:val="24"/>
      <w:szCs w:val="28"/>
    </w:rPr>
  </w:style>
  <w:style w:type="character" w:customStyle="1" w:styleId="2658">
    <w:name w:val="样式 标题 3 + (中文) 黑体 Char Char"/>
    <w:qFormat/>
    <w:uiPriority w:val="0"/>
    <w:rPr>
      <w:rFonts w:eastAsia="黑体"/>
      <w:sz w:val="24"/>
      <w:szCs w:val="28"/>
    </w:rPr>
  </w:style>
  <w:style w:type="paragraph" w:customStyle="1" w:styleId="2659">
    <w:name w:val="样式 标题 3 + (中文) 黑体 小四 非加粗"/>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60">
    <w:name w:val="样式 标题 3 + (中文) 黑体1"/>
    <w:basedOn w:val="5"/>
    <w:qFormat/>
    <w:uiPriority w:val="0"/>
    <w:pPr>
      <w:keepNext/>
      <w:keepLines/>
      <w:numPr>
        <w:ilvl w:val="0"/>
        <w:numId w:val="0"/>
      </w:numPr>
      <w:adjustRightInd/>
      <w:snapToGrid/>
      <w:spacing w:line="360" w:lineRule="auto"/>
      <w:ind w:left="720" w:hanging="432"/>
      <w:jc w:val="both"/>
    </w:pPr>
    <w:rPr>
      <w:snapToGrid/>
      <w:kern w:val="2"/>
    </w:rPr>
  </w:style>
  <w:style w:type="character" w:customStyle="1" w:styleId="2661">
    <w:name w:val="样式 标题 3 + (中文) 黑体1 Char"/>
    <w:qFormat/>
    <w:uiPriority w:val="0"/>
    <w:rPr>
      <w:rFonts w:eastAsia="宋体"/>
      <w:sz w:val="24"/>
      <w:szCs w:val="28"/>
    </w:rPr>
  </w:style>
  <w:style w:type="character" w:customStyle="1" w:styleId="2662">
    <w:name w:val="样式 标题 3 + (中文) 黑体1 Char Char"/>
    <w:qFormat/>
    <w:uiPriority w:val="0"/>
    <w:rPr>
      <w:rFonts w:eastAsia="宋体"/>
      <w:sz w:val="24"/>
      <w:szCs w:val="28"/>
    </w:rPr>
  </w:style>
  <w:style w:type="paragraph" w:customStyle="1" w:styleId="2663">
    <w:name w:val="样式 标题 3 + (中文) 楷体_GB2312 四号 黑色 段前: 6 磅 段后: 6 磅 图案: 清除 (白色)..."/>
    <w:basedOn w:val="5"/>
    <w:autoRedefine/>
    <w:qFormat/>
    <w:uiPriority w:val="0"/>
    <w:pPr>
      <w:keepNext/>
      <w:keepLines/>
      <w:numPr>
        <w:ilvl w:val="0"/>
        <w:numId w:val="0"/>
      </w:numPr>
      <w:adjustRightInd/>
      <w:snapToGrid/>
      <w:spacing w:line="240" w:lineRule="auto"/>
      <w:ind w:firstLine="112" w:firstLineChars="112"/>
      <w:jc w:val="both"/>
    </w:pPr>
    <w:rPr>
      <w:rFonts w:eastAsia="楷体_GB2312" w:cs="宋体"/>
      <w:snapToGrid/>
      <w:color w:val="000000"/>
      <w:kern w:val="2"/>
      <w:sz w:val="28"/>
      <w:szCs w:val="20"/>
      <w:shd w:val="clear" w:color="auto" w:fill="FFFFFF"/>
    </w:rPr>
  </w:style>
  <w:style w:type="paragraph" w:customStyle="1" w:styleId="2664">
    <w:name w:val="样式 标题 3 + (中文) 宋体"/>
    <w:basedOn w:val="5"/>
    <w:qFormat/>
    <w:uiPriority w:val="0"/>
    <w:pPr>
      <w:keepNext/>
      <w:keepLines/>
      <w:numPr>
        <w:ilvl w:val="0"/>
        <w:numId w:val="0"/>
      </w:numPr>
      <w:adjustRightInd/>
      <w:snapToGrid/>
      <w:spacing w:line="360" w:lineRule="auto"/>
      <w:ind w:left="720" w:hanging="432"/>
      <w:jc w:val="both"/>
    </w:pPr>
    <w:rPr>
      <w:snapToGrid/>
      <w:kern w:val="2"/>
    </w:rPr>
  </w:style>
  <w:style w:type="character" w:customStyle="1" w:styleId="2665">
    <w:name w:val="样式 标题 3 + Char"/>
    <w:qFormat/>
    <w:uiPriority w:val="0"/>
    <w:rPr>
      <w:rFonts w:eastAsia="宋体"/>
      <w:b/>
      <w:bCs/>
      <w:sz w:val="28"/>
      <w:szCs w:val="32"/>
      <w:lang w:val="en-US" w:eastAsia="zh-CN" w:bidi="ar-SA"/>
    </w:rPr>
  </w:style>
  <w:style w:type="paragraph" w:customStyle="1" w:styleId="2666">
    <w:name w:val="样式 标题 3 + 段前: 0 磅 段后: 0 磅"/>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67">
    <w:name w:val="样式 标题 3 + 段前: 0 磅 段后: 0 磅 行距: 单倍行距1"/>
    <w:basedOn w:val="5"/>
    <w:qFormat/>
    <w:uiPriority w:val="0"/>
    <w:pPr>
      <w:keepNext/>
      <w:keepLines/>
      <w:numPr>
        <w:ilvl w:val="0"/>
        <w:numId w:val="0"/>
      </w:numPr>
      <w:tabs>
        <w:tab w:val="left" w:pos="360"/>
      </w:tabs>
      <w:adjustRightInd/>
      <w:snapToGrid/>
      <w:spacing w:beforeLines="50" w:afterLines="100" w:line="240" w:lineRule="auto"/>
      <w:jc w:val="both"/>
    </w:pPr>
    <w:rPr>
      <w:rFonts w:cs="宋体"/>
      <w:snapToGrid/>
      <w:kern w:val="2"/>
      <w:sz w:val="28"/>
      <w:szCs w:val="20"/>
    </w:rPr>
  </w:style>
  <w:style w:type="paragraph" w:customStyle="1" w:styleId="2668">
    <w:name w:val="样式 标题 3 + 段前: 0.25 行 段后: 0.25 行"/>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69">
    <w:name w:val="样式 标题 3 + 段前: 0.5 行 段后: 0.1 行"/>
    <w:basedOn w:val="5"/>
    <w:next w:val="1"/>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0">
    <w:name w:val="样式 标题 3 + 段前: 0.5 行 段后: 0.1 行1"/>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1">
    <w:name w:val="样式 标题 3 + 段前: 0.5 行 段后: 0.5 行"/>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2">
    <w:name w:val="样式 标题 3 + 段前: 0.5 行 段后: 0.5 行1"/>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3">
    <w:name w:val="样式 标题 3 + 段前: 0.5 行 段后: 0.5 行2"/>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4">
    <w:name w:val="样式 标题 3 + 段前: 1 行"/>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5">
    <w:name w:val="样式 标题 3 + 段前: 10 磅 段后: 10 磅"/>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6">
    <w:name w:val="样式 标题 3 + 段前: 11.3 磅 段后: 11.3 磅"/>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7">
    <w:name w:val="样式 标题 3 + 段前: 12 磅"/>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8">
    <w:name w:val="样式 标题 3 + 段前: 6 磅"/>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79">
    <w:name w:val="样式 标题 3 + 段前: 6 磅 段后: 6 磅"/>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80">
    <w:name w:val="样式 标题 3 + 非加粗"/>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81">
    <w:name w:val="样式 标题 3 + 非加粗 段前: 12 磅"/>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82">
    <w:name w:val="样式 标题 3 + 黑色"/>
    <w:basedOn w:val="5"/>
    <w:link w:val="2683"/>
    <w:qFormat/>
    <w:uiPriority w:val="0"/>
    <w:pPr>
      <w:keepNext/>
      <w:keepLines/>
      <w:numPr>
        <w:ilvl w:val="0"/>
        <w:numId w:val="0"/>
      </w:numPr>
      <w:adjustRightInd/>
      <w:spacing w:beforeLines="25" w:afterLines="25" w:line="415" w:lineRule="auto"/>
      <w:ind w:left="200" w:leftChars="200" w:right="200" w:rightChars="200"/>
    </w:pPr>
    <w:rPr>
      <w:bCs/>
      <w:snapToGrid/>
      <w:color w:val="000000"/>
      <w:kern w:val="2"/>
      <w:sz w:val="30"/>
      <w:szCs w:val="28"/>
    </w:rPr>
  </w:style>
  <w:style w:type="character" w:customStyle="1" w:styleId="2683">
    <w:name w:val="样式 标题 3 + 黑色 Char"/>
    <w:link w:val="2682"/>
    <w:qFormat/>
    <w:locked/>
    <w:uiPriority w:val="0"/>
    <w:rPr>
      <w:rFonts w:ascii="Times New Roman" w:hAnsi="Times New Roman" w:eastAsia="宋体" w:cs="Times New Roman"/>
      <w:b/>
      <w:bCs/>
      <w:color w:val="000000"/>
      <w:sz w:val="30"/>
      <w:szCs w:val="28"/>
      <w14:ligatures w14:val="none"/>
    </w:rPr>
  </w:style>
  <w:style w:type="paragraph" w:customStyle="1" w:styleId="2684">
    <w:name w:val="样式 标题 3 + 红色 首行缩进:  2 字符"/>
    <w:basedOn w:val="5"/>
    <w:uiPriority w:val="0"/>
    <w:pPr>
      <w:keepNext/>
      <w:keepLines/>
      <w:numPr>
        <w:ilvl w:val="0"/>
        <w:numId w:val="0"/>
      </w:numPr>
      <w:adjustRightInd/>
      <w:snapToGrid/>
      <w:spacing w:line="360" w:lineRule="auto"/>
      <w:ind w:left="720" w:hanging="432"/>
      <w:jc w:val="both"/>
    </w:pPr>
    <w:rPr>
      <w:snapToGrid/>
      <w:kern w:val="2"/>
    </w:rPr>
  </w:style>
  <w:style w:type="paragraph" w:customStyle="1" w:styleId="2685">
    <w:name w:val="样式 标题 3 + 深红"/>
    <w:basedOn w:val="5"/>
    <w:link w:val="2686"/>
    <w:qFormat/>
    <w:uiPriority w:val="0"/>
    <w:pPr>
      <w:keepNext/>
      <w:keepLines/>
      <w:numPr>
        <w:ilvl w:val="0"/>
        <w:numId w:val="0"/>
      </w:numPr>
      <w:adjustRightInd/>
      <w:spacing w:beforeLines="25" w:afterLines="25" w:line="415" w:lineRule="auto"/>
      <w:ind w:left="200" w:leftChars="200" w:right="200" w:rightChars="200"/>
    </w:pPr>
    <w:rPr>
      <w:bCs/>
      <w:snapToGrid/>
      <w:color w:val="800000"/>
      <w:kern w:val="2"/>
      <w:sz w:val="30"/>
      <w:szCs w:val="28"/>
    </w:rPr>
  </w:style>
  <w:style w:type="character" w:customStyle="1" w:styleId="2686">
    <w:name w:val="样式 标题 3 + 深红 Char"/>
    <w:link w:val="2685"/>
    <w:qFormat/>
    <w:locked/>
    <w:uiPriority w:val="0"/>
    <w:rPr>
      <w:rFonts w:ascii="Times New Roman" w:hAnsi="Times New Roman" w:eastAsia="宋体" w:cs="Times New Roman"/>
      <w:b/>
      <w:bCs/>
      <w:color w:val="800000"/>
      <w:sz w:val="30"/>
      <w:szCs w:val="28"/>
      <w14:ligatures w14:val="none"/>
    </w:rPr>
  </w:style>
  <w:style w:type="paragraph" w:customStyle="1" w:styleId="2687">
    <w:name w:val="样式 标题 3 + 首行缩进:  0 厘米"/>
    <w:basedOn w:val="5"/>
    <w:qFormat/>
    <w:uiPriority w:val="0"/>
    <w:pPr>
      <w:keepNext/>
      <w:keepLines/>
      <w:numPr>
        <w:ilvl w:val="0"/>
        <w:numId w:val="0"/>
      </w:numPr>
      <w:tabs>
        <w:tab w:val="left" w:leader="dot" w:pos="284"/>
      </w:tabs>
      <w:adjustRightInd/>
      <w:snapToGrid/>
      <w:spacing w:line="240" w:lineRule="auto"/>
      <w:ind w:firstLine="100" w:firstLineChars="100"/>
      <w:jc w:val="both"/>
    </w:pPr>
    <w:rPr>
      <w:rFonts w:cs="宋体"/>
      <w:b w:val="0"/>
      <w:bCs/>
      <w:snapToGrid/>
      <w:kern w:val="2"/>
      <w:sz w:val="28"/>
      <w:szCs w:val="20"/>
    </w:rPr>
  </w:style>
  <w:style w:type="paragraph" w:customStyle="1" w:styleId="2688">
    <w:name w:val="样式 标题 3 + 首行缩进:  0 厘米1"/>
    <w:basedOn w:val="5"/>
    <w:qFormat/>
    <w:uiPriority w:val="0"/>
    <w:pPr>
      <w:keepNext/>
      <w:keepLines/>
      <w:numPr>
        <w:ilvl w:val="0"/>
        <w:numId w:val="0"/>
      </w:numPr>
      <w:adjustRightInd/>
      <w:snapToGrid/>
      <w:spacing w:line="240" w:lineRule="auto"/>
      <w:jc w:val="both"/>
    </w:pPr>
    <w:rPr>
      <w:rFonts w:cs="宋体"/>
      <w:b w:val="0"/>
      <w:bCs/>
      <w:snapToGrid/>
      <w:kern w:val="2"/>
      <w:sz w:val="28"/>
      <w:szCs w:val="20"/>
    </w:rPr>
  </w:style>
  <w:style w:type="paragraph" w:customStyle="1" w:styleId="2689">
    <w:name w:val="样式 标题 3 + 首行缩进:  2 字符"/>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90">
    <w:name w:val="样式 标题 3 + 首行缩进:  2 字符1"/>
    <w:basedOn w:val="5"/>
    <w:qFormat/>
    <w:uiPriority w:val="0"/>
    <w:pPr>
      <w:keepNext/>
      <w:keepLines/>
      <w:numPr>
        <w:ilvl w:val="0"/>
        <w:numId w:val="0"/>
      </w:numPr>
      <w:adjustRightInd/>
      <w:snapToGrid/>
      <w:spacing w:before="122" w:after="81" w:line="415" w:lineRule="auto"/>
      <w:jc w:val="both"/>
    </w:pPr>
    <w:rPr>
      <w:rFonts w:cs="宋体"/>
      <w:snapToGrid/>
      <w:kern w:val="2"/>
      <w:sz w:val="28"/>
      <w:szCs w:val="20"/>
    </w:rPr>
  </w:style>
  <w:style w:type="paragraph" w:customStyle="1" w:styleId="2691">
    <w:name w:val="样式 标题 3 + 四号 段前: 0 磅 段后: 0 磅 行距: 单倍行距"/>
    <w:basedOn w:val="5"/>
    <w:autoRedefine/>
    <w:qFormat/>
    <w:uiPriority w:val="0"/>
    <w:pPr>
      <w:keepNext/>
      <w:keepLines/>
      <w:numPr>
        <w:ilvl w:val="0"/>
        <w:numId w:val="0"/>
      </w:numPr>
      <w:adjustRightInd/>
      <w:snapToGrid/>
      <w:spacing w:line="240" w:lineRule="auto"/>
      <w:jc w:val="both"/>
    </w:pPr>
    <w:rPr>
      <w:rFonts w:ascii="黑体" w:eastAsia="黑体"/>
      <w:b w:val="0"/>
      <w:bCs/>
      <w:snapToGrid/>
      <w:spacing w:val="16"/>
      <w:kern w:val="2"/>
      <w:sz w:val="28"/>
      <w:szCs w:val="20"/>
    </w:rPr>
  </w:style>
  <w:style w:type="paragraph" w:customStyle="1" w:styleId="2692">
    <w:name w:val="样式 标题 3 + 四号 黑色"/>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93">
    <w:name w:val="样式 标题 3 + 宋体"/>
    <w:basedOn w:val="5"/>
    <w:autoRedefine/>
    <w:qFormat/>
    <w:uiPriority w:val="0"/>
    <w:pPr>
      <w:keepNext/>
      <w:keepLines/>
      <w:numPr>
        <w:ilvl w:val="0"/>
        <w:numId w:val="0"/>
      </w:numPr>
      <w:adjustRightInd/>
      <w:snapToGrid/>
      <w:spacing w:line="360" w:lineRule="auto"/>
      <w:jc w:val="both"/>
    </w:pPr>
    <w:rPr>
      <w:rFonts w:ascii="宋体" w:hAnsi="宋体"/>
      <w:snapToGrid/>
      <w:kern w:val="2"/>
      <w:sz w:val="32"/>
      <w:szCs w:val="20"/>
    </w:rPr>
  </w:style>
  <w:style w:type="paragraph" w:customStyle="1" w:styleId="2694">
    <w:name w:val="样式 标题 3 + 宋体 四号"/>
    <w:basedOn w:val="5"/>
    <w:semiHidden/>
    <w:qFormat/>
    <w:uiPriority w:val="0"/>
    <w:pPr>
      <w:keepNext/>
      <w:keepLines/>
      <w:numPr>
        <w:ilvl w:val="0"/>
        <w:numId w:val="0"/>
      </w:numPr>
      <w:adjustRightInd/>
      <w:snapToGrid/>
      <w:spacing w:before="260" w:after="260" w:line="416" w:lineRule="auto"/>
      <w:jc w:val="both"/>
    </w:pPr>
    <w:rPr>
      <w:rFonts w:ascii="宋体" w:hAnsi="宋体"/>
      <w:b w:val="0"/>
      <w:snapToGrid/>
      <w:kern w:val="2"/>
      <w:sz w:val="28"/>
      <w:szCs w:val="28"/>
    </w:rPr>
  </w:style>
  <w:style w:type="paragraph" w:customStyle="1" w:styleId="2695">
    <w:name w:val="样式 标题 3 + 宋体 小三"/>
    <w:basedOn w:val="5"/>
    <w:autoRedefine/>
    <w:qFormat/>
    <w:uiPriority w:val="0"/>
    <w:pPr>
      <w:keepNext/>
      <w:keepLines/>
      <w:numPr>
        <w:ilvl w:val="0"/>
        <w:numId w:val="0"/>
      </w:numPr>
      <w:adjustRightInd/>
      <w:snapToGrid/>
      <w:spacing w:line="240" w:lineRule="auto"/>
      <w:jc w:val="both"/>
    </w:pPr>
    <w:rPr>
      <w:rFonts w:ascii="宋体" w:hAnsi="宋体"/>
      <w:snapToGrid/>
      <w:kern w:val="2"/>
      <w:sz w:val="30"/>
      <w:szCs w:val="20"/>
    </w:rPr>
  </w:style>
  <w:style w:type="paragraph" w:customStyle="1" w:styleId="2696">
    <w:name w:val="样式 标题 3 + 小四 非加粗 段前: 7.8 磅 段后: 7.8 磅"/>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97">
    <w:name w:val="样式 标题 3 + 行距: 1.5 倍行距"/>
    <w:basedOn w:val="5"/>
    <w:uiPriority w:val="0"/>
    <w:pPr>
      <w:keepNext/>
      <w:keepLines/>
      <w:numPr>
        <w:ilvl w:val="0"/>
        <w:numId w:val="0"/>
      </w:numPr>
      <w:adjustRightInd/>
      <w:snapToGrid/>
      <w:spacing w:line="360" w:lineRule="auto"/>
      <w:ind w:left="720" w:hanging="432"/>
      <w:jc w:val="both"/>
    </w:pPr>
    <w:rPr>
      <w:snapToGrid/>
      <w:kern w:val="2"/>
    </w:rPr>
  </w:style>
  <w:style w:type="paragraph" w:customStyle="1" w:styleId="2698">
    <w:name w:val="样式 标题 3 + 左侧:  0 厘米 首行缩进:  0 厘米"/>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699">
    <w:name w:val="样式 标题 3 + 左侧:  0.51 厘米 首行缩进:  0 厘米"/>
    <w:basedOn w:val="5"/>
    <w:qFormat/>
    <w:uiPriority w:val="0"/>
    <w:pPr>
      <w:keepNext/>
      <w:keepLines/>
      <w:numPr>
        <w:ilvl w:val="0"/>
        <w:numId w:val="0"/>
      </w:numPr>
      <w:tabs>
        <w:tab w:val="left" w:pos="720"/>
      </w:tabs>
      <w:adjustRightInd/>
      <w:snapToGrid/>
      <w:spacing w:line="360" w:lineRule="auto"/>
      <w:ind w:left="720" w:hanging="432"/>
      <w:jc w:val="both"/>
    </w:pPr>
    <w:rPr>
      <w:rFonts w:cs="宋体"/>
      <w:b w:val="0"/>
      <w:bCs/>
      <w:snapToGrid/>
      <w:kern w:val="2"/>
      <w:szCs w:val="20"/>
    </w:rPr>
  </w:style>
  <w:style w:type="paragraph" w:customStyle="1" w:styleId="2700">
    <w:name w:val="样式 标题 3 + 左侧:  1 厘米 悬挂缩进: 5.67 字符 段后: 0 磅 行距: 固定值 20 磅"/>
    <w:basedOn w:val="5"/>
    <w:autoRedefine/>
    <w:semiHidden/>
    <w:qFormat/>
    <w:uiPriority w:val="0"/>
    <w:pPr>
      <w:keepNext/>
      <w:numPr>
        <w:ilvl w:val="0"/>
        <w:numId w:val="0"/>
      </w:numPr>
      <w:tabs>
        <w:tab w:val="left" w:pos="1260"/>
      </w:tabs>
      <w:snapToGrid/>
      <w:spacing w:after="81" w:line="400" w:lineRule="exact"/>
      <w:ind w:left="1260" w:hanging="420"/>
    </w:pPr>
    <w:rPr>
      <w:rFonts w:ascii="宋体" w:eastAsia="黑体"/>
      <w:snapToGrid/>
      <w:kern w:val="2"/>
      <w:szCs w:val="20"/>
    </w:rPr>
  </w:style>
  <w:style w:type="paragraph" w:customStyle="1" w:styleId="2701">
    <w:name w:val="样式 标题 3 + 左侧:  2 字符 右侧:  2 字符 段前: 0.25 行 段后: 0.25 行"/>
    <w:basedOn w:val="5"/>
    <w:qFormat/>
    <w:uiPriority w:val="0"/>
    <w:pPr>
      <w:keepNext/>
      <w:keepLines/>
      <w:numPr>
        <w:ilvl w:val="0"/>
        <w:numId w:val="0"/>
      </w:numPr>
      <w:adjustRightInd/>
      <w:spacing w:beforeLines="25" w:afterLines="25" w:line="240" w:lineRule="auto"/>
      <w:ind w:left="200" w:leftChars="200" w:right="200" w:rightChars="200"/>
      <w:jc w:val="both"/>
    </w:pPr>
    <w:rPr>
      <w:rFonts w:cs="宋体"/>
      <w:bCs/>
      <w:snapToGrid/>
      <w:kern w:val="2"/>
      <w:sz w:val="30"/>
      <w:szCs w:val="20"/>
    </w:rPr>
  </w:style>
  <w:style w:type="character" w:customStyle="1" w:styleId="2702">
    <w:name w:val="样式 标题 3 Char"/>
    <w:qFormat/>
    <w:uiPriority w:val="0"/>
    <w:rPr>
      <w:rFonts w:ascii="宋体" w:hAnsi="宋体" w:eastAsia="宋体" w:cs="宋体"/>
      <w:bCs/>
      <w:kern w:val="2"/>
      <w:sz w:val="24"/>
      <w:szCs w:val="24"/>
      <w:lang w:val="en-US" w:eastAsia="zh-CN" w:bidi="ar-SA"/>
    </w:rPr>
  </w:style>
  <w:style w:type="character" w:customStyle="1" w:styleId="2703">
    <w:name w:val="样式 标题 3 Char Char"/>
    <w:qFormat/>
    <w:uiPriority w:val="0"/>
    <w:rPr>
      <w:rFonts w:ascii="宋体" w:hAnsi="宋体" w:eastAsia="宋体" w:cs="宋体"/>
      <w:bCs/>
      <w:kern w:val="2"/>
      <w:sz w:val="24"/>
      <w:szCs w:val="24"/>
      <w:lang w:val="en-US" w:eastAsia="zh-CN" w:bidi="ar-SA"/>
    </w:rPr>
  </w:style>
  <w:style w:type="character" w:customStyle="1" w:styleId="2704">
    <w:name w:val="样式 标题 3 CharSottoparagrafo Char条标题1.1.1 Char3 Charh3 Char3r..."/>
    <w:qFormat/>
    <w:uiPriority w:val="0"/>
    <w:rPr>
      <w:rFonts w:eastAsia="黑体"/>
      <w:b/>
      <w:bCs/>
      <w:kern w:val="2"/>
      <w:sz w:val="28"/>
      <w:lang w:val="en-US" w:eastAsia="zh-CN" w:bidi="ar-SA"/>
    </w:rPr>
  </w:style>
  <w:style w:type="paragraph" w:customStyle="1" w:styleId="2705">
    <w:name w:val="样式 标题 30标题3小节名小节标题 33标题 13条标题1.1.1(F4)标题 3 Char Char Cha...1"/>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06">
    <w:name w:val="样式 标题 33 bullet2 Char Char标题 313 bullet12 Char Char Char2 ..."/>
    <w:basedOn w:val="5"/>
    <w:link w:val="2707"/>
    <w:autoRedefine/>
    <w:semiHidden/>
    <w:qFormat/>
    <w:uiPriority w:val="0"/>
    <w:pPr>
      <w:keepNext/>
      <w:keepLines/>
      <w:numPr>
        <w:ilvl w:val="0"/>
        <w:numId w:val="0"/>
      </w:numPr>
      <w:adjustRightInd/>
      <w:snapToGrid/>
      <w:spacing w:before="122" w:after="81" w:line="240" w:lineRule="auto"/>
      <w:jc w:val="both"/>
    </w:pPr>
    <w:rPr>
      <w:rFonts w:ascii="楷体_GB2312" w:hAnsi="宋体" w:eastAsia="楷体_GB2312"/>
      <w:snapToGrid/>
      <w:color w:val="000000"/>
      <w:sz w:val="28"/>
      <w:szCs w:val="28"/>
      <w:lang w:val="zh-CN"/>
    </w:rPr>
  </w:style>
  <w:style w:type="character" w:customStyle="1" w:styleId="2707">
    <w:name w:val="样式 标题 33 bullet2 Char Char标题 313 bullet12 Char Char Char2 ... Char"/>
    <w:link w:val="2706"/>
    <w:semiHidden/>
    <w:qFormat/>
    <w:uiPriority w:val="0"/>
    <w:rPr>
      <w:rFonts w:ascii="楷体_GB2312" w:hAnsi="宋体" w:eastAsia="楷体_GB2312" w:cs="Times New Roman"/>
      <w:b/>
      <w:color w:val="000000"/>
      <w:kern w:val="0"/>
      <w:sz w:val="28"/>
      <w:szCs w:val="28"/>
      <w:lang w:val="zh-CN"/>
      <w14:ligatures w14:val="none"/>
    </w:rPr>
  </w:style>
  <w:style w:type="paragraph" w:customStyle="1" w:styleId="2708">
    <w:name w:val="样式 标题 3H3 + 自动设置"/>
    <w:basedOn w:val="5"/>
    <w:autoRedefine/>
    <w:qFormat/>
    <w:uiPriority w:val="0"/>
    <w:pPr>
      <w:keepNext/>
      <w:keepLines/>
      <w:numPr>
        <w:ilvl w:val="0"/>
        <w:numId w:val="0"/>
      </w:numPr>
      <w:tabs>
        <w:tab w:val="left" w:pos="1134"/>
        <w:tab w:val="right" w:pos="7371"/>
      </w:tabs>
      <w:overflowPunct w:val="0"/>
      <w:snapToGrid/>
      <w:spacing w:beforeLines="50" w:line="360" w:lineRule="auto"/>
      <w:jc w:val="both"/>
    </w:pPr>
    <w:rPr>
      <w:b w:val="0"/>
      <w:bCs/>
      <w:snapToGrid/>
      <w:sz w:val="28"/>
      <w:szCs w:val="20"/>
      <w:u w:color="000000"/>
    </w:rPr>
  </w:style>
  <w:style w:type="paragraph" w:customStyle="1" w:styleId="2709">
    <w:name w:val="样式 标题 3H3B HeadReHead 3 WSAh3标题 3 Char..条标题1.1.133rd l..."/>
    <w:basedOn w:val="5"/>
    <w:autoRedefine/>
    <w:qFormat/>
    <w:uiPriority w:val="0"/>
    <w:pPr>
      <w:keepNext/>
      <w:keepLines/>
      <w:numPr>
        <w:ilvl w:val="0"/>
        <w:numId w:val="0"/>
      </w:numPr>
      <w:adjustRightInd/>
      <w:spacing w:line="240" w:lineRule="auto"/>
    </w:pPr>
    <w:rPr>
      <w:rFonts w:ascii="Calibri" w:hAnsi="Calibri" w:eastAsia="楷体_GB2312"/>
      <w:b w:val="0"/>
      <w:bCs/>
      <w:snapToGrid/>
      <w:color w:val="000000"/>
      <w:sz w:val="28"/>
      <w:szCs w:val="28"/>
    </w:rPr>
  </w:style>
  <w:style w:type="paragraph" w:customStyle="1" w:styleId="2710">
    <w:name w:val="样式 标题 3Sottoparagrafo条标题1.1.13h33rd levelH3l3CT + 首行缩进: ..."/>
    <w:basedOn w:val="5"/>
    <w:autoRedefine/>
    <w:qFormat/>
    <w:uiPriority w:val="0"/>
    <w:pPr>
      <w:numPr>
        <w:ilvl w:val="0"/>
        <w:numId w:val="0"/>
      </w:numPr>
      <w:suppressLineNumbers/>
      <w:suppressAutoHyphens/>
      <w:spacing w:line="560" w:lineRule="exact"/>
      <w:textAlignment w:val="center"/>
    </w:pPr>
    <w:rPr>
      <w:rFonts w:eastAsia="黑体" w:cs="宋体"/>
      <w:b w:val="0"/>
      <w:bCs/>
      <w:snapToGrid/>
      <w:kern w:val="2"/>
      <w:sz w:val="30"/>
      <w:szCs w:val="28"/>
    </w:rPr>
  </w:style>
  <w:style w:type="paragraph" w:customStyle="1" w:styleId="2711">
    <w:name w:val="样式 标题 3style3h3H3sect1.2.3标题 3 Char Charsect1.2.31sect1.2..."/>
    <w:basedOn w:val="5"/>
    <w:qFormat/>
    <w:uiPriority w:val="0"/>
    <w:pPr>
      <w:keepNext/>
      <w:keepLines/>
      <w:numPr>
        <w:ilvl w:val="0"/>
        <w:numId w:val="0"/>
      </w:numPr>
      <w:adjustRightInd/>
      <w:snapToGrid/>
      <w:spacing w:before="100" w:beforeAutospacing="1" w:after="100" w:afterAutospacing="1" w:line="240" w:lineRule="auto"/>
    </w:pPr>
    <w:rPr>
      <w:rFonts w:eastAsia="黑体" w:cs="宋体"/>
      <w:b w:val="0"/>
      <w:bCs/>
      <w:snapToGrid/>
      <w:kern w:val="2"/>
      <w:szCs w:val="20"/>
    </w:rPr>
  </w:style>
  <w:style w:type="paragraph" w:customStyle="1" w:styleId="2712">
    <w:name w:val="样式 标题 3标题 3 Char + 两端对齐"/>
    <w:basedOn w:val="5"/>
    <w:autoRedefine/>
    <w:semiHidden/>
    <w:qFormat/>
    <w:uiPriority w:val="0"/>
    <w:pPr>
      <w:numPr>
        <w:ilvl w:val="0"/>
        <w:numId w:val="0"/>
      </w:numPr>
      <w:adjustRightInd/>
      <w:snapToGrid/>
      <w:spacing w:before="122" w:after="81" w:line="240" w:lineRule="auto"/>
      <w:ind w:firstLine="560"/>
      <w:jc w:val="both"/>
      <w:outlineLvl w:val="9"/>
    </w:pPr>
    <w:rPr>
      <w:rFonts w:ascii="宋体" w:hAnsi="宋体" w:eastAsia="黑体"/>
      <w:b w:val="0"/>
      <w:bCs/>
      <w:snapToGrid/>
      <w:kern w:val="2"/>
      <w:sz w:val="28"/>
      <w:szCs w:val="28"/>
    </w:rPr>
  </w:style>
  <w:style w:type="paragraph" w:customStyle="1" w:styleId="2713">
    <w:name w:val="样式 标题 3标题 3 Char Char Char节，一一黑四（一）条，（一）Title3h3H3head..."/>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14">
    <w:name w:val="样式 标题 3标题 3 Char Char Char节，一一黑四（一）条，（一）标题3 Char Char Cha..."/>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15">
    <w:name w:val="样式 标题 3标题 3 Char Char Char节，一一黑四（一）条，（一）标题3 Char Char Cha...1"/>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16">
    <w:name w:val="样式 标题 3标题 3 Char Char Char节，一一黑四（一）条，（一）标题3 Char Char Cha...2"/>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17">
    <w:name w:val="样式 标题 3标题 3 Char Char Char节，一一黑四（一）条，（一）标题3 Char Char Cha...3"/>
    <w:basedOn w:val="5"/>
    <w:qFormat/>
    <w:uiPriority w:val="0"/>
    <w:pPr>
      <w:keepNext/>
      <w:keepLines/>
      <w:numPr>
        <w:ilvl w:val="0"/>
        <w:numId w:val="0"/>
      </w:numPr>
      <w:tabs>
        <w:tab w:val="left" w:pos="709"/>
      </w:tabs>
      <w:spacing w:beforeLines="30" w:after="81" w:line="240" w:lineRule="auto"/>
      <w:ind w:left="709" w:hanging="709"/>
    </w:pPr>
    <w:rPr>
      <w:rFonts w:cs="宋体"/>
      <w:b w:val="0"/>
      <w:bCs/>
      <w:snapToGrid/>
      <w:kern w:val="2"/>
      <w:szCs w:val="20"/>
    </w:rPr>
  </w:style>
  <w:style w:type="paragraph" w:customStyle="1" w:styleId="2718">
    <w:name w:val="样式 标题 3标题 3 Char1标题 3 Char CharH3Heading 3 - old标题 3 Char C...7"/>
    <w:basedOn w:val="5"/>
    <w:qFormat/>
    <w:uiPriority w:val="0"/>
    <w:rPr>
      <w:rFonts w:cs="宋体"/>
      <w:szCs w:val="20"/>
    </w:rPr>
  </w:style>
  <w:style w:type="paragraph" w:customStyle="1" w:styleId="2719">
    <w:name w:val="样式 标题 3标题 3 Char1标题 3 Char CharH3Heading 3 - old标题 3 Char C...8"/>
    <w:basedOn w:val="5"/>
    <w:qFormat/>
    <w:uiPriority w:val="0"/>
    <w:pPr>
      <w:spacing w:line="470" w:lineRule="exact"/>
    </w:pPr>
    <w:rPr>
      <w:rFonts w:cs="宋体"/>
      <w:szCs w:val="20"/>
    </w:rPr>
  </w:style>
  <w:style w:type="paragraph" w:customStyle="1" w:styleId="2720">
    <w:name w:val="样式 标题 3标题 3 CharH3B Head + 宋体 小三 Char Char Char"/>
    <w:basedOn w:val="5"/>
    <w:link w:val="2721"/>
    <w:qFormat/>
    <w:uiPriority w:val="0"/>
    <w:pPr>
      <w:keepNext/>
      <w:keepLines/>
      <w:numPr>
        <w:ilvl w:val="0"/>
        <w:numId w:val="0"/>
      </w:numPr>
      <w:adjustRightInd/>
      <w:snapToGrid/>
      <w:spacing w:line="360" w:lineRule="auto"/>
      <w:ind w:left="720" w:hanging="432"/>
      <w:jc w:val="both"/>
    </w:pPr>
    <w:rPr>
      <w:rFonts w:ascii="宋体" w:hAnsi="宋体" w:eastAsia="黑体"/>
      <w:b w:val="0"/>
      <w:bCs/>
      <w:snapToGrid/>
      <w:sz w:val="30"/>
      <w:szCs w:val="28"/>
    </w:rPr>
  </w:style>
  <w:style w:type="character" w:customStyle="1" w:styleId="2721">
    <w:name w:val="样式 标题 3标题 3 CharH3B Head + 宋体 小三 Char Char Char Char Char"/>
    <w:link w:val="2720"/>
    <w:qFormat/>
    <w:uiPriority w:val="0"/>
    <w:rPr>
      <w:rFonts w:ascii="宋体" w:hAnsi="宋体" w:eastAsia="黑体" w:cs="Times New Roman"/>
      <w:bCs/>
      <w:kern w:val="0"/>
      <w:sz w:val="30"/>
      <w:szCs w:val="28"/>
      <w14:ligatures w14:val="none"/>
    </w:rPr>
  </w:style>
  <w:style w:type="character" w:customStyle="1" w:styleId="2722">
    <w:name w:val="样式 标题 3标题 3 CharH3B Head + 宋体 小三 Char Char Char Char"/>
    <w:qFormat/>
    <w:uiPriority w:val="0"/>
    <w:rPr>
      <w:rFonts w:ascii="宋体" w:hAnsi="宋体" w:eastAsia="宋体"/>
      <w:b/>
      <w:iCs/>
      <w:color w:val="0000FF"/>
      <w:kern w:val="2"/>
      <w:sz w:val="30"/>
      <w:szCs w:val="28"/>
      <w:lang w:val="en-US" w:eastAsia="zh-CN" w:bidi="ar-SA"/>
    </w:rPr>
  </w:style>
  <w:style w:type="paragraph" w:customStyle="1" w:styleId="2723">
    <w:name w:val="样式 标题 3标题 33 + 段前: 0.5 行"/>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24">
    <w:name w:val="样式 标题 3标题 3XW3h33rd levelH3l3CT标题 3 Char标题 3XW Char标题 ..."/>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25">
    <w:name w:val="样式 标题 3标题 3XW标题 3XW Char标题 3XW Char Char Char Char标题 3XW Cha...1"/>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26">
    <w:name w:val="样式 标题 3标题 3XW标题 3XW Char标题 3XW Char Char Char Char标题 3XW Cha...2"/>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27">
    <w:name w:val="样式 标题 3大一点 + 段前: 0.25 行 段后: 0.25 行 行距: 多倍行距 1.15 字行"/>
    <w:basedOn w:val="5"/>
    <w:qFormat/>
    <w:uiPriority w:val="0"/>
    <w:pPr>
      <w:keepNext/>
      <w:keepLines/>
      <w:numPr>
        <w:ilvl w:val="0"/>
        <w:numId w:val="0"/>
      </w:numPr>
      <w:adjustRightInd/>
      <w:spacing w:beforeLines="25" w:afterLines="25" w:line="276" w:lineRule="auto"/>
    </w:pPr>
    <w:rPr>
      <w:rFonts w:cs="宋体"/>
      <w:bCs/>
      <w:snapToGrid/>
      <w:kern w:val="2"/>
      <w:sz w:val="30"/>
      <w:szCs w:val="20"/>
    </w:rPr>
  </w:style>
  <w:style w:type="paragraph" w:customStyle="1" w:styleId="2728">
    <w:name w:val="样式 标题 3小节 + Times New Roman"/>
    <w:basedOn w:val="1340"/>
    <w:link w:val="2729"/>
    <w:qFormat/>
    <w:uiPriority w:val="0"/>
    <w:pPr>
      <w:spacing w:line="360" w:lineRule="auto"/>
    </w:pPr>
    <w:rPr>
      <w:rFonts w:ascii="Arial" w:hAnsi="Arial" w:eastAsia="黑体"/>
      <w:b w:val="0"/>
      <w:sz w:val="24"/>
    </w:rPr>
  </w:style>
  <w:style w:type="character" w:customStyle="1" w:styleId="2729">
    <w:name w:val="样式 标题 3小节 + Times New Roman Char Char"/>
    <w:link w:val="2728"/>
    <w:qFormat/>
    <w:uiPriority w:val="0"/>
    <w:rPr>
      <w:rFonts w:ascii="Arial" w:hAnsi="Arial" w:eastAsia="黑体" w:cs="Times New Roman"/>
      <w:kern w:val="0"/>
      <w:sz w:val="24"/>
      <w:szCs w:val="20"/>
      <w14:ligatures w14:val="none"/>
    </w:rPr>
  </w:style>
  <w:style w:type="character" w:customStyle="1" w:styleId="2730">
    <w:name w:val="样式 标题 3小节 + Times New Roman Char"/>
    <w:qFormat/>
    <w:uiPriority w:val="0"/>
    <w:rPr>
      <w:rFonts w:ascii="Arial" w:hAnsi="Arial" w:eastAsia="黑体"/>
      <w:kern w:val="2"/>
      <w:sz w:val="24"/>
      <w:lang w:bidi="ar-SA"/>
    </w:rPr>
  </w:style>
  <w:style w:type="character" w:customStyle="1" w:styleId="2731">
    <w:name w:val="样式 标题 3小节标题 + 非加粗 Char"/>
    <w:qFormat/>
    <w:uiPriority w:val="0"/>
    <w:rPr>
      <w:rFonts w:eastAsia="宋体"/>
      <w:b/>
      <w:kern w:val="2"/>
      <w:sz w:val="28"/>
      <w:szCs w:val="28"/>
      <w:lang w:val="en-US" w:eastAsia="zh-CN" w:bidi="ar-SA"/>
    </w:rPr>
  </w:style>
  <w:style w:type="paragraph" w:customStyle="1" w:styleId="2732">
    <w:name w:val="样式 标题 3小节标题 3XW3h33rd levelH3l3CT +"/>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33">
    <w:name w:val="样式 标题 3小节名小节标题 33标题 13条标题1.1.1(F4)标题 3 Char Char Char标题 ..."/>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34">
    <w:name w:val="样式 标题 3小节名小节标题 33标题 13条标题1.1.1(F4)标题 3 Char Char Char标题 ...1"/>
    <w:basedOn w:val="5"/>
    <w:uiPriority w:val="0"/>
    <w:pPr>
      <w:keepNext/>
      <w:keepLines/>
      <w:numPr>
        <w:ilvl w:val="0"/>
        <w:numId w:val="0"/>
      </w:numPr>
      <w:adjustRightInd/>
      <w:snapToGrid/>
      <w:spacing w:line="360" w:lineRule="auto"/>
      <w:ind w:left="720" w:hanging="432"/>
      <w:jc w:val="both"/>
    </w:pPr>
    <w:rPr>
      <w:snapToGrid/>
      <w:kern w:val="2"/>
    </w:rPr>
  </w:style>
  <w:style w:type="paragraph" w:customStyle="1" w:styleId="2735">
    <w:name w:val="样式 标题 3小节名小节标题 33标题 13条标题1.1.1(F4)标题 3 Char Char Char标题 ...2"/>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2736">
    <w:name w:val="样式 标题 3小节名小节标题 33标题 13条标题1.1.1(F4)标题 3 Char Char Char标题 ...3"/>
    <w:basedOn w:val="5"/>
    <w:uiPriority w:val="0"/>
    <w:pPr>
      <w:keepNext/>
      <w:keepLines/>
      <w:numPr>
        <w:ilvl w:val="0"/>
        <w:numId w:val="0"/>
      </w:numPr>
      <w:adjustRightInd/>
      <w:snapToGrid/>
      <w:spacing w:line="360" w:lineRule="auto"/>
      <w:ind w:left="720" w:hanging="432"/>
      <w:jc w:val="both"/>
    </w:pPr>
    <w:rPr>
      <w:snapToGrid/>
      <w:kern w:val="2"/>
    </w:rPr>
  </w:style>
  <w:style w:type="paragraph" w:customStyle="1" w:styleId="2737">
    <w:name w:val="样式 标题 3小节名小节小节标题段头SottoparagrafoReh33heading 3- bodyh..."/>
    <w:basedOn w:val="5"/>
    <w:link w:val="2738"/>
    <w:qFormat/>
    <w:uiPriority w:val="0"/>
    <w:pPr>
      <w:numPr>
        <w:ilvl w:val="0"/>
        <w:numId w:val="0"/>
      </w:numPr>
      <w:adjustRightInd/>
      <w:snapToGrid/>
      <w:spacing w:before="200" w:after="80" w:line="360" w:lineRule="auto"/>
    </w:pPr>
    <w:rPr>
      <w:rFonts w:ascii="Calibri" w:hAnsi="Calibri"/>
      <w:bCs/>
      <w:snapToGrid/>
      <w:color w:val="000000"/>
      <w:kern w:val="2"/>
      <w:sz w:val="30"/>
      <w:szCs w:val="20"/>
    </w:rPr>
  </w:style>
  <w:style w:type="character" w:customStyle="1" w:styleId="2738">
    <w:name w:val="样式 标题 3小节名小节小节标题段头SottoparagrafoReh33heading 3- bodyh... Char"/>
    <w:link w:val="2737"/>
    <w:qFormat/>
    <w:uiPriority w:val="0"/>
    <w:rPr>
      <w:rFonts w:ascii="Calibri" w:hAnsi="Calibri" w:eastAsia="宋体" w:cs="Times New Roman"/>
      <w:b/>
      <w:bCs/>
      <w:color w:val="000000"/>
      <w:sz w:val="30"/>
      <w:szCs w:val="20"/>
      <w14:ligatures w14:val="none"/>
    </w:rPr>
  </w:style>
  <w:style w:type="paragraph" w:customStyle="1" w:styleId="2739">
    <w:name w:val="样式 标题 4"/>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40">
    <w:name w:val="样式 标题 4 + (西文) Times New Roman (中文) 宋体 段前: 11.85 磅 段后: 11.85 ..."/>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41">
    <w:name w:val="样式 标题 4 + (中文) 楷体_GB2312"/>
    <w:basedOn w:val="6"/>
    <w:qFormat/>
    <w:uiPriority w:val="0"/>
    <w:pPr>
      <w:keepNext/>
      <w:keepLines/>
      <w:widowControl/>
      <w:numPr>
        <w:ilvl w:val="0"/>
        <w:numId w:val="0"/>
      </w:numPr>
      <w:adjustRightInd/>
      <w:snapToGrid/>
      <w:spacing w:line="240" w:lineRule="auto"/>
    </w:pPr>
    <w:rPr>
      <w:rFonts w:ascii="Calibri" w:hAnsi="宋体" w:eastAsia="楷体_GB2312"/>
      <w:bCs w:val="0"/>
      <w:snapToGrid/>
      <w:color w:val="000000"/>
      <w:szCs w:val="28"/>
      <w:lang w:val="en-US"/>
    </w:rPr>
  </w:style>
  <w:style w:type="paragraph" w:customStyle="1" w:styleId="2742">
    <w:name w:val="样式 标题 4 + 段前: 0.2 行"/>
    <w:basedOn w:val="6"/>
    <w:next w:val="1"/>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43">
    <w:name w:val="样式 标题 4 + 段前: 0.5 行"/>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44">
    <w:name w:val="样式 标题 4 + 段前: 0.5 行 段后: 0.5 行"/>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45">
    <w:name w:val="样式 标题 4 + 段前: 0.5 行 段后: 0.5 行1"/>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46">
    <w:name w:val="样式 标题 4 + 段前: 0.5 行 段后: 0.5 行2"/>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47">
    <w:name w:val="样式 标题 4 + 段前: 12 磅"/>
    <w:basedOn w:val="1"/>
    <w:qFormat/>
    <w:uiPriority w:val="0"/>
    <w:pPr>
      <w:tabs>
        <w:tab w:val="left" w:pos="0"/>
        <w:tab w:val="left" w:pos="678"/>
      </w:tabs>
      <w:adjustRightInd/>
      <w:snapToGrid/>
      <w:spacing w:line="400" w:lineRule="exact"/>
      <w:ind w:firstLine="0" w:firstLineChars="0"/>
    </w:pPr>
    <w:rPr>
      <w:snapToGrid/>
      <w:kern w:val="2"/>
    </w:rPr>
  </w:style>
  <w:style w:type="paragraph" w:customStyle="1" w:styleId="2748">
    <w:name w:val="样式 标题 4 + 非加粗"/>
    <w:basedOn w:val="6"/>
    <w:link w:val="2749"/>
    <w:qFormat/>
    <w:uiPriority w:val="0"/>
    <w:pPr>
      <w:keepNext/>
      <w:keepLines/>
      <w:numPr>
        <w:ilvl w:val="0"/>
        <w:numId w:val="0"/>
      </w:numPr>
      <w:adjustRightInd/>
      <w:snapToGrid/>
      <w:spacing w:line="360" w:lineRule="auto"/>
      <w:ind w:left="864" w:hanging="144"/>
      <w:jc w:val="both"/>
    </w:pPr>
    <w:rPr>
      <w:rFonts w:ascii="Arial" w:hAnsi="Arial"/>
      <w:b/>
      <w:i/>
      <w:snapToGrid/>
      <w:kern w:val="2"/>
      <w:szCs w:val="28"/>
    </w:rPr>
  </w:style>
  <w:style w:type="character" w:customStyle="1" w:styleId="2749">
    <w:name w:val="样式 标题 4 + 非加粗 Char"/>
    <w:link w:val="2748"/>
    <w:qFormat/>
    <w:uiPriority w:val="0"/>
    <w:rPr>
      <w:rFonts w:ascii="Arial" w:hAnsi="Arial" w:eastAsia="宋体" w:cs="Times New Roman"/>
      <w:b/>
      <w:bCs/>
      <w:i/>
      <w:sz w:val="26"/>
      <w:szCs w:val="28"/>
      <w:lang w:val="zh-CN"/>
      <w14:ligatures w14:val="none"/>
    </w:rPr>
  </w:style>
  <w:style w:type="paragraph" w:customStyle="1" w:styleId="2750">
    <w:name w:val="样式 标题 4 + 红色"/>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51">
    <w:name w:val="样式 标题 4 + 华文楷体"/>
    <w:basedOn w:val="6"/>
    <w:qFormat/>
    <w:uiPriority w:val="0"/>
    <w:pPr>
      <w:keepNext/>
      <w:keepLines/>
      <w:widowControl/>
      <w:numPr>
        <w:ilvl w:val="0"/>
        <w:numId w:val="0"/>
      </w:numPr>
      <w:tabs>
        <w:tab w:val="left" w:pos="1080"/>
        <w:tab w:val="left" w:pos="1620"/>
      </w:tabs>
      <w:adjustRightInd/>
      <w:spacing w:line="240" w:lineRule="auto"/>
      <w:ind w:left="1620" w:hanging="360"/>
    </w:pPr>
    <w:rPr>
      <w:rFonts w:ascii="Calibri" w:hAnsi="宋体" w:eastAsia="华文楷体"/>
      <w:bCs w:val="0"/>
      <w:snapToGrid/>
      <w:color w:val="000000"/>
      <w:szCs w:val="28"/>
      <w:lang w:val="en-US"/>
    </w:rPr>
  </w:style>
  <w:style w:type="paragraph" w:customStyle="1" w:styleId="2752">
    <w:name w:val="样式 标题 4 + 首行缩进:  0 字符"/>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53">
    <w:name w:val="样式 标题 4 + 首行缩进:  2 字符"/>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54">
    <w:name w:val="样式 标题 4 + 宋体 Char Char Char"/>
    <w:basedOn w:val="6"/>
    <w:link w:val="2755"/>
    <w:qFormat/>
    <w:uiPriority w:val="0"/>
    <w:pPr>
      <w:keepNext/>
      <w:keepLines/>
      <w:numPr>
        <w:ilvl w:val="0"/>
        <w:numId w:val="0"/>
      </w:numPr>
      <w:adjustRightInd/>
      <w:snapToGrid/>
      <w:spacing w:line="360" w:lineRule="auto"/>
      <w:ind w:left="864" w:hanging="144"/>
      <w:jc w:val="both"/>
    </w:pPr>
    <w:rPr>
      <w:rFonts w:ascii="宋体" w:hAnsi="宋体"/>
      <w:snapToGrid/>
      <w:szCs w:val="24"/>
      <w:lang w:val="en-US"/>
    </w:rPr>
  </w:style>
  <w:style w:type="character" w:customStyle="1" w:styleId="2755">
    <w:name w:val="样式 标题 4 + 宋体 Char Char Char Char Char"/>
    <w:link w:val="2754"/>
    <w:qFormat/>
    <w:uiPriority w:val="0"/>
    <w:rPr>
      <w:rFonts w:ascii="宋体" w:hAnsi="宋体" w:eastAsia="宋体" w:cs="Times New Roman"/>
      <w:bCs/>
      <w:kern w:val="0"/>
      <w:sz w:val="26"/>
      <w:szCs w:val="24"/>
      <w14:ligatures w14:val="none"/>
    </w:rPr>
  </w:style>
  <w:style w:type="character" w:customStyle="1" w:styleId="2756">
    <w:name w:val="样式 标题 4 + 宋体 Char Char Char Char"/>
    <w:qFormat/>
    <w:uiPriority w:val="0"/>
    <w:rPr>
      <w:rFonts w:ascii="宋体" w:hAnsi="宋体" w:eastAsia="宋体"/>
      <w:bCs/>
      <w:kern w:val="2"/>
      <w:sz w:val="24"/>
      <w:szCs w:val="24"/>
      <w:lang w:val="en-US" w:eastAsia="zh-CN" w:bidi="ar-SA"/>
    </w:rPr>
  </w:style>
  <w:style w:type="paragraph" w:customStyle="1" w:styleId="2757">
    <w:name w:val="样式 标题 4 + 行距: 多倍行距 1.25 字行"/>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58">
    <w:name w:val="样式 标题 4 + 行距: 固定值 22 磅"/>
    <w:basedOn w:val="6"/>
    <w:semiHidden/>
    <w:qFormat/>
    <w:uiPriority w:val="0"/>
    <w:pPr>
      <w:keepNext/>
      <w:keepLines/>
      <w:numPr>
        <w:ilvl w:val="0"/>
        <w:numId w:val="0"/>
      </w:numPr>
      <w:tabs>
        <w:tab w:val="left" w:pos="432"/>
      </w:tabs>
      <w:snapToGrid/>
      <w:spacing w:beforeAutospacing="1" w:after="100" w:afterAutospacing="1" w:line="600" w:lineRule="exact"/>
      <w:ind w:left="432" w:hanging="432"/>
    </w:pPr>
    <w:rPr>
      <w:rFonts w:eastAsia="楷体_GB2312"/>
      <w:snapToGrid/>
      <w:color w:val="0000FF"/>
      <w:sz w:val="48"/>
      <w:szCs w:val="48"/>
      <w:lang w:val="en-US"/>
    </w:rPr>
  </w:style>
  <w:style w:type="character" w:customStyle="1" w:styleId="2759">
    <w:name w:val="样式 标题 4 + 字符缩放: 80% Char Char Char Char Char Char Char Char Char Char Char Char Char Char Char Char Char Char Char Char Char Char Char Char Char Char Char Char Char Char Char Char Char Char Char Char Char Char Char Char Char Char Char Char"/>
    <w:qFormat/>
    <w:uiPriority w:val="0"/>
    <w:rPr>
      <w:rFonts w:ascii="Arial" w:hAnsi="Arial" w:eastAsia="黑体"/>
      <w:b/>
      <w:bCs/>
      <w:w w:val="80"/>
      <w:kern w:val="2"/>
      <w:sz w:val="28"/>
      <w:szCs w:val="28"/>
      <w:lang w:val="en-US" w:eastAsia="zh-CN" w:bidi="ar-SA"/>
    </w:rPr>
  </w:style>
  <w:style w:type="paragraph" w:customStyle="1" w:styleId="2760">
    <w:name w:val="样式 标题 4 + 左侧:  0 厘米 首行缩进:  0 厘米"/>
    <w:basedOn w:val="6"/>
    <w:qFormat/>
    <w:uiPriority w:val="0"/>
    <w:pPr>
      <w:keepNext/>
      <w:keepLines/>
      <w:numPr>
        <w:ilvl w:val="0"/>
        <w:numId w:val="0"/>
      </w:numPr>
      <w:tabs>
        <w:tab w:val="left" w:pos="851"/>
        <w:tab w:val="left" w:pos="2356"/>
      </w:tabs>
      <w:adjustRightInd/>
      <w:snapToGrid/>
      <w:spacing w:after="290" w:line="240" w:lineRule="atLeast"/>
      <w:ind w:hanging="708"/>
      <w:jc w:val="both"/>
    </w:pPr>
    <w:rPr>
      <w:rFonts w:ascii="Arial" w:hAnsi="Arial" w:cs="宋体"/>
      <w:b/>
      <w:bCs w:val="0"/>
      <w:snapToGrid/>
      <w:spacing w:val="10"/>
      <w:kern w:val="2"/>
      <w:szCs w:val="30"/>
      <w:lang w:val="en-US"/>
    </w:rPr>
  </w:style>
  <w:style w:type="paragraph" w:customStyle="1" w:styleId="2761">
    <w:name w:val="样式 标题 4 + 左侧:  1 字符"/>
    <w:basedOn w:val="6"/>
    <w:qFormat/>
    <w:uiPriority w:val="0"/>
    <w:pPr>
      <w:keepNext/>
      <w:keepLines/>
      <w:numPr>
        <w:ilvl w:val="0"/>
        <w:numId w:val="0"/>
      </w:numPr>
      <w:adjustRightInd/>
      <w:snapToGrid/>
      <w:spacing w:beforeAutospacing="1" w:after="100" w:afterAutospacing="1" w:line="360" w:lineRule="auto"/>
      <w:ind w:left="150" w:leftChars="150"/>
      <w:jc w:val="both"/>
    </w:pPr>
    <w:rPr>
      <w:rFonts w:cs="宋体"/>
      <w:b/>
      <w:bCs w:val="0"/>
      <w:i/>
      <w:iCs/>
      <w:snapToGrid/>
      <w:kern w:val="2"/>
      <w:szCs w:val="24"/>
      <w:lang w:val="en-US"/>
    </w:rPr>
  </w:style>
  <w:style w:type="paragraph" w:customStyle="1" w:styleId="2762">
    <w:name w:val="样式 标题 4 + 左侧:  1 字符1"/>
    <w:basedOn w:val="6"/>
    <w:qFormat/>
    <w:uiPriority w:val="0"/>
    <w:pPr>
      <w:keepNext/>
      <w:keepLines/>
      <w:numPr>
        <w:ilvl w:val="0"/>
        <w:numId w:val="0"/>
      </w:numPr>
      <w:adjustRightInd/>
      <w:snapToGrid/>
      <w:spacing w:beforeAutospacing="1" w:after="100" w:afterAutospacing="1" w:line="240" w:lineRule="auto"/>
      <w:ind w:left="100" w:leftChars="100"/>
      <w:jc w:val="both"/>
    </w:pPr>
    <w:rPr>
      <w:rFonts w:cs="宋体"/>
      <w:b/>
      <w:bCs w:val="0"/>
      <w:i/>
      <w:iCs/>
      <w:snapToGrid/>
      <w:kern w:val="2"/>
      <w:sz w:val="28"/>
      <w:szCs w:val="28"/>
      <w:lang w:val="en-US"/>
    </w:rPr>
  </w:style>
  <w:style w:type="paragraph" w:customStyle="1" w:styleId="2763">
    <w:name w:val="样式 标题 4 + 左侧:  1 字符2"/>
    <w:basedOn w:val="6"/>
    <w:qFormat/>
    <w:uiPriority w:val="0"/>
    <w:pPr>
      <w:keepNext/>
      <w:keepLines/>
      <w:numPr>
        <w:ilvl w:val="0"/>
        <w:numId w:val="0"/>
      </w:numPr>
      <w:adjustRightInd/>
      <w:snapToGrid/>
      <w:spacing w:beforeAutospacing="1" w:after="100" w:afterAutospacing="1" w:line="240" w:lineRule="auto"/>
      <w:ind w:left="100" w:leftChars="100"/>
      <w:jc w:val="both"/>
    </w:pPr>
    <w:rPr>
      <w:rFonts w:cs="宋体"/>
      <w:b/>
      <w:bCs w:val="0"/>
      <w:i/>
      <w:iCs/>
      <w:snapToGrid/>
      <w:kern w:val="2"/>
      <w:sz w:val="28"/>
      <w:szCs w:val="28"/>
      <w:lang w:val="en-US"/>
    </w:rPr>
  </w:style>
  <w:style w:type="paragraph" w:customStyle="1" w:styleId="2764">
    <w:name w:val="样式 标题 4白鹤滩标题 4 Char1标题 4 Char标题 41标题 4 Char Char1标题 4 Char...1"/>
    <w:basedOn w:val="6"/>
    <w:link w:val="2765"/>
    <w:autoRedefine/>
    <w:qFormat/>
    <w:uiPriority w:val="0"/>
    <w:pPr>
      <w:keepNext/>
      <w:keepLines/>
      <w:numPr>
        <w:ilvl w:val="0"/>
        <w:numId w:val="0"/>
      </w:numPr>
      <w:adjustRightInd/>
      <w:snapToGrid/>
      <w:spacing w:line="560" w:lineRule="exact"/>
    </w:pPr>
    <w:rPr>
      <w:rFonts w:ascii="Arial" w:hAnsi="Arial"/>
      <w:snapToGrid/>
      <w:kern w:val="2"/>
      <w:sz w:val="28"/>
      <w:szCs w:val="28"/>
    </w:rPr>
  </w:style>
  <w:style w:type="character" w:customStyle="1" w:styleId="2765">
    <w:name w:val="样式 标题 4白鹤滩标题 4 Char1标题 4 Char标题 41标题 4 Char Char1标题 4 Char...1 Char"/>
    <w:link w:val="2764"/>
    <w:qFormat/>
    <w:uiPriority w:val="0"/>
    <w:rPr>
      <w:rFonts w:ascii="Arial" w:hAnsi="Arial" w:eastAsia="宋体" w:cs="Times New Roman"/>
      <w:bCs/>
      <w:sz w:val="28"/>
      <w:szCs w:val="28"/>
      <w:lang w:val="zh-CN"/>
      <w14:ligatures w14:val="none"/>
    </w:rPr>
  </w:style>
  <w:style w:type="paragraph" w:customStyle="1" w:styleId="2766">
    <w:name w:val="样式 标题 4白鹤滩标题 4款标题1.1.1.1标题 4 Char Char Char Char Char Char Ch..."/>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67">
    <w:name w:val="样式 标题 4标题 4 Char + 段前: 2.4 磅"/>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68">
    <w:name w:val="样式 标题 4标题 4 Char4 dashd3dash Char Chardash Char + (符号) 宋体"/>
    <w:basedOn w:val="6"/>
    <w:autoRedefine/>
    <w:semiHidden/>
    <w:qFormat/>
    <w:uiPriority w:val="0"/>
    <w:pPr>
      <w:keepNext/>
      <w:keepLines/>
      <w:numPr>
        <w:ilvl w:val="0"/>
        <w:numId w:val="0"/>
      </w:numPr>
      <w:adjustRightInd/>
      <w:snapToGrid/>
      <w:spacing w:line="360" w:lineRule="auto"/>
      <w:ind w:firstLine="540" w:firstLineChars="225"/>
      <w:jc w:val="both"/>
    </w:pPr>
    <w:rPr>
      <w:rFonts w:ascii="宋体" w:hAnsi="宋体" w:eastAsia="黑体"/>
      <w:b/>
      <w:snapToGrid/>
      <w:kern w:val="28"/>
      <w:szCs w:val="24"/>
      <w:lang w:val="en-US"/>
    </w:rPr>
  </w:style>
  <w:style w:type="paragraph" w:customStyle="1" w:styleId="2769">
    <w:name w:val="样式 标题 4标题 4 Char4 dashd3dash Char Chardash Char + (西文) 宋体"/>
    <w:basedOn w:val="6"/>
    <w:link w:val="2770"/>
    <w:autoRedefine/>
    <w:semiHidden/>
    <w:qFormat/>
    <w:uiPriority w:val="0"/>
    <w:pPr>
      <w:keepNext/>
      <w:keepLines/>
      <w:numPr>
        <w:ilvl w:val="0"/>
        <w:numId w:val="0"/>
      </w:numPr>
      <w:adjustRightInd/>
      <w:snapToGrid/>
      <w:spacing w:line="240" w:lineRule="auto"/>
      <w:ind w:firstLine="560" w:firstLineChars="200"/>
      <w:jc w:val="both"/>
    </w:pPr>
    <w:rPr>
      <w:rFonts w:ascii="宋体" w:hAnsi="宋体"/>
      <w:b/>
      <w:bCs w:val="0"/>
      <w:snapToGrid/>
      <w:kern w:val="2"/>
      <w:szCs w:val="20"/>
    </w:rPr>
  </w:style>
  <w:style w:type="character" w:customStyle="1" w:styleId="2770">
    <w:name w:val="样式 标题 4标题 4 Char4 dashd3dash Char Chardash Char + (西文) 宋体 Char"/>
    <w:link w:val="2769"/>
    <w:semiHidden/>
    <w:qFormat/>
    <w:uiPriority w:val="0"/>
    <w:rPr>
      <w:rFonts w:ascii="宋体" w:hAnsi="宋体" w:eastAsia="宋体" w:cs="Times New Roman"/>
      <w:b/>
      <w:sz w:val="26"/>
      <w:szCs w:val="20"/>
      <w:lang w:val="zh-CN"/>
      <w14:ligatures w14:val="none"/>
    </w:rPr>
  </w:style>
  <w:style w:type="paragraph" w:customStyle="1" w:styleId="2771">
    <w:name w:val="样式 标题 4标题 4 Char4 dashd3dash Char Chardash Char + (西文) 宋体1"/>
    <w:basedOn w:val="6"/>
    <w:link w:val="2772"/>
    <w:autoRedefine/>
    <w:semiHidden/>
    <w:qFormat/>
    <w:uiPriority w:val="0"/>
    <w:pPr>
      <w:keepNext/>
      <w:keepLines/>
      <w:numPr>
        <w:ilvl w:val="0"/>
        <w:numId w:val="0"/>
      </w:numPr>
      <w:adjustRightInd/>
      <w:snapToGrid/>
      <w:spacing w:line="240" w:lineRule="auto"/>
      <w:ind w:firstLine="560" w:firstLineChars="200"/>
      <w:jc w:val="both"/>
    </w:pPr>
    <w:rPr>
      <w:rFonts w:ascii="宋体" w:hAnsi="宋体" w:eastAsia="黑体"/>
      <w:b/>
      <w:snapToGrid/>
      <w:kern w:val="28"/>
      <w:szCs w:val="24"/>
    </w:rPr>
  </w:style>
  <w:style w:type="character" w:customStyle="1" w:styleId="2772">
    <w:name w:val="样式 标题 4标题 4 Char4 dashd3dash Char Chardash Char + (西文) 宋体1 Char"/>
    <w:link w:val="2771"/>
    <w:semiHidden/>
    <w:qFormat/>
    <w:uiPriority w:val="0"/>
    <w:rPr>
      <w:rFonts w:ascii="宋体" w:hAnsi="宋体" w:eastAsia="黑体" w:cs="Times New Roman"/>
      <w:b/>
      <w:bCs/>
      <w:kern w:val="28"/>
      <w:sz w:val="26"/>
      <w:szCs w:val="24"/>
      <w:lang w:val="zh-CN"/>
      <w14:ligatures w14:val="none"/>
    </w:rPr>
  </w:style>
  <w:style w:type="paragraph" w:customStyle="1" w:styleId="2773">
    <w:name w:val="样式 标题 4款标题1.1.1.1标题 4XW Char标题 4XW Char Char标题 4 Char标题 4XW..."/>
    <w:basedOn w:val="6"/>
    <w:qFormat/>
    <w:uiPriority w:val="0"/>
    <w:pPr>
      <w:keepNext/>
      <w:keepLines/>
      <w:numPr>
        <w:ilvl w:val="0"/>
        <w:numId w:val="0"/>
      </w:numPr>
      <w:adjustRightInd/>
      <w:snapToGrid/>
      <w:spacing w:line="360" w:lineRule="auto"/>
      <w:ind w:left="864" w:hanging="144"/>
      <w:jc w:val="both"/>
    </w:pPr>
    <w:rPr>
      <w:rFonts w:ascii="Arial" w:hAnsi="Arial"/>
      <w:i/>
      <w:snapToGrid/>
      <w:kern w:val="2"/>
      <w:szCs w:val="28"/>
      <w:lang w:val="en-US"/>
    </w:rPr>
  </w:style>
  <w:style w:type="paragraph" w:customStyle="1" w:styleId="2774">
    <w:name w:val="样式 标题 4项 + 非加粗 段前: 0.5 行 段后: 0.5 行"/>
    <w:basedOn w:val="6"/>
    <w:qFormat/>
    <w:uiPriority w:val="0"/>
    <w:pPr>
      <w:widowControl/>
      <w:numPr>
        <w:ilvl w:val="0"/>
        <w:numId w:val="0"/>
      </w:numPr>
      <w:adjustRightInd/>
      <w:snapToGrid/>
      <w:spacing w:after="80" w:line="240" w:lineRule="auto"/>
      <w:jc w:val="center"/>
    </w:pPr>
    <w:rPr>
      <w:rFonts w:ascii="Cambria" w:hAnsi="Cambria" w:cs="宋体"/>
      <w:b/>
      <w:bCs w:val="0"/>
      <w:iCs/>
      <w:snapToGrid/>
      <w:color w:val="000000"/>
      <w:szCs w:val="24"/>
      <w:lang w:eastAsia="en-US" w:bidi="en-US"/>
    </w:rPr>
  </w:style>
  <w:style w:type="paragraph" w:customStyle="1" w:styleId="2775">
    <w:name w:val="样式 标题 5 + 段前: 0.2 行 段后: 0.2 行 首行缩进:  0 字符"/>
    <w:basedOn w:val="7"/>
    <w:qFormat/>
    <w:uiPriority w:val="0"/>
    <w:pPr>
      <w:keepNext/>
      <w:keepLines/>
      <w:numPr>
        <w:ilvl w:val="0"/>
        <w:numId w:val="0"/>
      </w:numPr>
      <w:tabs>
        <w:tab w:val="left" w:pos="1008"/>
      </w:tabs>
      <w:adjustRightInd/>
      <w:snapToGrid/>
      <w:spacing w:before="280" w:after="290" w:line="376" w:lineRule="auto"/>
      <w:ind w:left="1008" w:hanging="432"/>
    </w:pPr>
    <w:rPr>
      <w:b/>
      <w:kern w:val="2"/>
      <w:sz w:val="28"/>
    </w:rPr>
  </w:style>
  <w:style w:type="paragraph" w:customStyle="1" w:styleId="2776">
    <w:name w:val="样式 标题 5 + 段前: 0.5 行"/>
    <w:basedOn w:val="7"/>
    <w:next w:val="1"/>
    <w:qFormat/>
    <w:uiPriority w:val="0"/>
    <w:pPr>
      <w:keepNext/>
      <w:keepLines/>
      <w:numPr>
        <w:ilvl w:val="0"/>
        <w:numId w:val="0"/>
      </w:numPr>
      <w:tabs>
        <w:tab w:val="left" w:pos="1008"/>
      </w:tabs>
      <w:adjustRightInd/>
      <w:snapToGrid/>
      <w:spacing w:before="280" w:after="290" w:line="376" w:lineRule="auto"/>
      <w:ind w:left="1008" w:hanging="432"/>
    </w:pPr>
    <w:rPr>
      <w:b/>
      <w:kern w:val="2"/>
      <w:sz w:val="28"/>
    </w:rPr>
  </w:style>
  <w:style w:type="paragraph" w:customStyle="1" w:styleId="2777">
    <w:name w:val="样式 标题 5 + 段前: 0.5 行 段后: 0.5 行"/>
    <w:basedOn w:val="7"/>
    <w:qFormat/>
    <w:uiPriority w:val="0"/>
    <w:pPr>
      <w:keepNext/>
      <w:keepLines/>
      <w:numPr>
        <w:ilvl w:val="4"/>
        <w:numId w:val="0"/>
      </w:numPr>
      <w:adjustRightInd/>
      <w:spacing w:beforeLines="50" w:afterLines="50" w:line="240" w:lineRule="auto"/>
      <w:ind w:left="360"/>
    </w:pPr>
    <w:rPr>
      <w:rFonts w:cs="宋体"/>
      <w:b/>
      <w:snapToGrid/>
      <w:kern w:val="2"/>
      <w:szCs w:val="20"/>
    </w:rPr>
  </w:style>
  <w:style w:type="paragraph" w:customStyle="1" w:styleId="2778">
    <w:name w:val="样式 标题 5 + 小四 首行缩进:  2 字符"/>
    <w:basedOn w:val="7"/>
    <w:qFormat/>
    <w:uiPriority w:val="0"/>
    <w:pPr>
      <w:keepNext/>
      <w:keepLines/>
      <w:numPr>
        <w:numId w:val="0"/>
      </w:numPr>
      <w:adjustRightInd/>
      <w:snapToGrid/>
      <w:spacing w:line="360" w:lineRule="auto"/>
      <w:ind w:firstLine="482" w:firstLineChars="200"/>
    </w:pPr>
    <w:rPr>
      <w:rFonts w:cs="宋体"/>
      <w:b/>
      <w:color w:val="000000"/>
      <w:kern w:val="2"/>
      <w:sz w:val="28"/>
      <w:szCs w:val="20"/>
    </w:rPr>
  </w:style>
  <w:style w:type="paragraph" w:customStyle="1" w:styleId="2779">
    <w:name w:val="样式 标题 5标题 5 Char + 宋体"/>
    <w:basedOn w:val="7"/>
    <w:next w:val="1"/>
    <w:qFormat/>
    <w:uiPriority w:val="0"/>
    <w:pPr>
      <w:keepNext/>
      <w:keepLines/>
      <w:numPr>
        <w:numId w:val="0"/>
      </w:numPr>
      <w:tabs>
        <w:tab w:val="left" w:pos="1008"/>
      </w:tabs>
      <w:adjustRightInd/>
      <w:snapToGrid/>
      <w:spacing w:before="280" w:after="290" w:line="376" w:lineRule="auto"/>
      <w:ind w:left="1008" w:hanging="432"/>
    </w:pPr>
    <w:rPr>
      <w:b/>
      <w:kern w:val="2"/>
      <w:sz w:val="28"/>
    </w:rPr>
  </w:style>
  <w:style w:type="paragraph" w:customStyle="1" w:styleId="2780">
    <w:name w:val="样式 标题 5标题 5 Char + 宋体 Char"/>
    <w:basedOn w:val="7"/>
    <w:next w:val="1"/>
    <w:qFormat/>
    <w:uiPriority w:val="0"/>
    <w:pPr>
      <w:keepNext/>
      <w:keepLines/>
      <w:numPr>
        <w:numId w:val="0"/>
      </w:numPr>
      <w:tabs>
        <w:tab w:val="left" w:pos="1008"/>
      </w:tabs>
      <w:adjustRightInd/>
      <w:snapToGrid/>
      <w:spacing w:before="280" w:after="290" w:line="376" w:lineRule="auto"/>
      <w:ind w:left="1008" w:hanging="432"/>
    </w:pPr>
    <w:rPr>
      <w:b/>
      <w:kern w:val="2"/>
      <w:sz w:val="28"/>
    </w:rPr>
  </w:style>
  <w:style w:type="character" w:customStyle="1" w:styleId="2781">
    <w:name w:val="样式 标题 5标题 5 Char + 宋体 Char Char"/>
    <w:qFormat/>
    <w:uiPriority w:val="0"/>
    <w:rPr>
      <w:rFonts w:ascii="宋体" w:hAnsi="宋体" w:eastAsia="宋体"/>
      <w:snapToGrid w:val="0"/>
      <w:sz w:val="24"/>
      <w:szCs w:val="24"/>
      <w:lang w:val="en-US" w:eastAsia="zh-CN" w:bidi="ar-SA"/>
    </w:rPr>
  </w:style>
  <w:style w:type="character" w:customStyle="1" w:styleId="2782">
    <w:name w:val="样式 标题 5标题 5 Char + 宋体 Char Char Char Char"/>
    <w:qFormat/>
    <w:uiPriority w:val="0"/>
    <w:rPr>
      <w:rFonts w:ascii="宋体" w:hAnsi="宋体" w:eastAsia="宋体"/>
      <w:snapToGrid w:val="0"/>
      <w:sz w:val="24"/>
      <w:szCs w:val="24"/>
      <w:lang w:val="en-US" w:eastAsia="zh-CN" w:bidi="ar-SA"/>
    </w:rPr>
  </w:style>
  <w:style w:type="paragraph" w:customStyle="1" w:styleId="2783">
    <w:name w:val="样式 标题 5标题（五） + 左侧:  0 厘米 首行缩进:  0 厘米"/>
    <w:basedOn w:val="7"/>
    <w:qFormat/>
    <w:uiPriority w:val="0"/>
    <w:pPr>
      <w:keepNext/>
      <w:keepLines/>
      <w:numPr>
        <w:ilvl w:val="4"/>
        <w:numId w:val="0"/>
      </w:numPr>
      <w:tabs>
        <w:tab w:val="left" w:pos="0"/>
      </w:tabs>
      <w:snapToGrid/>
      <w:spacing w:before="280" w:after="290" w:line="376" w:lineRule="atLeast"/>
      <w:jc w:val="left"/>
      <w:textAlignment w:val="baseline"/>
    </w:pPr>
    <w:rPr>
      <w:rFonts w:cs="宋体"/>
      <w:b/>
      <w:sz w:val="28"/>
      <w:szCs w:val="20"/>
    </w:rPr>
  </w:style>
  <w:style w:type="paragraph" w:customStyle="1" w:styleId="2784">
    <w:name w:val="样式 标题 5款，11款 + (中文) 楷体_GB2312"/>
    <w:basedOn w:val="7"/>
    <w:semiHidden/>
    <w:qFormat/>
    <w:uiPriority w:val="0"/>
    <w:pPr>
      <w:keepNext/>
      <w:numPr>
        <w:numId w:val="0"/>
      </w:numPr>
      <w:adjustRightInd/>
      <w:snapToGrid/>
      <w:spacing w:line="240" w:lineRule="auto"/>
      <w:ind w:left="325" w:leftChars="200" w:hanging="125" w:hangingChars="125"/>
    </w:pPr>
    <w:rPr>
      <w:rFonts w:ascii="宋体" w:eastAsia="楷体_GB2312"/>
      <w:bCs w:val="0"/>
      <w:szCs w:val="20"/>
    </w:rPr>
  </w:style>
  <w:style w:type="paragraph" w:customStyle="1" w:styleId="2785">
    <w:name w:val="样式 标题 6 + 首行缩进:  2 字符"/>
    <w:basedOn w:val="8"/>
    <w:autoRedefine/>
    <w:semiHidden/>
    <w:qFormat/>
    <w:uiPriority w:val="0"/>
    <w:pPr>
      <w:numPr>
        <w:numId w:val="0"/>
      </w:numPr>
      <w:adjustRightInd/>
      <w:snapToGrid/>
      <w:spacing w:line="360" w:lineRule="auto"/>
    </w:pPr>
    <w:rPr>
      <w:rFonts w:ascii="Arial" w:hAnsi="Arial" w:eastAsia="黑体" w:cs="宋体"/>
      <w:kern w:val="2"/>
      <w:sz w:val="28"/>
      <w:szCs w:val="28"/>
    </w:rPr>
  </w:style>
  <w:style w:type="paragraph" w:customStyle="1" w:styleId="2786">
    <w:name w:val="样式 标题 6标题 6 Char Char Char Char Char Char Char Char Char + 加粗 Char Char Char Char Char Char Char Char Char Char Char Char Char Char Char Char Char Char Char Char Char Char Char Char Char Char Char Char Char Char Char Char Char Char Char Char Char"/>
    <w:basedOn w:val="1361"/>
    <w:qFormat/>
    <w:uiPriority w:val="0"/>
    <w:pPr>
      <w:keepNext w:val="0"/>
      <w:tabs>
        <w:tab w:val="clear" w:pos="1152"/>
      </w:tabs>
      <w:snapToGrid w:val="0"/>
      <w:spacing w:after="0" w:line="360" w:lineRule="auto"/>
      <w:ind w:left="0" w:firstLine="482" w:firstLineChars="200"/>
    </w:pPr>
    <w:rPr>
      <w:rFonts w:ascii="宋体" w:hAnsi="宋体" w:eastAsia="仿宋_GB2312"/>
    </w:rPr>
  </w:style>
  <w:style w:type="character" w:customStyle="1" w:styleId="2787">
    <w:name w:val="样式 标题 6标题 6 Char Char Char Char Char Char Char Char Char + 加粗 Char Char Char Char Char Char Char Char Char Char Char Char Char Char Char Char Char Char Char Char Char Char Char Char Char Char Char Char Char Char Char Char Char Char Char Char Char   Char"/>
    <w:qFormat/>
    <w:uiPriority w:val="0"/>
    <w:rPr>
      <w:rFonts w:ascii="宋体" w:hAnsi="宋体" w:eastAsia="仿宋_GB2312"/>
      <w:b/>
      <w:bCs/>
      <w:kern w:val="2"/>
      <w:sz w:val="24"/>
      <w:szCs w:val="24"/>
      <w:lang w:val="en-US" w:eastAsia="zh-CN" w:bidi="ar-SA"/>
    </w:rPr>
  </w:style>
  <w:style w:type="paragraph" w:customStyle="1" w:styleId="2788">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8"/>
    <w:qFormat/>
    <w:uiPriority w:val="0"/>
    <w:pPr>
      <w:numPr>
        <w:numId w:val="0"/>
      </w:numPr>
      <w:tabs>
        <w:tab w:val="left" w:pos="1152"/>
      </w:tabs>
      <w:adjustRightInd/>
      <w:snapToGrid/>
      <w:spacing w:line="320" w:lineRule="auto"/>
      <w:ind w:left="1152" w:hanging="432"/>
    </w:pPr>
    <w:rPr>
      <w:rFonts w:ascii="Arial" w:hAnsi="Arial" w:eastAsia="黑体"/>
      <w:kern w:val="2"/>
      <w:szCs w:val="24"/>
    </w:rPr>
  </w:style>
  <w:style w:type="paragraph" w:customStyle="1" w:styleId="2789">
    <w:name w:val="样式 标题03"/>
    <w:basedOn w:val="1"/>
    <w:autoRedefine/>
    <w:qFormat/>
    <w:uiPriority w:val="0"/>
    <w:pPr>
      <w:numPr>
        <w:ilvl w:val="2"/>
        <w:numId w:val="19"/>
      </w:numPr>
      <w:spacing w:beforeLines="50" w:afterLines="50" w:line="288" w:lineRule="auto"/>
      <w:ind w:firstLine="0" w:firstLineChars="0"/>
      <w:outlineLvl w:val="2"/>
    </w:pPr>
    <w:rPr>
      <w:b/>
      <w:snapToGrid/>
      <w:color w:val="0000FF"/>
      <w:kern w:val="2"/>
      <w:szCs w:val="20"/>
    </w:rPr>
  </w:style>
  <w:style w:type="paragraph" w:customStyle="1" w:styleId="2790">
    <w:name w:val="样式 标题1 + (西文) Times New Roman (中文) 华文中宋 行距: 1.5 倍行距"/>
    <w:basedOn w:val="1"/>
    <w:qFormat/>
    <w:uiPriority w:val="0"/>
    <w:pPr>
      <w:overflowPunct w:val="0"/>
      <w:topLinePunct/>
      <w:adjustRightInd/>
      <w:snapToGrid/>
      <w:spacing w:line="360" w:lineRule="auto"/>
      <w:ind w:firstLine="0" w:firstLineChars="0"/>
      <w:jc w:val="center"/>
      <w:outlineLvl w:val="0"/>
    </w:pPr>
    <w:rPr>
      <w:rFonts w:eastAsia="黑体"/>
      <w:b/>
      <w:bCs/>
      <w:snapToGrid/>
      <w:color w:val="000000"/>
      <w:kern w:val="2"/>
      <w:sz w:val="32"/>
      <w:szCs w:val="32"/>
    </w:rPr>
  </w:style>
  <w:style w:type="paragraph" w:customStyle="1" w:styleId="2791">
    <w:name w:val="样式 标题1 + 行距: 1.5 倍行距"/>
    <w:basedOn w:val="45"/>
    <w:next w:val="3"/>
    <w:qFormat/>
    <w:uiPriority w:val="0"/>
    <w:pPr>
      <w:overflowPunct w:val="0"/>
      <w:topLinePunct/>
      <w:spacing w:line="360" w:lineRule="auto"/>
      <w:jc w:val="center"/>
      <w:outlineLvl w:val="0"/>
    </w:pPr>
    <w:rPr>
      <w:rFonts w:hAnsi="宋体" w:eastAsia="华文中宋"/>
      <w:b/>
      <w:bCs/>
      <w:color w:val="000000"/>
      <w:kern w:val="0"/>
      <w:sz w:val="32"/>
      <w:szCs w:val="20"/>
    </w:rPr>
  </w:style>
  <w:style w:type="paragraph" w:customStyle="1" w:styleId="2792">
    <w:name w:val="样式 标题3 + (中文) 黑体 段前: 0.5 行 段后: 0.5 行 行距: 1.5 倍行距"/>
    <w:basedOn w:val="1"/>
    <w:qFormat/>
    <w:uiPriority w:val="0"/>
    <w:pPr>
      <w:overflowPunct w:val="0"/>
      <w:topLinePunct/>
      <w:adjustRightInd/>
      <w:snapToGrid/>
      <w:spacing w:line="360" w:lineRule="auto"/>
      <w:ind w:firstLine="0" w:firstLineChars="0"/>
      <w:outlineLvl w:val="2"/>
    </w:pPr>
    <w:rPr>
      <w:rFonts w:eastAsia="黑体"/>
      <w:b/>
      <w:bCs/>
      <w:snapToGrid/>
      <w:kern w:val="10"/>
      <w:sz w:val="28"/>
      <w:szCs w:val="28"/>
    </w:rPr>
  </w:style>
  <w:style w:type="paragraph" w:customStyle="1" w:styleId="2793">
    <w:name w:val="样式 标题3 + 段前: 0.5 行 段后: 0.5 行"/>
    <w:basedOn w:val="1407"/>
    <w:qFormat/>
    <w:uiPriority w:val="0"/>
    <w:pPr>
      <w:overflowPunct w:val="0"/>
      <w:topLinePunct/>
      <w:spacing w:beforeLines="10" w:line="440" w:lineRule="exact"/>
    </w:pPr>
    <w:rPr>
      <w:rFonts w:eastAsia="华文中宋"/>
      <w:bCs w:val="0"/>
      <w:kern w:val="10"/>
      <w:sz w:val="28"/>
      <w:szCs w:val="20"/>
    </w:rPr>
  </w:style>
  <w:style w:type="paragraph" w:customStyle="1" w:styleId="2794">
    <w:name w:val="样式 标题3 + 段前: 0.5 行 段后: 0.5 行1"/>
    <w:basedOn w:val="1407"/>
    <w:qFormat/>
    <w:uiPriority w:val="0"/>
    <w:pPr>
      <w:overflowPunct w:val="0"/>
      <w:topLinePunct/>
      <w:spacing w:beforeLines="10" w:line="440" w:lineRule="exact"/>
    </w:pPr>
    <w:rPr>
      <w:rFonts w:eastAsia="华文中宋"/>
      <w:bCs w:val="0"/>
      <w:kern w:val="10"/>
      <w:sz w:val="28"/>
      <w:szCs w:val="20"/>
    </w:rPr>
  </w:style>
  <w:style w:type="paragraph" w:customStyle="1" w:styleId="2795">
    <w:name w:val="样式 标题3 + 段前: 4 磅 段后: 4 磅"/>
    <w:basedOn w:val="1"/>
    <w:qFormat/>
    <w:uiPriority w:val="0"/>
    <w:pPr>
      <w:adjustRightInd/>
      <w:snapToGrid/>
      <w:spacing w:after="80" w:line="360" w:lineRule="exact"/>
      <w:ind w:firstLine="0" w:firstLineChars="0"/>
      <w:outlineLvl w:val="2"/>
    </w:pPr>
    <w:rPr>
      <w:rFonts w:ascii="宋体" w:hAnsi="宋体" w:cs="宋体"/>
      <w:snapToGrid/>
      <w:kern w:val="2"/>
      <w:szCs w:val="20"/>
    </w:rPr>
  </w:style>
  <w:style w:type="paragraph" w:customStyle="1" w:styleId="2796">
    <w:name w:val="样式 标题4 + Times New Roman"/>
    <w:basedOn w:val="1"/>
    <w:qFormat/>
    <w:uiPriority w:val="0"/>
    <w:pPr>
      <w:snapToGrid/>
      <w:spacing w:line="360" w:lineRule="auto"/>
      <w:ind w:firstLine="0" w:firstLineChars="0"/>
      <w:outlineLvl w:val="3"/>
    </w:pPr>
    <w:rPr>
      <w:b/>
      <w:bCs/>
      <w:snapToGrid/>
      <w:kern w:val="2"/>
    </w:rPr>
  </w:style>
  <w:style w:type="paragraph" w:customStyle="1" w:styleId="2797">
    <w:name w:val="样式 标题4 + 段前: 0.5 行"/>
    <w:basedOn w:val="1"/>
    <w:qFormat/>
    <w:uiPriority w:val="0"/>
    <w:pPr>
      <w:adjustRightInd/>
      <w:snapToGrid/>
      <w:spacing w:beforeAutospacing="1" w:line="360" w:lineRule="auto"/>
      <w:ind w:firstLine="0" w:firstLineChars="0"/>
      <w:outlineLvl w:val="3"/>
    </w:pPr>
    <w:rPr>
      <w:rFonts w:eastAsia="黑体"/>
      <w:bCs/>
      <w:snapToGrid/>
      <w:kern w:val="2"/>
      <w:szCs w:val="20"/>
    </w:rPr>
  </w:style>
  <w:style w:type="paragraph" w:customStyle="1" w:styleId="2798">
    <w:name w:val="样式 标题4－99 + 倾斜"/>
    <w:basedOn w:val="1418"/>
    <w:autoRedefine/>
    <w:semiHidden/>
    <w:qFormat/>
    <w:uiPriority w:val="0"/>
    <w:pPr>
      <w:tabs>
        <w:tab w:val="left" w:pos="904"/>
        <w:tab w:val="clear" w:pos="0"/>
      </w:tabs>
      <w:ind w:left="904" w:hanging="484"/>
    </w:pPr>
    <w:rPr>
      <w:rFonts w:eastAsia="黑体"/>
      <w:b w:val="0"/>
      <w:bCs/>
      <w:i/>
      <w:iCs/>
      <w:sz w:val="24"/>
      <w:szCs w:val="28"/>
    </w:rPr>
  </w:style>
  <w:style w:type="paragraph" w:customStyle="1" w:styleId="2799">
    <w:name w:val="样式 标题二 + 首行缩进:  2 字符 段前: 0.8 行 段后: 0.8 行1"/>
    <w:basedOn w:val="1"/>
    <w:qFormat/>
    <w:uiPriority w:val="0"/>
    <w:pPr>
      <w:spacing w:beforeLines="50" w:afterLines="50" w:line="240" w:lineRule="auto"/>
    </w:pPr>
    <w:rPr>
      <w:b/>
      <w:bCs/>
      <w:snapToGrid/>
      <w:kern w:val="2"/>
      <w:szCs w:val="20"/>
    </w:rPr>
  </w:style>
  <w:style w:type="paragraph" w:customStyle="1" w:styleId="2800">
    <w:name w:val="样式 标题一 + 首行缩进:  2 字符 段前: 0.5 行 段后: 0.8 行"/>
    <w:basedOn w:val="1"/>
    <w:qFormat/>
    <w:uiPriority w:val="0"/>
    <w:pPr>
      <w:spacing w:beforeLines="50" w:afterLines="50" w:line="240" w:lineRule="auto"/>
    </w:pPr>
    <w:rPr>
      <w:rFonts w:eastAsia="黑体"/>
      <w:b/>
      <w:bCs/>
      <w:snapToGrid/>
      <w:kern w:val="2"/>
      <w:szCs w:val="20"/>
    </w:rPr>
  </w:style>
  <w:style w:type="paragraph" w:customStyle="1" w:styleId="2801">
    <w:name w:val="样式 表 5号 + 居中 首行缩进:  0.97 厘米"/>
    <w:basedOn w:val="1455"/>
    <w:autoRedefine/>
    <w:semiHidden/>
    <w:qFormat/>
    <w:uiPriority w:val="0"/>
    <w:pPr>
      <w:jc w:val="center"/>
    </w:pPr>
    <w:rPr>
      <w:rFonts w:cs="宋体"/>
      <w:szCs w:val="20"/>
    </w:rPr>
  </w:style>
  <w:style w:type="paragraph" w:customStyle="1" w:styleId="2802">
    <w:name w:val="样式 表标题 + 加粗"/>
    <w:basedOn w:val="1464"/>
    <w:link w:val="2803"/>
    <w:qFormat/>
    <w:uiPriority w:val="0"/>
    <w:pPr>
      <w:adjustRightInd/>
      <w:spacing w:line="360" w:lineRule="auto"/>
      <w:ind w:firstLine="960" w:firstLineChars="400"/>
      <w:jc w:val="both"/>
    </w:pPr>
    <w:rPr>
      <w:rFonts w:ascii="黑体" w:eastAsia="黑体"/>
      <w:bCs/>
      <w:sz w:val="24"/>
      <w:szCs w:val="24"/>
      <w:lang w:val="zh-CN"/>
    </w:rPr>
  </w:style>
  <w:style w:type="character" w:customStyle="1" w:styleId="2803">
    <w:name w:val="样式 表标题 + 加粗 Char Char"/>
    <w:link w:val="2802"/>
    <w:qFormat/>
    <w:uiPriority w:val="0"/>
    <w:rPr>
      <w:rFonts w:ascii="黑体" w:hAnsi="宋体" w:eastAsia="黑体" w:cs="Times New Roman"/>
      <w:bCs/>
      <w:spacing w:val="21"/>
      <w:kern w:val="0"/>
      <w:sz w:val="24"/>
      <w:szCs w:val="24"/>
      <w:lang w:val="zh-CN"/>
      <w14:ligatures w14:val="none"/>
    </w:rPr>
  </w:style>
  <w:style w:type="character" w:customStyle="1" w:styleId="2804">
    <w:name w:val="样式 表标题 + 加粗 Char"/>
    <w:qFormat/>
    <w:uiPriority w:val="0"/>
    <w:rPr>
      <w:rFonts w:ascii="黑体" w:hAnsi="宋体" w:eastAsia="黑体"/>
      <w:bCs/>
      <w:spacing w:val="21"/>
      <w:sz w:val="24"/>
      <w:szCs w:val="24"/>
      <w:lang w:val="zh-CN" w:eastAsia="zh-CN" w:bidi="ar-SA"/>
    </w:rPr>
  </w:style>
  <w:style w:type="paragraph" w:customStyle="1" w:styleId="2805">
    <w:name w:val="样式 表格 +"/>
    <w:basedOn w:val="1"/>
    <w:qFormat/>
    <w:uiPriority w:val="0"/>
    <w:pPr>
      <w:autoSpaceDE w:val="0"/>
      <w:autoSpaceDN w:val="0"/>
      <w:snapToGrid/>
      <w:spacing w:after="120" w:line="320" w:lineRule="exact"/>
      <w:ind w:firstLine="0" w:firstLineChars="0"/>
      <w:jc w:val="center"/>
    </w:pPr>
    <w:rPr>
      <w:rFonts w:ascii="Calibri" w:hAnsi="Calibri"/>
      <w:snapToGrid/>
      <w:spacing w:val="10"/>
      <w:kern w:val="2"/>
      <w:sz w:val="21"/>
      <w:szCs w:val="21"/>
      <w:lang w:val="zh-CN"/>
    </w:rPr>
  </w:style>
  <w:style w:type="paragraph" w:customStyle="1" w:styleId="2806">
    <w:name w:val="样式 表格 + (符号) 宋体1"/>
    <w:basedOn w:val="1"/>
    <w:qFormat/>
    <w:uiPriority w:val="0"/>
    <w:pPr>
      <w:tabs>
        <w:tab w:val="left" w:pos="360"/>
      </w:tabs>
      <w:snapToGrid/>
      <w:spacing w:after="120" w:line="240" w:lineRule="auto"/>
      <w:ind w:firstLine="0" w:firstLineChars="0"/>
      <w:jc w:val="center"/>
      <w:textAlignment w:val="baseline"/>
    </w:pPr>
    <w:rPr>
      <w:rFonts w:ascii="宋体" w:hAnsi="Calibri"/>
      <w:snapToGrid/>
      <w:kern w:val="2"/>
      <w:sz w:val="21"/>
    </w:rPr>
  </w:style>
  <w:style w:type="paragraph" w:customStyle="1" w:styleId="2807">
    <w:name w:val="样式 表格 + 段前: 0.05 行 段后: 0.05 行"/>
    <w:basedOn w:val="1"/>
    <w:qFormat/>
    <w:uiPriority w:val="0"/>
    <w:pPr>
      <w:spacing w:line="300" w:lineRule="exact"/>
      <w:ind w:firstLine="0" w:firstLineChars="0"/>
      <w:jc w:val="center"/>
    </w:pPr>
    <w:rPr>
      <w:rFonts w:cs="宋体"/>
      <w:color w:val="000000"/>
      <w:sz w:val="20"/>
      <w:szCs w:val="20"/>
    </w:rPr>
  </w:style>
  <w:style w:type="paragraph" w:customStyle="1" w:styleId="2808">
    <w:name w:val="样式 表格 + 居中"/>
    <w:basedOn w:val="1"/>
    <w:qFormat/>
    <w:uiPriority w:val="0"/>
    <w:pPr>
      <w:pBdr>
        <w:top w:val="single" w:color="auto" w:sz="12" w:space="1"/>
        <w:left w:val="single" w:color="auto" w:sz="12" w:space="4"/>
        <w:bottom w:val="single" w:color="auto" w:sz="12" w:space="1"/>
        <w:right w:val="single" w:color="auto" w:sz="12" w:space="4"/>
        <w:between w:val="single" w:color="auto" w:sz="4" w:space="1"/>
      </w:pBdr>
      <w:autoSpaceDE w:val="0"/>
      <w:autoSpaceDN w:val="0"/>
      <w:snapToGrid/>
      <w:spacing w:after="120" w:line="320" w:lineRule="exact"/>
      <w:ind w:firstLine="0" w:firstLineChars="0"/>
      <w:jc w:val="center"/>
    </w:pPr>
    <w:rPr>
      <w:rFonts w:ascii="Calibri" w:hAnsi="Calibri" w:cs="宋体"/>
      <w:snapToGrid/>
      <w:spacing w:val="10"/>
      <w:kern w:val="2"/>
      <w:sz w:val="21"/>
      <w:szCs w:val="22"/>
      <w:lang w:val="zh-CN"/>
    </w:rPr>
  </w:style>
  <w:style w:type="paragraph" w:customStyle="1" w:styleId="2809">
    <w:name w:val="样式 表格 + 居中1"/>
    <w:basedOn w:val="1"/>
    <w:qFormat/>
    <w:uiPriority w:val="0"/>
    <w:pPr>
      <w:autoSpaceDE w:val="0"/>
      <w:autoSpaceDN w:val="0"/>
      <w:snapToGrid/>
      <w:spacing w:after="120" w:line="280" w:lineRule="exact"/>
      <w:ind w:firstLine="0" w:firstLineChars="0"/>
      <w:jc w:val="center"/>
    </w:pPr>
    <w:rPr>
      <w:rFonts w:ascii="Calibri" w:hAnsi="Calibri" w:cs="宋体"/>
      <w:snapToGrid/>
      <w:spacing w:val="10"/>
      <w:kern w:val="2"/>
      <w:sz w:val="21"/>
      <w:szCs w:val="22"/>
      <w:lang w:val="zh-CN"/>
    </w:rPr>
  </w:style>
  <w:style w:type="paragraph" w:customStyle="1" w:styleId="2810">
    <w:name w:val="样式 表格 + 六号 加粗 两端对齐 段前: 0.05 行 段后: 0.05 行"/>
    <w:basedOn w:val="1"/>
    <w:uiPriority w:val="0"/>
    <w:pPr>
      <w:spacing w:after="15" w:line="240" w:lineRule="exact"/>
      <w:ind w:firstLine="0" w:firstLineChars="0"/>
      <w:jc w:val="center"/>
    </w:pPr>
    <w:rPr>
      <w:rFonts w:cs="宋体"/>
      <w:b/>
      <w:bCs/>
      <w:snapToGrid/>
      <w:color w:val="000000"/>
      <w:kern w:val="2"/>
      <w:sz w:val="18"/>
      <w:szCs w:val="20"/>
    </w:rPr>
  </w:style>
  <w:style w:type="paragraph" w:customStyle="1" w:styleId="2811">
    <w:name w:val="样式 表格 + 自动设置"/>
    <w:basedOn w:val="1"/>
    <w:qFormat/>
    <w:uiPriority w:val="0"/>
    <w:pPr>
      <w:spacing w:line="320" w:lineRule="exact"/>
      <w:ind w:firstLine="0" w:firstLineChars="0"/>
      <w:jc w:val="center"/>
    </w:pPr>
    <w:rPr>
      <w:sz w:val="20"/>
      <w:szCs w:val="20"/>
      <w:u w:color="000000"/>
    </w:rPr>
  </w:style>
  <w:style w:type="paragraph" w:customStyle="1" w:styleId="2812">
    <w:name w:val="样式 表格 + 左侧:  0.98 厘米"/>
    <w:basedOn w:val="1"/>
    <w:qFormat/>
    <w:uiPriority w:val="0"/>
    <w:pPr>
      <w:spacing w:beforeAutospacing="1" w:after="100" w:afterAutospacing="1" w:line="300" w:lineRule="auto"/>
      <w:ind w:firstLine="0" w:firstLineChars="0"/>
    </w:pPr>
    <w:rPr>
      <w:rFonts w:ascii="Arial" w:hAnsi="Arial"/>
      <w:szCs w:val="20"/>
    </w:rPr>
  </w:style>
  <w:style w:type="paragraph" w:customStyle="1" w:styleId="2813">
    <w:name w:val="样式 表格hy + 行距: 单倍行距"/>
    <w:basedOn w:val="1"/>
    <w:qFormat/>
    <w:uiPriority w:val="0"/>
    <w:pPr>
      <w:adjustRightInd/>
      <w:snapToGrid/>
      <w:spacing w:line="0" w:lineRule="atLeast"/>
      <w:ind w:firstLine="0" w:firstLineChars="0"/>
      <w:jc w:val="center"/>
    </w:pPr>
    <w:rPr>
      <w:rFonts w:ascii="楷体_GB2312" w:hAnsi="宋体" w:eastAsia="楷体_GB2312" w:cs="宋体"/>
      <w:snapToGrid/>
      <w:kern w:val="2"/>
      <w:sz w:val="21"/>
      <w:szCs w:val="20"/>
    </w:rPr>
  </w:style>
  <w:style w:type="paragraph" w:customStyle="1" w:styleId="2814">
    <w:name w:val="样式 表格标题 + 自动设置"/>
    <w:basedOn w:val="1"/>
    <w:qFormat/>
    <w:uiPriority w:val="0"/>
    <w:pPr>
      <w:widowControl/>
      <w:snapToGrid/>
      <w:spacing w:line="360" w:lineRule="auto"/>
      <w:ind w:firstLine="0" w:firstLineChars="0"/>
      <w:jc w:val="center"/>
      <w:outlineLvl w:val="4"/>
    </w:pPr>
    <w:rPr>
      <w:rFonts w:ascii="黑体" w:hAnsi="宋体" w:eastAsia="黑体"/>
      <w:bCs/>
      <w:snapToGrid/>
      <w:color w:val="000000"/>
      <w:u w:color="FF0000"/>
    </w:rPr>
  </w:style>
  <w:style w:type="character" w:customStyle="1" w:styleId="2815">
    <w:name w:val="样式 表格标题 + 自动设置 Char"/>
    <w:qFormat/>
    <w:uiPriority w:val="0"/>
    <w:rPr>
      <w:rFonts w:ascii="宋体" w:hAnsi="宋体" w:eastAsia="宋体"/>
      <w:b/>
      <w:bCs/>
      <w:color w:val="0000FF"/>
      <w:sz w:val="24"/>
      <w:szCs w:val="24"/>
      <w:u w:color="FF0000"/>
      <w:lang w:val="en-US" w:eastAsia="zh-CN" w:bidi="ar-SA"/>
    </w:rPr>
  </w:style>
  <w:style w:type="character" w:customStyle="1" w:styleId="2816">
    <w:name w:val="样式 表格标题 + 自动设置 Char Char"/>
    <w:qFormat/>
    <w:uiPriority w:val="0"/>
    <w:rPr>
      <w:rFonts w:ascii="宋体" w:hAnsi="宋体" w:eastAsia="宋体"/>
      <w:b/>
      <w:bCs/>
      <w:color w:val="0000FF"/>
      <w:sz w:val="24"/>
      <w:szCs w:val="24"/>
      <w:u w:color="FF0000"/>
      <w:lang w:val="en-US" w:eastAsia="zh-CN" w:bidi="ar-SA"/>
    </w:rPr>
  </w:style>
  <w:style w:type="paragraph" w:customStyle="1" w:styleId="2817">
    <w:name w:val="样式 表格冷光义 + 蓝色"/>
    <w:basedOn w:val="1"/>
    <w:qFormat/>
    <w:uiPriority w:val="0"/>
    <w:pPr>
      <w:tabs>
        <w:tab w:val="left" w:pos="420"/>
      </w:tabs>
      <w:spacing w:line="0" w:lineRule="atLeast"/>
      <w:ind w:firstLine="0" w:firstLineChars="0"/>
      <w:jc w:val="center"/>
    </w:pPr>
    <w:rPr>
      <w:rFonts w:hint="eastAsia" w:ascii="宋体" w:hAnsi="宋体" w:cs="宋体"/>
      <w:snapToGrid/>
      <w:color w:val="0000FF"/>
      <w:sz w:val="21"/>
      <w:szCs w:val="20"/>
    </w:rPr>
  </w:style>
  <w:style w:type="paragraph" w:customStyle="1" w:styleId="2818">
    <w:name w:val="样式 表格名称 + 蓝色"/>
    <w:basedOn w:val="1530"/>
    <w:link w:val="2819"/>
    <w:qFormat/>
    <w:uiPriority w:val="0"/>
    <w:pPr>
      <w:tabs>
        <w:tab w:val="left" w:pos="-24"/>
        <w:tab w:val="clear" w:pos="2325"/>
      </w:tabs>
      <w:snapToGrid w:val="0"/>
      <w:spacing w:before="0" w:after="0" w:line="500" w:lineRule="exact"/>
      <w:textAlignment w:val="baseline"/>
      <w:outlineLvl w:val="4"/>
    </w:pPr>
    <w:rPr>
      <w:rFonts w:ascii="宋体" w:hAnsi="宋体" w:eastAsia="宋体" w:cs="Times New Roman"/>
      <w:color w:val="0000FF"/>
      <w:kern w:val="0"/>
      <w:szCs w:val="20"/>
      <w:u w:color="000000"/>
      <w:shd w:val="clear" w:color="auto" w:fill="auto"/>
    </w:rPr>
  </w:style>
  <w:style w:type="character" w:customStyle="1" w:styleId="2819">
    <w:name w:val="样式 表格名称 + 蓝色 Char"/>
    <w:link w:val="2818"/>
    <w:qFormat/>
    <w:uiPriority w:val="0"/>
    <w:rPr>
      <w:rFonts w:ascii="宋体" w:hAnsi="宋体" w:eastAsia="宋体" w:cs="Times New Roman"/>
      <w:b/>
      <w:bCs/>
      <w:color w:val="0000FF"/>
      <w:kern w:val="0"/>
      <w:sz w:val="26"/>
      <w:szCs w:val="20"/>
      <w:u w:color="000000"/>
      <w14:ligatures w14:val="none"/>
    </w:rPr>
  </w:style>
  <w:style w:type="character" w:customStyle="1" w:styleId="2820">
    <w:name w:val="样式 表格名称 + 蓝色 Char Char"/>
    <w:qFormat/>
    <w:uiPriority w:val="0"/>
    <w:rPr>
      <w:rFonts w:ascii="宋体" w:hAnsi="宋体" w:eastAsia="宋体"/>
      <w:b/>
      <w:bCs/>
      <w:color w:val="0000FF"/>
      <w:sz w:val="24"/>
      <w:szCs w:val="24"/>
      <w:u w:color="000000"/>
      <w:lang w:val="en-US" w:eastAsia="zh-CN" w:bidi="ar-SA"/>
    </w:rPr>
  </w:style>
  <w:style w:type="paragraph" w:customStyle="1" w:styleId="2821">
    <w:name w:val="样式 表格名称 + 蓝色1"/>
    <w:basedOn w:val="1530"/>
    <w:link w:val="2822"/>
    <w:qFormat/>
    <w:uiPriority w:val="0"/>
    <w:pPr>
      <w:tabs>
        <w:tab w:val="left" w:pos="-24"/>
        <w:tab w:val="clear" w:pos="2325"/>
      </w:tabs>
      <w:snapToGrid w:val="0"/>
      <w:spacing w:before="0" w:after="0" w:line="500" w:lineRule="exact"/>
      <w:textAlignment w:val="baseline"/>
      <w:outlineLvl w:val="4"/>
    </w:pPr>
    <w:rPr>
      <w:rFonts w:ascii="宋体" w:hAnsi="宋体" w:eastAsia="宋体" w:cs="Times New Roman"/>
      <w:color w:val="0000FF"/>
      <w:kern w:val="0"/>
      <w:u w:color="000000"/>
      <w:shd w:val="clear" w:color="auto" w:fill="auto"/>
    </w:rPr>
  </w:style>
  <w:style w:type="character" w:customStyle="1" w:styleId="2822">
    <w:name w:val="样式 表格名称 + 蓝色1 Char Char"/>
    <w:link w:val="2821"/>
    <w:qFormat/>
    <w:uiPriority w:val="0"/>
    <w:rPr>
      <w:rFonts w:ascii="宋体" w:hAnsi="宋体" w:eastAsia="宋体" w:cs="Times New Roman"/>
      <w:b/>
      <w:bCs/>
      <w:color w:val="0000FF"/>
      <w:kern w:val="0"/>
      <w:sz w:val="26"/>
      <w:szCs w:val="24"/>
      <w:u w:color="000000"/>
      <w14:ligatures w14:val="none"/>
    </w:rPr>
  </w:style>
  <w:style w:type="paragraph" w:customStyle="1" w:styleId="2823">
    <w:name w:val="样式 表格名称 + 首行缩进:  0.85 厘米"/>
    <w:basedOn w:val="1530"/>
    <w:qFormat/>
    <w:uiPriority w:val="0"/>
    <w:pPr>
      <w:tabs>
        <w:tab w:val="left" w:pos="-24"/>
        <w:tab w:val="clear" w:pos="2325"/>
      </w:tabs>
      <w:snapToGrid w:val="0"/>
      <w:spacing w:before="0" w:after="0" w:line="500" w:lineRule="exact"/>
      <w:ind w:firstLine="480"/>
      <w:textAlignment w:val="baseline"/>
      <w:outlineLvl w:val="4"/>
    </w:pPr>
    <w:rPr>
      <w:rFonts w:ascii="宋体" w:hAnsi="宋体" w:eastAsia="宋体" w:cs="宋体"/>
      <w:color w:val="0000FF"/>
      <w:kern w:val="0"/>
      <w:szCs w:val="20"/>
      <w:u w:color="000000"/>
      <w:shd w:val="clear" w:color="auto" w:fill="auto"/>
    </w:rPr>
  </w:style>
  <w:style w:type="paragraph" w:customStyle="1" w:styleId="2824">
    <w:name w:val="样式 表格文字 + 宋体"/>
    <w:basedOn w:val="1555"/>
    <w:qFormat/>
    <w:uiPriority w:val="0"/>
    <w:pPr>
      <w:widowControl/>
      <w:tabs>
        <w:tab w:val="left" w:pos="-24"/>
      </w:tabs>
      <w:adjustRightInd/>
      <w:snapToGrid/>
      <w:spacing w:line="0" w:lineRule="atLeast"/>
      <w:textAlignment w:val="baseline"/>
    </w:pPr>
    <w:rPr>
      <w:rFonts w:ascii="宋体" w:hAnsi="宋体" w:eastAsia="宋体"/>
      <w:color w:val="000000"/>
      <w:kern w:val="0"/>
      <w:sz w:val="21"/>
      <w:u w:color="000000"/>
    </w:rPr>
  </w:style>
  <w:style w:type="paragraph" w:customStyle="1" w:styleId="2825">
    <w:name w:val="样式 表格文字 + 小五 自动设置"/>
    <w:basedOn w:val="1555"/>
    <w:qFormat/>
    <w:uiPriority w:val="0"/>
    <w:pPr>
      <w:widowControl/>
      <w:tabs>
        <w:tab w:val="left" w:pos="-24"/>
      </w:tabs>
      <w:adjustRightInd/>
      <w:snapToGrid/>
      <w:spacing w:line="0" w:lineRule="atLeast"/>
      <w:textAlignment w:val="baseline"/>
    </w:pPr>
    <w:rPr>
      <w:rFonts w:ascii="Times New Roman" w:hAnsi="宋体" w:eastAsia="宋体"/>
      <w:kern w:val="0"/>
      <w:sz w:val="18"/>
      <w:u w:color="000000"/>
    </w:rPr>
  </w:style>
  <w:style w:type="character" w:customStyle="1" w:styleId="2826">
    <w:name w:val="样式 表格文字 + 小五 自动设置 Char"/>
    <w:qFormat/>
    <w:uiPriority w:val="0"/>
    <w:rPr>
      <w:rFonts w:ascii="宋体" w:hAnsi="宋体" w:eastAsia="宋体" w:cs="宋体"/>
      <w:snapToGrid w:val="0"/>
      <w:color w:val="000000"/>
      <w:kern w:val="2"/>
      <w:sz w:val="18"/>
      <w:szCs w:val="24"/>
      <w:u w:color="000000"/>
      <w:lang w:val="en-US" w:eastAsia="zh-CN" w:bidi="ar-SA"/>
    </w:rPr>
  </w:style>
  <w:style w:type="character" w:customStyle="1" w:styleId="2827">
    <w:name w:val="样式 表格文字 + 小五 自动设置 Char Char"/>
    <w:qFormat/>
    <w:uiPriority w:val="0"/>
    <w:rPr>
      <w:rFonts w:ascii="宋体" w:hAnsi="宋体" w:eastAsia="宋体"/>
      <w:snapToGrid w:val="0"/>
      <w:color w:val="000000"/>
      <w:kern w:val="21"/>
      <w:sz w:val="18"/>
      <w:u w:color="000000"/>
      <w:lang w:val="en-US" w:eastAsia="zh-CN" w:bidi="ar-SA"/>
    </w:rPr>
  </w:style>
  <w:style w:type="paragraph" w:customStyle="1" w:styleId="2828">
    <w:name w:val="样式 表格文字 + 小五 自动设置 首行缩进:  0.63 厘米"/>
    <w:basedOn w:val="1555"/>
    <w:qFormat/>
    <w:uiPriority w:val="0"/>
    <w:pPr>
      <w:widowControl/>
      <w:tabs>
        <w:tab w:val="left" w:pos="-24"/>
      </w:tabs>
      <w:adjustRightInd/>
      <w:snapToGrid/>
      <w:spacing w:line="0" w:lineRule="atLeast"/>
      <w:textAlignment w:val="baseline"/>
    </w:pPr>
    <w:rPr>
      <w:rFonts w:ascii="Times New Roman" w:hAnsi="宋体" w:eastAsia="宋体" w:cs="黑体"/>
      <w:kern w:val="0"/>
      <w:sz w:val="18"/>
      <w:u w:color="000000"/>
    </w:rPr>
  </w:style>
  <w:style w:type="paragraph" w:customStyle="1" w:styleId="2829">
    <w:name w:val="样式 表格文字 + 自动设置"/>
    <w:basedOn w:val="1555"/>
    <w:link w:val="2830"/>
    <w:qFormat/>
    <w:uiPriority w:val="0"/>
    <w:pPr>
      <w:widowControl/>
      <w:tabs>
        <w:tab w:val="left" w:pos="-24"/>
      </w:tabs>
      <w:adjustRightInd/>
      <w:snapToGrid/>
      <w:spacing w:line="0" w:lineRule="atLeast"/>
      <w:textAlignment w:val="baseline"/>
    </w:pPr>
    <w:rPr>
      <w:rFonts w:ascii="Times New Roman" w:hAnsi="Times New Roman" w:eastAsia="宋体"/>
      <w:color w:val="0000FF"/>
      <w:kern w:val="0"/>
      <w:sz w:val="20"/>
      <w:u w:color="000000"/>
    </w:rPr>
  </w:style>
  <w:style w:type="character" w:customStyle="1" w:styleId="2830">
    <w:name w:val="样式 表格文字 + 自动设置 Char Char"/>
    <w:link w:val="2829"/>
    <w:qFormat/>
    <w:uiPriority w:val="0"/>
    <w:rPr>
      <w:rFonts w:ascii="Times New Roman" w:hAnsi="Times New Roman" w:eastAsia="宋体" w:cs="Times New Roman"/>
      <w:color w:val="0000FF"/>
      <w:kern w:val="0"/>
      <w:sz w:val="20"/>
      <w:szCs w:val="20"/>
      <w:u w:color="000000"/>
      <w14:ligatures w14:val="none"/>
    </w:rPr>
  </w:style>
  <w:style w:type="character" w:customStyle="1" w:styleId="2831">
    <w:name w:val="样式 表格文字 + 自动设置 Char"/>
    <w:qFormat/>
    <w:uiPriority w:val="0"/>
    <w:rPr>
      <w:rFonts w:eastAsia="宋体"/>
      <w:color w:val="0000FF"/>
      <w:sz w:val="21"/>
      <w:u w:color="000000"/>
      <w:lang w:val="en-US" w:eastAsia="zh-CN" w:bidi="ar-SA"/>
    </w:rPr>
  </w:style>
  <w:style w:type="paragraph" w:customStyle="1" w:styleId="2832">
    <w:name w:val="样式 表号 + 首行缩进:  1 字符"/>
    <w:basedOn w:val="1589"/>
    <w:qFormat/>
    <w:uiPriority w:val="0"/>
    <w:pPr>
      <w:widowControl w:val="0"/>
      <w:autoSpaceDE w:val="0"/>
      <w:autoSpaceDN w:val="0"/>
      <w:adjustRightInd/>
      <w:snapToGrid/>
      <w:spacing w:line="360" w:lineRule="auto"/>
      <w:ind w:firstLine="260" w:firstLineChars="103"/>
      <w:textAlignment w:val="baseline"/>
      <w:outlineLvl w:val="9"/>
    </w:pPr>
    <w:rPr>
      <w:rFonts w:ascii="宋体" w:hAnsi="宋体"/>
      <w:color w:val="000000"/>
      <w:spacing w:val="6"/>
    </w:rPr>
  </w:style>
  <w:style w:type="paragraph" w:customStyle="1" w:styleId="2833">
    <w:name w:val="样式 表号 + 首行缩进:  2 字符"/>
    <w:basedOn w:val="1591"/>
    <w:qFormat/>
    <w:uiPriority w:val="0"/>
  </w:style>
  <w:style w:type="paragraph" w:customStyle="1" w:styleId="2834">
    <w:name w:val="样式 表号 + 行距: 1.5 倍行距"/>
    <w:basedOn w:val="1589"/>
    <w:qFormat/>
    <w:uiPriority w:val="0"/>
    <w:pPr>
      <w:widowControl w:val="0"/>
      <w:autoSpaceDE w:val="0"/>
      <w:autoSpaceDN w:val="0"/>
      <w:adjustRightInd/>
      <w:snapToGrid/>
      <w:spacing w:line="360" w:lineRule="auto"/>
      <w:ind w:firstLine="260" w:firstLineChars="103"/>
      <w:textAlignment w:val="baseline"/>
      <w:outlineLvl w:val="9"/>
    </w:pPr>
    <w:rPr>
      <w:rFonts w:ascii="宋体" w:hAnsi="宋体"/>
      <w:color w:val="000000"/>
      <w:spacing w:val="6"/>
    </w:rPr>
  </w:style>
  <w:style w:type="paragraph" w:customStyle="1" w:styleId="2835">
    <w:name w:val="样式 表号 Char Char + 右侧:  -4.52 字符"/>
    <w:basedOn w:val="1"/>
    <w:qFormat/>
    <w:uiPriority w:val="0"/>
    <w:pPr>
      <w:tabs>
        <w:tab w:val="left" w:pos="1331"/>
      </w:tabs>
      <w:adjustRightInd/>
      <w:snapToGrid/>
      <w:spacing w:line="240" w:lineRule="auto"/>
      <w:ind w:left="1331" w:hanging="851" w:firstLineChars="0"/>
    </w:pPr>
    <w:rPr>
      <w:snapToGrid/>
      <w:kern w:val="2"/>
      <w:sz w:val="21"/>
    </w:rPr>
  </w:style>
  <w:style w:type="paragraph" w:customStyle="1" w:styleId="2836">
    <w:name w:val="样式 表号 Char Char Char Char + Arial"/>
    <w:basedOn w:val="1593"/>
    <w:qFormat/>
    <w:uiPriority w:val="0"/>
    <w:pPr>
      <w:textAlignment w:val="auto"/>
    </w:pPr>
    <w:rPr>
      <w:rFonts w:ascii="Arial" w:hAnsi="Arial"/>
      <w:lang w:val="zh-CN"/>
    </w:rPr>
  </w:style>
  <w:style w:type="paragraph" w:customStyle="1" w:styleId="2837">
    <w:name w:val="样式 表名 + Arial 段前: 6 磅 行距: 固定值 18 磅"/>
    <w:basedOn w:val="1"/>
    <w:qFormat/>
    <w:uiPriority w:val="0"/>
    <w:pPr>
      <w:adjustRightInd/>
      <w:snapToGrid/>
      <w:spacing w:line="360" w:lineRule="exact"/>
      <w:ind w:firstLine="0" w:firstLineChars="0"/>
      <w:jc w:val="center"/>
    </w:pPr>
    <w:rPr>
      <w:rFonts w:ascii="Arial" w:hAnsi="Arial" w:eastAsia="黑体" w:cs="宋体"/>
      <w:snapToGrid/>
      <w:kern w:val="2"/>
      <w:sz w:val="21"/>
      <w:szCs w:val="20"/>
    </w:rPr>
  </w:style>
  <w:style w:type="paragraph" w:customStyle="1" w:styleId="2838">
    <w:name w:val="样式 表名 + Times New Roman 段前: 0.5 行 段后: 0.5 行"/>
    <w:basedOn w:val="1625"/>
    <w:qFormat/>
    <w:uiPriority w:val="0"/>
    <w:pPr>
      <w:tabs>
        <w:tab w:val="clear" w:pos="1350"/>
      </w:tabs>
      <w:overflowPunct w:val="0"/>
      <w:topLinePunct/>
      <w:autoSpaceDE/>
      <w:autoSpaceDN/>
      <w:adjustRightInd/>
      <w:snapToGrid/>
      <w:spacing w:beforeLines="50" w:after="0" w:line="440" w:lineRule="exact"/>
      <w:ind w:firstLine="0" w:firstLineChars="0"/>
      <w:outlineLvl w:val="4"/>
    </w:pPr>
    <w:rPr>
      <w:rFonts w:ascii="Times New Roman" w:hAnsi="华文楷体" w:eastAsia="宋体" w:cs="Times New Roman"/>
      <w:bCs/>
      <w:szCs w:val="20"/>
      <w:shd w:val="clear" w:color="auto" w:fill="auto"/>
    </w:rPr>
  </w:style>
  <w:style w:type="paragraph" w:customStyle="1" w:styleId="2839">
    <w:name w:val="样式 表名 + Times New Roman 段前: 0.5 行 段后: 0.5 行1"/>
    <w:basedOn w:val="1625"/>
    <w:qFormat/>
    <w:uiPriority w:val="0"/>
    <w:pPr>
      <w:tabs>
        <w:tab w:val="clear" w:pos="1350"/>
      </w:tabs>
      <w:overflowPunct w:val="0"/>
      <w:topLinePunct/>
      <w:autoSpaceDE/>
      <w:autoSpaceDN/>
      <w:adjustRightInd/>
      <w:snapToGrid/>
      <w:spacing w:beforeLines="50" w:after="0" w:line="440" w:lineRule="exact"/>
      <w:ind w:firstLine="0" w:firstLineChars="0"/>
      <w:outlineLvl w:val="4"/>
    </w:pPr>
    <w:rPr>
      <w:rFonts w:ascii="Times New Roman" w:hAnsi="Times New Roman" w:eastAsia="宋体" w:cs="Times New Roman"/>
      <w:bCs/>
      <w:szCs w:val="20"/>
      <w:shd w:val="clear" w:color="auto" w:fill="auto"/>
    </w:rPr>
  </w:style>
  <w:style w:type="paragraph" w:customStyle="1" w:styleId="2840">
    <w:name w:val="样式 表名 + 段前: 0.5 行"/>
    <w:basedOn w:val="1625"/>
    <w:qFormat/>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bCs/>
      <w:snapToGrid w:val="0"/>
      <w:kern w:val="52"/>
      <w:sz w:val="21"/>
      <w:szCs w:val="20"/>
      <w:shd w:val="clear" w:color="auto" w:fill="auto"/>
    </w:rPr>
  </w:style>
  <w:style w:type="paragraph" w:customStyle="1" w:styleId="2841">
    <w:name w:val="样式 表名 + 段前: 0.5 行 段后: 0.5 行"/>
    <w:basedOn w:val="1625"/>
    <w:qFormat/>
    <w:uiPriority w:val="0"/>
    <w:pPr>
      <w:tabs>
        <w:tab w:val="clear" w:pos="1350"/>
      </w:tabs>
      <w:overflowPunct w:val="0"/>
      <w:topLinePunct/>
      <w:autoSpaceDE/>
      <w:autoSpaceDN/>
      <w:adjustRightInd/>
      <w:snapToGrid/>
      <w:spacing w:beforeLines="50" w:after="0" w:line="440" w:lineRule="exact"/>
      <w:ind w:firstLine="0" w:firstLineChars="0"/>
      <w:outlineLvl w:val="4"/>
    </w:pPr>
    <w:rPr>
      <w:rFonts w:ascii="宋体" w:hAnsi="华文楷体" w:eastAsia="宋体" w:cs="Times New Roman"/>
      <w:bCs/>
      <w:szCs w:val="20"/>
      <w:shd w:val="clear" w:color="auto" w:fill="auto"/>
    </w:rPr>
  </w:style>
  <w:style w:type="paragraph" w:customStyle="1" w:styleId="2842">
    <w:name w:val="样式 表名 + 段前: 0.5 行1"/>
    <w:basedOn w:val="1625"/>
    <w:qFormat/>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snapToGrid w:val="0"/>
      <w:sz w:val="21"/>
      <w:szCs w:val="20"/>
      <w:shd w:val="clear" w:color="auto" w:fill="auto"/>
    </w:rPr>
  </w:style>
  <w:style w:type="paragraph" w:customStyle="1" w:styleId="2843">
    <w:name w:val="样式 表名 + 段前: 0.5 行2"/>
    <w:basedOn w:val="1625"/>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snapToGrid w:val="0"/>
      <w:kern w:val="52"/>
      <w:sz w:val="21"/>
      <w:szCs w:val="20"/>
      <w:shd w:val="clear" w:color="auto" w:fill="auto"/>
    </w:rPr>
  </w:style>
  <w:style w:type="paragraph" w:customStyle="1" w:styleId="2844">
    <w:name w:val="样式 表名 + 段前: 0.5 行3"/>
    <w:basedOn w:val="1625"/>
    <w:qFormat/>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snapToGrid w:val="0"/>
      <w:kern w:val="52"/>
      <w:sz w:val="21"/>
      <w:szCs w:val="20"/>
      <w:shd w:val="clear" w:color="auto" w:fill="auto"/>
    </w:rPr>
  </w:style>
  <w:style w:type="paragraph" w:customStyle="1" w:styleId="2845">
    <w:name w:val="样式 表名 + 段前: 0.5 行4"/>
    <w:basedOn w:val="1625"/>
    <w:qFormat/>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snapToGrid w:val="0"/>
      <w:kern w:val="52"/>
      <w:sz w:val="21"/>
      <w:szCs w:val="21"/>
      <w:shd w:val="clear" w:color="auto" w:fill="auto"/>
    </w:rPr>
  </w:style>
  <w:style w:type="paragraph" w:customStyle="1" w:styleId="2846">
    <w:name w:val="样式 表名 + 段前: 6 磅"/>
    <w:basedOn w:val="1625"/>
    <w:qFormat/>
    <w:uiPriority w:val="0"/>
    <w:pPr>
      <w:tabs>
        <w:tab w:val="clear" w:pos="1350"/>
      </w:tabs>
      <w:snapToGrid/>
      <w:spacing w:before="120" w:after="0" w:line="0" w:lineRule="atLeast"/>
      <w:ind w:firstLine="482" w:firstLineChars="0"/>
      <w:textAlignment w:val="baseline"/>
      <w:outlineLvl w:val="5"/>
    </w:pPr>
    <w:rPr>
      <w:rFonts w:ascii="Times New Roman" w:hAnsi="Times New Roman" w:eastAsia="黑体" w:cs="宋体"/>
      <w:b w:val="0"/>
      <w:spacing w:val="6"/>
      <w:kern w:val="0"/>
      <w:szCs w:val="20"/>
      <w:shd w:val="clear" w:color="auto" w:fill="auto"/>
    </w:rPr>
  </w:style>
  <w:style w:type="paragraph" w:customStyle="1" w:styleId="2847">
    <w:name w:val="样式 表名 + 段前: 7.8 磅"/>
    <w:basedOn w:val="1625"/>
    <w:qFormat/>
    <w:uiPriority w:val="0"/>
    <w:pPr>
      <w:tabs>
        <w:tab w:val="clear" w:pos="1350"/>
      </w:tabs>
      <w:snapToGrid/>
      <w:spacing w:before="156" w:after="0" w:line="0" w:lineRule="atLeast"/>
      <w:ind w:firstLine="482" w:firstLineChars="0"/>
      <w:textAlignment w:val="baseline"/>
      <w:outlineLvl w:val="5"/>
    </w:pPr>
    <w:rPr>
      <w:rFonts w:ascii="Times New Roman" w:hAnsi="Times New Roman" w:eastAsia="黑体" w:cs="宋体"/>
      <w:b w:val="0"/>
      <w:spacing w:val="6"/>
      <w:kern w:val="0"/>
      <w:szCs w:val="20"/>
      <w:shd w:val="clear" w:color="auto" w:fill="auto"/>
    </w:rPr>
  </w:style>
  <w:style w:type="paragraph" w:customStyle="1" w:styleId="2848">
    <w:name w:val="样式 表名 + 红色 段前: 7.8 磅"/>
    <w:basedOn w:val="1625"/>
    <w:qFormat/>
    <w:uiPriority w:val="0"/>
    <w:pPr>
      <w:tabs>
        <w:tab w:val="clear" w:pos="1350"/>
      </w:tabs>
      <w:snapToGrid/>
      <w:spacing w:before="156" w:after="0" w:line="0" w:lineRule="atLeast"/>
      <w:ind w:firstLine="482" w:firstLineChars="0"/>
      <w:textAlignment w:val="baseline"/>
      <w:outlineLvl w:val="5"/>
    </w:pPr>
    <w:rPr>
      <w:rFonts w:ascii="Times New Roman" w:hAnsi="Times New Roman" w:eastAsia="黑体" w:cs="宋体"/>
      <w:b w:val="0"/>
      <w:color w:val="FF0000"/>
      <w:spacing w:val="6"/>
      <w:kern w:val="0"/>
      <w:szCs w:val="20"/>
      <w:shd w:val="clear" w:color="auto" w:fill="auto"/>
    </w:rPr>
  </w:style>
  <w:style w:type="paragraph" w:customStyle="1" w:styleId="2849">
    <w:name w:val="样式 表名 + 红色 段前: 8.15 磅"/>
    <w:basedOn w:val="1625"/>
    <w:qFormat/>
    <w:uiPriority w:val="0"/>
    <w:pPr>
      <w:tabs>
        <w:tab w:val="clear" w:pos="1350"/>
      </w:tabs>
      <w:snapToGrid/>
      <w:spacing w:before="163" w:after="0" w:line="0" w:lineRule="atLeast"/>
      <w:ind w:firstLine="482" w:firstLineChars="0"/>
      <w:textAlignment w:val="baseline"/>
      <w:outlineLvl w:val="5"/>
    </w:pPr>
    <w:rPr>
      <w:rFonts w:ascii="Times New Roman" w:hAnsi="Times New Roman" w:eastAsia="黑体" w:cs="宋体"/>
      <w:b w:val="0"/>
      <w:color w:val="FF0000"/>
      <w:spacing w:val="6"/>
      <w:kern w:val="0"/>
      <w:szCs w:val="20"/>
      <w:shd w:val="clear" w:color="auto" w:fill="auto"/>
    </w:rPr>
  </w:style>
  <w:style w:type="paragraph" w:customStyle="1" w:styleId="2850">
    <w:name w:val="样式 表名 + 首行缩进:  0.74 厘米"/>
    <w:basedOn w:val="1"/>
    <w:qFormat/>
    <w:uiPriority w:val="0"/>
    <w:pPr>
      <w:overflowPunct w:val="0"/>
      <w:spacing w:line="360" w:lineRule="auto"/>
      <w:ind w:firstLine="0" w:firstLineChars="0"/>
      <w:jc w:val="center"/>
      <w:textAlignment w:val="baseline"/>
    </w:pPr>
    <w:rPr>
      <w:rFonts w:ascii="Arial" w:hAnsi="Arial" w:eastAsia="黑体"/>
      <w:snapToGrid/>
      <w:color w:val="000000"/>
      <w:kern w:val="2"/>
      <w:sz w:val="21"/>
      <w:szCs w:val="20"/>
    </w:rPr>
  </w:style>
  <w:style w:type="paragraph" w:customStyle="1" w:styleId="2851">
    <w:name w:val="样式 表名 + 首行缩进:  1 字符"/>
    <w:basedOn w:val="1625"/>
    <w:link w:val="2852"/>
    <w:qFormat/>
    <w:uiPriority w:val="0"/>
    <w:pPr>
      <w:tabs>
        <w:tab w:val="clear" w:pos="1350"/>
      </w:tabs>
      <w:autoSpaceDE/>
      <w:autoSpaceDN/>
      <w:snapToGrid/>
      <w:spacing w:after="60" w:line="560" w:lineRule="exact"/>
      <w:ind w:firstLine="240"/>
      <w:jc w:val="both"/>
      <w:textAlignment w:val="baseline"/>
    </w:pPr>
    <w:rPr>
      <w:rFonts w:ascii="黑体" w:eastAsia="黑体" w:cs="Times New Roman"/>
      <w:b w:val="0"/>
      <w:szCs w:val="20"/>
      <w:shd w:val="clear" w:color="auto" w:fill="auto"/>
    </w:rPr>
  </w:style>
  <w:style w:type="character" w:customStyle="1" w:styleId="2852">
    <w:name w:val="样式 表名 + 首行缩进:  1 字符 Char"/>
    <w:link w:val="2851"/>
    <w:qFormat/>
    <w:uiPriority w:val="0"/>
    <w:rPr>
      <w:rFonts w:ascii="黑体" w:hAnsi="Arial" w:eastAsia="黑体" w:cs="Times New Roman"/>
      <w:sz w:val="26"/>
      <w:szCs w:val="20"/>
      <w14:ligatures w14:val="none"/>
    </w:rPr>
  </w:style>
  <w:style w:type="paragraph" w:customStyle="1" w:styleId="2853">
    <w:name w:val="样式 表名 + 行距: 1.5 倍行距"/>
    <w:basedOn w:val="1625"/>
    <w:qFormat/>
    <w:uiPriority w:val="0"/>
    <w:pPr>
      <w:tabs>
        <w:tab w:val="left" w:pos="6120"/>
        <w:tab w:val="clear" w:pos="1350"/>
      </w:tabs>
      <w:autoSpaceDE/>
      <w:autoSpaceDN/>
      <w:spacing w:before="120" w:after="0" w:line="340" w:lineRule="exact"/>
      <w:ind w:firstLine="0" w:firstLineChars="0"/>
      <w:textAlignment w:val="baseline"/>
      <w:outlineLvl w:val="0"/>
    </w:pPr>
    <w:rPr>
      <w:rFonts w:ascii="Times New Roman" w:hAnsi="Times New Roman" w:eastAsia="黑体" w:cs="Times New Roman"/>
      <w:color w:val="000000"/>
      <w:sz w:val="21"/>
      <w:szCs w:val="21"/>
      <w:shd w:val="clear" w:color="auto" w:fill="auto"/>
    </w:rPr>
  </w:style>
  <w:style w:type="character" w:customStyle="1" w:styleId="2854">
    <w:name w:val="样式 表名，四宋 + 小四 Char"/>
    <w:semiHidden/>
    <w:qFormat/>
    <w:uiPriority w:val="0"/>
    <w:rPr>
      <w:rFonts w:eastAsia="宋体"/>
      <w:b/>
      <w:bCs/>
      <w:sz w:val="21"/>
      <w:szCs w:val="21"/>
      <w:lang w:val="en-US" w:eastAsia="zh-CN" w:bidi="ar-SA"/>
    </w:rPr>
  </w:style>
  <w:style w:type="paragraph" w:customStyle="1" w:styleId="2855">
    <w:name w:val="样式 表头 + (中文) 黑体 非加粗 右 段前: 0.8 行 段后: 0.2 行"/>
    <w:basedOn w:val="1"/>
    <w:qFormat/>
    <w:uiPriority w:val="0"/>
    <w:pPr>
      <w:spacing w:beforeLines="80" w:afterLines="20" w:line="20" w:lineRule="atLeast"/>
      <w:ind w:firstLine="0" w:firstLineChars="0"/>
      <w:jc w:val="center"/>
      <w:textAlignment w:val="baseline"/>
      <w:outlineLvl w:val="5"/>
    </w:pPr>
    <w:rPr>
      <w:rFonts w:eastAsia="黑体" w:cs="宋体"/>
      <w:sz w:val="21"/>
      <w:szCs w:val="20"/>
    </w:rPr>
  </w:style>
  <w:style w:type="paragraph" w:customStyle="1" w:styleId="2856">
    <w:name w:val="样式 表头 + 段后: 4 行"/>
    <w:basedOn w:val="45"/>
    <w:autoRedefine/>
    <w:qFormat/>
    <w:uiPriority w:val="0"/>
    <w:pPr>
      <w:spacing w:before="280" w:after="60"/>
      <w:jc w:val="center"/>
    </w:pPr>
    <w:rPr>
      <w:rFonts w:hAnsi="宋体" w:cs="宋体"/>
      <w:b/>
      <w:bCs/>
      <w:kern w:val="0"/>
      <w:sz w:val="20"/>
      <w:szCs w:val="20"/>
    </w:rPr>
  </w:style>
  <w:style w:type="paragraph" w:customStyle="1" w:styleId="2857">
    <w:name w:val="样式 表头 + 首行缩进:  1 字符 段前: 0.5 行"/>
    <w:basedOn w:val="84"/>
    <w:link w:val="2858"/>
    <w:qFormat/>
    <w:uiPriority w:val="0"/>
    <w:pPr>
      <w:adjustRightInd/>
      <w:spacing w:line="560" w:lineRule="exact"/>
      <w:ind w:firstLine="100" w:firstLineChars="100"/>
      <w:jc w:val="both"/>
    </w:pPr>
    <w:rPr>
      <w:rFonts w:ascii="黑体" w:hAnsi="宋体" w:eastAsia="黑体"/>
      <w:b/>
      <w:bCs/>
      <w:snapToGrid w:val="0"/>
      <w:kern w:val="44"/>
      <w:sz w:val="24"/>
      <w:szCs w:val="44"/>
    </w:rPr>
  </w:style>
  <w:style w:type="character" w:customStyle="1" w:styleId="2858">
    <w:name w:val="样式 表头 + 首行缩进:  1 字符 段前: 0.5 行 Char"/>
    <w:link w:val="2857"/>
    <w:qFormat/>
    <w:uiPriority w:val="0"/>
    <w:rPr>
      <w:rFonts w:ascii="黑体" w:hAnsi="宋体" w:eastAsia="黑体" w:cs="Times New Roman"/>
      <w:b/>
      <w:bCs/>
      <w:snapToGrid w:val="0"/>
      <w:color w:val="000000"/>
      <w:spacing w:val="8"/>
      <w:kern w:val="44"/>
      <w:sz w:val="24"/>
      <w:szCs w:val="44"/>
      <w14:ligatures w14:val="none"/>
    </w:rPr>
  </w:style>
  <w:style w:type="paragraph" w:customStyle="1" w:styleId="2859">
    <w:name w:val="样式 表文"/>
    <w:basedOn w:val="1"/>
    <w:qFormat/>
    <w:uiPriority w:val="0"/>
    <w:pPr>
      <w:tabs>
        <w:tab w:val="left" w:pos="6660"/>
      </w:tabs>
      <w:adjustRightInd/>
      <w:snapToGrid/>
      <w:spacing w:line="240" w:lineRule="auto"/>
      <w:ind w:firstLine="0" w:firstLineChars="0"/>
      <w:jc w:val="center"/>
    </w:pPr>
    <w:rPr>
      <w:snapToGrid/>
      <w:color w:val="000000"/>
      <w:sz w:val="18"/>
    </w:rPr>
  </w:style>
  <w:style w:type="paragraph" w:customStyle="1" w:styleId="2860">
    <w:name w:val="样式 表文 + 居中1"/>
    <w:basedOn w:val="1691"/>
    <w:qFormat/>
    <w:uiPriority w:val="0"/>
    <w:pPr>
      <w:spacing w:beforeLines="0" w:afterLines="0" w:line="240" w:lineRule="auto"/>
      <w:textAlignment w:val="baseline"/>
    </w:pPr>
    <w:rPr>
      <w:rFonts w:ascii="Calibri" w:hAnsi="Calibri" w:cs="宋体"/>
      <w:snapToGrid w:val="0"/>
      <w:kern w:val="52"/>
      <w:sz w:val="18"/>
      <w:szCs w:val="22"/>
    </w:rPr>
  </w:style>
  <w:style w:type="paragraph" w:customStyle="1" w:styleId="2861">
    <w:name w:val="样式 表文 + 首行缩进:  2 字符"/>
    <w:basedOn w:val="1"/>
    <w:qFormat/>
    <w:uiPriority w:val="0"/>
    <w:pPr>
      <w:overflowPunct w:val="0"/>
      <w:spacing w:line="240" w:lineRule="auto"/>
      <w:ind w:firstLine="0" w:firstLineChars="0"/>
      <w:jc w:val="center"/>
      <w:textAlignment w:val="baseline"/>
    </w:pPr>
    <w:rPr>
      <w:snapToGrid/>
      <w:color w:val="000000"/>
      <w:kern w:val="2"/>
      <w:sz w:val="21"/>
      <w:szCs w:val="20"/>
    </w:rPr>
  </w:style>
  <w:style w:type="paragraph" w:customStyle="1" w:styleId="2862">
    <w:name w:val="样式 表文 + 宋体 小五 居中"/>
    <w:basedOn w:val="1"/>
    <w:qFormat/>
    <w:uiPriority w:val="0"/>
    <w:pPr>
      <w:autoSpaceDE w:val="0"/>
      <w:autoSpaceDN w:val="0"/>
      <w:spacing w:line="240" w:lineRule="atLeast"/>
      <w:ind w:firstLine="0" w:firstLineChars="0"/>
      <w:jc w:val="center"/>
      <w:textAlignment w:val="baseline"/>
    </w:pPr>
    <w:rPr>
      <w:rFonts w:ascii="宋体" w:hAnsi="宋体" w:cs="宋体"/>
      <w:snapToGrid/>
      <w:kern w:val="2"/>
      <w:sz w:val="18"/>
      <w:szCs w:val="18"/>
    </w:rPr>
  </w:style>
  <w:style w:type="paragraph" w:customStyle="1" w:styleId="2863">
    <w:name w:val="样式 表文 + 五号"/>
    <w:basedOn w:val="1"/>
    <w:link w:val="2864"/>
    <w:qFormat/>
    <w:uiPriority w:val="0"/>
    <w:pPr>
      <w:autoSpaceDE w:val="0"/>
      <w:autoSpaceDN w:val="0"/>
      <w:spacing w:line="240" w:lineRule="auto"/>
      <w:ind w:firstLine="0" w:firstLineChars="0"/>
      <w:jc w:val="center"/>
      <w:textAlignment w:val="baseline"/>
    </w:pPr>
    <w:rPr>
      <w:snapToGrid/>
      <w:sz w:val="20"/>
      <w:szCs w:val="18"/>
    </w:rPr>
  </w:style>
  <w:style w:type="character" w:customStyle="1" w:styleId="2864">
    <w:name w:val="样式 表文 + 五号 Char Char"/>
    <w:link w:val="2863"/>
    <w:qFormat/>
    <w:uiPriority w:val="0"/>
    <w:rPr>
      <w:rFonts w:ascii="Times New Roman" w:hAnsi="Times New Roman" w:eastAsia="宋体" w:cs="Times New Roman"/>
      <w:kern w:val="0"/>
      <w:sz w:val="20"/>
      <w:szCs w:val="18"/>
      <w14:ligatures w14:val="none"/>
    </w:rPr>
  </w:style>
  <w:style w:type="character" w:customStyle="1" w:styleId="2865">
    <w:name w:val="样式 表文 + 五号 Char"/>
    <w:qFormat/>
    <w:uiPriority w:val="0"/>
    <w:rPr>
      <w:rFonts w:eastAsia="宋体"/>
      <w:sz w:val="21"/>
      <w:szCs w:val="18"/>
      <w:lang w:val="en-US" w:eastAsia="zh-CN" w:bidi="ar-SA"/>
    </w:rPr>
  </w:style>
  <w:style w:type="paragraph" w:customStyle="1" w:styleId="2866">
    <w:name w:val="样式 表文 + 小五"/>
    <w:basedOn w:val="1691"/>
    <w:qFormat/>
    <w:uiPriority w:val="0"/>
    <w:pPr>
      <w:autoSpaceDE w:val="0"/>
      <w:autoSpaceDN w:val="0"/>
      <w:spacing w:beforeLines="0" w:afterLines="0" w:line="240" w:lineRule="atLeast"/>
      <w:textAlignment w:val="baseline"/>
    </w:pPr>
    <w:rPr>
      <w:rFonts w:ascii="Calibri" w:hAnsi="Calibri"/>
      <w:sz w:val="18"/>
      <w:szCs w:val="18"/>
    </w:rPr>
  </w:style>
  <w:style w:type="paragraph" w:customStyle="1" w:styleId="2867">
    <w:name w:val="样式 表文 + 行距: 1.5 倍行距"/>
    <w:basedOn w:val="1691"/>
    <w:qFormat/>
    <w:uiPriority w:val="0"/>
    <w:pPr>
      <w:spacing w:beforeLines="0" w:afterLines="0" w:line="240" w:lineRule="exact"/>
      <w:textAlignment w:val="baseline"/>
    </w:pPr>
    <w:rPr>
      <w:rFonts w:ascii="Calibri" w:hAnsi="Calibri"/>
      <w:snapToGrid w:val="0"/>
      <w:spacing w:val="-4"/>
      <w:kern w:val="52"/>
      <w:sz w:val="18"/>
      <w:szCs w:val="18"/>
    </w:rPr>
  </w:style>
  <w:style w:type="paragraph" w:customStyle="1" w:styleId="2868">
    <w:name w:val="样式 表文 + 右"/>
    <w:basedOn w:val="1691"/>
    <w:qFormat/>
    <w:uiPriority w:val="0"/>
    <w:pPr>
      <w:spacing w:beforeLines="0" w:afterLines="0" w:line="220" w:lineRule="atLeast"/>
      <w:jc w:val="right"/>
      <w:textAlignment w:val="baseline"/>
    </w:pPr>
    <w:rPr>
      <w:rFonts w:ascii="Calibri" w:hAnsi="Calibri" w:cs="宋体"/>
      <w:snapToGrid w:val="0"/>
      <w:kern w:val="52"/>
      <w:sz w:val="18"/>
      <w:szCs w:val="22"/>
    </w:rPr>
  </w:style>
  <w:style w:type="paragraph" w:customStyle="1" w:styleId="2869">
    <w:name w:val="样式 表文 + 左  2 字符"/>
    <w:basedOn w:val="1691"/>
    <w:qFormat/>
    <w:uiPriority w:val="0"/>
    <w:pPr>
      <w:overflowPunct w:val="0"/>
      <w:topLinePunct/>
      <w:adjustRightInd/>
      <w:snapToGrid/>
      <w:spacing w:beforeLines="0" w:afterLines="0" w:line="320" w:lineRule="exact"/>
      <w:ind w:left="50" w:leftChars="50"/>
      <w:outlineLvl w:val="6"/>
    </w:pPr>
    <w:rPr>
      <w:rFonts w:ascii="Calibri" w:hAnsi="Calibri"/>
      <w:sz w:val="18"/>
      <w:szCs w:val="22"/>
    </w:rPr>
  </w:style>
  <w:style w:type="paragraph" w:customStyle="1" w:styleId="2870">
    <w:name w:val="样式 表文 Char + (西文) Arial 段前: 12 磅 段后: 3 磅 首行缩进:  1 字符"/>
    <w:basedOn w:val="1699"/>
    <w:qFormat/>
    <w:uiPriority w:val="0"/>
    <w:rPr>
      <w:rFonts w:ascii="Arial" w:hAnsi="Arial" w:cs="宋体"/>
      <w:szCs w:val="20"/>
    </w:rPr>
  </w:style>
  <w:style w:type="paragraph" w:customStyle="1" w:styleId="2871">
    <w:name w:val="样式 表文 Char Char Char + 两端对齐"/>
    <w:basedOn w:val="1697"/>
    <w:qFormat/>
    <w:uiPriority w:val="0"/>
    <w:rPr>
      <w:rFonts w:cs="宋体"/>
      <w:szCs w:val="20"/>
    </w:rPr>
  </w:style>
  <w:style w:type="paragraph" w:customStyle="1" w:styleId="2872">
    <w:name w:val="样式 表文 Char Char Char + 两端对齐1"/>
    <w:qFormat/>
    <w:uiPriority w:val="0"/>
    <w:pPr>
      <w:jc w:val="both"/>
    </w:pPr>
    <w:rPr>
      <w:rFonts w:ascii="Times New Roman" w:hAnsi="Times New Roman" w:eastAsia="宋体" w:cs="宋体"/>
      <w:lang w:val="en-US" w:eastAsia="zh-CN" w:bidi="ar-SA"/>
    </w:rPr>
  </w:style>
  <w:style w:type="paragraph" w:customStyle="1" w:styleId="2873">
    <w:name w:val="样式 表文 Char Char Char + 首行缩进:  2 字符"/>
    <w:basedOn w:val="1697"/>
    <w:qFormat/>
    <w:uiPriority w:val="0"/>
    <w:rPr>
      <w:rFonts w:cs="宋体"/>
      <w:szCs w:val="20"/>
    </w:rPr>
  </w:style>
  <w:style w:type="paragraph" w:customStyle="1" w:styleId="2874">
    <w:name w:val="样式 表文 Char Char Char + 右"/>
    <w:basedOn w:val="1697"/>
    <w:qFormat/>
    <w:uiPriority w:val="0"/>
    <w:pPr>
      <w:jc w:val="right"/>
    </w:pPr>
    <w:rPr>
      <w:rFonts w:cs="宋体"/>
      <w:szCs w:val="20"/>
    </w:rPr>
  </w:style>
  <w:style w:type="paragraph" w:customStyle="1" w:styleId="2875">
    <w:name w:val="样式 表文居中 +"/>
    <w:basedOn w:val="1714"/>
    <w:qFormat/>
    <w:uiPriority w:val="0"/>
    <w:pPr>
      <w:autoSpaceDE/>
      <w:autoSpaceDN/>
      <w:spacing w:line="220" w:lineRule="atLeast"/>
    </w:pPr>
    <w:rPr>
      <w:snapToGrid w:val="0"/>
      <w:sz w:val="18"/>
      <w:szCs w:val="21"/>
    </w:rPr>
  </w:style>
  <w:style w:type="paragraph" w:customStyle="1" w:styleId="2876">
    <w:name w:val="样式 表文居中 + 段前: 0.5 行"/>
    <w:basedOn w:val="1714"/>
    <w:qFormat/>
    <w:uiPriority w:val="0"/>
    <w:pPr>
      <w:spacing w:beforeLines="50" w:line="360" w:lineRule="auto"/>
      <w:textAlignment w:val="center"/>
    </w:pPr>
    <w:rPr>
      <w:rFonts w:cs="宋体"/>
      <w:sz w:val="18"/>
      <w:szCs w:val="21"/>
    </w:rPr>
  </w:style>
  <w:style w:type="paragraph" w:customStyle="1" w:styleId="2877">
    <w:name w:val="样式 表文居中 + 段前: 0.5 行2"/>
    <w:basedOn w:val="1714"/>
    <w:qFormat/>
    <w:uiPriority w:val="0"/>
    <w:pPr>
      <w:spacing w:beforeLines="30" w:line="312" w:lineRule="auto"/>
      <w:textAlignment w:val="center"/>
    </w:pPr>
    <w:rPr>
      <w:rFonts w:cs="宋体"/>
      <w:sz w:val="18"/>
    </w:rPr>
  </w:style>
  <w:style w:type="paragraph" w:customStyle="1" w:styleId="2878">
    <w:name w:val="样式 表中文字 + 两端对齐"/>
    <w:basedOn w:val="1732"/>
    <w:qFormat/>
    <w:uiPriority w:val="0"/>
    <w:pPr>
      <w:spacing w:line="320" w:lineRule="exact"/>
      <w:jc w:val="both"/>
    </w:pPr>
    <w:rPr>
      <w:rFonts w:cs="宋体"/>
    </w:rPr>
  </w:style>
  <w:style w:type="character" w:customStyle="1" w:styleId="2879">
    <w:name w:val="样式 纯文本 + 首行缩进:  2 字符 Char"/>
    <w:semiHidden/>
    <w:qFormat/>
    <w:uiPriority w:val="0"/>
    <w:rPr>
      <w:rFonts w:ascii="仿宋_GB2312" w:hAnsi="Courier New" w:eastAsia="仿宋_GB2312" w:cs="宋体"/>
      <w:kern w:val="2"/>
      <w:sz w:val="28"/>
      <w:szCs w:val="21"/>
      <w:lang w:val="en-US" w:eastAsia="zh-CN" w:bidi="ar-SA"/>
    </w:rPr>
  </w:style>
  <w:style w:type="character" w:customStyle="1" w:styleId="2880">
    <w:name w:val="样式 纯文本 + 首行缩进:  2 字符 Char Char Char Char Char Char"/>
    <w:semiHidden/>
    <w:qFormat/>
    <w:uiPriority w:val="0"/>
    <w:rPr>
      <w:rFonts w:ascii="仿宋_GB2312" w:hAnsi="Courier New" w:eastAsia="仿宋_GB2312" w:cs="宋体"/>
      <w:kern w:val="2"/>
      <w:sz w:val="28"/>
      <w:szCs w:val="21"/>
      <w:lang w:val="en-US" w:eastAsia="zh-CN" w:bidi="ar-SA"/>
    </w:rPr>
  </w:style>
  <w:style w:type="character" w:customStyle="1" w:styleId="2881">
    <w:name w:val="样式 纯文本 + 首行缩进:  2 字符 Char Char Char Char Char Char Char Char Char Char Char Char Char Char Char Char Char Char Char Char Char Char Char Char Char Char Char"/>
    <w:semiHidden/>
    <w:qFormat/>
    <w:uiPriority w:val="0"/>
    <w:rPr>
      <w:rFonts w:ascii="仿宋_GB2312" w:hAnsi="Courier New" w:eastAsia="宋体" w:cs="宋体"/>
      <w:kern w:val="2"/>
      <w:sz w:val="28"/>
      <w:szCs w:val="21"/>
      <w:lang w:val="en-US" w:eastAsia="zh-CN" w:bidi="ar-SA"/>
    </w:rPr>
  </w:style>
  <w:style w:type="paragraph" w:customStyle="1" w:styleId="2882">
    <w:name w:val="样式 纯文本普通文字 + (符号) 宋体 小四 左 行距: 固定值 28 磅"/>
    <w:basedOn w:val="45"/>
    <w:semiHidden/>
    <w:qFormat/>
    <w:uiPriority w:val="0"/>
    <w:rPr>
      <w:kern w:val="0"/>
      <w:sz w:val="20"/>
      <w:szCs w:val="20"/>
    </w:rPr>
  </w:style>
  <w:style w:type="paragraph" w:customStyle="1" w:styleId="2883">
    <w:name w:val="样式 段后: 3.1 磅 行距: 固定值 20 磅"/>
    <w:basedOn w:val="1"/>
    <w:qFormat/>
    <w:uiPriority w:val="0"/>
    <w:pPr>
      <w:adjustRightInd/>
      <w:snapToGrid/>
      <w:spacing w:after="62" w:line="400" w:lineRule="exact"/>
      <w:ind w:firstLine="482" w:firstLineChars="0"/>
    </w:pPr>
    <w:rPr>
      <w:rFonts w:cs="宋体"/>
      <w:snapToGrid/>
      <w:kern w:val="2"/>
      <w:szCs w:val="20"/>
    </w:rPr>
  </w:style>
  <w:style w:type="paragraph" w:customStyle="1" w:styleId="2884">
    <w:name w:val="样式 方正书宋简体 小四 行距: 1.5 倍行距"/>
    <w:basedOn w:val="1"/>
    <w:semiHidden/>
    <w:qFormat/>
    <w:uiPriority w:val="0"/>
    <w:pPr>
      <w:adjustRightInd/>
      <w:snapToGrid/>
      <w:spacing w:line="240" w:lineRule="auto"/>
      <w:ind w:firstLine="0" w:firstLineChars="0"/>
    </w:pPr>
    <w:rPr>
      <w:rFonts w:ascii="方正书宋简体" w:hAnsi="宋体" w:eastAsia="方正书宋简体"/>
      <w:snapToGrid/>
      <w:spacing w:val="20"/>
      <w:kern w:val="2"/>
      <w:szCs w:val="20"/>
    </w:rPr>
  </w:style>
  <w:style w:type="paragraph" w:customStyle="1" w:styleId="2885">
    <w:name w:val="样式 仿宋_GB2312 四号"/>
    <w:basedOn w:val="1"/>
    <w:autoRedefine/>
    <w:qFormat/>
    <w:uiPriority w:val="0"/>
    <w:pPr>
      <w:tabs>
        <w:tab w:val="left" w:pos="3780"/>
      </w:tabs>
      <w:snapToGrid/>
      <w:spacing w:line="360" w:lineRule="auto"/>
      <w:ind w:firstLine="520"/>
      <w:textAlignment w:val="baseline"/>
    </w:pPr>
    <w:rPr>
      <w:rFonts w:ascii="宋体" w:hAnsi="宋体" w:cs="宋体"/>
      <w:snapToGrid/>
      <w:kern w:val="2"/>
    </w:rPr>
  </w:style>
  <w:style w:type="paragraph" w:customStyle="1" w:styleId="2886">
    <w:name w:val="样式 仿宋_GB2312 四号2"/>
    <w:basedOn w:val="1"/>
    <w:qFormat/>
    <w:uiPriority w:val="0"/>
    <w:pPr>
      <w:adjustRightInd/>
      <w:snapToGrid/>
      <w:spacing w:line="240" w:lineRule="auto"/>
      <w:ind w:firstLine="536"/>
    </w:pPr>
    <w:rPr>
      <w:rFonts w:ascii="仿宋_GB2312" w:hAnsi="宋体" w:eastAsia="仿宋_GB2312"/>
      <w:snapToGrid/>
      <w:spacing w:val="-6"/>
      <w:kern w:val="2"/>
      <w:sz w:val="28"/>
      <w:szCs w:val="20"/>
    </w:rPr>
  </w:style>
  <w:style w:type="paragraph" w:customStyle="1" w:styleId="2887">
    <w:name w:val="样式 港珠澳正文 + 首行缩进:  2 字符 段前: 1 行 段后: 1 行"/>
    <w:basedOn w:val="1"/>
    <w:qFormat/>
    <w:uiPriority w:val="0"/>
    <w:pPr>
      <w:adjustRightInd/>
      <w:snapToGrid/>
      <w:spacing w:line="360" w:lineRule="auto"/>
    </w:pPr>
    <w:rPr>
      <w:rFonts w:cs="宋体"/>
      <w:snapToGrid/>
      <w:color w:val="000000"/>
      <w:kern w:val="2"/>
      <w:szCs w:val="20"/>
    </w:rPr>
  </w:style>
  <w:style w:type="paragraph" w:customStyle="1" w:styleId="2888">
    <w:name w:val="样式 公正文 + 首行缩进:  2 字符1"/>
    <w:basedOn w:val="1"/>
    <w:qFormat/>
    <w:uiPriority w:val="0"/>
    <w:pPr>
      <w:spacing w:line="355" w:lineRule="auto"/>
      <w:ind w:firstLine="560"/>
    </w:pPr>
    <w:rPr>
      <w:rFonts w:ascii="宋体" w:hAnsi="宋体" w:eastAsia="仿宋_GB2312" w:cs="宋体"/>
      <w:snapToGrid/>
      <w:kern w:val="2"/>
      <w:sz w:val="28"/>
      <w:szCs w:val="20"/>
    </w:rPr>
  </w:style>
  <w:style w:type="paragraph" w:customStyle="1" w:styleId="2889">
    <w:name w:val="样式 公正文 + 首行缩进:  2 字符2"/>
    <w:basedOn w:val="1865"/>
    <w:link w:val="2890"/>
    <w:qFormat/>
    <w:uiPriority w:val="0"/>
    <w:pPr>
      <w:spacing w:line="560" w:lineRule="exact"/>
      <w:jc w:val="both"/>
    </w:pPr>
    <w:rPr>
      <w:rFonts w:ascii="仿宋_GB2312"/>
      <w:kern w:val="2"/>
    </w:rPr>
  </w:style>
  <w:style w:type="character" w:customStyle="1" w:styleId="2890">
    <w:name w:val="样式 公正文 + 首行缩进:  2 字符2 Char"/>
    <w:link w:val="2889"/>
    <w:qFormat/>
    <w:uiPriority w:val="0"/>
    <w:rPr>
      <w:rFonts w:ascii="仿宋_GB2312" w:hAnsi="宋体" w:eastAsia="仿宋_GB2312" w:cs="Times New Roman"/>
      <w:sz w:val="28"/>
      <w:szCs w:val="24"/>
      <w14:ligatures w14:val="none"/>
    </w:rPr>
  </w:style>
  <w:style w:type="paragraph" w:customStyle="1" w:styleId="2891">
    <w:name w:val="样式 公正文 + 首行缩进:  2 字符4"/>
    <w:basedOn w:val="1865"/>
    <w:link w:val="2892"/>
    <w:qFormat/>
    <w:uiPriority w:val="0"/>
    <w:pPr>
      <w:ind w:firstLine="560"/>
      <w:jc w:val="both"/>
    </w:pPr>
    <w:rPr>
      <w:rFonts w:cs="宋体"/>
    </w:rPr>
  </w:style>
  <w:style w:type="character" w:customStyle="1" w:styleId="2892">
    <w:name w:val="样式 公正文 + 首行缩进:  2 字符4 Char Char"/>
    <w:link w:val="2891"/>
    <w:qFormat/>
    <w:uiPriority w:val="0"/>
    <w:rPr>
      <w:rFonts w:ascii="宋体" w:hAnsi="宋体" w:eastAsia="仿宋_GB2312" w:cs="宋体"/>
      <w:kern w:val="0"/>
      <w:sz w:val="28"/>
      <w:szCs w:val="24"/>
      <w14:ligatures w14:val="none"/>
    </w:rPr>
  </w:style>
  <w:style w:type="character" w:customStyle="1" w:styleId="2893">
    <w:name w:val="样式 黑色"/>
    <w:semiHidden/>
    <w:qFormat/>
    <w:uiPriority w:val="0"/>
    <w:rPr>
      <w:rFonts w:eastAsia="宋体"/>
      <w:color w:val="000000"/>
    </w:rPr>
  </w:style>
  <w:style w:type="character" w:customStyle="1" w:styleId="2894">
    <w:name w:val="样式 华文仿宋 四号 加粗"/>
    <w:semiHidden/>
    <w:qFormat/>
    <w:uiPriority w:val="0"/>
    <w:rPr>
      <w:rFonts w:ascii="Times New Roman" w:hAnsi="Times New Roman" w:eastAsia="华文仿宋"/>
      <w:b/>
      <w:bCs/>
      <w:sz w:val="28"/>
      <w:szCs w:val="28"/>
    </w:rPr>
  </w:style>
  <w:style w:type="character" w:customStyle="1" w:styleId="2895">
    <w:name w:val="样式 华文仿宋 小四 加粗"/>
    <w:semiHidden/>
    <w:qFormat/>
    <w:uiPriority w:val="0"/>
    <w:rPr>
      <w:rFonts w:ascii="Times New Roman" w:hAnsi="Times New Roman" w:eastAsia="华文仿宋"/>
      <w:b/>
      <w:bCs/>
      <w:sz w:val="24"/>
      <w:szCs w:val="24"/>
    </w:rPr>
  </w:style>
  <w:style w:type="character" w:customStyle="1" w:styleId="2896">
    <w:name w:val="样式 加粗"/>
    <w:qFormat/>
    <w:uiPriority w:val="0"/>
    <w:rPr>
      <w:b/>
      <w:bCs/>
    </w:rPr>
  </w:style>
  <w:style w:type="paragraph" w:customStyle="1" w:styleId="2897">
    <w:name w:val="样式 居中 + 右侧:  1.22 厘米 段前: 7.8 磅"/>
    <w:basedOn w:val="1"/>
    <w:autoRedefine/>
    <w:semiHidden/>
    <w:qFormat/>
    <w:uiPriority w:val="0"/>
    <w:pPr>
      <w:adjustRightInd/>
      <w:snapToGrid/>
      <w:spacing w:line="480" w:lineRule="auto"/>
      <w:ind w:firstLine="0" w:firstLineChars="0"/>
      <w:jc w:val="center"/>
    </w:pPr>
    <w:rPr>
      <w:rFonts w:ascii="宋体"/>
      <w:snapToGrid/>
      <w:kern w:val="2"/>
      <w:sz w:val="28"/>
      <w:szCs w:val="20"/>
    </w:rPr>
  </w:style>
  <w:style w:type="paragraph" w:customStyle="1" w:styleId="2898">
    <w:name w:val="样式 楷体 + 首行缩进:  2 字符"/>
    <w:basedOn w:val="1"/>
    <w:uiPriority w:val="0"/>
    <w:pPr>
      <w:snapToGrid/>
      <w:spacing w:line="560" w:lineRule="exact"/>
      <w:textAlignment w:val="baseline"/>
    </w:pPr>
    <w:rPr>
      <w:rFonts w:ascii="楷体_GB2312" w:eastAsia="楷体_GB2312" w:cs="宋体"/>
      <w:snapToGrid/>
      <w:sz w:val="28"/>
      <w:szCs w:val="20"/>
    </w:rPr>
  </w:style>
  <w:style w:type="paragraph" w:customStyle="1" w:styleId="2899">
    <w:name w:val="样式 楷体_GB2312 四号 红色 首行缩进:  1.01 厘米 行距: 固定值 22 磅"/>
    <w:basedOn w:val="1"/>
    <w:qFormat/>
    <w:uiPriority w:val="0"/>
    <w:pPr>
      <w:adjustRightInd/>
      <w:snapToGrid/>
      <w:spacing w:line="440" w:lineRule="exact"/>
    </w:pPr>
    <w:rPr>
      <w:rFonts w:ascii="楷体_GB2312" w:hAnsi="宋体" w:eastAsia="仿宋_GB2312"/>
      <w:snapToGrid/>
      <w:color w:val="FF0000"/>
      <w:kern w:val="2"/>
      <w:sz w:val="28"/>
      <w:szCs w:val="20"/>
    </w:rPr>
  </w:style>
  <w:style w:type="paragraph" w:customStyle="1" w:styleId="2900">
    <w:name w:val="样式 乐山-正文 + 小四 加粗1"/>
    <w:basedOn w:val="1"/>
    <w:qFormat/>
    <w:uiPriority w:val="0"/>
    <w:pPr>
      <w:tabs>
        <w:tab w:val="left" w:pos="1125"/>
      </w:tabs>
      <w:adjustRightInd/>
      <w:snapToGrid/>
      <w:spacing w:line="440" w:lineRule="exact"/>
      <w:ind w:left="1125" w:hanging="1125" w:firstLineChars="0"/>
    </w:pPr>
    <w:rPr>
      <w:rFonts w:ascii="Arial" w:hAnsi="Arial" w:eastAsia="华文细黑" w:cs="宋体"/>
      <w:b/>
      <w:bCs/>
      <w:snapToGrid/>
      <w:kern w:val="2"/>
      <w:szCs w:val="20"/>
    </w:rPr>
  </w:style>
  <w:style w:type="paragraph" w:customStyle="1" w:styleId="2901">
    <w:name w:val="样式 列表 + 首行缩进:  0.74 厘米"/>
    <w:basedOn w:val="66"/>
    <w:qFormat/>
    <w:uiPriority w:val="0"/>
    <w:rPr>
      <w:sz w:val="21"/>
    </w:rPr>
  </w:style>
  <w:style w:type="paragraph" w:customStyle="1" w:styleId="2902">
    <w:name w:val="样式 列表 2 + 华文仿宋 居中"/>
    <w:basedOn w:val="37"/>
    <w:autoRedefine/>
    <w:qFormat/>
    <w:uiPriority w:val="0"/>
    <w:pPr>
      <w:adjustRightInd/>
      <w:snapToGrid/>
      <w:spacing w:line="240" w:lineRule="auto"/>
      <w:ind w:left="0" w:leftChars="0" w:firstLine="0" w:firstLineChars="0"/>
      <w:jc w:val="center"/>
    </w:pPr>
    <w:rPr>
      <w:snapToGrid/>
      <w:color w:val="000000"/>
      <w:kern w:val="2"/>
      <w:sz w:val="22"/>
      <w:szCs w:val="22"/>
    </w:rPr>
  </w:style>
  <w:style w:type="paragraph" w:customStyle="1" w:styleId="2903">
    <w:name w:val="样式 列表 2 + 左侧:  2 字符 悬挂缩进: 2 字符"/>
    <w:basedOn w:val="37"/>
    <w:qFormat/>
    <w:uiPriority w:val="0"/>
    <w:pPr>
      <w:adjustRightInd/>
      <w:snapToGrid/>
      <w:ind w:left="200" w:leftChars="0"/>
      <w:jc w:val="left"/>
    </w:pPr>
    <w:rPr>
      <w:rFonts w:hAnsi="宋体" w:cs="宋体"/>
      <w:snapToGrid/>
      <w:szCs w:val="20"/>
    </w:rPr>
  </w:style>
  <w:style w:type="paragraph" w:customStyle="1" w:styleId="2904">
    <w:name w:val="样式 列表编号 2 + 黑色 左侧:  0 厘米 行距: 最小值 26 磅"/>
    <w:basedOn w:val="14"/>
    <w:qFormat/>
    <w:uiPriority w:val="0"/>
    <w:pPr>
      <w:numPr>
        <w:numId w:val="0"/>
      </w:numPr>
      <w:tabs>
        <w:tab w:val="left" w:pos="206"/>
      </w:tabs>
      <w:adjustRightInd/>
      <w:snapToGrid/>
      <w:spacing w:line="520" w:lineRule="atLeast"/>
      <w:ind w:left="206" w:firstLine="34"/>
    </w:pPr>
    <w:rPr>
      <w:rFonts w:ascii="Calibri" w:hAnsi="Calibri" w:eastAsia="黑体" w:cs="宋体"/>
      <w:snapToGrid/>
      <w:color w:val="000000"/>
      <w:kern w:val="2"/>
      <w:szCs w:val="20"/>
    </w:rPr>
  </w:style>
  <w:style w:type="paragraph" w:customStyle="1" w:styleId="2905">
    <w:name w:val="样式 目 + 段前: 0.5 行 段后: 0.5 行2"/>
    <w:basedOn w:val="4"/>
    <w:semiHidden/>
    <w:qFormat/>
    <w:uiPriority w:val="0"/>
    <w:pPr>
      <w:numPr>
        <w:ilvl w:val="0"/>
        <w:numId w:val="0"/>
      </w:numPr>
      <w:adjustRightInd/>
      <w:snapToGrid/>
      <w:spacing w:before="120" w:after="120" w:line="240" w:lineRule="auto"/>
    </w:pPr>
    <w:rPr>
      <w:rFonts w:ascii="Arial" w:hAnsi="Arial" w:cs="宋体"/>
      <w:b w:val="0"/>
      <w:bCs/>
      <w:snapToGrid/>
    </w:rPr>
  </w:style>
  <w:style w:type="paragraph" w:customStyle="1" w:styleId="2906">
    <w:name w:val="样式 目录 1 + 左 段前: 6 磅"/>
    <w:basedOn w:val="59"/>
    <w:qFormat/>
    <w:uiPriority w:val="0"/>
    <w:pPr>
      <w:widowControl/>
      <w:tabs>
        <w:tab w:val="right" w:leader="dot" w:pos="560"/>
        <w:tab w:val="right" w:leader="dot" w:pos="8460"/>
      </w:tabs>
      <w:spacing w:before="120" w:line="520" w:lineRule="exact"/>
      <w:jc w:val="left"/>
    </w:pPr>
    <w:rPr>
      <w:rFonts w:ascii="华文新魏" w:hAnsi="宋体" w:eastAsia="黑体" w:cs="宋体"/>
      <w:b w:val="0"/>
      <w:snapToGrid/>
      <w:kern w:val="2"/>
      <w:sz w:val="28"/>
      <w:szCs w:val="20"/>
    </w:rPr>
  </w:style>
  <w:style w:type="paragraph" w:customStyle="1" w:styleId="2907">
    <w:name w:val="样式 目录 1 + 左 段前: 6 磅 行距: 固定值 26 磅1"/>
    <w:basedOn w:val="59"/>
    <w:autoRedefine/>
    <w:qFormat/>
    <w:uiPriority w:val="0"/>
    <w:pPr>
      <w:widowControl/>
      <w:tabs>
        <w:tab w:val="right" w:leader="dot" w:pos="8460"/>
      </w:tabs>
      <w:spacing w:before="120" w:line="520" w:lineRule="exact"/>
      <w:jc w:val="left"/>
    </w:pPr>
    <w:rPr>
      <w:rFonts w:ascii="华文新魏" w:hAnsi="宋体" w:eastAsia="黑体" w:cs="宋体"/>
      <w:b w:val="0"/>
      <w:snapToGrid/>
      <w:kern w:val="2"/>
      <w:sz w:val="28"/>
      <w:szCs w:val="20"/>
    </w:rPr>
  </w:style>
  <w:style w:type="paragraph" w:customStyle="1" w:styleId="2908">
    <w:name w:val="样式 目录 2 + 行距: 固定值 20 磅"/>
    <w:basedOn w:val="74"/>
    <w:qFormat/>
    <w:uiPriority w:val="0"/>
    <w:pPr>
      <w:tabs>
        <w:tab w:val="right" w:leader="dot" w:pos="8721"/>
      </w:tabs>
      <w:adjustRightInd/>
      <w:snapToGrid/>
      <w:spacing w:line="400" w:lineRule="exact"/>
      <w:ind w:firstLine="0"/>
      <w:jc w:val="center"/>
    </w:pPr>
    <w:rPr>
      <w:rFonts w:cs="宋体"/>
      <w:snapToGrid/>
      <w:kern w:val="2"/>
      <w:szCs w:val="20"/>
    </w:rPr>
  </w:style>
  <w:style w:type="paragraph" w:customStyle="1" w:styleId="2909">
    <w:name w:val="样式 目录 4 +"/>
    <w:basedOn w:val="1"/>
    <w:qFormat/>
    <w:uiPriority w:val="0"/>
    <w:pPr>
      <w:tabs>
        <w:tab w:val="left" w:pos="2415"/>
        <w:tab w:val="right" w:leader="dot" w:pos="9060"/>
      </w:tabs>
      <w:adjustRightInd/>
      <w:snapToGrid/>
      <w:spacing w:line="360" w:lineRule="auto"/>
      <w:ind w:left="300" w:leftChars="300" w:firstLine="480"/>
    </w:pPr>
    <w:rPr>
      <w:snapToGrid/>
      <w:sz w:val="28"/>
      <w:szCs w:val="20"/>
    </w:rPr>
  </w:style>
  <w:style w:type="paragraph" w:customStyle="1" w:styleId="2910">
    <w:name w:val="样式 普通(网站) + 段前: 自动 段后: 自动 行距: 最小值 24 磅"/>
    <w:basedOn w:val="81"/>
    <w:qFormat/>
    <w:uiPriority w:val="0"/>
    <w:pPr>
      <w:spacing w:beforeAutospacing="0" w:after="0" w:afterAutospacing="0" w:line="480" w:lineRule="exact"/>
      <w:ind w:firstLine="200" w:firstLineChars="200"/>
    </w:pPr>
    <w:rPr>
      <w:rFonts w:ascii="Times New Roman" w:hAnsi="Times New Roman"/>
      <w:sz w:val="28"/>
      <w:szCs w:val="20"/>
    </w:rPr>
  </w:style>
  <w:style w:type="paragraph" w:customStyle="1" w:styleId="2911">
    <w:name w:val="样式 首行缩进 Char + 首行缩进:  2.57 字符"/>
    <w:basedOn w:val="1"/>
    <w:qFormat/>
    <w:uiPriority w:val="0"/>
    <w:pPr>
      <w:adjustRightInd/>
      <w:snapToGrid/>
      <w:spacing w:line="360" w:lineRule="auto"/>
      <w:ind w:firstLine="0" w:firstLineChars="0"/>
    </w:pPr>
    <w:rPr>
      <w:snapToGrid/>
      <w:kern w:val="2"/>
      <w:sz w:val="28"/>
      <w:szCs w:val="20"/>
    </w:rPr>
  </w:style>
  <w:style w:type="paragraph" w:customStyle="1" w:styleId="2912">
    <w:name w:val="样式 首行缩进:  0 字符"/>
    <w:basedOn w:val="1"/>
    <w:qFormat/>
    <w:uiPriority w:val="0"/>
    <w:pPr>
      <w:spacing w:line="400" w:lineRule="exact"/>
      <w:ind w:firstLine="397" w:firstLineChars="0"/>
    </w:pPr>
    <w:rPr>
      <w:szCs w:val="20"/>
    </w:rPr>
  </w:style>
  <w:style w:type="paragraph" w:customStyle="1" w:styleId="2913">
    <w:name w:val="样式 首行缩进:  0.74 厘米 段前: 7.8 磅 段后: 7.8 磅 行距: 固定值 18 磅"/>
    <w:basedOn w:val="1"/>
    <w:autoRedefine/>
    <w:qFormat/>
    <w:uiPriority w:val="0"/>
    <w:pPr>
      <w:adjustRightInd/>
      <w:snapToGrid/>
      <w:spacing w:line="400" w:lineRule="exact"/>
      <w:ind w:firstLine="420" w:firstLineChars="0"/>
    </w:pPr>
    <w:rPr>
      <w:rFonts w:cs="宋体"/>
      <w:snapToGrid/>
      <w:kern w:val="2"/>
      <w:sz w:val="21"/>
      <w:szCs w:val="21"/>
    </w:rPr>
  </w:style>
  <w:style w:type="paragraph" w:customStyle="1" w:styleId="2914">
    <w:name w:val="样式 首行缩进:  0.85 厘米 段后: 3.1 磅 行距: 固定值 20 磅"/>
    <w:basedOn w:val="1"/>
    <w:qFormat/>
    <w:uiPriority w:val="0"/>
    <w:pPr>
      <w:adjustRightInd/>
      <w:snapToGrid/>
      <w:spacing w:afterLines="20" w:line="400" w:lineRule="exact"/>
      <w:ind w:firstLine="482" w:firstLineChars="0"/>
    </w:pPr>
    <w:rPr>
      <w:rFonts w:cs="宋体"/>
      <w:snapToGrid/>
      <w:kern w:val="2"/>
      <w:szCs w:val="20"/>
    </w:rPr>
  </w:style>
  <w:style w:type="paragraph" w:customStyle="1" w:styleId="2915">
    <w:name w:val="样式 首行缩进:  0.99 厘米"/>
    <w:basedOn w:val="1"/>
    <w:qFormat/>
    <w:uiPriority w:val="0"/>
    <w:pPr>
      <w:adjustRightInd/>
      <w:snapToGrid/>
      <w:spacing w:line="240" w:lineRule="auto"/>
      <w:ind w:firstLine="560" w:firstLineChars="0"/>
    </w:pPr>
    <w:rPr>
      <w:rFonts w:cs="宋体"/>
      <w:snapToGrid/>
      <w:kern w:val="2"/>
      <w:szCs w:val="20"/>
    </w:rPr>
  </w:style>
  <w:style w:type="paragraph" w:customStyle="1" w:styleId="2916">
    <w:name w:val="样式 首行缩进:  1.69 字符"/>
    <w:basedOn w:val="1"/>
    <w:qFormat/>
    <w:uiPriority w:val="0"/>
    <w:pPr>
      <w:spacing w:line="360" w:lineRule="auto"/>
      <w:ind w:firstLine="380" w:firstLineChars="0"/>
      <w:textAlignment w:val="baseline"/>
    </w:pPr>
    <w:rPr>
      <w:szCs w:val="20"/>
    </w:rPr>
  </w:style>
  <w:style w:type="paragraph" w:customStyle="1" w:styleId="2917">
    <w:name w:val="样式 首行缩进:  2 字符"/>
    <w:basedOn w:val="1"/>
    <w:link w:val="2918"/>
    <w:qFormat/>
    <w:uiPriority w:val="0"/>
    <w:pPr>
      <w:adjustRightInd/>
      <w:snapToGrid/>
      <w:spacing w:line="240" w:lineRule="auto"/>
      <w:ind w:firstLine="420"/>
    </w:pPr>
    <w:rPr>
      <w:snapToGrid/>
      <w:kern w:val="2"/>
      <w:sz w:val="21"/>
      <w:szCs w:val="20"/>
    </w:rPr>
  </w:style>
  <w:style w:type="character" w:customStyle="1" w:styleId="2918">
    <w:name w:val="样式 首行缩进:  2 字符 Char"/>
    <w:link w:val="2917"/>
    <w:qFormat/>
    <w:uiPriority w:val="0"/>
    <w:rPr>
      <w:rFonts w:ascii="Times New Roman" w:hAnsi="Times New Roman" w:eastAsia="宋体" w:cs="Times New Roman"/>
      <w:szCs w:val="20"/>
      <w14:ligatures w14:val="none"/>
    </w:rPr>
  </w:style>
  <w:style w:type="character" w:customStyle="1" w:styleId="2919">
    <w:name w:val="样式 首行缩进:  2 字符 Char Char"/>
    <w:qFormat/>
    <w:uiPriority w:val="0"/>
    <w:rPr>
      <w:rFonts w:eastAsia="宋体" w:cs="宋体"/>
      <w:sz w:val="24"/>
      <w:lang w:val="zh-CN" w:eastAsia="zh-CN" w:bidi="ar-SA"/>
    </w:rPr>
  </w:style>
  <w:style w:type="character" w:customStyle="1" w:styleId="2920">
    <w:name w:val="样式 首行缩进:  2 字符 Char Char Char"/>
    <w:qFormat/>
    <w:uiPriority w:val="0"/>
    <w:rPr>
      <w:rFonts w:ascii="宋体" w:eastAsia="宋体" w:cs="宋体"/>
      <w:kern w:val="2"/>
      <w:sz w:val="28"/>
      <w:szCs w:val="24"/>
      <w:lang w:val="en-US" w:eastAsia="zh-CN" w:bidi="ar-SA"/>
    </w:rPr>
  </w:style>
  <w:style w:type="paragraph" w:customStyle="1" w:styleId="2921">
    <w:name w:val="样式 首行缩进:  2 字符 段前: 0.5 行"/>
    <w:basedOn w:val="1"/>
    <w:autoRedefine/>
    <w:qFormat/>
    <w:uiPriority w:val="0"/>
    <w:pPr>
      <w:spacing w:line="480" w:lineRule="exact"/>
      <w:ind w:firstLine="560"/>
    </w:pPr>
    <w:rPr>
      <w:rFonts w:cs="宋体"/>
      <w:snapToGrid/>
      <w:kern w:val="2"/>
      <w:sz w:val="28"/>
      <w:szCs w:val="20"/>
    </w:rPr>
  </w:style>
  <w:style w:type="paragraph" w:customStyle="1" w:styleId="2922">
    <w:name w:val="样式 首行缩进:  2 字符 段前: 0.5 行 段后: 0.5 行"/>
    <w:basedOn w:val="1"/>
    <w:qFormat/>
    <w:uiPriority w:val="0"/>
    <w:pPr>
      <w:spacing w:after="120" w:line="360" w:lineRule="auto"/>
      <w:ind w:firstLine="480"/>
    </w:pPr>
    <w:rPr>
      <w:rFonts w:cs="宋体"/>
      <w:snapToGrid/>
      <w:kern w:val="2"/>
      <w:szCs w:val="20"/>
    </w:rPr>
  </w:style>
  <w:style w:type="paragraph" w:customStyle="1" w:styleId="2923">
    <w:name w:val="样式 首行缩进:  2 字符 段前: 0.5 行 行距: 1.5 倍行距"/>
    <w:basedOn w:val="1"/>
    <w:autoRedefine/>
    <w:qFormat/>
    <w:uiPriority w:val="0"/>
    <w:pPr>
      <w:spacing w:line="480" w:lineRule="exact"/>
      <w:ind w:firstLine="560"/>
    </w:pPr>
    <w:rPr>
      <w:rFonts w:cs="宋体"/>
      <w:snapToGrid/>
      <w:kern w:val="2"/>
      <w:sz w:val="28"/>
      <w:szCs w:val="20"/>
    </w:rPr>
  </w:style>
  <w:style w:type="paragraph" w:customStyle="1" w:styleId="2924">
    <w:name w:val="样式 首行缩进:  2 字符 行距: 1.5 倍行距"/>
    <w:basedOn w:val="1"/>
    <w:qFormat/>
    <w:uiPriority w:val="0"/>
    <w:pPr>
      <w:adjustRightInd/>
      <w:snapToGrid/>
      <w:spacing w:line="400" w:lineRule="exact"/>
    </w:pPr>
    <w:rPr>
      <w:snapToGrid/>
      <w:kern w:val="2"/>
      <w:szCs w:val="20"/>
    </w:rPr>
  </w:style>
  <w:style w:type="paragraph" w:customStyle="1" w:styleId="2925">
    <w:name w:val="样式 首行缩进:  2 字符 行距: 固定值 23 磅"/>
    <w:basedOn w:val="1"/>
    <w:qFormat/>
    <w:uiPriority w:val="0"/>
    <w:pPr>
      <w:adjustRightInd/>
      <w:snapToGrid/>
      <w:spacing w:line="400" w:lineRule="exact"/>
    </w:pPr>
    <w:rPr>
      <w:snapToGrid/>
      <w:kern w:val="2"/>
      <w:szCs w:val="20"/>
    </w:rPr>
  </w:style>
  <w:style w:type="paragraph" w:customStyle="1" w:styleId="2926">
    <w:name w:val="样式 首行缩进:  2 字符 行距: 固定值 26 磅 Char Char Char"/>
    <w:basedOn w:val="1"/>
    <w:semiHidden/>
    <w:qFormat/>
    <w:uiPriority w:val="0"/>
    <w:pPr>
      <w:adjustRightInd/>
      <w:snapToGrid/>
      <w:spacing w:line="500" w:lineRule="exact"/>
    </w:pPr>
    <w:rPr>
      <w:snapToGrid/>
      <w:kern w:val="2"/>
    </w:rPr>
  </w:style>
  <w:style w:type="paragraph" w:customStyle="1" w:styleId="2927">
    <w:name w:val="样式 首行缩进:  2 字符1"/>
    <w:basedOn w:val="1"/>
    <w:link w:val="2928"/>
    <w:qFormat/>
    <w:uiPriority w:val="0"/>
    <w:pPr>
      <w:adjustRightInd/>
      <w:snapToGrid/>
      <w:ind w:firstLine="480"/>
      <w:textAlignment w:val="center"/>
    </w:pPr>
    <w:rPr>
      <w:rFonts w:ascii="宋体" w:hAnsi="宋体"/>
      <w:snapToGrid/>
    </w:rPr>
  </w:style>
  <w:style w:type="character" w:customStyle="1" w:styleId="2928">
    <w:name w:val="样式 首行缩进:  2 字符1 Char"/>
    <w:link w:val="2927"/>
    <w:qFormat/>
    <w:uiPriority w:val="0"/>
    <w:rPr>
      <w:rFonts w:ascii="宋体" w:hAnsi="宋体" w:eastAsia="宋体" w:cs="Times New Roman"/>
      <w:kern w:val="0"/>
      <w:sz w:val="26"/>
      <w:szCs w:val="24"/>
      <w14:ligatures w14:val="none"/>
    </w:rPr>
  </w:style>
  <w:style w:type="paragraph" w:customStyle="1" w:styleId="2929">
    <w:name w:val="样式 首行缩进:  2 字符2"/>
    <w:basedOn w:val="1"/>
    <w:autoRedefine/>
    <w:qFormat/>
    <w:uiPriority w:val="0"/>
    <w:pPr>
      <w:adjustRightInd/>
      <w:snapToGrid/>
      <w:spacing w:line="360" w:lineRule="auto"/>
      <w:ind w:firstLine="480"/>
    </w:pPr>
    <w:rPr>
      <w:color w:val="FF0000"/>
      <w:u w:color="000000"/>
    </w:rPr>
  </w:style>
  <w:style w:type="paragraph" w:customStyle="1" w:styleId="2930">
    <w:name w:val="样式 首行缩进:  2 字符4"/>
    <w:basedOn w:val="1"/>
    <w:link w:val="2931"/>
    <w:qFormat/>
    <w:uiPriority w:val="0"/>
    <w:pPr>
      <w:keepNext/>
      <w:spacing w:line="360" w:lineRule="auto"/>
    </w:pPr>
    <w:rPr>
      <w:rFonts w:ascii="宋体"/>
      <w:sz w:val="28"/>
      <w:szCs w:val="20"/>
    </w:rPr>
  </w:style>
  <w:style w:type="character" w:customStyle="1" w:styleId="2931">
    <w:name w:val="样式 首行缩进:  2 字符4 Char"/>
    <w:link w:val="2930"/>
    <w:qFormat/>
    <w:uiPriority w:val="0"/>
    <w:rPr>
      <w:rFonts w:ascii="宋体" w:hAnsi="Times New Roman" w:eastAsia="宋体" w:cs="Times New Roman"/>
      <w:snapToGrid w:val="0"/>
      <w:kern w:val="0"/>
      <w:sz w:val="28"/>
      <w:szCs w:val="20"/>
      <w14:ligatures w14:val="none"/>
    </w:rPr>
  </w:style>
  <w:style w:type="paragraph" w:customStyle="1" w:styleId="2932">
    <w:name w:val="样式 首行缩进:  2 字符9"/>
    <w:basedOn w:val="1"/>
    <w:link w:val="2933"/>
    <w:qFormat/>
    <w:uiPriority w:val="0"/>
    <w:pPr>
      <w:spacing w:line="560" w:lineRule="exact"/>
    </w:pPr>
    <w:rPr>
      <w:rFonts w:eastAsia="仿宋_GB2312"/>
      <w:snapToGrid/>
      <w:kern w:val="2"/>
      <w:sz w:val="28"/>
      <w:szCs w:val="20"/>
      <w:lang w:val="zh-CN"/>
    </w:rPr>
  </w:style>
  <w:style w:type="character" w:customStyle="1" w:styleId="2933">
    <w:name w:val="样式 首行缩进:  2 字符9 Char"/>
    <w:link w:val="2932"/>
    <w:qFormat/>
    <w:uiPriority w:val="0"/>
    <w:rPr>
      <w:rFonts w:ascii="Times New Roman" w:hAnsi="Times New Roman" w:eastAsia="仿宋_GB2312" w:cs="Times New Roman"/>
      <w:sz w:val="28"/>
      <w:szCs w:val="20"/>
      <w:lang w:val="zh-CN"/>
      <w14:ligatures w14:val="none"/>
    </w:rPr>
  </w:style>
  <w:style w:type="paragraph" w:customStyle="1" w:styleId="2934">
    <w:name w:val="样式 首行缩进:  2.01 字符"/>
    <w:basedOn w:val="1"/>
    <w:qFormat/>
    <w:uiPriority w:val="0"/>
    <w:pPr>
      <w:adjustRightInd/>
      <w:snapToGrid/>
      <w:spacing w:line="440" w:lineRule="exact"/>
    </w:pPr>
    <w:rPr>
      <w:snapToGrid/>
      <w:kern w:val="2"/>
    </w:rPr>
  </w:style>
  <w:style w:type="paragraph" w:customStyle="1" w:styleId="2935">
    <w:name w:val="样式 首行缩进两字正文1 + 左侧:  0 厘米"/>
    <w:basedOn w:val="1"/>
    <w:autoRedefine/>
    <w:qFormat/>
    <w:uiPriority w:val="0"/>
    <w:pPr>
      <w:adjustRightInd/>
      <w:snapToGrid/>
      <w:spacing w:line="280" w:lineRule="exact"/>
      <w:ind w:firstLine="480" w:firstLineChars="0"/>
      <w:jc w:val="center"/>
    </w:pPr>
    <w:rPr>
      <w:rFonts w:ascii="Calibri" w:hAnsi="Calibri" w:eastAsia="楷体_GB2312"/>
      <w:b/>
      <w:snapToGrid/>
      <w:color w:val="FF00FF"/>
      <w:sz w:val="24"/>
    </w:rPr>
  </w:style>
  <w:style w:type="paragraph" w:customStyle="1" w:styleId="2936">
    <w:name w:val="样式 水保2级 + Times New Roman"/>
    <w:basedOn w:val="2212"/>
    <w:qFormat/>
    <w:uiPriority w:val="0"/>
    <w:rPr>
      <w:rFonts w:ascii="Times New Roman" w:hAnsi="Times New Roman"/>
      <w:bCs/>
    </w:rPr>
  </w:style>
  <w:style w:type="paragraph" w:customStyle="1" w:styleId="2937">
    <w:name w:val="样式 水保3级 + 首行缩进:  2 字符"/>
    <w:basedOn w:val="2213"/>
    <w:qFormat/>
    <w:uiPriority w:val="0"/>
    <w:pPr>
      <w:ind w:firstLine="560"/>
    </w:pPr>
    <w:rPr>
      <w:rFonts w:cs="宋体"/>
      <w:bCs/>
      <w:szCs w:val="20"/>
    </w:rPr>
  </w:style>
  <w:style w:type="paragraph" w:customStyle="1" w:styleId="2938">
    <w:name w:val="样式 四号"/>
    <w:basedOn w:val="1"/>
    <w:qFormat/>
    <w:uiPriority w:val="0"/>
    <w:pPr>
      <w:adjustRightInd/>
      <w:snapToGrid/>
      <w:spacing w:line="240" w:lineRule="auto"/>
      <w:ind w:firstLine="560"/>
    </w:pPr>
    <w:rPr>
      <w:rFonts w:cs="宋体"/>
      <w:snapToGrid/>
      <w:kern w:val="2"/>
      <w:szCs w:val="20"/>
    </w:rPr>
  </w:style>
  <w:style w:type="paragraph" w:customStyle="1" w:styleId="2939">
    <w:name w:val="样式 四号 红色"/>
    <w:qFormat/>
    <w:uiPriority w:val="0"/>
    <w:pPr>
      <w:spacing w:line="351" w:lineRule="atLeast"/>
      <w:ind w:firstLine="198"/>
      <w:jc w:val="both"/>
      <w:textAlignment w:val="baseline"/>
    </w:pPr>
    <w:rPr>
      <w:rFonts w:ascii="Times New Roman" w:hAnsi="Times New Roman" w:eastAsia="宋体" w:cs="Times New Roman"/>
      <w:color w:val="FF0000"/>
      <w:sz w:val="28"/>
      <w:u w:color="000000"/>
      <w:lang w:val="en-US" w:eastAsia="zh-CN" w:bidi="ar-SA"/>
    </w:rPr>
  </w:style>
  <w:style w:type="paragraph" w:customStyle="1" w:styleId="2940">
    <w:name w:val="样式 四号 居中"/>
    <w:basedOn w:val="1"/>
    <w:qFormat/>
    <w:uiPriority w:val="0"/>
    <w:pPr>
      <w:adjustRightInd/>
      <w:snapToGrid/>
      <w:spacing w:line="240" w:lineRule="auto"/>
      <w:ind w:firstLine="0" w:firstLineChars="0"/>
      <w:jc w:val="center"/>
    </w:pPr>
    <w:rPr>
      <w:rFonts w:ascii="宋体"/>
      <w:snapToGrid/>
      <w:kern w:val="2"/>
      <w:szCs w:val="20"/>
    </w:rPr>
  </w:style>
  <w:style w:type="paragraph" w:customStyle="1" w:styleId="2941">
    <w:name w:val="样式 四号 首行缩进:  1.92 字符"/>
    <w:basedOn w:val="1"/>
    <w:qFormat/>
    <w:uiPriority w:val="0"/>
    <w:pPr>
      <w:adjustRightInd/>
      <w:snapToGrid/>
      <w:spacing w:line="240" w:lineRule="auto"/>
    </w:pPr>
    <w:rPr>
      <w:rFonts w:cs="黑体"/>
      <w:snapToGrid/>
      <w:kern w:val="2"/>
      <w:sz w:val="28"/>
      <w:szCs w:val="20"/>
    </w:rPr>
  </w:style>
  <w:style w:type="paragraph" w:customStyle="1" w:styleId="2942">
    <w:name w:val="样式 四号 行距: 多倍行距 1.25 字行"/>
    <w:basedOn w:val="1"/>
    <w:qFormat/>
    <w:uiPriority w:val="0"/>
    <w:pPr>
      <w:adjustRightInd/>
      <w:snapToGrid/>
      <w:spacing w:line="300" w:lineRule="auto"/>
      <w:ind w:firstLine="560"/>
    </w:pPr>
    <w:rPr>
      <w:rFonts w:cs="宋体"/>
      <w:snapToGrid/>
      <w:kern w:val="2"/>
      <w:sz w:val="28"/>
      <w:szCs w:val="20"/>
    </w:rPr>
  </w:style>
  <w:style w:type="paragraph" w:customStyle="1" w:styleId="2943">
    <w:name w:val="样式 四号 行距: 固定值 25 磅"/>
    <w:basedOn w:val="1"/>
    <w:autoRedefine/>
    <w:semiHidden/>
    <w:qFormat/>
    <w:uiPriority w:val="0"/>
    <w:pPr>
      <w:adjustRightInd/>
      <w:snapToGrid/>
      <w:spacing w:line="480" w:lineRule="exact"/>
      <w:ind w:firstLine="560"/>
    </w:pPr>
    <w:rPr>
      <w:rFonts w:ascii="宋体" w:hAnsi="宋体" w:cs="宋体"/>
      <w:snapToGrid/>
      <w:color w:val="000000"/>
      <w:kern w:val="2"/>
      <w:sz w:val="28"/>
      <w:szCs w:val="28"/>
    </w:rPr>
  </w:style>
  <w:style w:type="character" w:customStyle="1" w:styleId="2944">
    <w:name w:val="样式 四号1"/>
    <w:qFormat/>
    <w:uiPriority w:val="0"/>
    <w:rPr>
      <w:sz w:val="24"/>
    </w:rPr>
  </w:style>
  <w:style w:type="paragraph" w:customStyle="1" w:styleId="2945">
    <w:name w:val="样式 四号2"/>
    <w:basedOn w:val="1"/>
    <w:qFormat/>
    <w:uiPriority w:val="0"/>
    <w:pPr>
      <w:adjustRightInd/>
      <w:snapToGrid/>
      <w:spacing w:line="360" w:lineRule="auto"/>
    </w:pPr>
    <w:rPr>
      <w:rFonts w:cs="宋体"/>
      <w:snapToGrid/>
      <w:kern w:val="2"/>
      <w:szCs w:val="20"/>
    </w:rPr>
  </w:style>
  <w:style w:type="paragraph" w:customStyle="1" w:styleId="2946">
    <w:name w:val="样式 宋体 12 磅 首行缩进:  2 字符"/>
    <w:basedOn w:val="1"/>
    <w:qFormat/>
    <w:uiPriority w:val="0"/>
    <w:pPr>
      <w:adjustRightInd/>
      <w:snapToGrid/>
      <w:spacing w:line="500" w:lineRule="exact"/>
    </w:pPr>
    <w:rPr>
      <w:rFonts w:ascii="宋体" w:hAnsi="宋体"/>
      <w:snapToGrid/>
      <w:kern w:val="2"/>
      <w:szCs w:val="20"/>
    </w:rPr>
  </w:style>
  <w:style w:type="paragraph" w:customStyle="1" w:styleId="2947">
    <w:name w:val="样式 宋体 8 磅 居中"/>
    <w:basedOn w:val="1"/>
    <w:qFormat/>
    <w:uiPriority w:val="0"/>
    <w:pPr>
      <w:widowControl/>
      <w:adjustRightInd/>
      <w:snapToGrid/>
      <w:spacing w:line="240" w:lineRule="atLeast"/>
      <w:ind w:firstLine="0" w:firstLineChars="0"/>
      <w:jc w:val="center"/>
    </w:pPr>
    <w:rPr>
      <w:rFonts w:ascii="宋体" w:hAnsi="宋体" w:cs="宋体"/>
      <w:snapToGrid/>
      <w:sz w:val="16"/>
      <w:szCs w:val="20"/>
    </w:rPr>
  </w:style>
  <w:style w:type="paragraph" w:customStyle="1" w:styleId="2948">
    <w:name w:val="样式 宋体 加粗 首行缩进:  2 字符"/>
    <w:basedOn w:val="1"/>
    <w:qFormat/>
    <w:uiPriority w:val="0"/>
    <w:pPr>
      <w:adjustRightInd/>
      <w:snapToGrid/>
      <w:spacing w:line="360" w:lineRule="auto"/>
      <w:ind w:firstLine="0" w:firstLineChars="0"/>
    </w:pPr>
    <w:rPr>
      <w:rFonts w:ascii="宋体" w:hAnsi="宋体" w:cs="宋体"/>
      <w:b/>
      <w:bCs/>
      <w:snapToGrid/>
      <w:kern w:val="2"/>
      <w:szCs w:val="20"/>
    </w:rPr>
  </w:style>
  <w:style w:type="paragraph" w:customStyle="1" w:styleId="2949">
    <w:name w:val="样式 宋体 加粗1"/>
    <w:basedOn w:val="1"/>
    <w:qFormat/>
    <w:uiPriority w:val="0"/>
    <w:pPr>
      <w:adjustRightInd/>
      <w:snapToGrid/>
      <w:spacing w:line="240" w:lineRule="auto"/>
      <w:ind w:firstLine="100" w:firstLineChars="100"/>
    </w:pPr>
    <w:rPr>
      <w:rFonts w:ascii="宋体" w:hAnsi="宋体" w:cs="宋体"/>
      <w:b/>
      <w:bCs/>
      <w:snapToGrid/>
      <w:kern w:val="2"/>
      <w:sz w:val="21"/>
      <w:szCs w:val="20"/>
    </w:rPr>
  </w:style>
  <w:style w:type="paragraph" w:customStyle="1" w:styleId="2950">
    <w:name w:val="样式 宋体 首行缩进:  2 字符 段前: 0.5 行"/>
    <w:basedOn w:val="1"/>
    <w:qFormat/>
    <w:uiPriority w:val="0"/>
    <w:pPr>
      <w:adjustRightInd/>
      <w:snapToGrid/>
      <w:spacing w:beforeLines="50" w:line="360" w:lineRule="auto"/>
      <w:ind w:firstLine="480"/>
    </w:pPr>
    <w:rPr>
      <w:rFonts w:cs="宋体"/>
      <w:snapToGrid/>
      <w:kern w:val="2"/>
    </w:rPr>
  </w:style>
  <w:style w:type="paragraph" w:customStyle="1" w:styleId="2951">
    <w:name w:val="样式 宋体 首行缩进:  2 字符 行距: 固定值 23 磅"/>
    <w:basedOn w:val="1"/>
    <w:autoRedefine/>
    <w:semiHidden/>
    <w:qFormat/>
    <w:uiPriority w:val="0"/>
    <w:pPr>
      <w:adjustRightInd/>
      <w:snapToGrid/>
      <w:spacing w:line="400" w:lineRule="exact"/>
    </w:pPr>
    <w:rPr>
      <w:rFonts w:ascii="宋体" w:hAnsi="宋体"/>
      <w:snapToGrid/>
      <w:kern w:val="2"/>
      <w:szCs w:val="20"/>
    </w:rPr>
  </w:style>
  <w:style w:type="paragraph" w:customStyle="1" w:styleId="2952">
    <w:name w:val="样式 宋体 首行缩进:  2 字符 行距: 最小值 23 磅"/>
    <w:basedOn w:val="1"/>
    <w:qFormat/>
    <w:uiPriority w:val="0"/>
    <w:pPr>
      <w:adjustRightInd/>
      <w:snapToGrid/>
      <w:spacing w:line="400" w:lineRule="atLeast"/>
      <w:ind w:firstLine="0" w:firstLineChars="0"/>
      <w:jc w:val="center"/>
    </w:pPr>
    <w:rPr>
      <w:rFonts w:ascii="宋体" w:hAnsi="宋体"/>
      <w:b/>
      <w:snapToGrid/>
      <w:kern w:val="2"/>
      <w:szCs w:val="20"/>
    </w:rPr>
  </w:style>
  <w:style w:type="character" w:customStyle="1" w:styleId="2953">
    <w:name w:val="样式 宋体 四号"/>
    <w:qFormat/>
    <w:uiPriority w:val="0"/>
    <w:rPr>
      <w:rFonts w:ascii="宋体" w:hAnsi="宋体"/>
      <w:sz w:val="28"/>
    </w:rPr>
  </w:style>
  <w:style w:type="paragraph" w:customStyle="1" w:styleId="2954">
    <w:name w:val="样式 宋体 四号 黑色 行距: 固定值 26 磅"/>
    <w:basedOn w:val="1"/>
    <w:autoRedefine/>
    <w:qFormat/>
    <w:uiPriority w:val="0"/>
    <w:pPr>
      <w:adjustRightInd/>
      <w:snapToGrid/>
      <w:spacing w:line="520" w:lineRule="exact"/>
      <w:ind w:firstLine="560"/>
    </w:pPr>
    <w:rPr>
      <w:rFonts w:ascii="宋体" w:hAnsi="宋体"/>
      <w:snapToGrid/>
      <w:color w:val="000000"/>
      <w:kern w:val="2"/>
      <w:sz w:val="28"/>
      <w:szCs w:val="20"/>
    </w:rPr>
  </w:style>
  <w:style w:type="paragraph" w:customStyle="1" w:styleId="2955">
    <w:name w:val="样式 宋体 四号 黑色 行距: 固定值 30 磅"/>
    <w:basedOn w:val="1"/>
    <w:autoRedefine/>
    <w:qFormat/>
    <w:uiPriority w:val="0"/>
    <w:pPr>
      <w:adjustRightInd/>
      <w:snapToGrid/>
      <w:spacing w:line="500" w:lineRule="exact"/>
    </w:pPr>
    <w:rPr>
      <w:rFonts w:ascii="宋体" w:hAnsi="宋体"/>
      <w:snapToGrid/>
      <w:color w:val="000000"/>
      <w:kern w:val="2"/>
      <w:sz w:val="28"/>
      <w:szCs w:val="20"/>
    </w:rPr>
  </w:style>
  <w:style w:type="character" w:customStyle="1" w:styleId="2956">
    <w:name w:val="样式 宋体 四号 首行缩进:  0.35 厘米 行距: 1.5 倍行距"/>
    <w:semiHidden/>
    <w:qFormat/>
    <w:uiPriority w:val="0"/>
    <w:rPr>
      <w:rFonts w:ascii="宋体" w:hAnsi="宋体" w:eastAsia="宋体"/>
      <w:color w:val="FF0000"/>
      <w:kern w:val="2"/>
      <w:sz w:val="28"/>
      <w:szCs w:val="28"/>
      <w:lang w:val="en-US" w:eastAsia="zh-CN" w:bidi="ar-SA"/>
    </w:rPr>
  </w:style>
  <w:style w:type="paragraph" w:customStyle="1" w:styleId="2957">
    <w:name w:val="样式 宋体 四号 首行缩进:  0.74 厘米 行距: 1.5 倍行距"/>
    <w:basedOn w:val="1"/>
    <w:autoRedefine/>
    <w:qFormat/>
    <w:uiPriority w:val="0"/>
    <w:pPr>
      <w:adjustRightInd/>
      <w:snapToGrid/>
      <w:spacing w:line="500" w:lineRule="exact"/>
    </w:pPr>
    <w:rPr>
      <w:rFonts w:ascii="宋体" w:hAnsi="宋体"/>
      <w:snapToGrid/>
      <w:kern w:val="2"/>
      <w:sz w:val="28"/>
      <w:szCs w:val="20"/>
    </w:rPr>
  </w:style>
  <w:style w:type="paragraph" w:customStyle="1" w:styleId="2958">
    <w:name w:val="样式 宋体 四号 首行缩进:  0.85 厘米 行距: 1.5 倍行距"/>
    <w:basedOn w:val="1"/>
    <w:qFormat/>
    <w:uiPriority w:val="0"/>
    <w:pPr>
      <w:adjustRightInd/>
      <w:snapToGrid/>
      <w:spacing w:line="360" w:lineRule="auto"/>
      <w:ind w:firstLine="480" w:firstLineChars="0"/>
    </w:pPr>
    <w:rPr>
      <w:rFonts w:ascii="宋体" w:hAnsi="宋体" w:cs="宋体"/>
      <w:snapToGrid/>
      <w:kern w:val="2"/>
      <w:szCs w:val="20"/>
    </w:rPr>
  </w:style>
  <w:style w:type="paragraph" w:customStyle="1" w:styleId="2959">
    <w:name w:val="样式 宋体 四号 首行缩进:  2 字符"/>
    <w:basedOn w:val="1"/>
    <w:autoRedefine/>
    <w:qFormat/>
    <w:uiPriority w:val="0"/>
    <w:pPr>
      <w:adjustRightInd/>
      <w:snapToGrid/>
      <w:spacing w:line="360" w:lineRule="auto"/>
      <w:ind w:firstLine="0" w:firstLineChars="0"/>
    </w:pPr>
    <w:rPr>
      <w:snapToGrid/>
      <w:color w:val="FF0000"/>
      <w:kern w:val="2"/>
      <w:szCs w:val="26"/>
    </w:rPr>
  </w:style>
  <w:style w:type="paragraph" w:customStyle="1" w:styleId="2960">
    <w:name w:val="样式 宋体 四号 行距: 1.5 倍行距"/>
    <w:basedOn w:val="1"/>
    <w:link w:val="2961"/>
    <w:qFormat/>
    <w:uiPriority w:val="0"/>
    <w:pPr>
      <w:spacing w:afterLines="50" w:line="360" w:lineRule="auto"/>
      <w:ind w:firstLine="560"/>
    </w:pPr>
    <w:rPr>
      <w:rFonts w:ascii="宋体" w:hAnsi="宋体" w:cs="宋体"/>
      <w:snapToGrid/>
      <w:sz w:val="28"/>
      <w:szCs w:val="20"/>
    </w:rPr>
  </w:style>
  <w:style w:type="character" w:customStyle="1" w:styleId="2961">
    <w:name w:val="样式 宋体 四号 行距: 1.5 倍行距 Char Char"/>
    <w:link w:val="2960"/>
    <w:qFormat/>
    <w:uiPriority w:val="0"/>
    <w:rPr>
      <w:rFonts w:ascii="宋体" w:hAnsi="宋体" w:eastAsia="宋体" w:cs="宋体"/>
      <w:kern w:val="0"/>
      <w:sz w:val="28"/>
      <w:szCs w:val="20"/>
      <w14:ligatures w14:val="none"/>
    </w:rPr>
  </w:style>
  <w:style w:type="character" w:customStyle="1" w:styleId="2962">
    <w:name w:val="样式 宋体 四号 行距: 1.5 倍行距 Char"/>
    <w:qFormat/>
    <w:uiPriority w:val="0"/>
    <w:rPr>
      <w:rFonts w:ascii="宋体" w:hAnsi="宋体" w:eastAsia="宋体" w:cs="宋体"/>
      <w:kern w:val="2"/>
      <w:sz w:val="28"/>
      <w:lang w:val="en-US" w:eastAsia="zh-CN" w:bidi="ar-SA"/>
    </w:rPr>
  </w:style>
  <w:style w:type="paragraph" w:customStyle="1" w:styleId="2963">
    <w:name w:val="样式 宋体 四号 行距: 固定值 26 磅"/>
    <w:basedOn w:val="1"/>
    <w:autoRedefine/>
    <w:qFormat/>
    <w:uiPriority w:val="0"/>
    <w:pPr>
      <w:adjustRightInd/>
      <w:snapToGrid/>
      <w:spacing w:line="500" w:lineRule="exact"/>
      <w:ind w:firstLine="560"/>
    </w:pPr>
    <w:rPr>
      <w:rFonts w:ascii="宋体" w:hAnsi="宋体"/>
      <w:snapToGrid/>
      <w:kern w:val="2"/>
      <w:sz w:val="28"/>
      <w:szCs w:val="20"/>
    </w:rPr>
  </w:style>
  <w:style w:type="paragraph" w:customStyle="1" w:styleId="2964">
    <w:name w:val="样式 宋体 四号 行距: 固定值 28 磅"/>
    <w:basedOn w:val="1"/>
    <w:autoRedefine/>
    <w:qFormat/>
    <w:uiPriority w:val="0"/>
    <w:pPr>
      <w:adjustRightInd/>
      <w:snapToGrid/>
      <w:spacing w:line="360" w:lineRule="auto"/>
      <w:ind w:firstLine="0" w:firstLineChars="0"/>
    </w:pPr>
    <w:rPr>
      <w:rFonts w:ascii="宋体" w:hAnsi="宋体" w:cs="宋体"/>
      <w:b/>
      <w:snapToGrid/>
      <w:color w:val="000000"/>
      <w:kern w:val="2"/>
    </w:rPr>
  </w:style>
  <w:style w:type="character" w:customStyle="1" w:styleId="2965">
    <w:name w:val="样式 宋体 五号 蓝色 居中 行距: 单倍行距 Char Char"/>
    <w:qFormat/>
    <w:uiPriority w:val="0"/>
    <w:rPr>
      <w:rFonts w:ascii="宋体" w:hAnsi="宋体" w:eastAsia="宋体" w:cs="宋体"/>
      <w:color w:val="0000FF"/>
      <w:sz w:val="21"/>
      <w:lang w:val="en-US" w:eastAsia="zh-CN" w:bidi="ar-SA"/>
    </w:rPr>
  </w:style>
  <w:style w:type="character" w:customStyle="1" w:styleId="2966">
    <w:name w:val="样式 宋体 小四"/>
    <w:qFormat/>
    <w:uiPriority w:val="0"/>
    <w:rPr>
      <w:rFonts w:ascii="Times New Roman" w:hAnsi="Times New Roman" w:eastAsia="宋体"/>
      <w:sz w:val="24"/>
    </w:rPr>
  </w:style>
  <w:style w:type="paragraph" w:customStyle="1" w:styleId="2967">
    <w:name w:val="样式 宋体 小四 黑色 首行缩进:  2字符 行距: 1.5 倍行距1"/>
    <w:basedOn w:val="1"/>
    <w:uiPriority w:val="0"/>
    <w:pPr>
      <w:spacing w:line="360" w:lineRule="auto"/>
    </w:pPr>
    <w:rPr>
      <w:rFonts w:ascii="宋体" w:hAnsi="宋体"/>
      <w:snapToGrid/>
      <w:color w:val="000000"/>
      <w:kern w:val="2"/>
      <w:szCs w:val="20"/>
    </w:rPr>
  </w:style>
  <w:style w:type="paragraph" w:customStyle="1" w:styleId="2968">
    <w:name w:val="样式 宋体 小四 红色 全部大写 居中 段前: 2.4 磅 段后: 2.4 磅"/>
    <w:basedOn w:val="1"/>
    <w:qFormat/>
    <w:uiPriority w:val="0"/>
    <w:pPr>
      <w:spacing w:after="48" w:line="240" w:lineRule="auto"/>
      <w:ind w:firstLine="228" w:firstLineChars="95"/>
      <w:jc w:val="center"/>
    </w:pPr>
    <w:rPr>
      <w:rFonts w:ascii="宋体" w:hAnsi="宋体" w:eastAsia="楷体_GB2312" w:cs="宋体"/>
      <w:caps/>
      <w:snapToGrid/>
      <w:sz w:val="21"/>
      <w:szCs w:val="21"/>
    </w:rPr>
  </w:style>
  <w:style w:type="paragraph" w:customStyle="1" w:styleId="2969">
    <w:name w:val="样式 宋体 小四 两端对齐 行距: 1.5 倍行距 首行缩进:  2 字符"/>
    <w:basedOn w:val="1"/>
    <w:qFormat/>
    <w:uiPriority w:val="0"/>
    <w:pPr>
      <w:widowControl/>
      <w:adjustRightInd/>
      <w:snapToGrid/>
      <w:spacing w:line="360" w:lineRule="auto"/>
      <w:ind w:firstLine="480"/>
    </w:pPr>
    <w:rPr>
      <w:snapToGrid/>
    </w:rPr>
  </w:style>
  <w:style w:type="paragraph" w:customStyle="1" w:styleId="2970">
    <w:name w:val="样式 宋体 小四 首行缩进:  0.69 厘米"/>
    <w:basedOn w:val="1"/>
    <w:autoRedefine/>
    <w:qFormat/>
    <w:uiPriority w:val="0"/>
    <w:pPr>
      <w:adjustRightInd/>
      <w:snapToGrid/>
      <w:spacing w:line="240" w:lineRule="auto"/>
      <w:ind w:firstLine="560"/>
    </w:pPr>
    <w:rPr>
      <w:rFonts w:ascii="宋体" w:hAnsi="宋体"/>
      <w:snapToGrid/>
      <w:kern w:val="2"/>
      <w:sz w:val="28"/>
      <w:szCs w:val="28"/>
    </w:rPr>
  </w:style>
  <w:style w:type="paragraph" w:customStyle="1" w:styleId="2971">
    <w:name w:val="样式 宋体 小四 首行缩进:  0.95 厘米 行距: 1.5 倍行距"/>
    <w:basedOn w:val="1"/>
    <w:qFormat/>
    <w:uiPriority w:val="0"/>
    <w:pPr>
      <w:adjustRightInd/>
      <w:snapToGrid/>
      <w:spacing w:line="300" w:lineRule="auto"/>
      <w:ind w:firstLine="539" w:firstLineChars="0"/>
    </w:pPr>
    <w:rPr>
      <w:rFonts w:ascii="宋体" w:hAnsi="宋体"/>
      <w:snapToGrid/>
      <w:kern w:val="2"/>
    </w:rPr>
  </w:style>
  <w:style w:type="paragraph" w:customStyle="1" w:styleId="2972">
    <w:name w:val="样式 宋体 小四 首行缩进:  2 字符"/>
    <w:basedOn w:val="1"/>
    <w:qFormat/>
    <w:uiPriority w:val="0"/>
    <w:pPr>
      <w:adjustRightInd/>
      <w:snapToGrid/>
      <w:spacing w:line="360" w:lineRule="exact"/>
      <w:ind w:firstLine="480"/>
    </w:pPr>
    <w:rPr>
      <w:rFonts w:ascii="宋体" w:hAnsi="宋体"/>
      <w:snapToGrid/>
      <w:kern w:val="2"/>
      <w:szCs w:val="20"/>
    </w:rPr>
  </w:style>
  <w:style w:type="paragraph" w:customStyle="1" w:styleId="2973">
    <w:name w:val="样式 宋体 小四 行距: 固定值 23 磅"/>
    <w:basedOn w:val="1"/>
    <w:qFormat/>
    <w:uiPriority w:val="0"/>
    <w:pPr>
      <w:adjustRightInd/>
      <w:snapToGrid/>
      <w:ind w:firstLine="720" w:firstLineChars="240"/>
    </w:pPr>
    <w:rPr>
      <w:rFonts w:ascii="宋体" w:hAnsi="宋体" w:cs="宋体"/>
      <w:snapToGrid/>
      <w:spacing w:val="30"/>
      <w:kern w:val="24"/>
      <w:szCs w:val="20"/>
    </w:rPr>
  </w:style>
  <w:style w:type="paragraph" w:customStyle="1" w:styleId="2974">
    <w:name w:val="样式 宋体 小五 行距: 单倍行距"/>
    <w:basedOn w:val="1"/>
    <w:qFormat/>
    <w:uiPriority w:val="0"/>
    <w:pPr>
      <w:autoSpaceDE w:val="0"/>
      <w:autoSpaceDN w:val="0"/>
      <w:snapToGrid/>
      <w:spacing w:line="240" w:lineRule="atLeast"/>
      <w:ind w:firstLine="0" w:firstLineChars="0"/>
      <w:textAlignment w:val="baseline"/>
    </w:pPr>
    <w:rPr>
      <w:rFonts w:ascii="宋体" w:hAnsi="宋体"/>
      <w:snapToGrid/>
      <w:sz w:val="18"/>
      <w:szCs w:val="20"/>
    </w:rPr>
  </w:style>
  <w:style w:type="character" w:customStyle="1" w:styleId="2975">
    <w:name w:val="样式 宋体3"/>
    <w:qFormat/>
    <w:uiPriority w:val="0"/>
    <w:rPr>
      <w:rFonts w:ascii="Times New Roman" w:hAnsi="Times New Roman" w:eastAsia="宋体"/>
      <w:sz w:val="26"/>
      <w:szCs w:val="26"/>
    </w:rPr>
  </w:style>
  <w:style w:type="paragraph" w:customStyle="1" w:styleId="2976">
    <w:name w:val="样式 宋体6"/>
    <w:basedOn w:val="1"/>
    <w:semiHidden/>
    <w:qFormat/>
    <w:uiPriority w:val="0"/>
    <w:pPr>
      <w:adjustRightInd/>
      <w:snapToGrid/>
      <w:spacing w:line="240" w:lineRule="auto"/>
    </w:pPr>
    <w:rPr>
      <w:rFonts w:cs="宋体"/>
      <w:snapToGrid/>
      <w:kern w:val="2"/>
      <w:szCs w:val="26"/>
    </w:rPr>
  </w:style>
  <w:style w:type="paragraph" w:customStyle="1" w:styleId="2977">
    <w:name w:val="样式 题注"/>
    <w:basedOn w:val="22"/>
    <w:qFormat/>
    <w:uiPriority w:val="0"/>
    <w:pPr>
      <w:spacing w:beforeLines="25" w:after="160" w:line="240" w:lineRule="auto"/>
    </w:pPr>
    <w:rPr>
      <w:rFonts w:ascii="Arial" w:hAnsi="Arial"/>
      <w:snapToGrid w:val="0"/>
      <w:kern w:val="2"/>
      <w:sz w:val="24"/>
    </w:rPr>
  </w:style>
  <w:style w:type="paragraph" w:customStyle="1" w:styleId="2978">
    <w:name w:val="样式 题注 + 居中 首行缩进:  2 字符"/>
    <w:basedOn w:val="1"/>
    <w:semiHidden/>
    <w:qFormat/>
    <w:uiPriority w:val="0"/>
    <w:pPr>
      <w:snapToGrid/>
      <w:spacing w:after="160" w:line="400" w:lineRule="exact"/>
      <w:ind w:firstLine="480"/>
      <w:jc w:val="center"/>
    </w:pPr>
    <w:rPr>
      <w:rFonts w:ascii="Arial" w:hAnsi="Arial" w:eastAsia="黑体"/>
      <w:snapToGrid/>
      <w:kern w:val="2"/>
      <w:szCs w:val="20"/>
    </w:rPr>
  </w:style>
  <w:style w:type="paragraph" w:customStyle="1" w:styleId="2979">
    <w:name w:val="样式 题注 + 首行缩进:  2 字符"/>
    <w:basedOn w:val="22"/>
    <w:qFormat/>
    <w:uiPriority w:val="0"/>
    <w:pPr>
      <w:adjustRightInd/>
      <w:snapToGrid/>
      <w:spacing w:after="160" w:line="400" w:lineRule="exact"/>
      <w:ind w:firstLine="400"/>
    </w:pPr>
    <w:rPr>
      <w:rFonts w:ascii="Arial" w:hAnsi="Arial"/>
      <w:snapToGrid w:val="0"/>
      <w:kern w:val="2"/>
    </w:rPr>
  </w:style>
  <w:style w:type="paragraph" w:customStyle="1" w:styleId="2980">
    <w:name w:val="样式 题注 + 首行缩进:  2 字符1"/>
    <w:basedOn w:val="22"/>
    <w:qFormat/>
    <w:uiPriority w:val="0"/>
    <w:pPr>
      <w:adjustRightInd/>
      <w:snapToGrid/>
      <w:spacing w:after="160" w:line="400" w:lineRule="exact"/>
      <w:ind w:firstLine="400"/>
    </w:pPr>
    <w:rPr>
      <w:rFonts w:ascii="Arial" w:hAnsi="Arial"/>
      <w:snapToGrid w:val="0"/>
      <w:kern w:val="2"/>
    </w:rPr>
  </w:style>
  <w:style w:type="paragraph" w:customStyle="1" w:styleId="2981">
    <w:name w:val="样式 题注 + 首行缩进:  2 字符4"/>
    <w:basedOn w:val="22"/>
    <w:semiHidden/>
    <w:qFormat/>
    <w:uiPriority w:val="0"/>
    <w:pPr>
      <w:snapToGrid/>
      <w:spacing w:after="160" w:line="400" w:lineRule="exact"/>
      <w:ind w:firstLine="400"/>
    </w:pPr>
    <w:rPr>
      <w:rFonts w:ascii="Arial" w:hAnsi="Arial"/>
      <w:snapToGrid w:val="0"/>
      <w:kern w:val="2"/>
      <w:sz w:val="24"/>
    </w:rPr>
  </w:style>
  <w:style w:type="paragraph" w:customStyle="1" w:styleId="2982">
    <w:name w:val="样式 题注 + 左侧:  0.98 厘米 首行缩进:  2 字符"/>
    <w:basedOn w:val="22"/>
    <w:autoRedefine/>
    <w:qFormat/>
    <w:uiPriority w:val="0"/>
    <w:pPr>
      <w:spacing w:line="300" w:lineRule="exact"/>
      <w:ind w:firstLine="480"/>
    </w:pPr>
    <w:rPr>
      <w:rFonts w:ascii="Arial" w:hAnsi="Arial"/>
      <w:snapToGrid w:val="0"/>
      <w:color w:val="000000"/>
      <w:kern w:val="2"/>
      <w:sz w:val="24"/>
    </w:rPr>
  </w:style>
  <w:style w:type="paragraph" w:customStyle="1" w:styleId="2983">
    <w:name w:val="样式 文章 + 首行缩进:  2 字符"/>
    <w:basedOn w:val="1474"/>
    <w:qFormat/>
    <w:uiPriority w:val="0"/>
    <w:pPr>
      <w:snapToGrid w:val="0"/>
    </w:pPr>
    <w:rPr>
      <w:rFonts w:cs="宋体"/>
      <w:szCs w:val="20"/>
    </w:rPr>
  </w:style>
  <w:style w:type="paragraph" w:customStyle="1" w:styleId="2984">
    <w:name w:val="样式 吴勇的正文 + (中文) 华文中宋 小四 首行缩进:  2 字符"/>
    <w:basedOn w:val="1"/>
    <w:qFormat/>
    <w:uiPriority w:val="0"/>
    <w:pPr>
      <w:adjustRightInd/>
      <w:snapToGrid/>
      <w:spacing w:line="240" w:lineRule="auto"/>
      <w:ind w:firstLine="480"/>
    </w:pPr>
    <w:rPr>
      <w:rFonts w:eastAsia="华文中宋"/>
      <w:snapToGrid/>
      <w:kern w:val="2"/>
      <w:szCs w:val="20"/>
    </w:rPr>
  </w:style>
  <w:style w:type="character" w:customStyle="1" w:styleId="2985">
    <w:name w:val="样式 五号"/>
    <w:qFormat/>
    <w:uiPriority w:val="0"/>
    <w:rPr>
      <w:rFonts w:ascii="Times New Roman" w:hAnsi="Times New Roman" w:eastAsia="宋体"/>
      <w:sz w:val="21"/>
      <w:szCs w:val="21"/>
    </w:rPr>
  </w:style>
  <w:style w:type="paragraph" w:customStyle="1" w:styleId="2986">
    <w:name w:val="样式 五号 黑色 居中 行距: 单倍行距"/>
    <w:basedOn w:val="1"/>
    <w:qFormat/>
    <w:uiPriority w:val="0"/>
    <w:pPr>
      <w:spacing w:line="240" w:lineRule="auto"/>
      <w:ind w:firstLine="0" w:firstLineChars="0"/>
      <w:jc w:val="center"/>
    </w:pPr>
    <w:rPr>
      <w:color w:val="000000"/>
      <w:sz w:val="21"/>
      <w:szCs w:val="21"/>
    </w:rPr>
  </w:style>
  <w:style w:type="paragraph" w:customStyle="1" w:styleId="2987">
    <w:name w:val="样式 项标题 + (西文) Garamond (中文) 仿宋_GB2312 13 磅 非加粗 段前: 1 行 行距: ..."/>
    <w:basedOn w:val="2406"/>
    <w:qFormat/>
    <w:uiPriority w:val="0"/>
    <w:pPr>
      <w:keepNext/>
      <w:keepLines/>
      <w:widowControl w:val="0"/>
      <w:snapToGrid w:val="0"/>
      <w:spacing w:beforeLines="100" w:afterLines="200" w:line="240" w:lineRule="atLeast"/>
      <w:ind w:firstLine="0" w:firstLineChars="0"/>
      <w:textAlignment w:val="auto"/>
      <w:outlineLvl w:val="3"/>
    </w:pPr>
    <w:rPr>
      <w:rFonts w:ascii="Garamond" w:hAnsi="Garamond" w:eastAsia="仿宋_GB2312" w:cs="宋体"/>
      <w:b w:val="0"/>
      <w:kern w:val="2"/>
      <w:szCs w:val="20"/>
    </w:rPr>
  </w:style>
  <w:style w:type="paragraph" w:customStyle="1" w:styleId="2988">
    <w:name w:val="样式 小表文居中 +"/>
    <w:basedOn w:val="2424"/>
    <w:qFormat/>
    <w:uiPriority w:val="0"/>
    <w:pPr>
      <w:snapToGrid w:val="0"/>
    </w:pPr>
    <w:rPr>
      <w:snapToGrid w:val="0"/>
    </w:rPr>
  </w:style>
  <w:style w:type="paragraph" w:customStyle="1" w:styleId="2989">
    <w:name w:val="样式 小表文居中 + 首行缩进:  2 字符"/>
    <w:basedOn w:val="1"/>
    <w:qFormat/>
    <w:uiPriority w:val="0"/>
    <w:pPr>
      <w:autoSpaceDE w:val="0"/>
      <w:autoSpaceDN w:val="0"/>
      <w:spacing w:line="240" w:lineRule="auto"/>
      <w:ind w:firstLine="0" w:firstLineChars="0"/>
      <w:jc w:val="center"/>
      <w:textAlignment w:val="baseline"/>
    </w:pPr>
    <w:rPr>
      <w:rFonts w:cs="宋体"/>
      <w:snapToGrid/>
      <w:sz w:val="18"/>
      <w:szCs w:val="18"/>
    </w:rPr>
  </w:style>
  <w:style w:type="paragraph" w:customStyle="1" w:styleId="2990">
    <w:name w:val="样式 小三 加粗 居中"/>
    <w:basedOn w:val="84"/>
    <w:qFormat/>
    <w:uiPriority w:val="0"/>
    <w:pPr>
      <w:adjustRightInd/>
      <w:snapToGrid/>
      <w:spacing w:line="240" w:lineRule="auto"/>
    </w:pPr>
    <w:rPr>
      <w:rFonts w:cs="宋体"/>
      <w:bCs/>
      <w:snapToGrid w:val="0"/>
      <w:kern w:val="2"/>
    </w:rPr>
  </w:style>
  <w:style w:type="paragraph" w:customStyle="1" w:styleId="2991">
    <w:name w:val="样式 小四"/>
    <w:basedOn w:val="1"/>
    <w:semiHidden/>
    <w:qFormat/>
    <w:uiPriority w:val="0"/>
    <w:pPr>
      <w:adjustRightInd/>
      <w:snapToGrid/>
      <w:spacing w:line="240" w:lineRule="auto"/>
    </w:pPr>
    <w:rPr>
      <w:snapToGrid/>
      <w:kern w:val="2"/>
    </w:rPr>
  </w:style>
  <w:style w:type="paragraph" w:customStyle="1" w:styleId="2992">
    <w:name w:val="样式 小四 段前: 7.8 磅 段后: 7.8 磅 行距: 1.5 倍行距"/>
    <w:basedOn w:val="1"/>
    <w:qFormat/>
    <w:uiPriority w:val="0"/>
    <w:pPr>
      <w:adjustRightInd/>
      <w:snapToGrid/>
      <w:spacing w:line="360" w:lineRule="auto"/>
      <w:ind w:firstLine="480"/>
    </w:pPr>
    <w:rPr>
      <w:snapToGrid/>
      <w:kern w:val="2"/>
    </w:rPr>
  </w:style>
  <w:style w:type="paragraph" w:customStyle="1" w:styleId="2993">
    <w:name w:val="样式 小四 黑色 行距: 单倍行距"/>
    <w:basedOn w:val="1"/>
    <w:qFormat/>
    <w:uiPriority w:val="0"/>
    <w:pPr>
      <w:spacing w:line="240" w:lineRule="auto"/>
      <w:ind w:firstLine="0" w:firstLineChars="0"/>
    </w:pPr>
    <w:rPr>
      <w:color w:val="000000"/>
    </w:rPr>
  </w:style>
  <w:style w:type="paragraph" w:customStyle="1" w:styleId="2994">
    <w:name w:val="样式 小四 加粗"/>
    <w:basedOn w:val="1"/>
    <w:link w:val="2995"/>
    <w:semiHidden/>
    <w:qFormat/>
    <w:uiPriority w:val="0"/>
    <w:pPr>
      <w:adjustRightInd/>
      <w:snapToGrid/>
      <w:spacing w:line="360" w:lineRule="auto"/>
    </w:pPr>
    <w:rPr>
      <w:rFonts w:ascii="宋体"/>
      <w:b/>
      <w:bCs/>
      <w:snapToGrid/>
      <w:kern w:val="2"/>
    </w:rPr>
  </w:style>
  <w:style w:type="character" w:customStyle="1" w:styleId="2995">
    <w:name w:val="样式 小四 加粗 Char"/>
    <w:link w:val="2994"/>
    <w:semiHidden/>
    <w:qFormat/>
    <w:uiPriority w:val="0"/>
    <w:rPr>
      <w:rFonts w:ascii="宋体" w:hAnsi="Times New Roman" w:eastAsia="宋体" w:cs="Times New Roman"/>
      <w:b/>
      <w:bCs/>
      <w:sz w:val="26"/>
      <w:szCs w:val="24"/>
      <w14:ligatures w14:val="none"/>
    </w:rPr>
  </w:style>
  <w:style w:type="paragraph" w:customStyle="1" w:styleId="2996">
    <w:name w:val="样式 小四 加粗 行距: 1.5 倍行距 首行缩进:  2 字符"/>
    <w:basedOn w:val="1"/>
    <w:qFormat/>
    <w:uiPriority w:val="0"/>
    <w:pPr>
      <w:adjustRightInd/>
      <w:spacing w:beforeLines="50" w:afterLines="50" w:line="240" w:lineRule="auto"/>
      <w:ind w:left="200" w:leftChars="200" w:right="200" w:rightChars="200"/>
      <w:jc w:val="left"/>
    </w:pPr>
    <w:rPr>
      <w:b/>
      <w:bCs/>
      <w:snapToGrid/>
      <w:kern w:val="2"/>
      <w:sz w:val="28"/>
      <w:szCs w:val="28"/>
    </w:rPr>
  </w:style>
  <w:style w:type="paragraph" w:customStyle="1" w:styleId="2997">
    <w:name w:val="样式 小四 两端对齐 行距: 1.5 倍行距"/>
    <w:basedOn w:val="1"/>
    <w:qFormat/>
    <w:uiPriority w:val="0"/>
    <w:pPr>
      <w:autoSpaceDE w:val="0"/>
      <w:autoSpaceDN w:val="0"/>
      <w:snapToGrid/>
      <w:spacing w:line="360" w:lineRule="auto"/>
      <w:ind w:firstLine="480"/>
    </w:pPr>
    <w:rPr>
      <w:rFonts w:cs="宋体"/>
      <w:snapToGrid/>
      <w:szCs w:val="20"/>
      <w:lang w:val="zh-CN"/>
    </w:rPr>
  </w:style>
  <w:style w:type="paragraph" w:customStyle="1" w:styleId="2998">
    <w:name w:val="样式 小四 行距: 1.5 倍行距"/>
    <w:basedOn w:val="1"/>
    <w:qFormat/>
    <w:uiPriority w:val="0"/>
    <w:pPr>
      <w:adjustRightInd/>
      <w:snapToGrid/>
      <w:spacing w:line="360" w:lineRule="auto"/>
      <w:ind w:firstLine="480"/>
      <w:textAlignment w:val="baseline"/>
    </w:pPr>
    <w:rPr>
      <w:rFonts w:ascii="宋体"/>
      <w:snapToGrid/>
      <w:szCs w:val="20"/>
    </w:rPr>
  </w:style>
  <w:style w:type="paragraph" w:customStyle="1" w:styleId="2999">
    <w:name w:val="样式 小四 行距: 1.5 倍行距 首行缩进:  2 字符"/>
    <w:basedOn w:val="1"/>
    <w:qFormat/>
    <w:uiPriority w:val="0"/>
    <w:pPr>
      <w:adjustRightInd/>
      <w:snapToGrid/>
      <w:spacing w:line="360" w:lineRule="auto"/>
    </w:pPr>
    <w:rPr>
      <w:rFonts w:cs="宋体"/>
      <w:snapToGrid/>
      <w:kern w:val="2"/>
      <w:szCs w:val="20"/>
    </w:rPr>
  </w:style>
  <w:style w:type="paragraph" w:customStyle="1" w:styleId="3000">
    <w:name w:val="样式 小四 左 行距: 1.5 倍行距"/>
    <w:basedOn w:val="1"/>
    <w:qFormat/>
    <w:uiPriority w:val="0"/>
    <w:pPr>
      <w:numPr>
        <w:ilvl w:val="0"/>
        <w:numId w:val="20"/>
      </w:numPr>
      <w:tabs>
        <w:tab w:val="clear" w:pos="1134"/>
      </w:tabs>
      <w:adjustRightInd/>
      <w:snapToGrid/>
      <w:spacing w:line="360" w:lineRule="auto"/>
      <w:ind w:left="514" w:leftChars="514" w:firstLine="0" w:firstLineChars="0"/>
    </w:pPr>
    <w:rPr>
      <w:rFonts w:cs="宋体"/>
      <w:snapToGrid/>
      <w:kern w:val="2"/>
      <w:szCs w:val="20"/>
    </w:rPr>
  </w:style>
  <w:style w:type="paragraph" w:customStyle="1" w:styleId="3001">
    <w:name w:val="样式 小五 居中 行距: 固定值 12 磅"/>
    <w:basedOn w:val="1"/>
    <w:qFormat/>
    <w:uiPriority w:val="0"/>
    <w:pPr>
      <w:adjustRightInd/>
      <w:snapToGrid/>
      <w:spacing w:line="0" w:lineRule="atLeast"/>
      <w:jc w:val="center"/>
    </w:pPr>
    <w:rPr>
      <w:rFonts w:ascii="楷体_GB2312" w:eastAsia="楷体_GB2312" w:cs="宋体"/>
      <w:snapToGrid/>
      <w:sz w:val="28"/>
      <w:szCs w:val="20"/>
    </w:rPr>
  </w:style>
  <w:style w:type="paragraph" w:customStyle="1" w:styleId="3002">
    <w:name w:val="样式 行距: 单倍行距"/>
    <w:basedOn w:val="1"/>
    <w:qFormat/>
    <w:uiPriority w:val="0"/>
    <w:pPr>
      <w:adjustRightInd/>
      <w:snapToGrid/>
      <w:spacing w:line="240" w:lineRule="auto"/>
      <w:ind w:firstLine="0" w:firstLineChars="0"/>
    </w:pPr>
    <w:rPr>
      <w:rFonts w:cs="宋体"/>
      <w:snapToGrid/>
      <w:kern w:val="2"/>
    </w:rPr>
  </w:style>
  <w:style w:type="paragraph" w:customStyle="1" w:styleId="3003">
    <w:name w:val="样式 行距: 固定值 16 磅"/>
    <w:basedOn w:val="1"/>
    <w:autoRedefine/>
    <w:qFormat/>
    <w:uiPriority w:val="0"/>
    <w:pPr>
      <w:adjustRightInd/>
      <w:snapToGrid/>
      <w:spacing w:line="240" w:lineRule="auto"/>
      <w:ind w:firstLine="0" w:firstLineChars="0"/>
    </w:pPr>
    <w:rPr>
      <w:rFonts w:cs="宋体"/>
      <w:snapToGrid/>
      <w:kern w:val="2"/>
      <w:szCs w:val="20"/>
    </w:rPr>
  </w:style>
  <w:style w:type="paragraph" w:customStyle="1" w:styleId="3004">
    <w:name w:val="样式 行距: 固定值 25 磅1"/>
    <w:basedOn w:val="1"/>
    <w:qFormat/>
    <w:uiPriority w:val="0"/>
    <w:pPr>
      <w:spacing w:line="300" w:lineRule="auto"/>
      <w:ind w:firstLine="560"/>
      <w:textAlignment w:val="baseline"/>
    </w:pPr>
    <w:rPr>
      <w:rFonts w:ascii="宋体" w:hAnsi="宋体"/>
      <w:snapToGrid/>
      <w:sz w:val="28"/>
      <w:szCs w:val="20"/>
    </w:rPr>
  </w:style>
  <w:style w:type="paragraph" w:customStyle="1" w:styleId="3005">
    <w:name w:val="样式 行距: 最小值 12 磅"/>
    <w:basedOn w:val="1"/>
    <w:autoRedefine/>
    <w:semiHidden/>
    <w:qFormat/>
    <w:uiPriority w:val="0"/>
    <w:pPr>
      <w:adjustRightInd/>
      <w:snapToGrid/>
      <w:spacing w:line="240" w:lineRule="auto"/>
      <w:ind w:firstLine="560"/>
    </w:pPr>
    <w:rPr>
      <w:rFonts w:ascii="宋体" w:hAnsi="宋体" w:eastAsia="楷体_GB2312" w:cs="宋体"/>
      <w:snapToGrid/>
      <w:kern w:val="2"/>
    </w:rPr>
  </w:style>
  <w:style w:type="paragraph" w:customStyle="1" w:styleId="3006">
    <w:name w:val="样式 徐萍表格 + 黑色"/>
    <w:basedOn w:val="2449"/>
    <w:qFormat/>
    <w:uiPriority w:val="0"/>
    <w:pPr>
      <w:spacing w:before="120" w:after="120" w:line="240" w:lineRule="auto"/>
    </w:pPr>
    <w:rPr>
      <w:color w:val="000000"/>
    </w:rPr>
  </w:style>
  <w:style w:type="paragraph" w:customStyle="1" w:styleId="3007">
    <w:name w:val="样式 样式 (b) + 行距: 固定值 22 磅 + 加粗"/>
    <w:basedOn w:val="1"/>
    <w:qFormat/>
    <w:uiPriority w:val="0"/>
    <w:pPr>
      <w:widowControl/>
      <w:tabs>
        <w:tab w:val="left" w:pos="572"/>
        <w:tab w:val="left" w:pos="1798"/>
      </w:tabs>
      <w:snapToGrid/>
      <w:spacing w:line="800" w:lineRule="exact"/>
      <w:ind w:left="624" w:firstLine="454" w:firstLineChars="0"/>
    </w:pPr>
    <w:rPr>
      <w:b/>
      <w:bCs/>
      <w:snapToGrid/>
      <w:sz w:val="48"/>
      <w:szCs w:val="48"/>
    </w:rPr>
  </w:style>
  <w:style w:type="paragraph" w:customStyle="1" w:styleId="3008">
    <w:name w:val="样式 样式 (符号) 宋体 左侧:  0.74 厘米 首行缩进:  0 厘米 + 左侧:  0.74 厘米 首行缩进:  0 ..."/>
    <w:basedOn w:val="86"/>
    <w:qFormat/>
    <w:uiPriority w:val="0"/>
    <w:pPr>
      <w:spacing w:beforeAutospacing="1" w:after="0" w:afterAutospacing="1" w:line="360" w:lineRule="auto"/>
      <w:ind w:firstLine="200" w:firstLineChars="200"/>
    </w:pPr>
    <w:rPr>
      <w:kern w:val="2"/>
      <w:sz w:val="28"/>
      <w:szCs w:val="20"/>
    </w:rPr>
  </w:style>
  <w:style w:type="paragraph" w:customStyle="1" w:styleId="3009">
    <w:name w:val="样式 样式 (西文) ˎ̥ 四号 左 行距: 最小值 16.75 磅 首行缩进:  2 字符 + 首行缩进:  2 字符1"/>
    <w:basedOn w:val="1"/>
    <w:qFormat/>
    <w:uiPriority w:val="0"/>
    <w:pPr>
      <w:adjustRightInd/>
      <w:snapToGrid/>
      <w:spacing w:line="360" w:lineRule="auto"/>
      <w:ind w:firstLine="480"/>
    </w:pPr>
    <w:rPr>
      <w:rFonts w:ascii="ˎ̥" w:hAnsi="ˎ̥" w:cs="宋体"/>
      <w:snapToGrid/>
      <w:szCs w:val="20"/>
    </w:rPr>
  </w:style>
  <w:style w:type="paragraph" w:customStyle="1" w:styleId="3010">
    <w:name w:val="样式 样式 (西文) Times New Roman (中文) 楷体_GB2312 五号 居中 行距: 单倍行距 首行缩进:....."/>
    <w:basedOn w:val="2491"/>
    <w:link w:val="3011"/>
    <w:qFormat/>
    <w:uiPriority w:val="0"/>
    <w:rPr>
      <w:sz w:val="18"/>
    </w:rPr>
  </w:style>
  <w:style w:type="character" w:customStyle="1" w:styleId="3011">
    <w:name w:val="样式 样式 (西文) Times New Roman (中文) 楷体_GB2312 五号 居中 行距: 单倍行距 首行缩进:..... Char"/>
    <w:link w:val="3010"/>
    <w:qFormat/>
    <w:uiPriority w:val="0"/>
    <w:rPr>
      <w:rFonts w:ascii="楷体_GB2312" w:hAnsi="Times New Roman" w:eastAsia="楷体_GB2312" w:cs="Times New Roman"/>
      <w:kern w:val="0"/>
      <w:sz w:val="18"/>
      <w:szCs w:val="20"/>
      <w14:ligatures w14:val="none"/>
    </w:rPr>
  </w:style>
  <w:style w:type="paragraph" w:customStyle="1" w:styleId="3012">
    <w:name w:val="样式 样式 ZW + 宋体 小四 自动设置 + 自动设置 首行缩进:  2 字符"/>
    <w:basedOn w:val="1"/>
    <w:semiHidden/>
    <w:qFormat/>
    <w:uiPriority w:val="0"/>
    <w:pPr>
      <w:autoSpaceDE w:val="0"/>
      <w:autoSpaceDN w:val="0"/>
      <w:spacing w:line="560" w:lineRule="exact"/>
      <w:ind w:firstLine="560"/>
    </w:pPr>
    <w:rPr>
      <w:rFonts w:ascii="仿宋_GB2312" w:hAnsi="宋体" w:eastAsia="仿宋_GB2312" w:cs="宋体"/>
      <w:snapToGrid/>
      <w:kern w:val="2"/>
      <w:sz w:val="28"/>
      <w:szCs w:val="20"/>
    </w:rPr>
  </w:style>
  <w:style w:type="paragraph" w:customStyle="1" w:styleId="3013">
    <w:name w:val="样式 样式 报告正文 + 首行缩进:  2 字符 + 首行缩进:  2 字符"/>
    <w:basedOn w:val="1"/>
    <w:qFormat/>
    <w:uiPriority w:val="0"/>
    <w:pPr>
      <w:adjustRightInd/>
      <w:snapToGrid/>
      <w:spacing w:line="440" w:lineRule="exact"/>
      <w:ind w:firstLine="480"/>
    </w:pPr>
    <w:rPr>
      <w:rFonts w:eastAsia="仿宋_GB2312" w:cs="宋体"/>
      <w:snapToGrid/>
      <w:kern w:val="2"/>
      <w:szCs w:val="20"/>
      <w:u w:color="000000"/>
    </w:rPr>
  </w:style>
  <w:style w:type="paragraph" w:customStyle="1" w:styleId="3014">
    <w:name w:val="样式 样式 标题 1 + 段前: 0.5 行 段后: 0.5 行 + 段前: 0.5 行 段后: 0.5 行"/>
    <w:basedOn w:val="1"/>
    <w:qFormat/>
    <w:uiPriority w:val="0"/>
    <w:pPr>
      <w:keepNext/>
      <w:pageBreakBefore/>
      <w:widowControl/>
      <w:tabs>
        <w:tab w:val="left" w:pos="420"/>
      </w:tabs>
      <w:adjustRightInd/>
      <w:snapToGrid/>
      <w:spacing w:beforeLines="50" w:afterLines="50" w:line="480" w:lineRule="auto"/>
      <w:ind w:left="420" w:hanging="420" w:firstLineChars="0"/>
      <w:jc w:val="center"/>
      <w:outlineLvl w:val="0"/>
    </w:pPr>
    <w:rPr>
      <w:rFonts w:eastAsia="黑体" w:cs="宋体"/>
      <w:b/>
      <w:bCs/>
      <w:snapToGrid/>
      <w:kern w:val="44"/>
      <w:sz w:val="30"/>
      <w:szCs w:val="20"/>
    </w:rPr>
  </w:style>
  <w:style w:type="paragraph" w:customStyle="1" w:styleId="3015">
    <w:name w:val="样式 样式 标题 2 + (符号) 黑体 + 宋体 加粗 自动设置"/>
    <w:basedOn w:val="1"/>
    <w:qFormat/>
    <w:uiPriority w:val="0"/>
    <w:pPr>
      <w:adjustRightInd/>
      <w:snapToGrid/>
      <w:spacing w:after="120" w:line="360" w:lineRule="auto"/>
      <w:ind w:left="840" w:leftChars="100" w:right="210" w:rightChars="100" w:firstLine="0" w:firstLineChars="0"/>
      <w:outlineLvl w:val="1"/>
    </w:pPr>
    <w:rPr>
      <w:rFonts w:eastAsia="黑体"/>
      <w:b/>
      <w:bCs/>
      <w:snapToGrid/>
      <w:kern w:val="2"/>
      <w:sz w:val="36"/>
      <w:szCs w:val="36"/>
    </w:rPr>
  </w:style>
  <w:style w:type="paragraph" w:customStyle="1" w:styleId="3016">
    <w:name w:val="样式 样式 标题 2 + (中文) 黑体 四号 + (中文) 黑体"/>
    <w:basedOn w:val="2597"/>
    <w:qFormat/>
    <w:uiPriority w:val="0"/>
    <w:pPr>
      <w:spacing w:line="400" w:lineRule="exact"/>
    </w:pPr>
    <w:rPr>
      <w:rFonts w:eastAsia="黑体"/>
      <w:bCs/>
    </w:rPr>
  </w:style>
  <w:style w:type="paragraph" w:customStyle="1" w:styleId="3017">
    <w:name w:val="样式 样式 标题 2 + Times New Roman 段前: 12 磅 段后: 0 磅 + 段后: 0.5 行"/>
    <w:basedOn w:val="2602"/>
    <w:qFormat/>
    <w:uiPriority w:val="0"/>
    <w:pPr>
      <w:adjustRightInd w:val="0"/>
      <w:spacing w:before="240" w:afterLines="50" w:line="300" w:lineRule="auto"/>
    </w:pPr>
    <w:rPr>
      <w:rFonts w:ascii="Times New Roman" w:hAnsi="Times New Roman" w:eastAsia="黑体" w:cs="宋体"/>
      <w:kern w:val="0"/>
      <w:szCs w:val="20"/>
    </w:rPr>
  </w:style>
  <w:style w:type="paragraph" w:customStyle="1" w:styleId="3018">
    <w:name w:val="样式 样式 标题 2 + 段后: 12 磅"/>
    <w:basedOn w:val="1"/>
    <w:link w:val="3019"/>
    <w:qFormat/>
    <w:uiPriority w:val="0"/>
    <w:pPr>
      <w:keepNext/>
      <w:keepLines/>
      <w:adjustRightInd/>
      <w:snapToGrid/>
      <w:spacing w:after="240" w:line="360" w:lineRule="auto"/>
      <w:ind w:firstLine="0" w:firstLineChars="0"/>
      <w:textAlignment w:val="baseline"/>
      <w:outlineLvl w:val="1"/>
    </w:pPr>
    <w:rPr>
      <w:rFonts w:ascii="Arial" w:hAnsi="Arial" w:eastAsia="黑体"/>
      <w:b/>
      <w:snapToGrid/>
      <w:spacing w:val="5"/>
      <w:sz w:val="28"/>
      <w:szCs w:val="20"/>
    </w:rPr>
  </w:style>
  <w:style w:type="character" w:customStyle="1" w:styleId="3019">
    <w:name w:val="样式 样式 标题 2 + 段后: 12 磅 Char Char"/>
    <w:link w:val="3018"/>
    <w:qFormat/>
    <w:uiPriority w:val="0"/>
    <w:rPr>
      <w:rFonts w:ascii="Arial" w:hAnsi="Arial" w:eastAsia="黑体" w:cs="Times New Roman"/>
      <w:b/>
      <w:spacing w:val="5"/>
      <w:kern w:val="0"/>
      <w:sz w:val="28"/>
      <w:szCs w:val="20"/>
      <w14:ligatures w14:val="none"/>
    </w:rPr>
  </w:style>
  <w:style w:type="character" w:customStyle="1" w:styleId="3020">
    <w:name w:val="样式 样式 标题 2 + 段后: 12 磅 Char"/>
    <w:qFormat/>
    <w:uiPriority w:val="0"/>
    <w:rPr>
      <w:rFonts w:ascii="Arial" w:hAnsi="Arial" w:eastAsia="黑体"/>
      <w:b/>
      <w:spacing w:val="5"/>
      <w:sz w:val="28"/>
      <w:lang w:bidi="ar-SA"/>
    </w:rPr>
  </w:style>
  <w:style w:type="paragraph" w:customStyle="1" w:styleId="3021">
    <w:name w:val="样式 样式 标题 2 + 段前: 0.5 行 段后: 0.5 行 + 段前: 0.5 行 段后: 0.5 行"/>
    <w:basedOn w:val="2610"/>
    <w:qFormat/>
    <w:uiPriority w:val="0"/>
    <w:pPr>
      <w:spacing w:before="50" w:after="0" w:line="440" w:lineRule="exact"/>
    </w:pPr>
    <w:rPr>
      <w:rFonts w:ascii="Times New Roman" w:hAnsi="Times New Roman" w:eastAsia="华文中宋"/>
      <w:sz w:val="30"/>
      <w:szCs w:val="30"/>
    </w:rPr>
  </w:style>
  <w:style w:type="paragraph" w:customStyle="1" w:styleId="3022">
    <w:name w:val="样式 样式 标题 2 + 段前: 0.5 行 段后: 0.5 行 + 段前: 0.5 行 段后: 0.5 行1"/>
    <w:basedOn w:val="1"/>
    <w:qFormat/>
    <w:uiPriority w:val="0"/>
    <w:pPr>
      <w:adjustRightInd/>
      <w:snapToGrid/>
      <w:spacing w:beforeLines="50" w:afterLines="50" w:line="240" w:lineRule="auto"/>
      <w:ind w:hanging="885" w:firstLineChars="0"/>
      <w:jc w:val="center"/>
      <w:outlineLvl w:val="1"/>
    </w:pPr>
    <w:rPr>
      <w:rFonts w:ascii="Arial" w:hAnsi="Arial" w:eastAsia="黑体" w:cs="宋体"/>
      <w:b/>
      <w:bCs/>
      <w:snapToGrid/>
      <w:kern w:val="2"/>
      <w:sz w:val="32"/>
      <w:szCs w:val="20"/>
    </w:rPr>
  </w:style>
  <w:style w:type="paragraph" w:customStyle="1" w:styleId="3023">
    <w:name w:val="样式 样式 标题 2 + 红色 + 自动设置 Char"/>
    <w:basedOn w:val="2613"/>
    <w:link w:val="3024"/>
    <w:qFormat/>
    <w:uiPriority w:val="0"/>
    <w:pPr>
      <w:spacing w:after="260" w:line="416" w:lineRule="auto"/>
    </w:pPr>
    <w:rPr>
      <w:rFonts w:eastAsia="新宋体"/>
      <w:bCs/>
      <w:color w:val="FF0000"/>
      <w:spacing w:val="-8"/>
      <w:kern w:val="0"/>
      <w:sz w:val="28"/>
      <w:szCs w:val="32"/>
      <w:u w:color="000000"/>
    </w:rPr>
  </w:style>
  <w:style w:type="character" w:customStyle="1" w:styleId="3024">
    <w:name w:val="样式 样式 标题 2 + 红色 + 自动设置 Char Char1"/>
    <w:link w:val="3023"/>
    <w:qFormat/>
    <w:uiPriority w:val="0"/>
    <w:rPr>
      <w:rFonts w:ascii="Arial" w:hAnsi="Arial" w:eastAsia="新宋体" w:cs="Times New Roman"/>
      <w:b/>
      <w:bCs/>
      <w:color w:val="FF0000"/>
      <w:spacing w:val="-8"/>
      <w:kern w:val="0"/>
      <w:sz w:val="28"/>
      <w:szCs w:val="32"/>
      <w:u w:color="000000"/>
      <w14:ligatures w14:val="none"/>
    </w:rPr>
  </w:style>
  <w:style w:type="paragraph" w:customStyle="1" w:styleId="3025">
    <w:name w:val="样式 样式 标题 2 + 红色 + 自动设置 Char Char"/>
    <w:basedOn w:val="2613"/>
    <w:link w:val="3026"/>
    <w:qFormat/>
    <w:uiPriority w:val="0"/>
    <w:pPr>
      <w:spacing w:after="260" w:line="416" w:lineRule="auto"/>
    </w:pPr>
    <w:rPr>
      <w:rFonts w:eastAsia="新宋体"/>
      <w:bCs/>
      <w:color w:val="FF0000"/>
      <w:spacing w:val="-8"/>
      <w:kern w:val="0"/>
      <w:szCs w:val="32"/>
      <w:u w:color="000000"/>
    </w:rPr>
  </w:style>
  <w:style w:type="character" w:customStyle="1" w:styleId="3026">
    <w:name w:val="样式 样式 标题 2 + 红色 + 自动设置 Char Char Char Char Char"/>
    <w:link w:val="3025"/>
    <w:qFormat/>
    <w:uiPriority w:val="0"/>
    <w:rPr>
      <w:rFonts w:ascii="Arial" w:hAnsi="Arial" w:eastAsia="新宋体" w:cs="Times New Roman"/>
      <w:b/>
      <w:bCs/>
      <w:color w:val="FF0000"/>
      <w:spacing w:val="-8"/>
      <w:kern w:val="0"/>
      <w:sz w:val="26"/>
      <w:szCs w:val="32"/>
      <w:u w:color="000000"/>
      <w14:ligatures w14:val="none"/>
    </w:rPr>
  </w:style>
  <w:style w:type="character" w:customStyle="1" w:styleId="3027">
    <w:name w:val="样式 样式 标题 2 + 红色 + 自动设置 Char Char Char"/>
    <w:qFormat/>
    <w:uiPriority w:val="0"/>
    <w:rPr>
      <w:rFonts w:ascii="Arial" w:hAnsi="Arial" w:eastAsia="新宋体"/>
      <w:b/>
      <w:bCs/>
      <w:color w:val="FF0000"/>
      <w:spacing w:val="-8"/>
      <w:w w:val="100"/>
      <w:kern w:val="2"/>
      <w:sz w:val="28"/>
      <w:szCs w:val="32"/>
      <w:u w:val="none" w:color="000000"/>
      <w:vertAlign w:val="baseline"/>
      <w:lang w:val="en-US" w:eastAsia="zh-CN" w:bidi="ar-SA"/>
    </w:rPr>
  </w:style>
  <w:style w:type="paragraph" w:customStyle="1" w:styleId="3028">
    <w:name w:val="样式 样式 标题 2 + 红色 + 自动设置 Char Char Char Char"/>
    <w:basedOn w:val="2613"/>
    <w:qFormat/>
    <w:uiPriority w:val="0"/>
    <w:pPr>
      <w:spacing w:afterLines="50" w:line="416" w:lineRule="auto"/>
    </w:pPr>
    <w:rPr>
      <w:rFonts w:eastAsia="新宋体"/>
      <w:color w:val="FF0000"/>
      <w:spacing w:val="-8"/>
      <w:u w:color="000000"/>
    </w:rPr>
  </w:style>
  <w:style w:type="paragraph" w:customStyle="1" w:styleId="3029">
    <w:name w:val="样式 样式 标题 2 + 首行缩进:  2 字符2 + 宋体 小四 灰色-80%"/>
    <w:basedOn w:val="2628"/>
    <w:link w:val="3030"/>
    <w:qFormat/>
    <w:uiPriority w:val="0"/>
    <w:pPr>
      <w:spacing w:after="0"/>
    </w:pPr>
    <w:rPr>
      <w:rFonts w:ascii="宋体" w:hAnsi="宋体"/>
      <w:color w:val="333333"/>
      <w:spacing w:val="24"/>
      <w:sz w:val="32"/>
    </w:rPr>
  </w:style>
  <w:style w:type="character" w:customStyle="1" w:styleId="3030">
    <w:name w:val="样式 样式 标题 2 + 首行缩进:  2 字符2 + 宋体 小四 灰色-80% Char Char"/>
    <w:link w:val="3029"/>
    <w:qFormat/>
    <w:uiPriority w:val="0"/>
    <w:rPr>
      <w:rFonts w:ascii="宋体" w:hAnsi="宋体" w:eastAsia="宋体" w:cs="Times New Roman"/>
      <w:bCs/>
      <w:color w:val="333333"/>
      <w:spacing w:val="24"/>
      <w:kern w:val="0"/>
      <w:sz w:val="32"/>
      <w:szCs w:val="32"/>
      <w14:ligatures w14:val="none"/>
    </w:rPr>
  </w:style>
  <w:style w:type="character" w:customStyle="1" w:styleId="3031">
    <w:name w:val="样式 样式 标题 2 + 首行缩进:  2 字符2 + 宋体 小四 灰色-80% Char"/>
    <w:qFormat/>
    <w:uiPriority w:val="0"/>
    <w:rPr>
      <w:rFonts w:ascii="宋体" w:hAnsi="宋体" w:eastAsia="宋体"/>
      <w:bCs/>
      <w:color w:val="333333"/>
      <w:spacing w:val="24"/>
      <w:kern w:val="2"/>
      <w:sz w:val="32"/>
      <w:szCs w:val="32"/>
      <w:lang w:val="en-US" w:eastAsia="zh-CN" w:bidi="ar-SA"/>
    </w:rPr>
  </w:style>
  <w:style w:type="paragraph" w:customStyle="1" w:styleId="3032">
    <w:name w:val="样式 样式 标题 2节名节H22nd levelh2Header 2标题 1.1编号标题2head:2#2 hea... + 黑色"/>
    <w:basedOn w:val="2648"/>
    <w:qFormat/>
    <w:uiPriority w:val="0"/>
  </w:style>
  <w:style w:type="paragraph" w:customStyle="1" w:styleId="3033">
    <w:name w:val="样式 样式 标题 2章宋三一、标题 1.1Title 22 headlinehheadlineS&amp;R2ERMH2...1 + 段..."/>
    <w:basedOn w:val="2651"/>
    <w:qFormat/>
    <w:uiPriority w:val="0"/>
    <w:pPr>
      <w:spacing w:before="127"/>
    </w:pPr>
    <w:rPr>
      <w:rFonts w:cs="宋体"/>
      <w:szCs w:val="20"/>
    </w:rPr>
  </w:style>
  <w:style w:type="paragraph" w:customStyle="1" w:styleId="3034">
    <w:name w:val="样式 样式 标题 2章宋三一、标题 1.1Title 22 headlinehheadlineS&amp;R2ERMH2...1 + 段...1"/>
    <w:basedOn w:val="2651"/>
    <w:autoRedefine/>
    <w:qFormat/>
    <w:uiPriority w:val="0"/>
    <w:pPr>
      <w:spacing w:before="127"/>
    </w:pPr>
    <w:rPr>
      <w:rFonts w:cs="宋体"/>
      <w:szCs w:val="20"/>
    </w:rPr>
  </w:style>
  <w:style w:type="paragraph" w:customStyle="1" w:styleId="3035">
    <w:name w:val="样式 样式 标题 3 + 段前: 0 磅 段后: 0 磅 + 段前: 0.5 行 段后: 0.5 行"/>
    <w:basedOn w:val="2666"/>
    <w:qFormat/>
    <w:uiPriority w:val="0"/>
    <w:pPr>
      <w:adjustRightInd w:val="0"/>
      <w:spacing w:before="120" w:after="120" w:line="416" w:lineRule="atLeast"/>
      <w:ind w:left="0" w:firstLine="480" w:firstLineChars="200"/>
      <w:textAlignment w:val="baseline"/>
    </w:pPr>
    <w:rPr>
      <w:rFonts w:ascii="宋体" w:hAnsi="宋体" w:cs="宋体"/>
      <w:b w:val="0"/>
      <w:bCs/>
      <w:iCs/>
      <w:color w:val="0000FF"/>
      <w:kern w:val="0"/>
      <w:szCs w:val="20"/>
    </w:rPr>
  </w:style>
  <w:style w:type="paragraph" w:customStyle="1" w:styleId="3036">
    <w:name w:val="样式 样式 标题 3 + 段前: 0.25 行 段后: 0.25 行 + 段前: 0.25 行 段后: 0.25 行"/>
    <w:basedOn w:val="1"/>
    <w:qFormat/>
    <w:uiPriority w:val="0"/>
    <w:pPr>
      <w:adjustRightInd/>
      <w:spacing w:beforeLines="25" w:afterLines="25" w:line="240" w:lineRule="auto"/>
      <w:ind w:hanging="360" w:firstLineChars="0"/>
      <w:jc w:val="left"/>
      <w:outlineLvl w:val="2"/>
    </w:pPr>
    <w:rPr>
      <w:rFonts w:cs="宋体"/>
      <w:b/>
      <w:bCs/>
      <w:snapToGrid/>
      <w:kern w:val="2"/>
      <w:sz w:val="30"/>
      <w:szCs w:val="20"/>
    </w:rPr>
  </w:style>
  <w:style w:type="paragraph" w:customStyle="1" w:styleId="3037">
    <w:name w:val="样式 样式 标题 3 + 段前: 0.5 行 段后: 0.5 行 + 段前: 0.5 行 段后: 0.5 行"/>
    <w:basedOn w:val="1"/>
    <w:autoRedefine/>
    <w:qFormat/>
    <w:uiPriority w:val="0"/>
    <w:pPr>
      <w:widowControl/>
      <w:tabs>
        <w:tab w:val="left" w:pos="840"/>
        <w:tab w:val="left" w:pos="1080"/>
      </w:tabs>
      <w:adjustRightInd/>
      <w:snapToGrid/>
      <w:spacing w:beforeLines="50" w:afterLines="50" w:line="360" w:lineRule="auto"/>
      <w:ind w:left="720" w:hanging="720" w:firstLineChars="0"/>
      <w:outlineLvl w:val="2"/>
    </w:pPr>
    <w:rPr>
      <w:rFonts w:eastAsia="黑体" w:cs="Courier New"/>
      <w:b/>
      <w:bCs/>
      <w:snapToGrid/>
      <w:kern w:val="2"/>
      <w:sz w:val="28"/>
      <w:szCs w:val="20"/>
    </w:rPr>
  </w:style>
  <w:style w:type="paragraph" w:customStyle="1" w:styleId="3038">
    <w:name w:val="样式 样式 标题 3 + 非加粗 段前: 0.4 行 + 段后: 0.5 行"/>
    <w:basedOn w:val="1"/>
    <w:qFormat/>
    <w:uiPriority w:val="0"/>
    <w:pPr>
      <w:keepNext/>
      <w:keepLines/>
      <w:tabs>
        <w:tab w:val="left" w:pos="780"/>
      </w:tabs>
      <w:spacing w:beforeLines="50" w:afterLines="50" w:line="240" w:lineRule="auto"/>
      <w:ind w:left="737" w:hanging="317" w:firstLineChars="0"/>
      <w:outlineLvl w:val="2"/>
    </w:pPr>
    <w:rPr>
      <w:rFonts w:ascii="宋体" w:eastAsia="黑体" w:cs="宋体"/>
      <w:spacing w:val="26"/>
      <w:kern w:val="30"/>
      <w:sz w:val="30"/>
      <w:szCs w:val="20"/>
    </w:rPr>
  </w:style>
  <w:style w:type="paragraph" w:customStyle="1" w:styleId="3039">
    <w:name w:val="样式 样式 标题 3 + 红色 首行缩进:  2 字符 + 自动设置"/>
    <w:basedOn w:val="2684"/>
    <w:qFormat/>
    <w:uiPriority w:val="0"/>
    <w:pPr>
      <w:autoSpaceDE w:val="0"/>
      <w:autoSpaceDN w:val="0"/>
      <w:adjustRightInd w:val="0"/>
      <w:snapToGrid w:val="0"/>
      <w:spacing w:before="120" w:after="120" w:line="336" w:lineRule="auto"/>
      <w:ind w:left="0" w:firstLine="0"/>
      <w:textAlignment w:val="baseline"/>
    </w:pPr>
    <w:rPr>
      <w:rFonts w:ascii="宋体" w:hAnsi="宋体" w:cs="宋体"/>
      <w:kern w:val="0"/>
      <w:sz w:val="28"/>
      <w:szCs w:val="20"/>
    </w:rPr>
  </w:style>
  <w:style w:type="paragraph" w:customStyle="1" w:styleId="3040">
    <w:name w:val="样式 样式 标题 3 + 首行缩进:  0 厘米1 + 首行缩进:  0 厘米"/>
    <w:basedOn w:val="2688"/>
    <w:qFormat/>
    <w:uiPriority w:val="0"/>
    <w:pPr>
      <w:ind w:firstLine="100"/>
    </w:pPr>
  </w:style>
  <w:style w:type="paragraph" w:customStyle="1" w:styleId="3041">
    <w:name w:val="样式 样式 标题 3 + 首行缩进:  2 字符2 + 首行缩进:  2 字符"/>
    <w:basedOn w:val="1"/>
    <w:qFormat/>
    <w:uiPriority w:val="0"/>
    <w:pPr>
      <w:keepNext/>
      <w:keepLines/>
      <w:adjustRightInd/>
      <w:snapToGrid/>
      <w:spacing w:line="360" w:lineRule="auto"/>
      <w:ind w:firstLine="0" w:firstLineChars="0"/>
      <w:outlineLvl w:val="2"/>
    </w:pPr>
    <w:rPr>
      <w:rFonts w:cs="宋体"/>
      <w:b/>
      <w:bCs/>
      <w:snapToGrid/>
      <w:kern w:val="2"/>
      <w:szCs w:val="20"/>
    </w:rPr>
  </w:style>
  <w:style w:type="paragraph" w:customStyle="1" w:styleId="3042">
    <w:name w:val="样式 样式 标题 3 + 行距: 固定值 22 磅 + 加粗"/>
    <w:basedOn w:val="1"/>
    <w:semiHidden/>
    <w:qFormat/>
    <w:uiPriority w:val="0"/>
    <w:pPr>
      <w:keepNext/>
      <w:keepLines/>
      <w:numPr>
        <w:ilvl w:val="2"/>
        <w:numId w:val="21"/>
      </w:numPr>
      <w:tabs>
        <w:tab w:val="left" w:pos="897"/>
      </w:tabs>
      <w:snapToGrid/>
      <w:spacing w:beforeAutospacing="1" w:after="100" w:afterAutospacing="1" w:line="600" w:lineRule="exact"/>
      <w:ind w:firstLineChars="0"/>
      <w:outlineLvl w:val="2"/>
    </w:pPr>
    <w:rPr>
      <w:rFonts w:eastAsia="黑体"/>
      <w:b/>
      <w:bCs/>
      <w:snapToGrid/>
      <w:color w:val="0000FF"/>
      <w:sz w:val="48"/>
      <w:szCs w:val="48"/>
    </w:rPr>
  </w:style>
  <w:style w:type="paragraph" w:customStyle="1" w:styleId="3043">
    <w:name w:val="样式 样式 标题 3 + 左侧:  0.51 厘米 首行缩进:  0 厘米 + 升高量  1 磅 行距: 单倍行距"/>
    <w:basedOn w:val="1"/>
    <w:qFormat/>
    <w:uiPriority w:val="0"/>
    <w:pPr>
      <w:keepNext/>
      <w:keepLines/>
      <w:adjustRightInd/>
      <w:snapToGrid/>
      <w:spacing w:line="560" w:lineRule="exact"/>
      <w:ind w:firstLine="0" w:firstLineChars="0"/>
      <w:outlineLvl w:val="2"/>
    </w:pPr>
    <w:rPr>
      <w:rFonts w:cs="宋体"/>
      <w:snapToGrid/>
      <w:spacing w:val="10"/>
      <w:kern w:val="2"/>
      <w:position w:val="2"/>
      <w:szCs w:val="20"/>
    </w:rPr>
  </w:style>
  <w:style w:type="paragraph" w:customStyle="1" w:styleId="3044">
    <w:name w:val="样式 样式 标题 3 + 左侧:  2 字符 右侧:  2 字符 段前: 0.25 行 段后: 0.25 行 + 右侧:  2 ..."/>
    <w:basedOn w:val="2701"/>
    <w:qFormat/>
    <w:uiPriority w:val="0"/>
    <w:pPr>
      <w:ind w:left="0" w:leftChars="0" w:right="0" w:rightChars="0"/>
      <w:jc w:val="left"/>
    </w:pPr>
  </w:style>
  <w:style w:type="paragraph" w:customStyle="1" w:styleId="3045">
    <w:name w:val="样式 样式 标题 3 + 左侧:  2 字符 右侧:  2 字符 段前: 0.25 行 段后: 0.25 行 + 右侧:  2 ...1"/>
    <w:basedOn w:val="2701"/>
    <w:qFormat/>
    <w:uiPriority w:val="0"/>
    <w:pPr>
      <w:spacing w:line="500" w:lineRule="exact"/>
      <w:ind w:left="0" w:leftChars="0" w:right="0" w:rightChars="0"/>
      <w:jc w:val="left"/>
    </w:pPr>
  </w:style>
  <w:style w:type="paragraph" w:customStyle="1" w:styleId="3046">
    <w:name w:val="样式 样式 标题 3 + 左侧:  2 字符 右侧:  2 字符 段前: 0.25 行 段后: 0.25 行 + 左侧:  2 ..."/>
    <w:basedOn w:val="2701"/>
    <w:qFormat/>
    <w:uiPriority w:val="0"/>
    <w:pPr>
      <w:ind w:left="0" w:leftChars="0" w:right="0" w:rightChars="0"/>
      <w:jc w:val="left"/>
    </w:pPr>
  </w:style>
  <w:style w:type="paragraph" w:customStyle="1" w:styleId="3047">
    <w:name w:val="样式 样式 标题 3 + 左侧:  2 字符 右侧:  2 字符 段前: 0.25 行 段后: 0.25 行 + 左侧:  2 ...1"/>
    <w:basedOn w:val="2701"/>
    <w:qFormat/>
    <w:uiPriority w:val="0"/>
    <w:pPr>
      <w:ind w:left="0" w:leftChars="0" w:right="0" w:rightChars="0"/>
      <w:jc w:val="left"/>
    </w:pPr>
    <w:rPr>
      <w:kern w:val="0"/>
    </w:rPr>
  </w:style>
  <w:style w:type="paragraph" w:customStyle="1" w:styleId="3048">
    <w:name w:val="样式 样式 标题 3标题 3 Char + 宋体 四号 非加粗 行距: 1.5 倍行距 + Times New Roman1"/>
    <w:basedOn w:val="1"/>
    <w:qFormat/>
    <w:uiPriority w:val="0"/>
    <w:pPr>
      <w:keepNext/>
      <w:keepLines/>
      <w:adjustRightInd/>
      <w:snapToGrid/>
      <w:spacing w:after="120" w:line="360" w:lineRule="auto"/>
      <w:ind w:right="-1413" w:rightChars="-673" w:firstLine="0" w:firstLineChars="0"/>
      <w:outlineLvl w:val="2"/>
    </w:pPr>
    <w:rPr>
      <w:rFonts w:ascii="Times" w:hAnsi="Times" w:eastAsia="黑体"/>
      <w:snapToGrid/>
      <w:kern w:val="2"/>
    </w:rPr>
  </w:style>
  <w:style w:type="paragraph" w:customStyle="1" w:styleId="3049">
    <w:name w:val="样式 样式 标题 3标题 3 Char Char Char节，一一黑四（一）条，（一）标题3 Char Char Cha...3..."/>
    <w:basedOn w:val="2717"/>
    <w:autoRedefine/>
    <w:qFormat/>
    <w:uiPriority w:val="0"/>
    <w:pPr>
      <w:spacing w:before="127"/>
    </w:pPr>
  </w:style>
  <w:style w:type="paragraph" w:customStyle="1" w:styleId="3050">
    <w:name w:val="样式 样式 标题 3标题 3 Char1标题 3 Char CharH3Heading 3 - old标题 3 Char C.....1"/>
    <w:basedOn w:val="1"/>
    <w:qFormat/>
    <w:uiPriority w:val="0"/>
    <w:pPr>
      <w:ind w:firstLine="0" w:firstLineChars="0"/>
      <w:jc w:val="left"/>
      <w:outlineLvl w:val="2"/>
    </w:pPr>
    <w:rPr>
      <w:rFonts w:cs="宋体"/>
      <w:szCs w:val="20"/>
    </w:rPr>
  </w:style>
  <w:style w:type="paragraph" w:customStyle="1" w:styleId="3051">
    <w:name w:val="样式 样式 标题 3标题 33 + 段前: 0.5 行 + 段前: 0.5 行"/>
    <w:basedOn w:val="2723"/>
    <w:qFormat/>
    <w:uiPriority w:val="0"/>
    <w:pPr>
      <w:ind w:left="0" w:firstLine="0"/>
    </w:pPr>
    <w:rPr>
      <w:rFonts w:ascii="黑体" w:hAnsi="宋体" w:eastAsia="黑体"/>
      <w:b w:val="0"/>
      <w:bCs/>
      <w:snapToGrid w:val="0"/>
      <w:color w:val="008000"/>
      <w:kern w:val="0"/>
      <w:szCs w:val="20"/>
    </w:rPr>
  </w:style>
  <w:style w:type="paragraph" w:customStyle="1" w:styleId="3052">
    <w:name w:val="样式 样式 标题 3小节标题4标题3 Char Char Char标题3 Char Char Char Char标题3 Ch.....1"/>
    <w:basedOn w:val="1"/>
    <w:qFormat/>
    <w:uiPriority w:val="0"/>
    <w:pPr>
      <w:keepNext/>
      <w:keepLines/>
      <w:adjustRightInd/>
      <w:snapToGrid/>
      <w:spacing w:beforeLines="50" w:afterLines="50" w:line="360" w:lineRule="auto"/>
      <w:ind w:firstLine="0" w:firstLineChars="0"/>
      <w:outlineLvl w:val="2"/>
    </w:pPr>
    <w:rPr>
      <w:rFonts w:cs="宋体"/>
      <w:b/>
      <w:bCs/>
      <w:snapToGrid/>
      <w:kern w:val="2"/>
      <w:szCs w:val="20"/>
    </w:rPr>
  </w:style>
  <w:style w:type="paragraph" w:customStyle="1" w:styleId="3053">
    <w:name w:val="样式 样式 标题 3小节名小节标题 33标题 13条标题1.1.1(F4)标题 3 Char Char Char标题 ... +..."/>
    <w:basedOn w:val="2733"/>
    <w:qFormat/>
    <w:uiPriority w:val="0"/>
    <w:pPr>
      <w:keepLines w:val="0"/>
      <w:tabs>
        <w:tab w:val="left" w:pos="668"/>
        <w:tab w:val="left" w:pos="1332"/>
      </w:tabs>
      <w:kinsoku w:val="0"/>
      <w:overflowPunct w:val="0"/>
      <w:autoSpaceDE w:val="0"/>
      <w:autoSpaceDN w:val="0"/>
      <w:spacing w:line="288" w:lineRule="auto"/>
      <w:ind w:left="1332" w:hanging="720"/>
    </w:pPr>
    <w:rPr>
      <w:rFonts w:ascii="宋体" w:hAnsi="宋体" w:cs="宋体"/>
      <w:color w:val="000000"/>
      <w:kern w:val="0"/>
      <w:szCs w:val="20"/>
    </w:rPr>
  </w:style>
  <w:style w:type="paragraph" w:customStyle="1" w:styleId="3054">
    <w:name w:val="样式 样式 标题 3小节名小节标题 33标题 13条标题1.1.1(F4)标题 3 Char Char Char标题 ... +...1"/>
    <w:basedOn w:val="2733"/>
    <w:qFormat/>
    <w:uiPriority w:val="0"/>
    <w:pPr>
      <w:keepLines w:val="0"/>
      <w:tabs>
        <w:tab w:val="left" w:pos="1740"/>
      </w:tabs>
      <w:kinsoku w:val="0"/>
      <w:overflowPunct w:val="0"/>
      <w:autoSpaceDE w:val="0"/>
      <w:autoSpaceDN w:val="0"/>
      <w:spacing w:beforeLines="50" w:afterLines="25" w:line="312" w:lineRule="auto"/>
      <w:ind w:left="0" w:firstLine="0"/>
    </w:pPr>
    <w:rPr>
      <w:rFonts w:cs="宋体"/>
      <w:color w:val="000000"/>
      <w:kern w:val="0"/>
      <w:szCs w:val="20"/>
    </w:rPr>
  </w:style>
  <w:style w:type="paragraph" w:customStyle="1" w:styleId="3055">
    <w:name w:val="样式 样式 标题 3小节名小节标题 33标题 13条标题1.1.1(F4)标题 3 Char Char Char标题 ...1 ..."/>
    <w:basedOn w:val="2734"/>
    <w:qFormat/>
    <w:uiPriority w:val="0"/>
    <w:pPr>
      <w:keepLines w:val="0"/>
      <w:tabs>
        <w:tab w:val="left" w:pos="668"/>
        <w:tab w:val="left" w:pos="1740"/>
      </w:tabs>
      <w:kinsoku w:val="0"/>
      <w:overflowPunct w:val="0"/>
      <w:autoSpaceDE w:val="0"/>
      <w:autoSpaceDN w:val="0"/>
      <w:spacing w:before="50" w:afterLines="25" w:line="288" w:lineRule="auto"/>
      <w:ind w:left="0" w:firstLine="0"/>
    </w:pPr>
    <w:rPr>
      <w:rFonts w:cs="宋体"/>
      <w:color w:val="000000"/>
      <w:kern w:val="0"/>
      <w:szCs w:val="20"/>
    </w:rPr>
  </w:style>
  <w:style w:type="paragraph" w:customStyle="1" w:styleId="3056">
    <w:name w:val="样式 样式 标题 3小节名小节标题 33标题 13条标题1.1.1(F4)标题 3 Char Char Char标题 ...2 ..."/>
    <w:basedOn w:val="2735"/>
    <w:qFormat/>
    <w:uiPriority w:val="0"/>
    <w:pPr>
      <w:keepLines w:val="0"/>
      <w:tabs>
        <w:tab w:val="left" w:pos="1281"/>
      </w:tabs>
      <w:kinsoku w:val="0"/>
      <w:overflowPunct w:val="0"/>
      <w:autoSpaceDE w:val="0"/>
      <w:autoSpaceDN w:val="0"/>
      <w:spacing w:before="50"/>
      <w:ind w:left="0" w:firstLine="0"/>
    </w:pPr>
    <w:rPr>
      <w:rFonts w:cs="宋体"/>
      <w:color w:val="000000"/>
      <w:kern w:val="0"/>
      <w:szCs w:val="20"/>
    </w:rPr>
  </w:style>
  <w:style w:type="paragraph" w:customStyle="1" w:styleId="3057">
    <w:name w:val="样式 样式 标题 3小节名小节标题 33标题 13条标题1.1.1(F4)标题 3 Char Char Char标题 ...3 ..."/>
    <w:basedOn w:val="2736"/>
    <w:qFormat/>
    <w:uiPriority w:val="0"/>
  </w:style>
  <w:style w:type="paragraph" w:customStyle="1" w:styleId="3058">
    <w:name w:val="样式 样式 标题 4 + 段前: 0.5 行 段后: 0.5 行 + 段前: 7.8 磅 段后: 7.8 磅"/>
    <w:basedOn w:val="2744"/>
    <w:qFormat/>
    <w:uiPriority w:val="0"/>
    <w:pPr>
      <w:spacing w:line="440" w:lineRule="exact"/>
      <w:ind w:left="0" w:firstLine="0"/>
    </w:pPr>
    <w:rPr>
      <w:rFonts w:ascii="Times New Roman" w:hAnsi="Times New Roman" w:eastAsia="华文中宋"/>
      <w:i w:val="0"/>
      <w:szCs w:val="20"/>
    </w:rPr>
  </w:style>
  <w:style w:type="paragraph" w:customStyle="1" w:styleId="3059">
    <w:name w:val="样式 样式 标题 4 + 段前: 0.5 行 段后: 0.5 行 + 段前: 7.8 磅 段后: 7.8 磅1"/>
    <w:basedOn w:val="2744"/>
    <w:qFormat/>
    <w:uiPriority w:val="0"/>
    <w:pPr>
      <w:spacing w:line="440" w:lineRule="exact"/>
      <w:ind w:left="0" w:firstLine="0"/>
    </w:pPr>
    <w:rPr>
      <w:rFonts w:ascii="Times New Roman" w:hAnsi="Times New Roman" w:eastAsia="华文中宋"/>
      <w:i w:val="0"/>
      <w:szCs w:val="20"/>
    </w:rPr>
  </w:style>
  <w:style w:type="paragraph" w:customStyle="1" w:styleId="3060">
    <w:name w:val="样式 样式 标题 4 + 左侧:  1 字符2 + 左  0 字符"/>
    <w:basedOn w:val="2763"/>
    <w:qFormat/>
    <w:uiPriority w:val="0"/>
    <w:pPr>
      <w:spacing w:line="240" w:lineRule="exact"/>
      <w:ind w:left="0" w:leftChars="0"/>
    </w:pPr>
    <w:rPr>
      <w:i w:val="0"/>
      <w:sz w:val="24"/>
      <w:szCs w:val="20"/>
    </w:rPr>
  </w:style>
  <w:style w:type="paragraph" w:customStyle="1" w:styleId="3061">
    <w:name w:val="样式 样式 标题 4标题 4 Char4 dashd3dash Char Chardash Char + (西文) 宋体 + A..."/>
    <w:basedOn w:val="2769"/>
    <w:link w:val="3062"/>
    <w:autoRedefine/>
    <w:semiHidden/>
    <w:qFormat/>
    <w:uiPriority w:val="0"/>
    <w:rPr>
      <w:rFonts w:ascii="Arial" w:hAnsi="Arial"/>
    </w:rPr>
  </w:style>
  <w:style w:type="character" w:customStyle="1" w:styleId="3062">
    <w:name w:val="样式 样式 标题 4标题 4 Char4 dashd3dash Char Chardash Char + (西文) 宋体 + A... Char"/>
    <w:link w:val="3061"/>
    <w:semiHidden/>
    <w:qFormat/>
    <w:uiPriority w:val="0"/>
    <w:rPr>
      <w:rFonts w:ascii="Arial" w:hAnsi="Arial" w:eastAsia="宋体" w:cs="Times New Roman"/>
      <w:b/>
      <w:sz w:val="26"/>
      <w:szCs w:val="20"/>
      <w:lang w:val="zh-CN"/>
      <w14:ligatures w14:val="none"/>
    </w:rPr>
  </w:style>
  <w:style w:type="paragraph" w:customStyle="1" w:styleId="3063">
    <w:name w:val="样式 样式 标题 4款标题1.1.1.1标题 4XW Char标题 4XW Char Char标题 4 Char标题 4XW....."/>
    <w:basedOn w:val="1"/>
    <w:qFormat/>
    <w:uiPriority w:val="0"/>
    <w:pPr>
      <w:keepNext/>
      <w:keepLines/>
      <w:adjustRightInd/>
      <w:snapToGrid/>
      <w:spacing w:after="60" w:line="360" w:lineRule="auto"/>
      <w:ind w:left="855" w:hanging="360" w:firstLineChars="0"/>
      <w:outlineLvl w:val="3"/>
    </w:pPr>
    <w:rPr>
      <w:rFonts w:cs="宋体"/>
      <w:b/>
      <w:bCs/>
      <w:snapToGrid/>
      <w:kern w:val="44"/>
      <w:szCs w:val="20"/>
      <w:lang w:val="fr-FR"/>
    </w:rPr>
  </w:style>
  <w:style w:type="paragraph" w:customStyle="1" w:styleId="3064">
    <w:name w:val="样式 样式 标题 4项 + 非加粗 段前: 0.5 行 段后: 0.5 行 + 段前: 0.5 行 段后: 0.5 行"/>
    <w:basedOn w:val="1"/>
    <w:autoRedefine/>
    <w:qFormat/>
    <w:uiPriority w:val="0"/>
    <w:pPr>
      <w:keepLines/>
      <w:spacing w:line="360" w:lineRule="auto"/>
      <w:ind w:firstLine="480"/>
      <w:jc w:val="center"/>
    </w:pPr>
    <w:rPr>
      <w:bCs/>
      <w:snapToGrid/>
      <w:color w:val="000000"/>
      <w:kern w:val="2"/>
    </w:rPr>
  </w:style>
  <w:style w:type="paragraph" w:customStyle="1" w:styleId="3065">
    <w:name w:val="样式 样式 标题 6 + 首行缩进:  2 字符 + 首行缩进:  2 字符"/>
    <w:basedOn w:val="2785"/>
    <w:autoRedefine/>
    <w:semiHidden/>
    <w:qFormat/>
    <w:uiPriority w:val="0"/>
    <w:pPr>
      <w:spacing w:line="240" w:lineRule="atLeast"/>
    </w:pPr>
    <w:rPr>
      <w:szCs w:val="20"/>
    </w:rPr>
  </w:style>
  <w:style w:type="paragraph" w:customStyle="1" w:styleId="3066">
    <w:name w:val="样式 样式 表格 + 左侧:  0.98 厘米 + 居中"/>
    <w:basedOn w:val="1"/>
    <w:qFormat/>
    <w:uiPriority w:val="0"/>
    <w:pPr>
      <w:spacing w:beforeAutospacing="1" w:after="100" w:afterAutospacing="1" w:line="300" w:lineRule="auto"/>
      <w:ind w:firstLine="0" w:firstLineChars="0"/>
      <w:jc w:val="center"/>
    </w:pPr>
    <w:rPr>
      <w:rFonts w:ascii="Arial" w:hAnsi="Arial"/>
      <w:sz w:val="21"/>
      <w:szCs w:val="20"/>
    </w:rPr>
  </w:style>
  <w:style w:type="paragraph" w:customStyle="1" w:styleId="3067">
    <w:name w:val="样式 样式 表名 + 段前: 0.5 行4 + 段前: 0.5 行"/>
    <w:basedOn w:val="2845"/>
    <w:qFormat/>
    <w:uiPriority w:val="0"/>
    <w:pPr>
      <w:spacing w:beforeLines="0"/>
    </w:pPr>
    <w:rPr>
      <w:szCs w:val="20"/>
    </w:rPr>
  </w:style>
  <w:style w:type="paragraph" w:customStyle="1" w:styleId="3068">
    <w:name w:val="样式 样式 表头 + 首行缩进:  1 字符 段前: 0.5 行 + 首行缩进:  1 字符"/>
    <w:basedOn w:val="2857"/>
    <w:link w:val="3069"/>
    <w:qFormat/>
    <w:uiPriority w:val="0"/>
    <w:pPr>
      <w:outlineLvl w:val="7"/>
    </w:pPr>
  </w:style>
  <w:style w:type="character" w:customStyle="1" w:styleId="3069">
    <w:name w:val="样式 样式 表头 + 首行缩进:  1 字符 段前: 0.5 行 + 首行缩进:  1 字符 Char"/>
    <w:link w:val="3068"/>
    <w:qFormat/>
    <w:uiPriority w:val="0"/>
    <w:rPr>
      <w:rFonts w:ascii="黑体" w:hAnsi="宋体" w:eastAsia="黑体" w:cs="Times New Roman"/>
      <w:b/>
      <w:bCs/>
      <w:snapToGrid w:val="0"/>
      <w:color w:val="000000"/>
      <w:spacing w:val="8"/>
      <w:kern w:val="44"/>
      <w:sz w:val="24"/>
      <w:szCs w:val="44"/>
      <w14:ligatures w14:val="none"/>
    </w:rPr>
  </w:style>
  <w:style w:type="paragraph" w:customStyle="1" w:styleId="3070">
    <w:name w:val="样式 样式 表文 + 左 段后: 6 磅 + 段后: 6 磅"/>
    <w:basedOn w:val="1"/>
    <w:qFormat/>
    <w:uiPriority w:val="0"/>
    <w:pPr>
      <w:overflowPunct w:val="0"/>
      <w:topLinePunct/>
      <w:adjustRightInd/>
      <w:snapToGrid/>
      <w:spacing w:line="320" w:lineRule="exact"/>
      <w:ind w:firstLine="0" w:firstLineChars="0"/>
      <w:outlineLvl w:val="6"/>
    </w:pPr>
    <w:rPr>
      <w:snapToGrid/>
      <w:kern w:val="2"/>
      <w:sz w:val="18"/>
      <w:szCs w:val="20"/>
    </w:rPr>
  </w:style>
  <w:style w:type="paragraph" w:customStyle="1" w:styleId="3071">
    <w:name w:val="样式 样式 纯文本 + (符号) 宋体 小四 段后: 0.5 行 行距: 1.5 倍行距 + 首行缩进:  1.5 字符"/>
    <w:basedOn w:val="1"/>
    <w:qFormat/>
    <w:uiPriority w:val="0"/>
    <w:pPr>
      <w:adjustRightInd/>
      <w:snapToGrid/>
      <w:spacing w:beforeLines="30" w:afterLines="30" w:line="240" w:lineRule="auto"/>
    </w:pPr>
    <w:rPr>
      <w:rFonts w:ascii="新宋体" w:hAnsi="宋体" w:eastAsia="新宋体" w:cs="宋体"/>
      <w:snapToGrid/>
      <w:w w:val="90"/>
      <w:sz w:val="22"/>
      <w:szCs w:val="22"/>
    </w:rPr>
  </w:style>
  <w:style w:type="paragraph" w:customStyle="1" w:styleId="3072">
    <w:name w:val="样式 样式 扉页签字 + 左 + 首行缩进:  3 字符"/>
    <w:basedOn w:val="1"/>
    <w:qFormat/>
    <w:uiPriority w:val="0"/>
    <w:pPr>
      <w:spacing w:line="580" w:lineRule="exact"/>
    </w:pPr>
    <w:rPr>
      <w:rFonts w:cs="宋体"/>
      <w:snapToGrid/>
      <w:kern w:val="2"/>
      <w:sz w:val="28"/>
      <w:szCs w:val="20"/>
    </w:rPr>
  </w:style>
  <w:style w:type="paragraph" w:customStyle="1" w:styleId="3073">
    <w:name w:val="样式 样式 公正文 + 首行缩进:  2 字符1 + 首行缩进:  2 字符"/>
    <w:basedOn w:val="1"/>
    <w:link w:val="3074"/>
    <w:qFormat/>
    <w:uiPriority w:val="0"/>
    <w:pPr>
      <w:spacing w:line="355" w:lineRule="auto"/>
    </w:pPr>
    <w:rPr>
      <w:rFonts w:ascii="宋体" w:hAnsi="宋体" w:eastAsia="仿宋_GB2312"/>
      <w:snapToGrid/>
      <w:sz w:val="28"/>
      <w:szCs w:val="28"/>
    </w:rPr>
  </w:style>
  <w:style w:type="character" w:customStyle="1" w:styleId="3074">
    <w:name w:val="样式 样式 公正文 + 首行缩进:  2 字符1 + 首行缩进:  2 字符 Char Char"/>
    <w:link w:val="3073"/>
    <w:qFormat/>
    <w:uiPriority w:val="0"/>
    <w:rPr>
      <w:rFonts w:ascii="宋体" w:hAnsi="宋体" w:eastAsia="仿宋_GB2312" w:cs="Times New Roman"/>
      <w:kern w:val="0"/>
      <w:sz w:val="28"/>
      <w:szCs w:val="28"/>
      <w14:ligatures w14:val="none"/>
    </w:rPr>
  </w:style>
  <w:style w:type="paragraph" w:customStyle="1" w:styleId="3075">
    <w:name w:val="样式 样式 红色 首行缩进:  2 字符 + 行距: 1.5 倍行距"/>
    <w:basedOn w:val="1"/>
    <w:qFormat/>
    <w:uiPriority w:val="0"/>
    <w:pPr>
      <w:keepNext/>
      <w:adjustRightInd/>
      <w:snapToGrid/>
      <w:spacing w:line="360" w:lineRule="auto"/>
      <w:ind w:firstLine="560"/>
    </w:pPr>
    <w:rPr>
      <w:rFonts w:cs="宋体"/>
      <w:snapToGrid/>
      <w:color w:val="FF0000"/>
      <w:kern w:val="2"/>
      <w:szCs w:val="20"/>
    </w:rPr>
  </w:style>
  <w:style w:type="paragraph" w:customStyle="1" w:styleId="3076">
    <w:name w:val="样式 样式 环评正文 + (西文) 仿宋_GB2312 (中文) 宋体 10.5 磅 首行缩进:  2 字符 + 首行缩进:  ..."/>
    <w:basedOn w:val="1"/>
    <w:qFormat/>
    <w:uiPriority w:val="0"/>
    <w:pPr>
      <w:adjustRightInd/>
      <w:snapToGrid/>
      <w:spacing w:line="400" w:lineRule="exact"/>
    </w:pPr>
    <w:rPr>
      <w:rFonts w:ascii="仿宋_GB2312" w:hAnsi="仿宋_GB2312"/>
      <w:snapToGrid/>
      <w:kern w:val="2"/>
      <w:szCs w:val="20"/>
    </w:rPr>
  </w:style>
  <w:style w:type="paragraph" w:customStyle="1" w:styleId="3077">
    <w:name w:val="样式 样式 加粗 + 首行缩进:  10.07 字符 段前: 0.5 行1"/>
    <w:basedOn w:val="1"/>
    <w:qFormat/>
    <w:uiPriority w:val="0"/>
    <w:pPr>
      <w:adjustRightInd/>
      <w:snapToGrid/>
      <w:spacing w:beforeLines="50" w:line="480" w:lineRule="auto"/>
      <w:ind w:firstLine="2426" w:firstLineChars="1007"/>
    </w:pPr>
    <w:rPr>
      <w:rFonts w:cs="宋体"/>
      <w:b/>
      <w:bCs/>
      <w:snapToGrid/>
      <w:kern w:val="2"/>
      <w:szCs w:val="20"/>
    </w:rPr>
  </w:style>
  <w:style w:type="paragraph" w:customStyle="1" w:styleId="3078">
    <w:name w:val="样式 样式 楷体 + 首行缩进:  2 字符 + 首行缩进:  2 字符"/>
    <w:basedOn w:val="1"/>
    <w:qFormat/>
    <w:uiPriority w:val="0"/>
    <w:pPr>
      <w:snapToGrid/>
      <w:spacing w:line="560" w:lineRule="exact"/>
      <w:ind w:firstLine="560"/>
      <w:textAlignment w:val="baseline"/>
    </w:pPr>
    <w:rPr>
      <w:rFonts w:ascii="楷体_GB2312" w:eastAsia="楷体_GB2312" w:cs="宋体"/>
      <w:snapToGrid/>
      <w:sz w:val="28"/>
      <w:szCs w:val="20"/>
    </w:rPr>
  </w:style>
  <w:style w:type="paragraph" w:customStyle="1" w:styleId="3079">
    <w:name w:val="样式 样式 目录 4 + + 左侧:  3 字符"/>
    <w:basedOn w:val="2909"/>
    <w:qFormat/>
    <w:uiPriority w:val="0"/>
    <w:pPr>
      <w:ind w:left="714"/>
    </w:pPr>
  </w:style>
  <w:style w:type="paragraph" w:customStyle="1" w:styleId="3080">
    <w:name w:val="样式 样式 普通文字 + (西文) Times New Roman (中文) 仿宋_GB2312 四号 首行缩进:  2 字符...."/>
    <w:basedOn w:val="1"/>
    <w:semiHidden/>
    <w:qFormat/>
    <w:uiPriority w:val="0"/>
    <w:pPr>
      <w:adjustRightInd/>
      <w:snapToGrid/>
      <w:spacing w:line="400" w:lineRule="exact"/>
    </w:pPr>
    <w:rPr>
      <w:rFonts w:ascii="宋体"/>
      <w:snapToGrid/>
      <w:kern w:val="2"/>
    </w:rPr>
  </w:style>
  <w:style w:type="paragraph" w:customStyle="1" w:styleId="3081">
    <w:name w:val="样式 样式 普通文字 + (西文) Times New Roman (中文) 仿宋_GB2312 四号 首行缩进:  2 字符....1"/>
    <w:basedOn w:val="1"/>
    <w:qFormat/>
    <w:uiPriority w:val="0"/>
    <w:pPr>
      <w:adjustRightInd/>
      <w:snapToGrid/>
      <w:spacing w:line="400" w:lineRule="exact"/>
      <w:ind w:firstLine="480"/>
    </w:pPr>
    <w:rPr>
      <w:snapToGrid/>
      <w:kern w:val="2"/>
      <w:szCs w:val="20"/>
    </w:rPr>
  </w:style>
  <w:style w:type="paragraph" w:customStyle="1" w:styleId="3082">
    <w:name w:val="样式 样式 首行缩进:  2 字符 + 首行缩进:  2 字符"/>
    <w:basedOn w:val="1"/>
    <w:qFormat/>
    <w:uiPriority w:val="0"/>
    <w:pPr>
      <w:adjustRightInd/>
      <w:snapToGrid/>
      <w:spacing w:line="360" w:lineRule="auto"/>
      <w:ind w:firstLine="480"/>
    </w:pPr>
    <w:rPr>
      <w:rFonts w:hAnsi="宋体"/>
      <w:snapToGrid/>
      <w:kern w:val="2"/>
    </w:rPr>
  </w:style>
  <w:style w:type="paragraph" w:customStyle="1" w:styleId="3083">
    <w:name w:val="样式 样式 首行缩进:  2 字符 + 首行缩进:  2 字符3"/>
    <w:basedOn w:val="2917"/>
    <w:qFormat/>
    <w:uiPriority w:val="0"/>
    <w:pPr>
      <w:widowControl/>
      <w:adjustRightInd w:val="0"/>
      <w:snapToGrid w:val="0"/>
      <w:spacing w:line="600" w:lineRule="exact"/>
      <w:ind w:firstLine="200"/>
      <w:textAlignment w:val="baseline"/>
    </w:pPr>
    <w:rPr>
      <w:rFonts w:cs="宋体"/>
      <w:snapToGrid w:val="0"/>
      <w:color w:val="000000"/>
      <w:kern w:val="0"/>
      <w:sz w:val="28"/>
      <w:u w:color="000000"/>
    </w:rPr>
  </w:style>
  <w:style w:type="paragraph" w:customStyle="1" w:styleId="3084">
    <w:name w:val="样式 样式 首行缩进:  2 字符 + 首行缩进:  2 字符4"/>
    <w:basedOn w:val="2917"/>
    <w:qFormat/>
    <w:uiPriority w:val="0"/>
    <w:pPr>
      <w:widowControl/>
      <w:adjustRightInd w:val="0"/>
      <w:snapToGrid w:val="0"/>
      <w:spacing w:line="180" w:lineRule="auto"/>
      <w:ind w:firstLine="200"/>
      <w:textAlignment w:val="baseline"/>
    </w:pPr>
    <w:rPr>
      <w:rFonts w:cs="宋体"/>
      <w:snapToGrid w:val="0"/>
      <w:color w:val="000000"/>
      <w:kern w:val="0"/>
      <w:sz w:val="28"/>
      <w:u w:color="000000"/>
    </w:rPr>
  </w:style>
  <w:style w:type="paragraph" w:customStyle="1" w:styleId="3085">
    <w:name w:val="样式 样式 首行缩进:  2 字符 + 首行缩进:  2 字符5"/>
    <w:basedOn w:val="2917"/>
    <w:qFormat/>
    <w:uiPriority w:val="0"/>
    <w:pPr>
      <w:widowControl/>
      <w:adjustRightInd w:val="0"/>
      <w:snapToGrid w:val="0"/>
      <w:spacing w:line="240" w:lineRule="exact"/>
      <w:ind w:firstLine="200"/>
      <w:textAlignment w:val="baseline"/>
    </w:pPr>
    <w:rPr>
      <w:rFonts w:cs="宋体"/>
      <w:snapToGrid w:val="0"/>
      <w:color w:val="000000"/>
      <w:kern w:val="0"/>
      <w:sz w:val="28"/>
      <w:u w:color="000000"/>
    </w:rPr>
  </w:style>
  <w:style w:type="paragraph" w:customStyle="1" w:styleId="3086">
    <w:name w:val="样式 样式 首行缩进:  2 字符 + 首行缩进:  2 字符6"/>
    <w:basedOn w:val="2917"/>
    <w:qFormat/>
    <w:uiPriority w:val="0"/>
    <w:pPr>
      <w:widowControl/>
      <w:adjustRightInd w:val="0"/>
      <w:snapToGrid w:val="0"/>
      <w:spacing w:line="360" w:lineRule="auto"/>
      <w:ind w:firstLine="600"/>
      <w:textAlignment w:val="baseline"/>
    </w:pPr>
    <w:rPr>
      <w:rFonts w:cs="宋体"/>
      <w:snapToGrid w:val="0"/>
      <w:color w:val="000000"/>
      <w:kern w:val="0"/>
      <w:sz w:val="28"/>
      <w:u w:color="000000"/>
    </w:rPr>
  </w:style>
  <w:style w:type="paragraph" w:customStyle="1" w:styleId="3087">
    <w:name w:val="样式 样式 首行缩进:  2 字符 + 首行缩进:  2 字符7"/>
    <w:basedOn w:val="2917"/>
    <w:qFormat/>
    <w:uiPriority w:val="0"/>
    <w:pPr>
      <w:widowControl/>
      <w:adjustRightInd w:val="0"/>
      <w:snapToGrid w:val="0"/>
      <w:spacing w:line="520" w:lineRule="exact"/>
      <w:ind w:firstLine="200"/>
      <w:textAlignment w:val="baseline"/>
    </w:pPr>
    <w:rPr>
      <w:rFonts w:cs="宋体"/>
      <w:snapToGrid w:val="0"/>
      <w:color w:val="000000"/>
      <w:kern w:val="0"/>
      <w:sz w:val="28"/>
      <w:u w:color="000000"/>
    </w:rPr>
  </w:style>
  <w:style w:type="paragraph" w:customStyle="1" w:styleId="3088">
    <w:name w:val="样式 样式 首行缩进:  2 字符 + 首行缩进:  2 字符8"/>
    <w:basedOn w:val="2917"/>
    <w:qFormat/>
    <w:uiPriority w:val="0"/>
    <w:pPr>
      <w:widowControl/>
      <w:adjustRightInd w:val="0"/>
      <w:snapToGrid w:val="0"/>
      <w:spacing w:line="520" w:lineRule="exact"/>
      <w:ind w:firstLine="200"/>
      <w:textAlignment w:val="baseline"/>
    </w:pPr>
    <w:rPr>
      <w:rFonts w:cs="宋体"/>
      <w:snapToGrid w:val="0"/>
      <w:color w:val="000000"/>
      <w:kern w:val="0"/>
      <w:sz w:val="28"/>
      <w:u w:color="000000"/>
    </w:rPr>
  </w:style>
  <w:style w:type="paragraph" w:customStyle="1" w:styleId="3089">
    <w:name w:val="样式 样式 首行缩进:  2 字符1 + 首行缩进:  2 字符"/>
    <w:basedOn w:val="2927"/>
    <w:qFormat/>
    <w:uiPriority w:val="0"/>
    <w:pPr>
      <w:spacing w:line="480" w:lineRule="exact"/>
      <w:ind w:firstLine="200"/>
      <w:textAlignment w:val="auto"/>
    </w:pPr>
    <w:rPr>
      <w:rFonts w:hAnsi="Times New Roman" w:cs="宋体"/>
      <w:kern w:val="2"/>
      <w:sz w:val="28"/>
      <w:szCs w:val="20"/>
    </w:rPr>
  </w:style>
  <w:style w:type="paragraph" w:customStyle="1" w:styleId="3090">
    <w:name w:val="样式 样式 首行缩进:  2 字符1 + 首行缩进:  2 字符1"/>
    <w:basedOn w:val="1"/>
    <w:qFormat/>
    <w:uiPriority w:val="0"/>
    <w:pPr>
      <w:keepNext/>
      <w:adjustRightInd/>
      <w:snapToGrid/>
      <w:spacing w:line="360" w:lineRule="auto"/>
    </w:pPr>
    <w:rPr>
      <w:rFonts w:cs="宋体"/>
      <w:snapToGrid/>
      <w:kern w:val="2"/>
      <w:szCs w:val="20"/>
    </w:rPr>
  </w:style>
  <w:style w:type="paragraph" w:customStyle="1" w:styleId="3091">
    <w:name w:val="样式 样式 首行缩进:  2 字符4 + 首行缩进:  2 字符"/>
    <w:basedOn w:val="2930"/>
    <w:link w:val="3092"/>
    <w:qFormat/>
    <w:uiPriority w:val="0"/>
    <w:pPr>
      <w:keepNext w:val="0"/>
      <w:adjustRightInd/>
      <w:snapToGrid/>
      <w:spacing w:line="560" w:lineRule="exact"/>
    </w:pPr>
    <w:rPr>
      <w:rFonts w:ascii="仿宋_GB2312" w:eastAsia="仿宋_GB2312"/>
      <w:snapToGrid/>
      <w:kern w:val="2"/>
    </w:rPr>
  </w:style>
  <w:style w:type="character" w:customStyle="1" w:styleId="3092">
    <w:name w:val="样式 样式 首行缩进:  2 字符4 + 首行缩进:  2 字符 Char"/>
    <w:link w:val="3091"/>
    <w:qFormat/>
    <w:uiPriority w:val="0"/>
    <w:rPr>
      <w:rFonts w:ascii="仿宋_GB2312" w:hAnsi="Times New Roman" w:eastAsia="仿宋_GB2312" w:cs="Times New Roman"/>
      <w:sz w:val="28"/>
      <w:szCs w:val="20"/>
      <w14:ligatures w14:val="none"/>
    </w:rPr>
  </w:style>
  <w:style w:type="paragraph" w:customStyle="1" w:styleId="3093">
    <w:name w:val="样式 样式 四号 首行缩进:  1.1 厘米 + 首行缩进:  2 字符"/>
    <w:basedOn w:val="1"/>
    <w:link w:val="3094"/>
    <w:qFormat/>
    <w:uiPriority w:val="0"/>
    <w:pPr>
      <w:adjustRightInd/>
      <w:snapToGrid/>
      <w:spacing w:line="360" w:lineRule="auto"/>
    </w:pPr>
    <w:rPr>
      <w:rFonts w:cs="宋体"/>
      <w:snapToGrid/>
      <w:szCs w:val="20"/>
    </w:rPr>
  </w:style>
  <w:style w:type="character" w:customStyle="1" w:styleId="3094">
    <w:name w:val="样式 样式 四号 首行缩进:  1.1 厘米 + 首行缩进:  2 字符 Char Char"/>
    <w:link w:val="3093"/>
    <w:qFormat/>
    <w:uiPriority w:val="0"/>
    <w:rPr>
      <w:rFonts w:ascii="Times New Roman" w:hAnsi="Times New Roman" w:eastAsia="宋体" w:cs="宋体"/>
      <w:kern w:val="0"/>
      <w:sz w:val="26"/>
      <w:szCs w:val="20"/>
      <w14:ligatures w14:val="none"/>
    </w:rPr>
  </w:style>
  <w:style w:type="character" w:customStyle="1" w:styleId="3095">
    <w:name w:val="样式 样式 四号 首行缩进:  1.1 厘米 + 首行缩进:  2 字符 Char"/>
    <w:qFormat/>
    <w:uiPriority w:val="0"/>
    <w:rPr>
      <w:rFonts w:eastAsia="宋体" w:cs="宋体"/>
      <w:kern w:val="2"/>
      <w:sz w:val="24"/>
      <w:lang w:val="en-US" w:eastAsia="zh-CN" w:bidi="ar-SA"/>
    </w:rPr>
  </w:style>
  <w:style w:type="paragraph" w:customStyle="1" w:styleId="3096">
    <w:name w:val="样式 样式 宋体 段前: 0.5 行 行距: 固定值 18 磅 + 首行缩进:  2 字符"/>
    <w:basedOn w:val="1"/>
    <w:qFormat/>
    <w:uiPriority w:val="0"/>
    <w:pPr>
      <w:adjustRightInd/>
      <w:snapToGrid/>
      <w:spacing w:line="360" w:lineRule="auto"/>
      <w:ind w:firstLine="480"/>
    </w:pPr>
    <w:rPr>
      <w:rFonts w:ascii="宋体" w:hAnsi="宋体" w:cs="宋体"/>
      <w:color w:val="000000"/>
      <w:kern w:val="2"/>
      <w:lang w:val="en-GB"/>
    </w:rPr>
  </w:style>
  <w:style w:type="paragraph" w:customStyle="1" w:styleId="3097">
    <w:name w:val="样式 样式 宋体 四号 黑色 行距: 固定值 30 磅 + 首行缩进:  2 字符"/>
    <w:basedOn w:val="1"/>
    <w:autoRedefine/>
    <w:qFormat/>
    <w:uiPriority w:val="0"/>
    <w:pPr>
      <w:adjustRightInd/>
      <w:snapToGrid/>
      <w:spacing w:line="360" w:lineRule="auto"/>
      <w:ind w:firstLine="480"/>
      <w:jc w:val="center"/>
    </w:pPr>
    <w:rPr>
      <w:rFonts w:ascii="宋体" w:hAnsi="宋体"/>
      <w:snapToGrid/>
      <w:color w:val="000000"/>
      <w:kern w:val="2"/>
      <w:szCs w:val="20"/>
    </w:rPr>
  </w:style>
  <w:style w:type="paragraph" w:customStyle="1" w:styleId="3098">
    <w:name w:val="样式 样式 宋体 四号 行距: 1.5 倍行距 + 首行缩进:  2.03 字符"/>
    <w:basedOn w:val="1"/>
    <w:semiHidden/>
    <w:qFormat/>
    <w:uiPriority w:val="0"/>
    <w:pPr>
      <w:adjustRightInd/>
      <w:snapToGrid/>
      <w:spacing w:line="240" w:lineRule="auto"/>
      <w:ind w:firstLine="203" w:firstLineChars="203"/>
    </w:pPr>
    <w:rPr>
      <w:rFonts w:ascii="宋体" w:hAnsi="宋体" w:cs="宋体"/>
      <w:snapToGrid/>
      <w:kern w:val="2"/>
      <w:szCs w:val="20"/>
    </w:rPr>
  </w:style>
  <w:style w:type="paragraph" w:customStyle="1" w:styleId="3099">
    <w:name w:val="样式 样式 宋体 四号 左 行距: 固定值 25 磅 + 首行缩进:  2 字符"/>
    <w:basedOn w:val="1"/>
    <w:qFormat/>
    <w:uiPriority w:val="0"/>
    <w:pPr>
      <w:spacing w:after="120" w:line="500" w:lineRule="exact"/>
      <w:ind w:firstLine="560"/>
    </w:pPr>
    <w:rPr>
      <w:rFonts w:ascii="宋体" w:hAnsi="宋体" w:cs="宋体"/>
      <w:sz w:val="28"/>
      <w:szCs w:val="28"/>
    </w:rPr>
  </w:style>
  <w:style w:type="paragraph" w:customStyle="1" w:styleId="3100">
    <w:name w:val="样式 样式 宋体 小四 段前: 5 磅 段后: 5 磅 行距: 1.5 倍行距 + 首行缩进:  2 字符"/>
    <w:basedOn w:val="1"/>
    <w:qFormat/>
    <w:uiPriority w:val="0"/>
    <w:pPr>
      <w:adjustRightInd/>
      <w:snapToGrid/>
      <w:spacing w:line="360" w:lineRule="auto"/>
    </w:pPr>
    <w:rPr>
      <w:rFonts w:ascii="宋体" w:hAnsi="宋体" w:cs="宋体"/>
      <w:snapToGrid/>
      <w:kern w:val="2"/>
      <w:szCs w:val="20"/>
    </w:rPr>
  </w:style>
  <w:style w:type="paragraph" w:customStyle="1" w:styleId="3101">
    <w:name w:val="样式 样式 题注 + 居中 首行缩进:  2 字符 + 首行缩进:  2 字符"/>
    <w:basedOn w:val="1"/>
    <w:autoRedefine/>
    <w:semiHidden/>
    <w:qFormat/>
    <w:uiPriority w:val="0"/>
    <w:pPr>
      <w:snapToGrid/>
      <w:spacing w:after="160" w:line="400" w:lineRule="exact"/>
      <w:ind w:firstLine="560"/>
      <w:jc w:val="center"/>
    </w:pPr>
    <w:rPr>
      <w:rFonts w:ascii="宋体"/>
      <w:snapToGrid/>
      <w:kern w:val="2"/>
    </w:rPr>
  </w:style>
  <w:style w:type="paragraph" w:customStyle="1" w:styleId="3102">
    <w:name w:val="样式 样式 小三 加粗 居中 + 非加粗"/>
    <w:basedOn w:val="2990"/>
    <w:qFormat/>
    <w:uiPriority w:val="0"/>
  </w:style>
  <w:style w:type="paragraph" w:customStyle="1" w:styleId="3103">
    <w:name w:val="样式 样式 小四 段前: 7.8 磅 段后: 7.8 磅 行距: 1.5 倍行距 + 首行缩进:  2 字符"/>
    <w:basedOn w:val="1"/>
    <w:qFormat/>
    <w:uiPriority w:val="0"/>
    <w:pPr>
      <w:adjustRightInd/>
      <w:snapToGrid/>
      <w:spacing w:line="360" w:lineRule="auto"/>
      <w:ind w:firstLine="480"/>
    </w:pPr>
    <w:rPr>
      <w:rFonts w:hAnsi="宋体"/>
    </w:rPr>
  </w:style>
  <w:style w:type="paragraph" w:customStyle="1" w:styleId="3104">
    <w:name w:val="样式 样式 小四 加粗 行距: 1.5 倍行距 首行缩进:  2 字符 + 左侧:  2 字符 首行缩进:  2 字符 右侧..."/>
    <w:basedOn w:val="1"/>
    <w:qFormat/>
    <w:uiPriority w:val="0"/>
    <w:pPr>
      <w:adjustRightInd/>
      <w:spacing w:beforeLines="50" w:afterLines="50" w:line="240" w:lineRule="auto"/>
      <w:ind w:left="200" w:leftChars="200" w:right="200" w:rightChars="200" w:firstLine="0" w:firstLineChars="0"/>
      <w:jc w:val="left"/>
    </w:pPr>
    <w:rPr>
      <w:b/>
      <w:bCs/>
      <w:snapToGrid/>
      <w:kern w:val="2"/>
      <w:sz w:val="28"/>
      <w:szCs w:val="28"/>
    </w:rPr>
  </w:style>
  <w:style w:type="paragraph" w:customStyle="1" w:styleId="3105">
    <w:name w:val="样式 样式 小四 行距: 1.5 倍行距 首行缩进:  2 字符1 + 首行缩进:  2 字符1"/>
    <w:basedOn w:val="1"/>
    <w:qFormat/>
    <w:uiPriority w:val="0"/>
    <w:pPr>
      <w:adjustRightInd/>
      <w:snapToGrid/>
      <w:spacing w:line="240" w:lineRule="auto"/>
    </w:pPr>
    <w:rPr>
      <w:rFonts w:cs="宋体"/>
      <w:snapToGrid/>
      <w:kern w:val="2"/>
      <w:szCs w:val="20"/>
    </w:rPr>
  </w:style>
  <w:style w:type="paragraph" w:customStyle="1" w:styleId="3106">
    <w:name w:val="样式 样式 行距: 1.5 倍行距 + 首行缩进:  2 字符"/>
    <w:basedOn w:val="1"/>
    <w:link w:val="3107"/>
    <w:qFormat/>
    <w:uiPriority w:val="0"/>
    <w:pPr>
      <w:spacing w:line="360" w:lineRule="auto"/>
      <w:ind w:firstLine="480"/>
    </w:pPr>
    <w:rPr>
      <w:rFonts w:ascii="Calibri" w:hAnsi="Calibri"/>
      <w:snapToGrid/>
      <w:kern w:val="2"/>
      <w:szCs w:val="21"/>
    </w:rPr>
  </w:style>
  <w:style w:type="character" w:customStyle="1" w:styleId="3107">
    <w:name w:val="样式 样式 行距: 1.5 倍行距 + 首行缩进:  2 字符 Char"/>
    <w:link w:val="3106"/>
    <w:qFormat/>
    <w:uiPriority w:val="0"/>
    <w:rPr>
      <w:rFonts w:ascii="Calibri" w:hAnsi="Calibri" w:eastAsia="宋体" w:cs="Times New Roman"/>
      <w:sz w:val="26"/>
      <w:szCs w:val="21"/>
      <w14:ligatures w14:val="none"/>
    </w:rPr>
  </w:style>
  <w:style w:type="paragraph" w:customStyle="1" w:styleId="3108">
    <w:name w:val="样式 样式 样式 (中文) 仿宋_GB2312 四号 行距: 1.5 倍行距 + 首行缩进:  2 字符 + 首行缩进:  2 ..."/>
    <w:basedOn w:val="1"/>
    <w:qFormat/>
    <w:uiPriority w:val="0"/>
    <w:pPr>
      <w:spacing w:line="360" w:lineRule="auto"/>
      <w:ind w:firstLine="560"/>
    </w:pPr>
    <w:rPr>
      <w:rFonts w:eastAsia="仿宋_GB2312" w:cs="宋体"/>
      <w:snapToGrid/>
      <w:kern w:val="2"/>
      <w:sz w:val="28"/>
      <w:szCs w:val="20"/>
    </w:rPr>
  </w:style>
  <w:style w:type="paragraph" w:customStyle="1" w:styleId="3109">
    <w:name w:val="样式 样式 样式 标题 1 + 段前: 0.5 行 段后: 0.5 行 + 段前: 0.5 行 段后: 0.5 行 + 段前: ..."/>
    <w:basedOn w:val="1"/>
    <w:qFormat/>
    <w:uiPriority w:val="0"/>
    <w:pPr>
      <w:keepNext/>
      <w:pageBreakBefore/>
      <w:widowControl/>
      <w:tabs>
        <w:tab w:val="left" w:pos="1560"/>
      </w:tabs>
      <w:adjustRightInd/>
      <w:snapToGrid/>
      <w:spacing w:beforeLines="50" w:afterLines="50" w:line="360" w:lineRule="auto"/>
      <w:ind w:left="1560" w:hanging="990" w:firstLineChars="0"/>
      <w:jc w:val="center"/>
      <w:outlineLvl w:val="0"/>
    </w:pPr>
    <w:rPr>
      <w:rFonts w:eastAsia="黑体" w:cs="宋体"/>
      <w:b/>
      <w:bCs/>
      <w:snapToGrid/>
      <w:kern w:val="44"/>
      <w:sz w:val="30"/>
      <w:szCs w:val="20"/>
    </w:rPr>
  </w:style>
  <w:style w:type="paragraph" w:customStyle="1" w:styleId="3110">
    <w:name w:val="样式 样式 样式 标题 1 + 段前: 1 行 + 行距: 固定值 22 磅 + 加粗"/>
    <w:basedOn w:val="1"/>
    <w:semiHidden/>
    <w:qFormat/>
    <w:uiPriority w:val="0"/>
    <w:pPr>
      <w:keepNext/>
      <w:keepLines/>
      <w:numPr>
        <w:ilvl w:val="0"/>
        <w:numId w:val="21"/>
      </w:numPr>
      <w:snapToGrid/>
      <w:spacing w:beforeLines="100" w:after="100" w:afterAutospacing="1" w:line="740" w:lineRule="exact"/>
      <w:ind w:firstLine="0" w:firstLineChars="0"/>
      <w:jc w:val="center"/>
      <w:outlineLvl w:val="0"/>
    </w:pPr>
    <w:rPr>
      <w:rFonts w:eastAsia="黑体"/>
      <w:b/>
      <w:bCs/>
      <w:snapToGrid/>
      <w:color w:val="FF0000"/>
      <w:kern w:val="44"/>
      <w:sz w:val="52"/>
      <w:szCs w:val="52"/>
    </w:rPr>
  </w:style>
  <w:style w:type="paragraph" w:customStyle="1" w:styleId="3111">
    <w:name w:val="样式 样式 样式 标题 2 + 段前: 0.5 行 段后: 0.5 行 + 段前: 0.5 行 段后: 0.5 行 +"/>
    <w:basedOn w:val="3021"/>
    <w:autoRedefine/>
    <w:qFormat/>
    <w:uiPriority w:val="0"/>
    <w:pPr>
      <w:keepNext w:val="0"/>
      <w:keepLines w:val="0"/>
      <w:widowControl/>
      <w:tabs>
        <w:tab w:val="left" w:pos="1410"/>
      </w:tabs>
      <w:spacing w:before="0" w:line="360" w:lineRule="auto"/>
    </w:pPr>
    <w:rPr>
      <w:rFonts w:eastAsia="黑体" w:cs="宋体"/>
      <w:sz w:val="28"/>
      <w:szCs w:val="20"/>
    </w:rPr>
  </w:style>
  <w:style w:type="paragraph" w:customStyle="1" w:styleId="3112">
    <w:name w:val="样式 样式 样式 标题 2 + 首行缩进:  2 字符1 + 首行缩进:  2 字符 + 首行缩进:  2 字符"/>
    <w:basedOn w:val="1"/>
    <w:qFormat/>
    <w:uiPriority w:val="0"/>
    <w:pPr>
      <w:keepNext/>
      <w:keepLines/>
      <w:adjustRightInd/>
      <w:snapToGrid/>
      <w:spacing w:after="120" w:line="240" w:lineRule="auto"/>
      <w:outlineLvl w:val="1"/>
    </w:pPr>
    <w:rPr>
      <w:rFonts w:eastAsia="仿宋_GB2312" w:cs="宋体"/>
      <w:b/>
      <w:bCs/>
      <w:snapToGrid/>
      <w:kern w:val="2"/>
      <w:szCs w:val="20"/>
      <w:u w:color="000000"/>
    </w:rPr>
  </w:style>
  <w:style w:type="paragraph" w:customStyle="1" w:styleId="3113">
    <w:name w:val="样式 样式 样式 标题 3 + 段前: 0.5 行 段后: 0.5 行 + 段前: 0.5 行 段后: 0.5 行 + 段前: ..."/>
    <w:basedOn w:val="3037"/>
    <w:autoRedefine/>
    <w:qFormat/>
    <w:uiPriority w:val="0"/>
    <w:pPr>
      <w:tabs>
        <w:tab w:val="left" w:pos="1830"/>
        <w:tab w:val="clear" w:pos="840"/>
        <w:tab w:val="clear" w:pos="1080"/>
      </w:tabs>
      <w:spacing w:beforeLines="0" w:afterLines="0"/>
      <w:ind w:left="1830" w:hanging="420"/>
    </w:pPr>
    <w:rPr>
      <w:rFonts w:cs="宋体"/>
    </w:rPr>
  </w:style>
  <w:style w:type="paragraph" w:customStyle="1" w:styleId="3114">
    <w:name w:val="样式 样式 样式 标题 3 + 非加粗 段前: 0.4 行 + 段后: 0.5 行 + 段前: 0.5 行 段后: 0.5 行"/>
    <w:basedOn w:val="3038"/>
    <w:qFormat/>
    <w:uiPriority w:val="0"/>
    <w:pPr>
      <w:tabs>
        <w:tab w:val="left" w:pos="1080"/>
        <w:tab w:val="clear" w:pos="780"/>
      </w:tabs>
      <w:spacing w:afterLines="30"/>
      <w:ind w:left="0" w:firstLine="0"/>
    </w:pPr>
    <w:rPr>
      <w:sz w:val="28"/>
      <w:szCs w:val="28"/>
    </w:rPr>
  </w:style>
  <w:style w:type="paragraph" w:customStyle="1" w:styleId="3115">
    <w:name w:val="样式 样式 样式 标题 3 + 首行缩进:  0 厘米1 + 首行缩进:  0 厘米 + 首行缩进:  0 字符"/>
    <w:basedOn w:val="3040"/>
    <w:qFormat/>
    <w:uiPriority w:val="0"/>
    <w:pPr>
      <w:ind w:firstLine="0"/>
    </w:pPr>
  </w:style>
  <w:style w:type="paragraph" w:customStyle="1" w:styleId="3116">
    <w:name w:val="样式 样式 样式 标题 3 + 左侧:  2 字符 右侧:  2 字符 段前: 0.25 行 段后: 0.25 行 + 右侧: ..."/>
    <w:basedOn w:val="3044"/>
    <w:autoRedefine/>
    <w:qFormat/>
    <w:uiPriority w:val="0"/>
    <w:pPr>
      <w:spacing w:before="87" w:after="87"/>
    </w:pPr>
  </w:style>
  <w:style w:type="paragraph" w:customStyle="1" w:styleId="3117">
    <w:name w:val="样式 样式 样式 标题 3标题 33 + 段前: 0.5 行 + 段前: 0.5 行 + 段前: 6 磅 段后: 0.5 行"/>
    <w:basedOn w:val="3051"/>
    <w:qFormat/>
    <w:uiPriority w:val="0"/>
  </w:style>
  <w:style w:type="paragraph" w:customStyle="1" w:styleId="3118">
    <w:name w:val="样式 样式 样式 标题 3标题 33 + 段前: 0.5 行 + 段前: 0.5 行 + 段前: 6 磅 段后: 6 磅"/>
    <w:basedOn w:val="3051"/>
    <w:qFormat/>
    <w:uiPriority w:val="0"/>
    <w:rPr>
      <w:color w:val="auto"/>
    </w:rPr>
  </w:style>
  <w:style w:type="paragraph" w:customStyle="1" w:styleId="3119">
    <w:name w:val="样式 样式 样式 标题 3标题 33 + 段前: 0.5 行 + 段前: 0.5 行 + 段前: 6 磅 段后: 6 磅1"/>
    <w:basedOn w:val="3051"/>
    <w:qFormat/>
    <w:uiPriority w:val="0"/>
  </w:style>
  <w:style w:type="paragraph" w:customStyle="1" w:styleId="3120">
    <w:name w:val="样式 样式 样式 标题 3小节名小节标题 33标题 13条标题1.1.1(F4)标题 3 Char Char Char标题 ....."/>
    <w:basedOn w:val="3057"/>
    <w:uiPriority w:val="0"/>
    <w:pPr>
      <w:keepLines w:val="0"/>
      <w:tabs>
        <w:tab w:val="left" w:pos="1281"/>
      </w:tabs>
      <w:kinsoku w:val="0"/>
      <w:overflowPunct w:val="0"/>
      <w:autoSpaceDE w:val="0"/>
      <w:autoSpaceDN w:val="0"/>
      <w:spacing w:before="50"/>
      <w:ind w:left="0" w:firstLine="0"/>
    </w:pPr>
    <w:rPr>
      <w:rFonts w:cs="宋体"/>
      <w:color w:val="000000"/>
      <w:kern w:val="0"/>
      <w:szCs w:val="20"/>
    </w:rPr>
  </w:style>
  <w:style w:type="paragraph" w:customStyle="1" w:styleId="3121">
    <w:name w:val="样式 样式 样式 标题 3小节名小节标题 33标题 13条标题1.1.1(F4)标题 3 Char Char Char标题 .....1"/>
    <w:basedOn w:val="3057"/>
    <w:qFormat/>
    <w:uiPriority w:val="0"/>
    <w:pPr>
      <w:keepLines w:val="0"/>
      <w:tabs>
        <w:tab w:val="left" w:pos="1281"/>
      </w:tabs>
      <w:kinsoku w:val="0"/>
      <w:overflowPunct w:val="0"/>
      <w:autoSpaceDE w:val="0"/>
      <w:autoSpaceDN w:val="0"/>
      <w:spacing w:before="50"/>
      <w:ind w:left="0" w:firstLine="0"/>
    </w:pPr>
    <w:rPr>
      <w:rFonts w:cs="宋体"/>
      <w:color w:val="000000"/>
      <w:kern w:val="0"/>
      <w:szCs w:val="20"/>
    </w:rPr>
  </w:style>
  <w:style w:type="paragraph" w:customStyle="1" w:styleId="3122">
    <w:name w:val="样式 样式 样式 标题 4 + 段前: 0.5 行 段后: 0.5 行 + 段前: 0.5 行 段后: 0.5 行 + 段前: ..."/>
    <w:basedOn w:val="1"/>
    <w:autoRedefine/>
    <w:qFormat/>
    <w:uiPriority w:val="0"/>
    <w:pPr>
      <w:widowControl/>
      <w:tabs>
        <w:tab w:val="left" w:pos="864"/>
        <w:tab w:val="left" w:pos="1050"/>
      </w:tabs>
      <w:adjustRightInd/>
      <w:snapToGrid/>
      <w:spacing w:beforeLines="50" w:afterLines="50" w:line="360" w:lineRule="auto"/>
      <w:ind w:left="864" w:hanging="864" w:firstLineChars="0"/>
      <w:outlineLvl w:val="3"/>
    </w:pPr>
    <w:rPr>
      <w:rFonts w:eastAsia="黑体" w:cs="Courier New"/>
      <w:b/>
      <w:bCs/>
      <w:snapToGrid/>
      <w:kern w:val="2"/>
      <w:sz w:val="28"/>
      <w:szCs w:val="20"/>
    </w:rPr>
  </w:style>
  <w:style w:type="paragraph" w:customStyle="1" w:styleId="3123">
    <w:name w:val="样式 样式 样式 标题 4标题 4 Char + 段前: 0.5 行 段后: 0.25 行 + 右侧:  1 字符 + 右侧: ..."/>
    <w:basedOn w:val="1"/>
    <w:qFormat/>
    <w:uiPriority w:val="0"/>
    <w:pPr>
      <w:tabs>
        <w:tab w:val="left" w:pos="2100"/>
      </w:tabs>
      <w:adjustRightInd/>
      <w:spacing w:beforeLines="50" w:afterLines="50" w:line="240" w:lineRule="auto"/>
      <w:ind w:left="200" w:leftChars="200" w:right="200" w:rightChars="200" w:hanging="840" w:firstLineChars="0"/>
      <w:jc w:val="left"/>
      <w:outlineLvl w:val="3"/>
    </w:pPr>
    <w:rPr>
      <w:rFonts w:ascii="宋体" w:hAnsi="宋体" w:cs="宋体"/>
      <w:b/>
      <w:bCs/>
      <w:snapToGrid/>
      <w:kern w:val="2"/>
      <w:sz w:val="28"/>
      <w:szCs w:val="20"/>
    </w:rPr>
  </w:style>
  <w:style w:type="paragraph" w:customStyle="1" w:styleId="3124">
    <w:name w:val="样式 样式 样式 标题 6 + 首行缩进:  2 字符 + 首行缩进:  2 字符 + 首行缩进:  2 字符"/>
    <w:basedOn w:val="3065"/>
    <w:autoRedefine/>
    <w:semiHidden/>
    <w:qFormat/>
    <w:uiPriority w:val="0"/>
  </w:style>
  <w:style w:type="paragraph" w:customStyle="1" w:styleId="3125">
    <w:name w:val="样式 样式 样式 公表文 + 段前: 0.2 行 段后: 0.2 行 + 左侧:  -0.2 字符 右侧:  -0.2 字符 段..."/>
    <w:basedOn w:val="1"/>
    <w:qFormat/>
    <w:uiPriority w:val="0"/>
    <w:pPr>
      <w:spacing w:beforeLines="20" w:afterLines="20" w:line="240" w:lineRule="auto"/>
      <w:ind w:left="-56" w:leftChars="-20" w:right="-56" w:rightChars="-20" w:firstLine="0" w:firstLineChars="0"/>
      <w:jc w:val="center"/>
    </w:pPr>
    <w:rPr>
      <w:rFonts w:ascii="宋体" w:hAnsi="宋体" w:eastAsia="楷体_GB2312" w:cs="宋体"/>
      <w:snapToGrid/>
      <w:kern w:val="2"/>
      <w:sz w:val="21"/>
      <w:szCs w:val="20"/>
    </w:rPr>
  </w:style>
  <w:style w:type="paragraph" w:customStyle="1" w:styleId="3126">
    <w:name w:val="样式 样式 样式 普通文字 + (西文) Times New Roman (中文) 仿宋_GB2312 四号 首行缩进:  2 ...1"/>
    <w:basedOn w:val="1"/>
    <w:autoRedefine/>
    <w:semiHidden/>
    <w:qFormat/>
    <w:uiPriority w:val="0"/>
    <w:pPr>
      <w:adjustRightInd/>
      <w:snapToGrid/>
      <w:ind w:firstLine="600"/>
    </w:pPr>
    <w:rPr>
      <w:rFonts w:ascii="宋体"/>
      <w:snapToGrid/>
      <w:kern w:val="2"/>
      <w:sz w:val="30"/>
      <w:szCs w:val="20"/>
    </w:rPr>
  </w:style>
  <w:style w:type="paragraph" w:customStyle="1" w:styleId="3127">
    <w:name w:val="样式 样式 样式 普通文字 + (西文) Times New Roman (中文) 仿宋_GB2312 四号 首行缩进:  2 ...2"/>
    <w:basedOn w:val="1"/>
    <w:autoRedefine/>
    <w:semiHidden/>
    <w:qFormat/>
    <w:uiPriority w:val="0"/>
    <w:pPr>
      <w:spacing w:line="300" w:lineRule="auto"/>
      <w:ind w:left="-4" w:firstLine="423" w:firstLineChars="151"/>
    </w:pPr>
    <w:rPr>
      <w:rFonts w:ascii="宋体"/>
      <w:snapToGrid/>
      <w:color w:val="FF0000"/>
      <w:kern w:val="2"/>
    </w:rPr>
  </w:style>
  <w:style w:type="paragraph" w:customStyle="1" w:styleId="3128">
    <w:name w:val="样式 样式 样式 首行缩进:  1 厘米 行距: 固定值 25 磅 + Times New Roman 首行缩进:  0.85 ...1"/>
    <w:basedOn w:val="1"/>
    <w:qFormat/>
    <w:uiPriority w:val="0"/>
    <w:pPr>
      <w:spacing w:line="360" w:lineRule="auto"/>
    </w:pPr>
    <w:rPr>
      <w:rFonts w:cs="宋体"/>
      <w:kern w:val="24"/>
    </w:rPr>
  </w:style>
  <w:style w:type="paragraph" w:customStyle="1" w:styleId="3129">
    <w:name w:val="样式 样式 样式 首行缩进:  2 字符 + 首行缩进:  2 字符 + 首行缩进:  2 字符"/>
    <w:basedOn w:val="1"/>
    <w:qFormat/>
    <w:uiPriority w:val="0"/>
    <w:pPr>
      <w:widowControl/>
      <w:spacing w:line="240" w:lineRule="auto"/>
      <w:textAlignment w:val="baseline"/>
    </w:pPr>
    <w:rPr>
      <w:rFonts w:cs="宋体"/>
      <w:color w:val="000000"/>
      <w:sz w:val="28"/>
      <w:u w:color="000000"/>
    </w:rPr>
  </w:style>
  <w:style w:type="paragraph" w:customStyle="1" w:styleId="3130">
    <w:name w:val="样式 样式 样式 首行缩进:  2 字符 + 首行缩进:  2 字符 + 首行缩进:  2 字符1"/>
    <w:basedOn w:val="1"/>
    <w:qFormat/>
    <w:uiPriority w:val="0"/>
    <w:pPr>
      <w:adjustRightInd/>
      <w:snapToGrid/>
      <w:spacing w:line="360" w:lineRule="auto"/>
    </w:pPr>
    <w:rPr>
      <w:rFonts w:cs="宋体"/>
      <w:snapToGrid/>
      <w:spacing w:val="14"/>
      <w:kern w:val="2"/>
      <w:szCs w:val="20"/>
    </w:rPr>
  </w:style>
  <w:style w:type="paragraph" w:customStyle="1" w:styleId="3131">
    <w:name w:val="样式 样式 样式 首行缩进:  2 字符 + 首行缩进:  2 字符 段后: 0.5 行 + 首行缩进:  2 字符"/>
    <w:basedOn w:val="1"/>
    <w:qFormat/>
    <w:uiPriority w:val="0"/>
    <w:pPr>
      <w:adjustRightInd/>
      <w:snapToGrid/>
      <w:spacing w:line="360" w:lineRule="auto"/>
      <w:ind w:firstLine="420"/>
    </w:pPr>
    <w:rPr>
      <w:rFonts w:cs="宋体"/>
      <w:snapToGrid/>
      <w:kern w:val="2"/>
      <w:szCs w:val="20"/>
    </w:rPr>
  </w:style>
  <w:style w:type="paragraph" w:customStyle="1" w:styleId="3132">
    <w:name w:val="样式 样式 样式 首行缩进:  2 字符 + 首行缩进:  2 字符4 + 首行缩进:  2 字符"/>
    <w:basedOn w:val="3084"/>
    <w:qFormat/>
    <w:uiPriority w:val="0"/>
  </w:style>
  <w:style w:type="paragraph" w:customStyle="1" w:styleId="3133">
    <w:name w:val="样式 样式 样式 首行缩进:  2 字符 + 首行缩进:  2 字符5 + 首行缩进:  2 字符"/>
    <w:basedOn w:val="3085"/>
    <w:qFormat/>
    <w:uiPriority w:val="0"/>
    <w:pPr>
      <w:spacing w:line="400" w:lineRule="exact"/>
    </w:pPr>
  </w:style>
  <w:style w:type="paragraph" w:customStyle="1" w:styleId="3134">
    <w:name w:val="样式 样式 样式 首行缩进:  2 字符 + 首行缩进:  2 字符7 + 首行缩进:  2 字符"/>
    <w:basedOn w:val="3087"/>
    <w:qFormat/>
    <w:uiPriority w:val="0"/>
    <w:pPr>
      <w:ind w:firstLine="600"/>
    </w:pPr>
    <w:rPr>
      <w:spacing w:val="26"/>
      <w:szCs w:val="28"/>
    </w:rPr>
  </w:style>
  <w:style w:type="paragraph" w:customStyle="1" w:styleId="3135">
    <w:name w:val="样式 样式 样式 首行缩进:  2 字符4 + 首行缩进:  2 字符 + 首行缩进:  2 字符"/>
    <w:basedOn w:val="1"/>
    <w:link w:val="3136"/>
    <w:qFormat/>
    <w:uiPriority w:val="0"/>
    <w:pPr>
      <w:adjustRightInd/>
      <w:snapToGrid/>
      <w:spacing w:line="560" w:lineRule="exact"/>
      <w:ind w:firstLine="560"/>
    </w:pPr>
    <w:rPr>
      <w:rFonts w:ascii="仿宋_GB2312" w:eastAsia="仿宋_GB2312"/>
      <w:snapToGrid/>
      <w:kern w:val="2"/>
      <w:sz w:val="28"/>
      <w:szCs w:val="20"/>
    </w:rPr>
  </w:style>
  <w:style w:type="character" w:customStyle="1" w:styleId="3136">
    <w:name w:val="样式 样式 样式 首行缩进:  2 字符4 + 首行缩进:  2 字符 + 首行缩进:  2 字符 Char"/>
    <w:link w:val="3135"/>
    <w:qFormat/>
    <w:uiPriority w:val="0"/>
    <w:rPr>
      <w:rFonts w:ascii="仿宋_GB2312" w:hAnsi="Times New Roman" w:eastAsia="仿宋_GB2312" w:cs="Times New Roman"/>
      <w:sz w:val="28"/>
      <w:szCs w:val="20"/>
      <w14:ligatures w14:val="none"/>
    </w:rPr>
  </w:style>
  <w:style w:type="paragraph" w:customStyle="1" w:styleId="3137">
    <w:name w:val="样式 样式 样式 宋体 四号 行距: 1.5 倍行距 + 首行缩进:  2.03 字符 + 首行缩进:  2.03 字符 行距..."/>
    <w:basedOn w:val="1"/>
    <w:semiHidden/>
    <w:qFormat/>
    <w:uiPriority w:val="0"/>
    <w:pPr>
      <w:adjustRightInd/>
      <w:snapToGrid/>
      <w:spacing w:line="360" w:lineRule="auto"/>
      <w:ind w:firstLine="197" w:firstLineChars="197"/>
    </w:pPr>
    <w:rPr>
      <w:rFonts w:ascii="宋体" w:hAnsi="宋体" w:cs="宋体"/>
      <w:snapToGrid/>
      <w:spacing w:val="6"/>
      <w:kern w:val="2"/>
      <w:szCs w:val="20"/>
    </w:rPr>
  </w:style>
  <w:style w:type="paragraph" w:customStyle="1" w:styleId="3138">
    <w:name w:val="样式 样式 样式 宋体 四号 左 行距: 固定值 25 磅 + 首行缩进:  2 字符 + Times New Roman"/>
    <w:basedOn w:val="1"/>
    <w:qFormat/>
    <w:uiPriority w:val="0"/>
    <w:pPr>
      <w:spacing w:line="360" w:lineRule="auto"/>
    </w:pPr>
    <w:rPr>
      <w:rFonts w:cs="宋体"/>
      <w:spacing w:val="14"/>
      <w:kern w:val="2"/>
    </w:rPr>
  </w:style>
  <w:style w:type="paragraph" w:customStyle="1" w:styleId="3139">
    <w:name w:val="样式 样式 样式 小四 行距: 1.5 倍行距 首行缩进:  2 字符1 + 首行缩进:  2 字符1 + 首行缩进:  2 字符"/>
    <w:basedOn w:val="3105"/>
    <w:qFormat/>
    <w:uiPriority w:val="0"/>
    <w:pPr>
      <w:spacing w:line="360" w:lineRule="auto"/>
    </w:pPr>
  </w:style>
  <w:style w:type="paragraph" w:customStyle="1" w:styleId="3140">
    <w:name w:val="样式 样式 样式 行距: 固定值 22 磅 + 首行缩进:  2 字符 + 首行缩进:  2 字符"/>
    <w:basedOn w:val="1"/>
    <w:qFormat/>
    <w:uiPriority w:val="0"/>
    <w:pPr>
      <w:adjustRightInd/>
      <w:snapToGrid/>
      <w:spacing w:line="480" w:lineRule="exact"/>
      <w:ind w:firstLine="480"/>
    </w:pPr>
    <w:rPr>
      <w:rFonts w:eastAsia="华文中宋"/>
      <w:snapToGrid/>
      <w:kern w:val="2"/>
      <w:szCs w:val="20"/>
    </w:rPr>
  </w:style>
  <w:style w:type="character" w:customStyle="1" w:styleId="3141">
    <w:name w:val="样式 样式 样式 行距: 固定值 22 磅 + 首行缩进:  2 字符 + 首行缩进:  2 字符 Char"/>
    <w:qFormat/>
    <w:uiPriority w:val="0"/>
    <w:rPr>
      <w:rFonts w:eastAsia="华文中宋"/>
      <w:kern w:val="2"/>
      <w:sz w:val="24"/>
      <w:lang w:val="en-US" w:eastAsia="zh-CN" w:bidi="ar-SA"/>
    </w:rPr>
  </w:style>
  <w:style w:type="character" w:customStyle="1" w:styleId="3142">
    <w:name w:val="样式 样式 样式 行距: 固定值 22 磅 + 首行缩进:  2 字符 + 首行缩进:  2 字符 Char Char"/>
    <w:qFormat/>
    <w:uiPriority w:val="0"/>
    <w:rPr>
      <w:rFonts w:eastAsia="华文中宋"/>
      <w:kern w:val="2"/>
      <w:sz w:val="24"/>
      <w:lang w:val="en-US" w:eastAsia="zh-CN" w:bidi="ar-SA"/>
    </w:rPr>
  </w:style>
  <w:style w:type="paragraph" w:customStyle="1" w:styleId="3143">
    <w:name w:val="样式 样式 样式 样式 标题 1 + 左侧:  2 字符 + 左  0 字符 + 段前: 0.5 行 段后: 0.5 行 + 段..."/>
    <w:basedOn w:val="1"/>
    <w:qFormat/>
    <w:uiPriority w:val="0"/>
    <w:pPr>
      <w:keepNext/>
      <w:keepLines/>
      <w:adjustRightInd/>
      <w:snapToGrid/>
      <w:spacing w:before="120" w:afterLines="10" w:line="240" w:lineRule="auto"/>
      <w:ind w:firstLine="0" w:firstLineChars="0"/>
      <w:outlineLvl w:val="0"/>
    </w:pPr>
    <w:rPr>
      <w:rFonts w:cs="宋体"/>
      <w:b/>
      <w:bCs/>
      <w:snapToGrid/>
      <w:kern w:val="44"/>
      <w:szCs w:val="20"/>
    </w:rPr>
  </w:style>
  <w:style w:type="paragraph" w:customStyle="1" w:styleId="3144">
    <w:name w:val="样式 样式 样式 样式 标题 2 + 段后: 0.5 行 + 段前: 0.5 行1 + 段前: 0.5 行 + 段前: 0.5 行"/>
    <w:basedOn w:val="1"/>
    <w:qFormat/>
    <w:uiPriority w:val="0"/>
    <w:pPr>
      <w:keepNext/>
      <w:keepLines/>
      <w:adjustRightInd/>
      <w:snapToGrid/>
      <w:spacing w:beforeLines="50" w:line="420" w:lineRule="exact"/>
      <w:ind w:firstLine="0" w:firstLineChars="0"/>
      <w:outlineLvl w:val="1"/>
    </w:pPr>
    <w:rPr>
      <w:rFonts w:ascii="Arial" w:hAnsi="Arial" w:eastAsia="黑体"/>
      <w:snapToGrid/>
      <w:kern w:val="2"/>
      <w:sz w:val="28"/>
      <w:szCs w:val="20"/>
    </w:rPr>
  </w:style>
  <w:style w:type="paragraph" w:customStyle="1" w:styleId="3145">
    <w:name w:val="样式 样式 样式 样式 标题 3 + 首行缩进:  0 厘米1 + 首行缩进:  0 厘米 + 首行缩进:  0 字符 + 首行..."/>
    <w:basedOn w:val="1"/>
    <w:qFormat/>
    <w:uiPriority w:val="0"/>
    <w:pPr>
      <w:keepNext/>
      <w:keepLines/>
      <w:adjustRightInd/>
      <w:snapToGrid/>
      <w:spacing w:line="240" w:lineRule="auto"/>
      <w:ind w:firstLine="0" w:firstLineChars="0"/>
      <w:outlineLvl w:val="2"/>
    </w:pPr>
    <w:rPr>
      <w:snapToGrid/>
      <w:kern w:val="2"/>
      <w:sz w:val="28"/>
      <w:szCs w:val="20"/>
    </w:rPr>
  </w:style>
  <w:style w:type="paragraph" w:customStyle="1" w:styleId="3146">
    <w:name w:val="样式 样式 样式 样式 标题 3段 + + 段前: 1.5 行 段后: 1.5 行 + 段前: 1.5 行 段后: 1.5 行 ..."/>
    <w:basedOn w:val="1"/>
    <w:qFormat/>
    <w:uiPriority w:val="0"/>
    <w:pPr>
      <w:keepLines/>
      <w:widowControl/>
      <w:adjustRightInd/>
      <w:snapToGrid/>
      <w:spacing w:beforeLines="100" w:afterLines="100" w:line="240" w:lineRule="auto"/>
      <w:ind w:firstLine="360" w:firstLineChars="0"/>
      <w:outlineLvl w:val="2"/>
    </w:pPr>
    <w:rPr>
      <w:rFonts w:ascii="Calibri" w:hAnsi="Calibri" w:eastAsia="黑体" w:cs="宋体"/>
      <w:b/>
      <w:bCs/>
      <w:snapToGrid/>
      <w:color w:val="000000"/>
      <w:szCs w:val="20"/>
      <w:lang w:eastAsia="en-US" w:bidi="en-US"/>
    </w:rPr>
  </w:style>
  <w:style w:type="paragraph" w:customStyle="1" w:styleId="3147">
    <w:name w:val="样式 样式 样式 样式 标题 4 + 华文隶书 三号 非加粗 段前: 0.3 行 + 段后: 0.5 行1 + 段前: 0.5 ...1"/>
    <w:basedOn w:val="1"/>
    <w:qFormat/>
    <w:uiPriority w:val="0"/>
    <w:pPr>
      <w:keepNext/>
      <w:keepLines/>
      <w:tabs>
        <w:tab w:val="left" w:pos="1080"/>
      </w:tabs>
      <w:spacing w:beforeLines="22" w:afterLines="22" w:line="240" w:lineRule="auto"/>
      <w:ind w:firstLine="0" w:firstLineChars="0"/>
      <w:outlineLvl w:val="3"/>
    </w:pPr>
    <w:rPr>
      <w:rFonts w:ascii="黑体" w:eastAsia="黑体" w:cs="宋体"/>
      <w:spacing w:val="26"/>
      <w:kern w:val="28"/>
    </w:rPr>
  </w:style>
  <w:style w:type="paragraph" w:customStyle="1" w:styleId="3148">
    <w:name w:val="样式 样式 样式 样式 标题 6 + 首行缩进:  2 字符 + 首行缩进:  2 字符 + 首行缩进:  2 字符 + 首行缩..."/>
    <w:basedOn w:val="3124"/>
    <w:autoRedefine/>
    <w:semiHidden/>
    <w:qFormat/>
    <w:uiPriority w:val="0"/>
  </w:style>
  <w:style w:type="paragraph" w:customStyle="1" w:styleId="3149">
    <w:name w:val="样式 样式 样式 样式 首行缩进:  2 字符 + 首行缩进:  2 字符5 + 首行缩进:  2 字符 + 首行缩进:  2 ..."/>
    <w:basedOn w:val="3133"/>
    <w:qFormat/>
    <w:uiPriority w:val="0"/>
    <w:pPr>
      <w:spacing w:line="540" w:lineRule="exact"/>
    </w:pPr>
  </w:style>
  <w:style w:type="paragraph" w:customStyle="1" w:styleId="3150">
    <w:name w:val="样式 样式 样式 样式 四号 + 首行缩进:  2 字符 + 首行缩进:  2 字符 + 首行缩进:  2 字符"/>
    <w:basedOn w:val="1"/>
    <w:qFormat/>
    <w:uiPriority w:val="0"/>
    <w:pPr>
      <w:adjustRightInd/>
      <w:snapToGrid/>
      <w:spacing w:line="360" w:lineRule="auto"/>
    </w:pPr>
    <w:rPr>
      <w:rFonts w:cs="宋体"/>
      <w:snapToGrid/>
      <w:kern w:val="2"/>
      <w:szCs w:val="20"/>
    </w:rPr>
  </w:style>
  <w:style w:type="paragraph" w:customStyle="1" w:styleId="3151">
    <w:name w:val="样式 样式 样式 样式 样式 标题 3 + 段前: 0.25 行 段后: 0.25 行 + 段前: 0.25 行 段后: 0.2..."/>
    <w:basedOn w:val="1"/>
    <w:qFormat/>
    <w:uiPriority w:val="0"/>
    <w:pPr>
      <w:tabs>
        <w:tab w:val="left" w:pos="1200"/>
      </w:tabs>
      <w:adjustRightInd/>
      <w:spacing w:beforeLines="25" w:afterLines="25" w:line="240" w:lineRule="auto"/>
      <w:ind w:left="200" w:leftChars="200" w:right="200" w:rightChars="200" w:hanging="360" w:firstLineChars="0"/>
      <w:jc w:val="left"/>
      <w:outlineLvl w:val="2"/>
    </w:pPr>
    <w:rPr>
      <w:rFonts w:cs="宋体"/>
      <w:b/>
      <w:bCs/>
      <w:snapToGrid/>
      <w:kern w:val="2"/>
      <w:sz w:val="30"/>
      <w:szCs w:val="20"/>
    </w:rPr>
  </w:style>
  <w:style w:type="paragraph" w:customStyle="1" w:styleId="3152">
    <w:name w:val="样式 样式 样式 样式 样式 段后: 0.5 行 + 段后: 0.5 行 + 段后: 0.5 行 + 段后: 0.5 行 + 段..."/>
    <w:basedOn w:val="1"/>
    <w:qFormat/>
    <w:uiPriority w:val="0"/>
    <w:pPr>
      <w:tabs>
        <w:tab w:val="left" w:pos="420"/>
      </w:tabs>
      <w:adjustRightInd/>
      <w:snapToGrid/>
      <w:spacing w:afterLines="50" w:line="360" w:lineRule="auto"/>
      <w:ind w:left="420" w:hanging="420" w:firstLineChars="0"/>
    </w:pPr>
    <w:rPr>
      <w:rFonts w:cs="宋体"/>
      <w:snapToGrid/>
      <w:kern w:val="2"/>
      <w:sz w:val="28"/>
      <w:szCs w:val="20"/>
    </w:rPr>
  </w:style>
  <w:style w:type="paragraph" w:customStyle="1" w:styleId="3153">
    <w:name w:val="样式 样式 样式 样式 样式 扉页标题 + 居中 左侧:  0 厘米 悬挂缩进: 2 字符 + 左侧:  0 厘米 悬挂缩进: ..."/>
    <w:basedOn w:val="1"/>
    <w:qFormat/>
    <w:uiPriority w:val="0"/>
    <w:pPr>
      <w:adjustRightInd/>
      <w:snapToGrid/>
      <w:spacing w:line="500" w:lineRule="exact"/>
      <w:ind w:left="720" w:hanging="720" w:hangingChars="200"/>
      <w:jc w:val="center"/>
    </w:pPr>
    <w:rPr>
      <w:rFonts w:cs="宋体"/>
      <w:snapToGrid/>
      <w:kern w:val="2"/>
      <w:sz w:val="32"/>
      <w:szCs w:val="20"/>
    </w:rPr>
  </w:style>
  <w:style w:type="paragraph" w:customStyle="1" w:styleId="3154">
    <w:name w:val="样式 样式 样式 样式 样式 宋体 四号 行距: 1.5 倍行距 + 首行缩进:  2.03 字符 + 首行缩进:  2.03 ..."/>
    <w:basedOn w:val="1"/>
    <w:semiHidden/>
    <w:qFormat/>
    <w:uiPriority w:val="0"/>
    <w:pPr>
      <w:adjustRightInd/>
      <w:snapToGrid/>
      <w:spacing w:line="360" w:lineRule="auto"/>
      <w:ind w:firstLine="446" w:firstLineChars="197"/>
    </w:pPr>
    <w:rPr>
      <w:rFonts w:ascii="宋体" w:hAnsi="宋体" w:cs="宋体"/>
      <w:snapToGrid/>
      <w:spacing w:val="20"/>
      <w:kern w:val="2"/>
    </w:rPr>
  </w:style>
  <w:style w:type="paragraph" w:customStyle="1" w:styleId="3155">
    <w:name w:val="样式 样式 样式 样式 样式 样式 标题 2 + 宋体 两端对齐 + 段前: 1 行 + 段前: 1 行 + 段前: 0.5 行..."/>
    <w:basedOn w:val="1"/>
    <w:qFormat/>
    <w:uiPriority w:val="0"/>
    <w:pPr>
      <w:keepNext/>
      <w:keepLines/>
      <w:spacing w:beforeLines="50" w:line="240" w:lineRule="auto"/>
      <w:ind w:firstLine="0" w:firstLineChars="0"/>
      <w:jc w:val="left"/>
      <w:outlineLvl w:val="1"/>
    </w:pPr>
    <w:rPr>
      <w:rFonts w:ascii="宋体" w:hAnsi="宋体" w:cs="宋体"/>
      <w:b/>
      <w:bCs/>
      <w:snapToGrid/>
      <w:kern w:val="2"/>
      <w:sz w:val="32"/>
      <w:szCs w:val="20"/>
    </w:rPr>
  </w:style>
  <w:style w:type="paragraph" w:customStyle="1" w:styleId="3156">
    <w:name w:val="样式 样式 样式 样式 样式 样式 公正文 + 首行缩进:  2 字符2 + 首行缩进:  2 字符 + 首行缩进:  2 字符..."/>
    <w:basedOn w:val="1"/>
    <w:link w:val="3157"/>
    <w:qFormat/>
    <w:uiPriority w:val="0"/>
    <w:pPr>
      <w:adjustRightInd/>
      <w:snapToGrid/>
      <w:spacing w:line="560" w:lineRule="exact"/>
    </w:pPr>
    <w:rPr>
      <w:rFonts w:ascii="仿宋_GB2312" w:hAnsi="宋体" w:eastAsia="仿宋_GB2312"/>
      <w:snapToGrid/>
      <w:kern w:val="2"/>
      <w:sz w:val="28"/>
      <w:szCs w:val="20"/>
    </w:rPr>
  </w:style>
  <w:style w:type="character" w:customStyle="1" w:styleId="3157">
    <w:name w:val="样式 样式 样式 样式 样式 样式 公正文 + 首行缩进:  2 字符2 + 首行缩进:  2 字符 + 首行缩进:  2 字符... Char"/>
    <w:link w:val="3156"/>
    <w:qFormat/>
    <w:uiPriority w:val="0"/>
    <w:rPr>
      <w:rFonts w:ascii="仿宋_GB2312" w:hAnsi="宋体" w:eastAsia="仿宋_GB2312" w:cs="Times New Roman"/>
      <w:sz w:val="28"/>
      <w:szCs w:val="20"/>
      <w14:ligatures w14:val="none"/>
    </w:rPr>
  </w:style>
  <w:style w:type="paragraph" w:customStyle="1" w:styleId="3158">
    <w:name w:val="样式 样式 样式 样式 样式 样式 样式 样式 样式 第节 小三 行距: 多倍行距 0.6 字行 + 首行缩进:  2 字符 +..."/>
    <w:basedOn w:val="1"/>
    <w:qFormat/>
    <w:uiPriority w:val="0"/>
    <w:pPr>
      <w:adjustRightInd/>
      <w:spacing w:line="312" w:lineRule="auto"/>
      <w:outlineLvl w:val="3"/>
    </w:pPr>
    <w:rPr>
      <w:rFonts w:eastAsia="仿宋_GB2312"/>
      <w:snapToGrid/>
      <w:kern w:val="2"/>
      <w:sz w:val="30"/>
      <w:szCs w:val="20"/>
    </w:rPr>
  </w:style>
  <w:style w:type="character" w:customStyle="1" w:styleId="3159">
    <w:name w:val="样式 样式 样式 样式 样式 样式 样式 样式 样式 第节 小三 行距: 多倍行距 0.6 字行 + 首行缩进:  2 字符 +... Char"/>
    <w:qFormat/>
    <w:uiPriority w:val="0"/>
    <w:rPr>
      <w:rFonts w:eastAsia="仿宋_GB2312" w:cs="宋体"/>
      <w:kern w:val="2"/>
      <w:sz w:val="30"/>
      <w:lang w:val="en-US" w:eastAsia="zh-CN" w:bidi="ar-SA"/>
    </w:rPr>
  </w:style>
  <w:style w:type="character" w:customStyle="1" w:styleId="3160">
    <w:name w:val="样式 样式 样式 样式 样式 样式 样式 样式 样式 第节 小三 行距: 多倍行距 0.6 字行 + 首行缩进:  2 字符 +... Char Char"/>
    <w:qFormat/>
    <w:uiPriority w:val="0"/>
    <w:rPr>
      <w:rFonts w:eastAsia="仿宋_GB2312" w:cs="宋体"/>
      <w:kern w:val="2"/>
      <w:sz w:val="30"/>
      <w:lang w:val="en-US" w:eastAsia="zh-CN" w:bidi="ar-SA"/>
    </w:rPr>
  </w:style>
  <w:style w:type="paragraph" w:customStyle="1" w:styleId="3161">
    <w:name w:val="样式 样式 样式 样式 样式4 + 首行缩进:  0.75 字符 + 首行缩进:  2 字符 + 首行缩进:  2 字符 + 首..."/>
    <w:basedOn w:val="1"/>
    <w:qFormat/>
    <w:uiPriority w:val="0"/>
    <w:pPr>
      <w:spacing w:line="480" w:lineRule="exact"/>
      <w:ind w:firstLine="560"/>
    </w:pPr>
    <w:rPr>
      <w:rFonts w:ascii="仿宋_GB2312" w:hAnsi="宋体" w:eastAsia="仿宋_GB2312"/>
      <w:snapToGrid/>
      <w:sz w:val="28"/>
      <w:szCs w:val="20"/>
    </w:rPr>
  </w:style>
  <w:style w:type="paragraph" w:customStyle="1" w:styleId="3162">
    <w:name w:val="样式 样式 样式 样式 正文编号（1） +1 Char Char Char Char Char + 行距: 固定值 22 磅 +..."/>
    <w:basedOn w:val="1"/>
    <w:semiHidden/>
    <w:qFormat/>
    <w:uiPriority w:val="0"/>
    <w:pPr>
      <w:numPr>
        <w:ilvl w:val="0"/>
        <w:numId w:val="22"/>
      </w:numPr>
      <w:snapToGrid/>
      <w:spacing w:line="800" w:lineRule="exact"/>
      <w:ind w:firstLine="0" w:firstLineChars="0"/>
    </w:pPr>
    <w:rPr>
      <w:rFonts w:eastAsia="黑体"/>
      <w:b/>
      <w:bCs/>
      <w:snapToGrid/>
      <w:color w:val="FF0000"/>
      <w:sz w:val="48"/>
      <w:szCs w:val="48"/>
    </w:rPr>
  </w:style>
  <w:style w:type="paragraph" w:customStyle="1" w:styleId="3163">
    <w:name w:val="样式 样式1 + 首行缩进:  2 字符"/>
    <w:basedOn w:val="1312"/>
    <w:semiHidden/>
    <w:qFormat/>
    <w:uiPriority w:val="0"/>
    <w:pPr>
      <w:adjustRightInd/>
      <w:snapToGrid/>
      <w:spacing w:beforeLines="50" w:afterLines="50" w:line="460" w:lineRule="exact"/>
      <w:ind w:firstLine="200" w:firstLineChars="0"/>
    </w:pPr>
    <w:rPr>
      <w:rFonts w:ascii="仿宋_GB2312" w:cs="宋体"/>
      <w:sz w:val="21"/>
      <w:szCs w:val="20"/>
    </w:rPr>
  </w:style>
  <w:style w:type="paragraph" w:customStyle="1" w:styleId="3164">
    <w:name w:val="样式 样式 样式1 + 首行缩进:  2 字符 + 首行缩进:  2 字符 段前: 0.5 行 段后: 0.5 行"/>
    <w:basedOn w:val="3163"/>
    <w:autoRedefine/>
    <w:semiHidden/>
    <w:qFormat/>
    <w:uiPriority w:val="0"/>
    <w:pPr>
      <w:spacing w:before="167" w:after="167"/>
      <w:ind w:firstLine="384"/>
    </w:pPr>
  </w:style>
  <w:style w:type="paragraph" w:customStyle="1" w:styleId="3165">
    <w:name w:val="样式 样式 样式 样式1 + 首行缩进:  2 字符 + 首行缩进:  2 字符 段前: 0.5 行 段后: 0.5 行 + 首..."/>
    <w:basedOn w:val="3164"/>
    <w:semiHidden/>
    <w:uiPriority w:val="0"/>
    <w:pPr>
      <w:ind w:firstLine="464"/>
    </w:pPr>
  </w:style>
  <w:style w:type="paragraph" w:customStyle="1" w:styleId="3166">
    <w:name w:val="样式 样式 样式 样式1 + 首行缩进:  2 字符 + 首行缩进:  2 字符 段前: 0.5 行 段后: 0.5 行 + 首...1"/>
    <w:basedOn w:val="3164"/>
    <w:semiHidden/>
    <w:qFormat/>
    <w:uiPriority w:val="0"/>
    <w:pPr>
      <w:ind w:firstLine="464"/>
    </w:pPr>
  </w:style>
  <w:style w:type="paragraph" w:customStyle="1" w:styleId="3167">
    <w:name w:val="样式 样式 样式 样式5 + 宋体 + 小四 + 段前: 0 磅 段后: 0 磅"/>
    <w:basedOn w:val="1"/>
    <w:link w:val="3168"/>
    <w:qFormat/>
    <w:uiPriority w:val="0"/>
    <w:pPr>
      <w:keepNext/>
      <w:keepLines/>
      <w:widowControl/>
      <w:tabs>
        <w:tab w:val="left" w:pos="864"/>
        <w:tab w:val="left" w:pos="1080"/>
      </w:tabs>
      <w:adjustRightInd/>
      <w:snapToGrid/>
      <w:spacing w:after="120" w:line="240" w:lineRule="auto"/>
      <w:ind w:left="862" w:hanging="862" w:firstLineChars="0"/>
      <w:outlineLvl w:val="3"/>
    </w:pPr>
    <w:rPr>
      <w:rFonts w:ascii="宋体" w:hAnsi="宋体"/>
      <w:b/>
      <w:bCs/>
      <w:snapToGrid/>
      <w:szCs w:val="28"/>
    </w:rPr>
  </w:style>
  <w:style w:type="character" w:customStyle="1" w:styleId="3168">
    <w:name w:val="样式 样式 样式 样式5 + 宋体 + 小四 + 段前: 0 磅 段后: 0 磅 Char Char"/>
    <w:link w:val="3167"/>
    <w:qFormat/>
    <w:uiPriority w:val="0"/>
    <w:rPr>
      <w:rFonts w:ascii="宋体" w:hAnsi="宋体" w:eastAsia="宋体" w:cs="Times New Roman"/>
      <w:b/>
      <w:bCs/>
      <w:kern w:val="0"/>
      <w:sz w:val="26"/>
      <w:szCs w:val="28"/>
      <w14:ligatures w14:val="none"/>
    </w:rPr>
  </w:style>
  <w:style w:type="character" w:customStyle="1" w:styleId="3169">
    <w:name w:val="样式 样式 样式 样式5 + 宋体 + 小四 + 段前: 0 磅 段后: 0 磅 Char"/>
    <w:qFormat/>
    <w:uiPriority w:val="0"/>
    <w:rPr>
      <w:rFonts w:ascii="宋体" w:hAnsi="宋体" w:eastAsia="宋体"/>
      <w:b/>
      <w:bCs/>
      <w:sz w:val="24"/>
      <w:szCs w:val="28"/>
      <w:lang w:val="en-US" w:eastAsia="zh-CN" w:bidi="ar-SA"/>
    </w:rPr>
  </w:style>
  <w:style w:type="paragraph" w:customStyle="1" w:styleId="3170">
    <w:name w:val="样式 样式 样式 正文首行缩进 2 Char + 首行缩进:  2 字符 段后: 0.5 行 + 首行缩进:  2 字符 段后..."/>
    <w:basedOn w:val="1"/>
    <w:link w:val="3171"/>
    <w:qFormat/>
    <w:uiPriority w:val="0"/>
    <w:pPr>
      <w:widowControl/>
      <w:adjustRightInd/>
      <w:snapToGrid/>
      <w:spacing w:afterLines="50" w:line="440" w:lineRule="exact"/>
      <w:jc w:val="left"/>
    </w:pPr>
    <w:rPr>
      <w:rFonts w:ascii="宋体" w:hAnsi="宋体"/>
      <w:snapToGrid/>
      <w:kern w:val="2"/>
      <w:szCs w:val="28"/>
    </w:rPr>
  </w:style>
  <w:style w:type="character" w:customStyle="1" w:styleId="3171">
    <w:name w:val="样式 样式 样式 正文首行缩进 2 Char + 首行缩进:  2 字符 段后: 0.5 行 + 首行缩进:  2 字符 段后... Char"/>
    <w:link w:val="3170"/>
    <w:qFormat/>
    <w:uiPriority w:val="0"/>
    <w:rPr>
      <w:rFonts w:ascii="宋体" w:hAnsi="宋体" w:eastAsia="宋体" w:cs="Times New Roman"/>
      <w:sz w:val="26"/>
      <w:szCs w:val="28"/>
      <w14:ligatures w14:val="none"/>
    </w:rPr>
  </w:style>
  <w:style w:type="paragraph" w:customStyle="1" w:styleId="3172">
    <w:name w:val="样式 正文缩进正文（首行缩进两字）文本条款正文（首行缩进两字） Chars4表正文正文非缩进四号首行缩进特点 ...3"/>
    <w:basedOn w:val="1"/>
    <w:qFormat/>
    <w:uiPriority w:val="0"/>
    <w:pPr>
      <w:adjustRightInd/>
      <w:snapToGrid/>
      <w:spacing w:line="240" w:lineRule="auto"/>
      <w:ind w:firstLine="560"/>
    </w:pPr>
    <w:rPr>
      <w:rFonts w:ascii="宋体" w:hAnsi="宋体" w:cs="宋体"/>
      <w:snapToGrid/>
      <w:kern w:val="2"/>
      <w:sz w:val="24"/>
      <w:szCs w:val="20"/>
    </w:rPr>
  </w:style>
  <w:style w:type="paragraph" w:customStyle="1" w:styleId="3173">
    <w:name w:val="样式 样式 正文缩进正文（首行缩进两字）文本条款正文（首行缩进两字） Chars4表正文正文非缩进四号首行缩进特点 ...3 +..."/>
    <w:basedOn w:val="3172"/>
    <w:qFormat/>
    <w:uiPriority w:val="0"/>
    <w:pPr>
      <w:spacing w:line="360" w:lineRule="auto"/>
      <w:ind w:firstLine="200"/>
    </w:pPr>
  </w:style>
  <w:style w:type="paragraph" w:customStyle="1" w:styleId="3174">
    <w:name w:val="样式 样式 样式 正文缩进正文（首行缩进两字）文本条款正文（首行缩进两字） Chars4表正文正文非缩进四号首行缩进特点 ......"/>
    <w:basedOn w:val="3173"/>
    <w:qFormat/>
    <w:uiPriority w:val="0"/>
  </w:style>
  <w:style w:type="paragraph" w:customStyle="1" w:styleId="3175">
    <w:name w:val="样式 样式 样式 正文文字缩进 + 首行缩进:  2 字符 + 首行缩进:  2 字符 + 首行缩进:  2 字符"/>
    <w:basedOn w:val="1"/>
    <w:qFormat/>
    <w:uiPriority w:val="0"/>
    <w:pPr>
      <w:tabs>
        <w:tab w:val="left" w:pos="6480"/>
      </w:tabs>
      <w:adjustRightInd/>
      <w:snapToGrid/>
      <w:spacing w:line="480" w:lineRule="exact"/>
      <w:ind w:firstLine="420"/>
    </w:pPr>
    <w:rPr>
      <w:rFonts w:eastAsia="黑体" w:cs="宋体"/>
      <w:snapToGrid/>
      <w:kern w:val="2"/>
      <w:szCs w:val="20"/>
    </w:rPr>
  </w:style>
  <w:style w:type="paragraph" w:customStyle="1" w:styleId="3176">
    <w:name w:val="样式 样式 样式16 + 非加粗 + 加粗 段前: 0.5 行 段后: 0.5 行"/>
    <w:basedOn w:val="1"/>
    <w:qFormat/>
    <w:uiPriority w:val="0"/>
    <w:pPr>
      <w:keepNext/>
      <w:keepLines/>
      <w:tabs>
        <w:tab w:val="left" w:pos="720"/>
        <w:tab w:val="left" w:pos="1078"/>
      </w:tabs>
      <w:adjustRightInd/>
      <w:snapToGrid/>
      <w:spacing w:beforeLines="50" w:afterLines="50"/>
      <w:ind w:left="720" w:hanging="720" w:firstLineChars="0"/>
      <w:outlineLvl w:val="2"/>
    </w:pPr>
    <w:rPr>
      <w:rFonts w:ascii="宋体" w:hAnsi="宋体" w:cs="宋体"/>
      <w:b/>
      <w:bCs/>
      <w:snapToGrid/>
      <w:spacing w:val="20"/>
      <w:kern w:val="24"/>
      <w:sz w:val="28"/>
      <w:szCs w:val="20"/>
    </w:rPr>
  </w:style>
  <w:style w:type="paragraph" w:customStyle="1" w:styleId="3177">
    <w:name w:val="样式 样式 样式24 + 左侧:  -0.25 字符 右侧:  -0.25 字符 段前: 0.2 行 段后: 0.2 行 + 段...1"/>
    <w:basedOn w:val="1"/>
    <w:qFormat/>
    <w:uiPriority w:val="0"/>
    <w:pPr>
      <w:spacing w:line="0" w:lineRule="atLeast"/>
      <w:ind w:firstLine="0" w:firstLineChars="0"/>
      <w:jc w:val="center"/>
    </w:pPr>
    <w:rPr>
      <w:rFonts w:ascii="楷体_GB2312" w:hAnsi="宋体" w:eastAsia="楷体_GB2312" w:cs="宋体"/>
      <w:snapToGrid/>
      <w:sz w:val="21"/>
      <w:szCs w:val="20"/>
    </w:rPr>
  </w:style>
  <w:style w:type="paragraph" w:customStyle="1" w:styleId="3178">
    <w:name w:val="样式 样式4 + 黑色"/>
    <w:basedOn w:val="1"/>
    <w:qFormat/>
    <w:uiPriority w:val="0"/>
    <w:pPr>
      <w:adjustRightInd/>
      <w:snapToGrid/>
      <w:spacing w:line="240" w:lineRule="auto"/>
      <w:ind w:firstLine="480"/>
    </w:pPr>
    <w:rPr>
      <w:rFonts w:eastAsia="华文中宋"/>
      <w:snapToGrid/>
      <w:color w:val="000000"/>
      <w:kern w:val="2"/>
    </w:rPr>
  </w:style>
  <w:style w:type="paragraph" w:customStyle="1" w:styleId="3179">
    <w:name w:val="样式 样式 样式4 + 黑色 + 自动设置"/>
    <w:basedOn w:val="3178"/>
    <w:qFormat/>
    <w:uiPriority w:val="0"/>
    <w:rPr>
      <w:color w:val="auto"/>
    </w:rPr>
  </w:style>
  <w:style w:type="character" w:customStyle="1" w:styleId="3180">
    <w:name w:val="样式 样式 样式4 + 黑色 + 自动设置 Char"/>
    <w:qFormat/>
    <w:uiPriority w:val="0"/>
    <w:rPr>
      <w:rFonts w:eastAsia="华文中宋"/>
      <w:color w:val="000000"/>
      <w:kern w:val="2"/>
      <w:sz w:val="24"/>
      <w:szCs w:val="24"/>
      <w:lang w:val="en-US" w:eastAsia="zh-CN"/>
    </w:rPr>
  </w:style>
  <w:style w:type="character" w:customStyle="1" w:styleId="3181">
    <w:name w:val="样式 样式 样式4 + 黑色 + 自动设置 Char Char"/>
    <w:qFormat/>
    <w:uiPriority w:val="0"/>
    <w:rPr>
      <w:rFonts w:eastAsia="华文中宋"/>
      <w:color w:val="000000"/>
      <w:kern w:val="2"/>
      <w:sz w:val="24"/>
      <w:szCs w:val="24"/>
      <w:lang w:val="en-US" w:eastAsia="zh-CN"/>
    </w:rPr>
  </w:style>
  <w:style w:type="paragraph" w:customStyle="1" w:styleId="3182">
    <w:name w:val="样式 样式 正文1 + 段前: 0.5 行 段后: 0.5 行 + Times New Roman"/>
    <w:basedOn w:val="1"/>
    <w:qFormat/>
    <w:uiPriority w:val="0"/>
    <w:pPr>
      <w:overflowPunct w:val="0"/>
      <w:autoSpaceDE w:val="0"/>
      <w:autoSpaceDN w:val="0"/>
      <w:spacing w:beforeLines="50" w:afterLines="50" w:line="384" w:lineRule="auto"/>
      <w:ind w:firstLine="560"/>
      <w:textAlignment w:val="bottom"/>
    </w:pPr>
    <w:rPr>
      <w:rFonts w:eastAsia="仿宋_GB2312"/>
      <w:snapToGrid/>
      <w:kern w:val="2"/>
      <w:sz w:val="28"/>
      <w:szCs w:val="28"/>
    </w:rPr>
  </w:style>
  <w:style w:type="paragraph" w:customStyle="1" w:styleId="3183">
    <w:name w:val="样式 样式 正文1 + 仿宋_GB2312 四号 段前: 0.5 行 段后: 7.8 磅 + 首行缩进:  2 字符"/>
    <w:basedOn w:val="1"/>
    <w:qFormat/>
    <w:uiPriority w:val="0"/>
    <w:pPr>
      <w:tabs>
        <w:tab w:val="left" w:pos="540"/>
      </w:tabs>
      <w:adjustRightInd/>
      <w:snapToGrid/>
      <w:spacing w:afterLines="100" w:line="360" w:lineRule="auto"/>
      <w:ind w:left="540" w:firstLine="0" w:firstLineChars="0"/>
    </w:pPr>
    <w:rPr>
      <w:rFonts w:ascii="仿宋_GB2312" w:eastAsia="仿宋_GB2312" w:cs="宋体"/>
      <w:snapToGrid/>
      <w:kern w:val="2"/>
      <w:szCs w:val="20"/>
    </w:rPr>
  </w:style>
  <w:style w:type="paragraph" w:customStyle="1" w:styleId="3184">
    <w:name w:val="样式 正文首行缩进 + 首行缩进:  1 字符"/>
    <w:basedOn w:val="86"/>
    <w:link w:val="3185"/>
    <w:qFormat/>
    <w:uiPriority w:val="0"/>
    <w:pPr>
      <w:adjustRightInd/>
      <w:snapToGrid/>
      <w:spacing w:after="0"/>
      <w:ind w:firstLine="200" w:firstLineChars="200"/>
    </w:pPr>
    <w:rPr>
      <w:rFonts w:hAnsi="宋体"/>
      <w:snapToGrid/>
      <w:szCs w:val="21"/>
    </w:rPr>
  </w:style>
  <w:style w:type="character" w:customStyle="1" w:styleId="3185">
    <w:name w:val="样式 正文首行缩进 + 首行缩进:  1 字符 Char Char"/>
    <w:link w:val="3184"/>
    <w:qFormat/>
    <w:uiPriority w:val="0"/>
    <w:rPr>
      <w:rFonts w:ascii="Times New Roman" w:hAnsi="宋体" w:eastAsia="宋体" w:cs="Times New Roman"/>
      <w:kern w:val="0"/>
      <w:sz w:val="26"/>
      <w:szCs w:val="21"/>
      <w14:ligatures w14:val="none"/>
    </w:rPr>
  </w:style>
  <w:style w:type="paragraph" w:customStyle="1" w:styleId="3186">
    <w:name w:val="样式 样式 正文首行缩进 + 首行缩进:  1 字符 + 宋体"/>
    <w:basedOn w:val="3184"/>
    <w:link w:val="3187"/>
    <w:qFormat/>
    <w:uiPriority w:val="0"/>
    <w:pPr>
      <w:ind w:firstLine="480"/>
    </w:pPr>
    <w:rPr>
      <w:rFonts w:ascii="宋体"/>
      <w:color w:val="0000FF"/>
      <w:szCs w:val="20"/>
    </w:rPr>
  </w:style>
  <w:style w:type="character" w:customStyle="1" w:styleId="3187">
    <w:name w:val="样式 样式 正文首行缩进 + 首行缩进:  1 字符 + 宋体 Char Char"/>
    <w:link w:val="3186"/>
    <w:qFormat/>
    <w:uiPriority w:val="0"/>
    <w:rPr>
      <w:rFonts w:ascii="宋体" w:hAnsi="宋体" w:eastAsia="宋体" w:cs="Times New Roman"/>
      <w:color w:val="0000FF"/>
      <w:kern w:val="0"/>
      <w:sz w:val="26"/>
      <w:szCs w:val="20"/>
      <w14:ligatures w14:val="none"/>
    </w:rPr>
  </w:style>
  <w:style w:type="paragraph" w:customStyle="1" w:styleId="3188">
    <w:name w:val="样式 样式 正文首行缩进 + 首行缩进:  2 字符"/>
    <w:basedOn w:val="1"/>
    <w:next w:val="1"/>
    <w:qFormat/>
    <w:uiPriority w:val="0"/>
    <w:pPr>
      <w:adjustRightInd/>
      <w:snapToGrid/>
      <w:spacing w:line="360" w:lineRule="auto"/>
      <w:ind w:firstLine="480" w:firstLineChars="0"/>
    </w:pPr>
    <w:rPr>
      <w:snapToGrid/>
      <w:kern w:val="2"/>
      <w:szCs w:val="20"/>
    </w:rPr>
  </w:style>
  <w:style w:type="paragraph" w:customStyle="1" w:styleId="3189">
    <w:name w:val="样式 样式 正文首行缩进 + 首行缩进:  2 字符1 + 宋体 四号 首行缩进:  2 字符"/>
    <w:basedOn w:val="1"/>
    <w:qFormat/>
    <w:uiPriority w:val="0"/>
    <w:pPr>
      <w:adjustRightInd/>
      <w:snapToGrid/>
      <w:spacing w:line="360" w:lineRule="auto"/>
      <w:ind w:firstLine="560"/>
    </w:pPr>
    <w:rPr>
      <w:rFonts w:ascii="宋体" w:hAnsi="宋体" w:cs="宋体"/>
      <w:snapToGrid/>
      <w:kern w:val="2"/>
      <w:szCs w:val="20"/>
    </w:rPr>
  </w:style>
  <w:style w:type="paragraph" w:customStyle="1" w:styleId="3190">
    <w:name w:val="样式 样式 正文首行缩进 2 + 首行缩进:  2 字符 + 首行缩进:  2 字符"/>
    <w:basedOn w:val="1"/>
    <w:qFormat/>
    <w:uiPriority w:val="0"/>
    <w:pPr>
      <w:adjustRightInd/>
      <w:snapToGrid/>
      <w:spacing w:line="400" w:lineRule="exact"/>
    </w:pPr>
    <w:rPr>
      <w:rFonts w:cs="宋体"/>
      <w:snapToGrid/>
      <w:kern w:val="2"/>
      <w:szCs w:val="20"/>
    </w:rPr>
  </w:style>
  <w:style w:type="paragraph" w:customStyle="1" w:styleId="3191">
    <w:name w:val="样式 样式 正文首行缩进 2 + 四号 首行缩进:  2 字符 + 首行缩进:  2 字符"/>
    <w:basedOn w:val="1"/>
    <w:qFormat/>
    <w:uiPriority w:val="0"/>
    <w:pPr>
      <w:adjustRightInd/>
      <w:snapToGrid/>
      <w:spacing w:line="360" w:lineRule="auto"/>
      <w:ind w:firstLine="480"/>
    </w:pPr>
    <w:rPr>
      <w:rFonts w:cs="宋体"/>
      <w:snapToGrid/>
      <w:kern w:val="2"/>
    </w:rPr>
  </w:style>
  <w:style w:type="paragraph" w:customStyle="1" w:styleId="3192">
    <w:name w:val="样式 样式 正文缩进 + (符号) 宋体 小四 首行缩进:  2 字符 行距: 固定值 22 磅1 + 首行缩进:  2 字符"/>
    <w:basedOn w:val="1"/>
    <w:qFormat/>
    <w:uiPriority w:val="0"/>
    <w:pPr>
      <w:adjustRightInd/>
      <w:snapToGrid/>
      <w:spacing w:line="360" w:lineRule="auto"/>
      <w:ind w:firstLine="432" w:firstLineChars="0"/>
      <w:jc w:val="left"/>
    </w:pPr>
    <w:rPr>
      <w:rFonts w:ascii="宋体" w:hAnsi="宋体"/>
      <w:snapToGrid/>
      <w:kern w:val="2"/>
    </w:rPr>
  </w:style>
  <w:style w:type="paragraph" w:customStyle="1" w:styleId="3193">
    <w:name w:val="样式 样式 正文缩进s4 + 首行缩进:  2 字符 + 首行缩进:  2 字符"/>
    <w:basedOn w:val="1"/>
    <w:autoRedefine/>
    <w:qFormat/>
    <w:uiPriority w:val="0"/>
    <w:pPr>
      <w:spacing w:line="360" w:lineRule="auto"/>
      <w:ind w:firstLine="480"/>
    </w:pPr>
    <w:rPr>
      <w:rFonts w:eastAsia="仿宋_GB2312"/>
      <w:snapToGrid/>
      <w:kern w:val="2"/>
      <w:sz w:val="28"/>
      <w:szCs w:val="20"/>
    </w:rPr>
  </w:style>
  <w:style w:type="paragraph" w:customStyle="1" w:styleId="3194">
    <w:name w:val="样式 正文缩进正文（首行缩进两字）文本条款正文（首行缩进两字） Chars4表正文正文非缩进四号首行缩进特点 ...1"/>
    <w:basedOn w:val="1"/>
    <w:uiPriority w:val="0"/>
    <w:pPr>
      <w:adjustRightInd/>
      <w:snapToGrid/>
      <w:spacing w:line="360" w:lineRule="auto"/>
      <w:ind w:firstLine="560"/>
    </w:pPr>
    <w:rPr>
      <w:rFonts w:ascii="宋体" w:hAnsi="宋体" w:cs="宋体"/>
      <w:snapToGrid/>
      <w:kern w:val="2"/>
      <w:sz w:val="24"/>
      <w:szCs w:val="20"/>
    </w:rPr>
  </w:style>
  <w:style w:type="paragraph" w:customStyle="1" w:styleId="3195">
    <w:name w:val="样式 样式 正文缩进正文（首行缩进两字）文本条款正文（首行缩进两字） Chars4表正文正文非缩进四号首行缩进特点 ...1 +..."/>
    <w:basedOn w:val="3194"/>
    <w:qFormat/>
    <w:uiPriority w:val="0"/>
    <w:pPr>
      <w:ind w:firstLine="200"/>
    </w:pPr>
  </w:style>
  <w:style w:type="paragraph" w:customStyle="1" w:styleId="3196">
    <w:name w:val="样式 样式 正文缩进正文（首行缩进两字）文本条款正文（首行缩进两字） Chars4表正文正文非缩进四号首行缩进特点 ...3 +...1"/>
    <w:basedOn w:val="3172"/>
    <w:qFormat/>
    <w:uiPriority w:val="0"/>
    <w:pPr>
      <w:spacing w:line="360" w:lineRule="auto"/>
      <w:ind w:firstLine="200"/>
    </w:pPr>
  </w:style>
  <w:style w:type="paragraph" w:customStyle="1" w:styleId="3197">
    <w:name w:val="样式 正文小4 + 加粗 首行缩进:  2 字符"/>
    <w:basedOn w:val="1"/>
    <w:link w:val="3198"/>
    <w:qFormat/>
    <w:uiPriority w:val="0"/>
    <w:pPr>
      <w:adjustRightInd/>
      <w:snapToGrid/>
      <w:ind w:firstLine="570"/>
    </w:pPr>
    <w:rPr>
      <w:rFonts w:ascii="宋体" w:hAnsi="宋体"/>
      <w:b/>
      <w:snapToGrid/>
      <w:spacing w:val="22"/>
      <w:kern w:val="24"/>
    </w:rPr>
  </w:style>
  <w:style w:type="character" w:customStyle="1" w:styleId="3198">
    <w:name w:val="样式 正文小4 + 加粗 首行缩进:  2 字符 Char1"/>
    <w:link w:val="3197"/>
    <w:qFormat/>
    <w:uiPriority w:val="0"/>
    <w:rPr>
      <w:rFonts w:ascii="宋体" w:hAnsi="宋体" w:eastAsia="宋体" w:cs="Times New Roman"/>
      <w:b/>
      <w:spacing w:val="22"/>
      <w:kern w:val="24"/>
      <w:sz w:val="26"/>
      <w:szCs w:val="24"/>
      <w14:ligatures w14:val="none"/>
    </w:rPr>
  </w:style>
  <w:style w:type="paragraph" w:customStyle="1" w:styleId="3199">
    <w:name w:val="样式 样式 正文小4 + 加粗 首行缩进:  2 字符 +"/>
    <w:basedOn w:val="3197"/>
    <w:link w:val="3200"/>
    <w:qFormat/>
    <w:uiPriority w:val="0"/>
    <w:rPr>
      <w:bCs/>
    </w:rPr>
  </w:style>
  <w:style w:type="character" w:customStyle="1" w:styleId="3200">
    <w:name w:val="样式 样式 正文小4 + 加粗 首行缩进:  2 字符 + Char Char"/>
    <w:link w:val="3199"/>
    <w:qFormat/>
    <w:uiPriority w:val="0"/>
    <w:rPr>
      <w:rFonts w:ascii="宋体" w:hAnsi="宋体" w:eastAsia="宋体" w:cs="Times New Roman"/>
      <w:b/>
      <w:bCs/>
      <w:spacing w:val="22"/>
      <w:kern w:val="24"/>
      <w:sz w:val="26"/>
      <w:szCs w:val="24"/>
      <w14:ligatures w14:val="none"/>
    </w:rPr>
  </w:style>
  <w:style w:type="character" w:customStyle="1" w:styleId="3201">
    <w:name w:val="样式 样式 正文小4 + 加粗 首行缩进:  2 字符 + Char"/>
    <w:qFormat/>
    <w:uiPriority w:val="0"/>
    <w:rPr>
      <w:rFonts w:ascii="宋体" w:hAnsi="宋体" w:eastAsia="宋体"/>
      <w:b/>
      <w:bCs/>
      <w:spacing w:val="22"/>
      <w:kern w:val="24"/>
      <w:sz w:val="24"/>
      <w:szCs w:val="24"/>
      <w:lang w:val="en-US" w:eastAsia="zh-CN" w:bidi="ar-SA"/>
    </w:rPr>
  </w:style>
  <w:style w:type="paragraph" w:customStyle="1" w:styleId="3202">
    <w:name w:val="样式 样式 正文样式 + 首行缩进:  2.03 字符 + 首行缩进:  1.97 字符"/>
    <w:basedOn w:val="1"/>
    <w:semiHidden/>
    <w:qFormat/>
    <w:uiPriority w:val="0"/>
    <w:pPr>
      <w:autoSpaceDE w:val="0"/>
      <w:autoSpaceDN w:val="0"/>
      <w:snapToGrid/>
      <w:spacing w:line="360" w:lineRule="auto"/>
      <w:ind w:firstLine="197" w:firstLineChars="197"/>
    </w:pPr>
    <w:rPr>
      <w:rFonts w:ascii="宋体" w:cs="宋体"/>
      <w:snapToGrid/>
      <w:spacing w:val="8"/>
      <w:position w:val="-20"/>
      <w:szCs w:val="20"/>
      <w:lang w:val="zh-CN"/>
    </w:rPr>
  </w:style>
  <w:style w:type="paragraph" w:customStyle="1" w:styleId="3203">
    <w:name w:val="样式 样式 正文样式 + 首行缩进:  2.03 字符 + 首行缩进:  2.03 字符"/>
    <w:basedOn w:val="1"/>
    <w:semiHidden/>
    <w:qFormat/>
    <w:uiPriority w:val="0"/>
    <w:pPr>
      <w:autoSpaceDE w:val="0"/>
      <w:autoSpaceDN w:val="0"/>
      <w:snapToGrid/>
      <w:spacing w:line="360" w:lineRule="auto"/>
      <w:ind w:firstLine="197" w:firstLineChars="197"/>
    </w:pPr>
    <w:rPr>
      <w:rFonts w:ascii="宋体" w:cs="宋体"/>
      <w:snapToGrid/>
      <w:spacing w:val="20"/>
      <w:position w:val="-20"/>
      <w:lang w:val="zh-CN"/>
    </w:rPr>
  </w:style>
  <w:style w:type="paragraph" w:customStyle="1" w:styleId="3204">
    <w:name w:val="样式 样式 左侧:  1.69 厘米 + 左侧:  1.69 厘米"/>
    <w:basedOn w:val="1"/>
    <w:autoRedefine/>
    <w:qFormat/>
    <w:uiPriority w:val="0"/>
    <w:pPr>
      <w:adjustRightInd/>
      <w:snapToGrid/>
      <w:spacing w:line="300" w:lineRule="auto"/>
      <w:ind w:left="720" w:firstLine="480"/>
    </w:pPr>
    <w:rPr>
      <w:rFonts w:cs="宋体"/>
      <w:snapToGrid/>
      <w:kern w:val="2"/>
      <w:szCs w:val="20"/>
    </w:rPr>
  </w:style>
  <w:style w:type="paragraph" w:customStyle="1" w:styleId="3205">
    <w:name w:val="样式 样式1 + 段前: 0.5 行"/>
    <w:basedOn w:val="1312"/>
    <w:qFormat/>
    <w:uiPriority w:val="0"/>
    <w:pPr>
      <w:snapToGrid/>
      <w:spacing w:before="120" w:beforeAutospacing="1" w:after="100" w:afterAutospacing="1" w:line="360" w:lineRule="auto"/>
      <w:ind w:firstLine="560"/>
      <w:jc w:val="left"/>
    </w:pPr>
    <w:rPr>
      <w:rFonts w:ascii="宋体" w:hAnsi="宋体"/>
      <w:bCs/>
      <w:snapToGrid w:val="0"/>
      <w:color w:val="000000"/>
      <w:sz w:val="24"/>
      <w:szCs w:val="20"/>
    </w:rPr>
  </w:style>
  <w:style w:type="paragraph" w:customStyle="1" w:styleId="3206">
    <w:name w:val="样式 样式15 + 黑色"/>
    <w:basedOn w:val="1"/>
    <w:qFormat/>
    <w:uiPriority w:val="0"/>
    <w:pPr>
      <w:adjustRightInd/>
      <w:snapToGrid/>
      <w:spacing w:line="240" w:lineRule="auto"/>
      <w:ind w:firstLine="420"/>
    </w:pPr>
    <w:rPr>
      <w:rFonts w:eastAsia="华文中宋"/>
      <w:snapToGrid/>
      <w:color w:val="000000"/>
      <w:sz w:val="21"/>
      <w:szCs w:val="21"/>
    </w:rPr>
  </w:style>
  <w:style w:type="paragraph" w:customStyle="1" w:styleId="3207">
    <w:name w:val="样式 样式2 + 段前: 0 磅 段后: 0 磅"/>
    <w:basedOn w:val="4"/>
    <w:qFormat/>
    <w:uiPriority w:val="0"/>
    <w:pPr>
      <w:numPr>
        <w:ilvl w:val="0"/>
        <w:numId w:val="0"/>
      </w:numPr>
      <w:adjustRightInd/>
      <w:snapToGrid/>
      <w:spacing w:line="240" w:lineRule="auto"/>
    </w:pPr>
    <w:rPr>
      <w:rFonts w:ascii="Arial" w:hAnsi="Arial" w:cs="宋体"/>
      <w:bCs/>
      <w:snapToGrid/>
      <w:sz w:val="30"/>
      <w:szCs w:val="20"/>
    </w:rPr>
  </w:style>
  <w:style w:type="paragraph" w:customStyle="1" w:styleId="3208">
    <w:name w:val="样式3"/>
    <w:basedOn w:val="3"/>
    <w:link w:val="3209"/>
    <w:qFormat/>
    <w:uiPriority w:val="0"/>
    <w:pPr>
      <w:keepNext/>
      <w:keepLines/>
      <w:numPr>
        <w:numId w:val="0"/>
      </w:numPr>
      <w:adjustRightInd/>
      <w:snapToGrid/>
      <w:spacing w:before="340" w:afterLines="0" w:line="200" w:lineRule="exact"/>
      <w:jc w:val="both"/>
    </w:pPr>
    <w:rPr>
      <w:rFonts w:eastAsia="宋体"/>
      <w:snapToGrid/>
      <w:kern w:val="44"/>
      <w:sz w:val="32"/>
    </w:rPr>
  </w:style>
  <w:style w:type="character" w:customStyle="1" w:styleId="3209">
    <w:name w:val="样式3 Char Char"/>
    <w:link w:val="3208"/>
    <w:qFormat/>
    <w:uiPriority w:val="0"/>
    <w:rPr>
      <w:rFonts w:ascii="Times New Roman" w:hAnsi="Times New Roman" w:eastAsia="宋体" w:cs="Times New Roman"/>
      <w:b/>
      <w:bCs/>
      <w:kern w:val="44"/>
      <w:sz w:val="32"/>
      <w:szCs w:val="32"/>
      <w14:ligatures w14:val="none"/>
    </w:rPr>
  </w:style>
  <w:style w:type="paragraph" w:customStyle="1" w:styleId="3210">
    <w:name w:val="样式 样式3 + 黑色"/>
    <w:basedOn w:val="3208"/>
    <w:qFormat/>
    <w:uiPriority w:val="0"/>
    <w:pPr>
      <w:keepNext w:val="0"/>
      <w:keepLines w:val="0"/>
      <w:spacing w:before="0" w:afterLines="20" w:line="240" w:lineRule="auto"/>
      <w:ind w:firstLine="480" w:firstLineChars="200"/>
      <w:outlineLvl w:val="9"/>
    </w:pPr>
    <w:rPr>
      <w:rFonts w:eastAsia="华文中宋"/>
      <w:b w:val="0"/>
      <w:bCs w:val="0"/>
      <w:color w:val="000000"/>
      <w:kern w:val="2"/>
      <w:sz w:val="24"/>
      <w:szCs w:val="24"/>
    </w:rPr>
  </w:style>
  <w:style w:type="paragraph" w:customStyle="1" w:styleId="3211">
    <w:name w:val="样式 样式3 + 首行缩进:  2 字符"/>
    <w:basedOn w:val="3208"/>
    <w:qFormat/>
    <w:uiPriority w:val="0"/>
    <w:pPr>
      <w:keepNext w:val="0"/>
      <w:keepLines w:val="0"/>
      <w:spacing w:before="0" w:line="360" w:lineRule="auto"/>
      <w:outlineLvl w:val="9"/>
    </w:pPr>
    <w:rPr>
      <w:rFonts w:ascii="宋体" w:hAnsi="宋体" w:cs="宋体"/>
      <w:kern w:val="2"/>
      <w:sz w:val="24"/>
      <w:szCs w:val="20"/>
    </w:rPr>
  </w:style>
  <w:style w:type="paragraph" w:customStyle="1" w:styleId="3212">
    <w:name w:val="样式 样式5 + 黑色"/>
    <w:basedOn w:val="1"/>
    <w:qFormat/>
    <w:uiPriority w:val="0"/>
    <w:pPr>
      <w:adjustRightInd/>
      <w:snapToGrid/>
      <w:spacing w:line="240" w:lineRule="auto"/>
      <w:ind w:firstLine="420"/>
    </w:pPr>
    <w:rPr>
      <w:rFonts w:eastAsia="华文中宋"/>
      <w:snapToGrid/>
      <w:color w:val="000000"/>
      <w:kern w:val="2"/>
      <w:sz w:val="21"/>
      <w:szCs w:val="21"/>
    </w:rPr>
  </w:style>
  <w:style w:type="paragraph" w:customStyle="1" w:styleId="3213">
    <w:name w:val="样式 样式5 + 宋体"/>
    <w:basedOn w:val="1"/>
    <w:qFormat/>
    <w:uiPriority w:val="0"/>
    <w:pPr>
      <w:keepNext/>
      <w:keepLines/>
      <w:tabs>
        <w:tab w:val="left" w:pos="851"/>
      </w:tabs>
      <w:adjustRightInd/>
      <w:snapToGrid/>
      <w:spacing w:after="290" w:line="240" w:lineRule="auto"/>
      <w:ind w:left="851" w:hanging="851" w:firstLineChars="0"/>
      <w:outlineLvl w:val="3"/>
    </w:pPr>
    <w:rPr>
      <w:rFonts w:ascii="宋体" w:hAnsi="宋体"/>
      <w:b/>
      <w:bCs/>
      <w:snapToGrid/>
      <w:kern w:val="2"/>
      <w:sz w:val="28"/>
      <w:szCs w:val="28"/>
    </w:rPr>
  </w:style>
  <w:style w:type="paragraph" w:customStyle="1" w:styleId="3214">
    <w:name w:val="样式5"/>
    <w:basedOn w:val="1"/>
    <w:link w:val="3215"/>
    <w:qFormat/>
    <w:uiPriority w:val="0"/>
    <w:pPr>
      <w:tabs>
        <w:tab w:val="left" w:pos="360"/>
        <w:tab w:val="left" w:pos="540"/>
      </w:tabs>
      <w:adjustRightInd/>
      <w:snapToGrid/>
      <w:spacing w:line="240" w:lineRule="exact"/>
      <w:ind w:firstLine="480"/>
    </w:pPr>
    <w:rPr>
      <w:snapToGrid/>
      <w:kern w:val="2"/>
    </w:rPr>
  </w:style>
  <w:style w:type="character" w:customStyle="1" w:styleId="3215">
    <w:name w:val="样式5 Char"/>
    <w:link w:val="3214"/>
    <w:qFormat/>
    <w:locked/>
    <w:uiPriority w:val="0"/>
    <w:rPr>
      <w:rFonts w:ascii="Times New Roman" w:hAnsi="Times New Roman" w:eastAsia="宋体" w:cs="Times New Roman"/>
      <w:sz w:val="26"/>
      <w:szCs w:val="24"/>
      <w14:ligatures w14:val="none"/>
    </w:rPr>
  </w:style>
  <w:style w:type="paragraph" w:customStyle="1" w:styleId="3216">
    <w:name w:val="样式 样式5 + 图案: 清除 (白色)"/>
    <w:basedOn w:val="3214"/>
    <w:link w:val="3217"/>
    <w:qFormat/>
    <w:uiPriority w:val="0"/>
    <w:pPr>
      <w:tabs>
        <w:tab w:val="clear" w:pos="360"/>
        <w:tab w:val="clear" w:pos="540"/>
      </w:tabs>
      <w:adjustRightInd w:val="0"/>
      <w:snapToGrid w:val="0"/>
      <w:spacing w:line="480" w:lineRule="exact"/>
      <w:ind w:firstLine="560" w:firstLineChars="0"/>
    </w:pPr>
    <w:rPr>
      <w:rFonts w:ascii="宋体" w:hAnsi="宋体" w:cs="宋体"/>
      <w:kern w:val="0"/>
      <w:szCs w:val="26"/>
      <w:shd w:val="clear" w:color="auto" w:fill="FFFFFF"/>
    </w:rPr>
  </w:style>
  <w:style w:type="character" w:customStyle="1" w:styleId="3217">
    <w:name w:val="样式 样式5 + 图案: 清除 (白色) Char Char"/>
    <w:link w:val="3216"/>
    <w:qFormat/>
    <w:uiPriority w:val="0"/>
    <w:rPr>
      <w:rFonts w:ascii="宋体" w:hAnsi="宋体" w:eastAsia="宋体" w:cs="宋体"/>
      <w:kern w:val="0"/>
      <w:sz w:val="26"/>
      <w:szCs w:val="26"/>
      <w14:ligatures w14:val="none"/>
    </w:rPr>
  </w:style>
  <w:style w:type="paragraph" w:customStyle="1" w:styleId="3218">
    <w:name w:val="样式6"/>
    <w:basedOn w:val="5"/>
    <w:link w:val="3219"/>
    <w:qFormat/>
    <w:uiPriority w:val="0"/>
    <w:pPr>
      <w:keepNext/>
      <w:keepLines/>
      <w:numPr>
        <w:ilvl w:val="0"/>
        <w:numId w:val="0"/>
      </w:numPr>
      <w:adjustRightInd/>
      <w:snapToGrid/>
      <w:spacing w:beforeLines="100" w:line="240" w:lineRule="auto"/>
      <w:ind w:firstLine="562" w:firstLineChars="200"/>
    </w:pPr>
    <w:rPr>
      <w:b w:val="0"/>
      <w:bCs/>
      <w:snapToGrid/>
      <w:kern w:val="2"/>
      <w:szCs w:val="28"/>
    </w:rPr>
  </w:style>
  <w:style w:type="character" w:customStyle="1" w:styleId="3219">
    <w:name w:val="样式6 Char Char"/>
    <w:link w:val="3218"/>
    <w:qFormat/>
    <w:uiPriority w:val="0"/>
    <w:rPr>
      <w:rFonts w:ascii="Times New Roman" w:hAnsi="Times New Roman" w:eastAsia="宋体" w:cs="Times New Roman"/>
      <w:bCs/>
      <w:sz w:val="26"/>
      <w:szCs w:val="28"/>
      <w14:ligatures w14:val="none"/>
    </w:rPr>
  </w:style>
  <w:style w:type="paragraph" w:customStyle="1" w:styleId="3220">
    <w:name w:val="样式 样式6 + (中文) 华文中宋 五号 行距: 固定值 15 磅"/>
    <w:basedOn w:val="3218"/>
    <w:qFormat/>
    <w:uiPriority w:val="0"/>
    <w:pPr>
      <w:keepNext w:val="0"/>
      <w:keepLines w:val="0"/>
      <w:adjustRightInd w:val="0"/>
      <w:snapToGrid w:val="0"/>
      <w:spacing w:beforeLines="0"/>
      <w:ind w:firstLine="0" w:firstLineChars="0"/>
      <w:jc w:val="center"/>
      <w:outlineLvl w:val="9"/>
    </w:pPr>
    <w:rPr>
      <w:rFonts w:ascii="宋体" w:hAnsi="宋体"/>
      <w:bCs w:val="0"/>
      <w:sz w:val="18"/>
      <w:szCs w:val="18"/>
    </w:rPr>
  </w:style>
  <w:style w:type="paragraph" w:customStyle="1" w:styleId="3221">
    <w:name w:val="样式 样式6 + 黑色"/>
    <w:basedOn w:val="3218"/>
    <w:qFormat/>
    <w:uiPriority w:val="0"/>
    <w:pPr>
      <w:keepNext w:val="0"/>
      <w:keepLines w:val="0"/>
      <w:adjustRightInd w:val="0"/>
      <w:snapToGrid w:val="0"/>
      <w:spacing w:beforeLines="0"/>
      <w:ind w:firstLine="0" w:firstLineChars="0"/>
      <w:jc w:val="center"/>
      <w:outlineLvl w:val="9"/>
    </w:pPr>
    <w:rPr>
      <w:rFonts w:ascii="宋体" w:hAnsi="宋体"/>
      <w:bCs w:val="0"/>
      <w:sz w:val="18"/>
      <w:szCs w:val="18"/>
    </w:rPr>
  </w:style>
  <w:style w:type="paragraph" w:customStyle="1" w:styleId="3222">
    <w:name w:val="样式7"/>
    <w:basedOn w:val="1"/>
    <w:link w:val="3223"/>
    <w:autoRedefine/>
    <w:qFormat/>
    <w:uiPriority w:val="0"/>
    <w:pPr>
      <w:widowControl/>
      <w:adjustRightInd/>
      <w:snapToGrid/>
      <w:spacing w:line="600" w:lineRule="exact"/>
      <w:ind w:firstLine="600"/>
    </w:pPr>
    <w:rPr>
      <w:rFonts w:ascii="宋体" w:hAnsi="宋体"/>
      <w:snapToGrid/>
      <w:sz w:val="30"/>
      <w:szCs w:val="20"/>
    </w:rPr>
  </w:style>
  <w:style w:type="character" w:customStyle="1" w:styleId="3223">
    <w:name w:val="样式7 Char"/>
    <w:link w:val="3222"/>
    <w:qFormat/>
    <w:uiPriority w:val="0"/>
    <w:rPr>
      <w:rFonts w:ascii="宋体" w:hAnsi="宋体" w:eastAsia="宋体" w:cs="Times New Roman"/>
      <w:kern w:val="0"/>
      <w:sz w:val="30"/>
      <w:szCs w:val="20"/>
      <w14:ligatures w14:val="none"/>
    </w:rPr>
  </w:style>
  <w:style w:type="paragraph" w:customStyle="1" w:styleId="3224">
    <w:name w:val="样式 样式7 + 黑色"/>
    <w:basedOn w:val="3222"/>
    <w:qFormat/>
    <w:uiPriority w:val="0"/>
    <w:pPr>
      <w:keepNext/>
      <w:keepLines/>
      <w:widowControl w:val="0"/>
      <w:adjustRightInd w:val="0"/>
      <w:snapToGrid w:val="0"/>
      <w:spacing w:beforeLines="50" w:afterLines="50" w:line="240" w:lineRule="auto"/>
      <w:ind w:left="576" w:firstLine="0" w:firstLineChars="0"/>
      <w:textAlignment w:val="baseline"/>
      <w:outlineLvl w:val="1"/>
    </w:pPr>
    <w:rPr>
      <w:rFonts w:ascii="Times New Roman" w:hAnsi="Times New Roman" w:eastAsia="黑体"/>
      <w:color w:val="000000"/>
      <w:kern w:val="30"/>
      <w:sz w:val="28"/>
      <w:szCs w:val="28"/>
    </w:rPr>
  </w:style>
  <w:style w:type="paragraph" w:customStyle="1" w:styleId="3225">
    <w:name w:val="样式 样式7 + 黑色 行距: 固定值 15 磅"/>
    <w:basedOn w:val="3222"/>
    <w:qFormat/>
    <w:uiPriority w:val="0"/>
    <w:pPr>
      <w:widowControl w:val="0"/>
      <w:spacing w:line="300" w:lineRule="exact"/>
      <w:ind w:firstLine="0" w:firstLineChars="0"/>
      <w:jc w:val="center"/>
    </w:pPr>
    <w:rPr>
      <w:rFonts w:ascii="Times New Roman" w:hAnsi="Times New Roman" w:eastAsia="华文中宋"/>
      <w:color w:val="000000"/>
      <w:kern w:val="2"/>
      <w:sz w:val="21"/>
    </w:rPr>
  </w:style>
  <w:style w:type="paragraph" w:customStyle="1" w:styleId="3226">
    <w:name w:val="样式8"/>
    <w:basedOn w:val="1"/>
    <w:link w:val="3227"/>
    <w:qFormat/>
    <w:uiPriority w:val="0"/>
    <w:pPr>
      <w:spacing w:line="320" w:lineRule="exact"/>
      <w:ind w:firstLine="0" w:firstLineChars="0"/>
      <w:jc w:val="center"/>
    </w:pPr>
    <w:rPr>
      <w:rFonts w:hAnsi="宋体"/>
      <w:snapToGrid/>
      <w:kern w:val="2"/>
      <w:sz w:val="22"/>
      <w:szCs w:val="22"/>
    </w:rPr>
  </w:style>
  <w:style w:type="character" w:customStyle="1" w:styleId="3227">
    <w:name w:val="样式8 Char"/>
    <w:link w:val="3226"/>
    <w:qFormat/>
    <w:uiPriority w:val="0"/>
    <w:rPr>
      <w:rFonts w:ascii="Times New Roman" w:hAnsi="宋体" w:eastAsia="宋体" w:cs="Times New Roman"/>
      <w:sz w:val="22"/>
      <w14:ligatures w14:val="none"/>
    </w:rPr>
  </w:style>
  <w:style w:type="paragraph" w:customStyle="1" w:styleId="3228">
    <w:name w:val="样式 样式8 + 左  -0.5 字符 右  -0.5 字符"/>
    <w:basedOn w:val="3226"/>
    <w:qFormat/>
    <w:uiPriority w:val="0"/>
    <w:pPr>
      <w:adjustRightInd/>
      <w:snapToGrid/>
      <w:ind w:left="-120" w:leftChars="-50" w:right="-120" w:rightChars="-50"/>
    </w:pPr>
    <w:rPr>
      <w:rFonts w:hAnsi="Times New Roman" w:eastAsia="华文中宋"/>
      <w:color w:val="000000"/>
      <w:kern w:val="0"/>
      <w:sz w:val="21"/>
      <w:szCs w:val="21"/>
    </w:rPr>
  </w:style>
  <w:style w:type="paragraph" w:customStyle="1" w:styleId="3229">
    <w:name w:val="样式 样式9 + 宋体"/>
    <w:basedOn w:val="1"/>
    <w:link w:val="3230"/>
    <w:qFormat/>
    <w:uiPriority w:val="0"/>
    <w:pPr>
      <w:spacing w:line="480" w:lineRule="exact"/>
    </w:pPr>
    <w:rPr>
      <w:snapToGrid/>
      <w:kern w:val="2"/>
      <w:szCs w:val="26"/>
    </w:rPr>
  </w:style>
  <w:style w:type="character" w:customStyle="1" w:styleId="3230">
    <w:name w:val="样式 样式9 + 宋体 Char"/>
    <w:link w:val="3229"/>
    <w:qFormat/>
    <w:uiPriority w:val="0"/>
    <w:rPr>
      <w:rFonts w:ascii="Times New Roman" w:hAnsi="Times New Roman" w:eastAsia="宋体" w:cs="Times New Roman"/>
      <w:sz w:val="26"/>
      <w:szCs w:val="26"/>
      <w14:ligatures w14:val="none"/>
    </w:rPr>
  </w:style>
  <w:style w:type="paragraph" w:customStyle="1" w:styleId="3231">
    <w:name w:val="样式 一级标题"/>
    <w:basedOn w:val="1"/>
    <w:semiHidden/>
    <w:qFormat/>
    <w:uiPriority w:val="0"/>
    <w:pPr>
      <w:tabs>
        <w:tab w:val="left" w:pos="340"/>
      </w:tabs>
      <w:adjustRightInd/>
      <w:snapToGrid/>
      <w:spacing w:line="360" w:lineRule="auto"/>
      <w:ind w:firstLine="340" w:firstLineChars="0"/>
      <w:jc w:val="center"/>
      <w:outlineLvl w:val="0"/>
    </w:pPr>
    <w:rPr>
      <w:rFonts w:ascii="黑体" w:hAnsi="宋体" w:eastAsia="黑体" w:cs="宋体"/>
      <w:snapToGrid/>
      <w:kern w:val="2"/>
      <w:sz w:val="44"/>
      <w:szCs w:val="44"/>
    </w:rPr>
  </w:style>
  <w:style w:type="paragraph" w:customStyle="1" w:styleId="3232">
    <w:name w:val="样式 右侧:  0 厘米 段前: 0.5 行"/>
    <w:basedOn w:val="1"/>
    <w:autoRedefine/>
    <w:qFormat/>
    <w:uiPriority w:val="0"/>
    <w:pPr>
      <w:spacing w:beforeLines="50" w:line="360" w:lineRule="auto"/>
    </w:pPr>
    <w:rPr>
      <w:rFonts w:cs="宋体"/>
      <w:snapToGrid/>
      <w:kern w:val="2"/>
    </w:rPr>
  </w:style>
  <w:style w:type="character" w:customStyle="1" w:styleId="3233">
    <w:name w:val="样式 右侧:  0 厘米 段前: 0.5 行 Char"/>
    <w:qFormat/>
    <w:uiPriority w:val="0"/>
    <w:rPr>
      <w:rFonts w:eastAsia="宋体" w:cs="宋体"/>
      <w:kern w:val="2"/>
      <w:sz w:val="24"/>
      <w:szCs w:val="24"/>
      <w:lang w:val="en-US" w:eastAsia="zh-CN" w:bidi="ar-SA"/>
    </w:rPr>
  </w:style>
  <w:style w:type="paragraph" w:customStyle="1" w:styleId="3234">
    <w:name w:val="样式 章一 + 段前: 1 行 段后: 1 行1"/>
    <w:basedOn w:val="1"/>
    <w:qFormat/>
    <w:uiPriority w:val="0"/>
    <w:pPr>
      <w:adjustRightInd/>
      <w:snapToGrid/>
      <w:spacing w:beforeLines="50" w:afterLines="100" w:line="240" w:lineRule="auto"/>
      <w:ind w:firstLine="0" w:firstLineChars="0"/>
      <w:jc w:val="center"/>
    </w:pPr>
    <w:rPr>
      <w:rFonts w:eastAsia="黑体"/>
      <w:b/>
      <w:bCs/>
      <w:snapToGrid/>
      <w:kern w:val="2"/>
      <w:szCs w:val="20"/>
    </w:rPr>
  </w:style>
  <w:style w:type="paragraph" w:customStyle="1" w:styleId="3235">
    <w:name w:val="样式 正文 +"/>
    <w:basedOn w:val="1"/>
    <w:qFormat/>
    <w:uiPriority w:val="0"/>
    <w:pPr>
      <w:adjustRightInd/>
      <w:snapToGrid/>
      <w:spacing w:line="360" w:lineRule="auto"/>
    </w:pPr>
    <w:rPr>
      <w:snapToGrid/>
      <w:kern w:val="2"/>
    </w:rPr>
  </w:style>
  <w:style w:type="character" w:customStyle="1" w:styleId="3236">
    <w:name w:val="样式 正文 + Char"/>
    <w:qFormat/>
    <w:uiPriority w:val="0"/>
    <w:rPr>
      <w:rFonts w:eastAsia="宋体"/>
      <w:kern w:val="2"/>
      <w:sz w:val="24"/>
      <w:szCs w:val="24"/>
      <w:lang w:val="en-US" w:eastAsia="zh-CN" w:bidi="ar-SA"/>
    </w:rPr>
  </w:style>
  <w:style w:type="character" w:customStyle="1" w:styleId="3237">
    <w:name w:val="样式 正文 + Char Char"/>
    <w:qFormat/>
    <w:uiPriority w:val="0"/>
    <w:rPr>
      <w:rFonts w:eastAsia="宋体"/>
      <w:kern w:val="2"/>
      <w:sz w:val="24"/>
      <w:szCs w:val="24"/>
      <w:lang w:val="en-US" w:eastAsia="zh-CN" w:bidi="ar-SA"/>
    </w:rPr>
  </w:style>
  <w:style w:type="paragraph" w:customStyle="1" w:styleId="3238">
    <w:name w:val="正文 居中"/>
    <w:basedOn w:val="1"/>
    <w:autoRedefine/>
    <w:semiHidden/>
    <w:qFormat/>
    <w:uiPriority w:val="0"/>
    <w:pPr>
      <w:widowControl/>
      <w:adjustRightInd/>
      <w:snapToGrid/>
      <w:spacing w:line="240" w:lineRule="exact"/>
      <w:ind w:left="-59" w:leftChars="-21" w:firstLine="1" w:firstLineChars="0"/>
      <w:jc w:val="center"/>
    </w:pPr>
    <w:rPr>
      <w:rFonts w:ascii="宋体" w:hAnsi="宋体"/>
      <w:lang w:val="zh-CN"/>
    </w:rPr>
  </w:style>
  <w:style w:type="paragraph" w:customStyle="1" w:styleId="3239">
    <w:name w:val="样式 正文 居中 + (中文) 黑体 四号 两端对齐 行距: 最小值 12 磅"/>
    <w:basedOn w:val="3238"/>
    <w:autoRedefine/>
    <w:semiHidden/>
    <w:qFormat/>
    <w:uiPriority w:val="0"/>
    <w:pPr>
      <w:widowControl w:val="0"/>
      <w:spacing w:line="340" w:lineRule="exact"/>
      <w:ind w:firstLine="420" w:firstLineChars="200"/>
      <w:jc w:val="both"/>
    </w:pPr>
    <w:rPr>
      <w:rFonts w:ascii="楷体_GB2312" w:eastAsia="楷体_GB2312" w:cs="宋体"/>
      <w:color w:val="000000"/>
      <w:kern w:val="28"/>
    </w:rPr>
  </w:style>
  <w:style w:type="paragraph" w:customStyle="1" w:styleId="3240">
    <w:name w:val="样式 正文（首行缩进两字） + 首行缩进:  2 字符"/>
    <w:basedOn w:val="1"/>
    <w:qFormat/>
    <w:uiPriority w:val="0"/>
    <w:pPr>
      <w:adjustRightInd/>
      <w:snapToGrid/>
      <w:spacing w:line="360" w:lineRule="auto"/>
      <w:ind w:firstLine="480"/>
    </w:pPr>
    <w:rPr>
      <w:rFonts w:ascii="Calibri" w:hAnsi="Calibri" w:cs="宋体"/>
      <w:snapToGrid/>
      <w:kern w:val="2"/>
      <w:sz w:val="24"/>
      <w:szCs w:val="20"/>
    </w:rPr>
  </w:style>
  <w:style w:type="paragraph" w:customStyle="1" w:styleId="3241">
    <w:name w:val="样式 正文（首行缩进两字） + 首行缩进:  2 字符 行距: 固定值 23 磅"/>
    <w:basedOn w:val="1"/>
    <w:semiHidden/>
    <w:qFormat/>
    <w:uiPriority w:val="0"/>
    <w:pPr>
      <w:adjustRightInd/>
      <w:snapToGrid/>
      <w:spacing w:afterLines="600" w:line="400" w:lineRule="exact"/>
      <w:jc w:val="left"/>
    </w:pPr>
    <w:rPr>
      <w:rFonts w:ascii="宋体" w:hAnsi="Calibri"/>
      <w:snapToGrid/>
      <w:kern w:val="2"/>
      <w:sz w:val="24"/>
      <w:szCs w:val="20"/>
    </w:rPr>
  </w:style>
  <w:style w:type="paragraph" w:customStyle="1" w:styleId="3242">
    <w:name w:val="样式 正文（首行缩进两字） + 首行缩进:  2 字符1"/>
    <w:basedOn w:val="1"/>
    <w:qFormat/>
    <w:uiPriority w:val="0"/>
    <w:pPr>
      <w:adjustRightInd/>
      <w:snapToGrid/>
      <w:spacing w:line="360" w:lineRule="auto"/>
      <w:ind w:firstLine="480"/>
    </w:pPr>
    <w:rPr>
      <w:rFonts w:ascii="Calibri" w:hAnsi="Calibri" w:cs="宋体"/>
      <w:snapToGrid/>
      <w:kern w:val="2"/>
      <w:sz w:val="24"/>
      <w:szCs w:val="20"/>
    </w:rPr>
  </w:style>
  <w:style w:type="paragraph" w:customStyle="1" w:styleId="3243">
    <w:name w:val="样式 正文（首行缩进两字） + 行距: 固定值 20 磅"/>
    <w:basedOn w:val="1"/>
    <w:qFormat/>
    <w:uiPriority w:val="0"/>
    <w:pPr>
      <w:adjustRightInd/>
      <w:snapToGrid/>
      <w:spacing w:afterLines="20" w:line="400" w:lineRule="exact"/>
      <w:ind w:firstLine="480"/>
    </w:pPr>
    <w:rPr>
      <w:rFonts w:ascii="Calibri" w:hAnsi="Calibri"/>
      <w:snapToGrid/>
      <w:kern w:val="2"/>
      <w:sz w:val="24"/>
      <w:szCs w:val="20"/>
    </w:rPr>
  </w:style>
  <w:style w:type="paragraph" w:customStyle="1" w:styleId="3244">
    <w:name w:val="样式 正文+ 首行缩进:  2 字符 + 宋体"/>
    <w:basedOn w:val="1"/>
    <w:qFormat/>
    <w:uiPriority w:val="0"/>
    <w:pPr>
      <w:autoSpaceDE w:val="0"/>
      <w:autoSpaceDN w:val="0"/>
      <w:snapToGrid/>
      <w:spacing w:line="360" w:lineRule="auto"/>
      <w:ind w:firstLine="480" w:firstLineChars="0"/>
      <w:jc w:val="center"/>
    </w:pPr>
    <w:rPr>
      <w:rFonts w:ascii="宋体" w:hAnsi="宋体"/>
      <w:snapToGrid/>
      <w:color w:val="000000"/>
      <w:sz w:val="32"/>
    </w:rPr>
  </w:style>
  <w:style w:type="character" w:customStyle="1" w:styleId="3245">
    <w:name w:val="样式 正文+ 首行缩进:  2 字符 + 宋体 Char"/>
    <w:qFormat/>
    <w:uiPriority w:val="0"/>
    <w:rPr>
      <w:rFonts w:ascii="宋体" w:hAnsi="宋体" w:eastAsia="宋体" w:cs="宋体"/>
      <w:sz w:val="24"/>
      <w:szCs w:val="24"/>
      <w:lang w:val="en-US" w:eastAsia="zh-CN" w:bidi="ar-SA"/>
    </w:rPr>
  </w:style>
  <w:style w:type="character" w:customStyle="1" w:styleId="3246">
    <w:name w:val="样式 正文+ 首行缩进:  2 字符 + 宋体 Char Char"/>
    <w:qFormat/>
    <w:uiPriority w:val="0"/>
    <w:rPr>
      <w:rFonts w:ascii="宋体" w:hAnsi="宋体" w:eastAsia="宋体" w:cs="宋体"/>
      <w:sz w:val="24"/>
      <w:szCs w:val="24"/>
      <w:lang w:val="en-US" w:eastAsia="zh-CN" w:bidi="ar-SA"/>
    </w:rPr>
  </w:style>
  <w:style w:type="paragraph" w:customStyle="1" w:styleId="3247">
    <w:name w:val="样式 正文1 + 首行缩进:  2 字符"/>
    <w:basedOn w:val="1"/>
    <w:link w:val="3248"/>
    <w:qFormat/>
    <w:uiPriority w:val="0"/>
    <w:pPr>
      <w:adjustRightInd/>
      <w:snapToGrid/>
      <w:spacing w:line="360" w:lineRule="auto"/>
    </w:pPr>
    <w:rPr>
      <w:rFonts w:ascii="宋体" w:cs="宋体"/>
      <w:snapToGrid/>
    </w:rPr>
  </w:style>
  <w:style w:type="character" w:customStyle="1" w:styleId="3248">
    <w:name w:val="样式 正文1 + 首行缩进:  2 字符 Char3"/>
    <w:link w:val="3247"/>
    <w:qFormat/>
    <w:uiPriority w:val="0"/>
    <w:rPr>
      <w:rFonts w:ascii="宋体" w:hAnsi="Times New Roman" w:eastAsia="宋体" w:cs="宋体"/>
      <w:kern w:val="0"/>
      <w:sz w:val="26"/>
      <w:szCs w:val="24"/>
      <w14:ligatures w14:val="none"/>
    </w:rPr>
  </w:style>
  <w:style w:type="paragraph" w:customStyle="1" w:styleId="3249">
    <w:name w:val="样式 正文2"/>
    <w:basedOn w:val="1"/>
    <w:qFormat/>
    <w:uiPriority w:val="0"/>
    <w:pPr>
      <w:adjustRightInd/>
      <w:snapToGrid/>
      <w:spacing w:line="520" w:lineRule="exact"/>
      <w:ind w:firstLine="480"/>
    </w:pPr>
    <w:rPr>
      <w:rFonts w:cs="宋体"/>
      <w:snapToGrid/>
      <w:kern w:val="2"/>
      <w:szCs w:val="20"/>
    </w:rPr>
  </w:style>
  <w:style w:type="paragraph" w:customStyle="1" w:styleId="3250">
    <w:name w:val="样式 正文编号（1） + Char"/>
    <w:basedOn w:val="1"/>
    <w:qFormat/>
    <w:uiPriority w:val="0"/>
    <w:pPr>
      <w:widowControl/>
      <w:tabs>
        <w:tab w:val="left" w:pos="572"/>
        <w:tab w:val="left" w:pos="1982"/>
      </w:tabs>
      <w:adjustRightInd/>
      <w:snapToGrid/>
      <w:spacing w:line="520" w:lineRule="exact"/>
      <w:ind w:left="808" w:firstLine="454"/>
      <w:textAlignment w:val="baseline"/>
    </w:pPr>
    <w:rPr>
      <w:snapToGrid/>
      <w:color w:val="000000"/>
      <w:sz w:val="28"/>
      <w:szCs w:val="20"/>
      <w:u w:color="000000"/>
    </w:rPr>
  </w:style>
  <w:style w:type="character" w:customStyle="1" w:styleId="3251">
    <w:name w:val="样式 正文编号（1） + Char Char"/>
    <w:semiHidden/>
    <w:qFormat/>
    <w:uiPriority w:val="0"/>
    <w:rPr>
      <w:rFonts w:eastAsia="宋体"/>
      <w:color w:val="000000"/>
      <w:kern w:val="2"/>
      <w:sz w:val="28"/>
      <w:szCs w:val="24"/>
      <w:u w:color="000000"/>
      <w:lang w:val="en-US" w:eastAsia="zh-CN" w:bidi="ar-SA"/>
    </w:rPr>
  </w:style>
  <w:style w:type="character" w:customStyle="1" w:styleId="3252">
    <w:name w:val="样式 正文编号（1） + Char Char Char"/>
    <w:qFormat/>
    <w:uiPriority w:val="0"/>
    <w:rPr>
      <w:rFonts w:eastAsia="宋体"/>
      <w:color w:val="000000"/>
      <w:kern w:val="2"/>
      <w:sz w:val="28"/>
      <w:szCs w:val="24"/>
      <w:u w:color="000000"/>
      <w:lang w:val="en-US" w:eastAsia="zh-CN" w:bidi="ar-SA"/>
    </w:rPr>
  </w:style>
  <w:style w:type="paragraph" w:customStyle="1" w:styleId="3253">
    <w:name w:val="样式 正文编号（1） +1 Char Char Char"/>
    <w:basedOn w:val="1"/>
    <w:qFormat/>
    <w:uiPriority w:val="0"/>
    <w:pPr>
      <w:widowControl/>
      <w:tabs>
        <w:tab w:val="left" w:pos="572"/>
        <w:tab w:val="left" w:pos="1230"/>
      </w:tabs>
      <w:spacing w:line="520" w:lineRule="exact"/>
      <w:ind w:left="56" w:firstLine="454"/>
      <w:textAlignment w:val="baseline"/>
    </w:pPr>
    <w:rPr>
      <w:color w:val="000000"/>
      <w:sz w:val="28"/>
      <w:u w:color="000000"/>
    </w:rPr>
  </w:style>
  <w:style w:type="paragraph" w:customStyle="1" w:styleId="3254">
    <w:name w:val="样式 正文编号（1） +1 Char Char Char Char Char Char Char"/>
    <w:basedOn w:val="1"/>
    <w:qFormat/>
    <w:uiPriority w:val="0"/>
    <w:pPr>
      <w:widowControl/>
      <w:tabs>
        <w:tab w:val="left" w:pos="572"/>
        <w:tab w:val="left" w:pos="1230"/>
      </w:tabs>
      <w:spacing w:line="520" w:lineRule="exact"/>
      <w:ind w:left="56" w:firstLine="454"/>
      <w:textAlignment w:val="baseline"/>
    </w:pPr>
    <w:rPr>
      <w:color w:val="000000"/>
      <w:sz w:val="28"/>
      <w:u w:color="000000"/>
    </w:rPr>
  </w:style>
  <w:style w:type="paragraph" w:customStyle="1" w:styleId="3255">
    <w:name w:val="样式 正文编号（1） +2"/>
    <w:basedOn w:val="1"/>
    <w:qFormat/>
    <w:uiPriority w:val="0"/>
    <w:pPr>
      <w:widowControl/>
      <w:tabs>
        <w:tab w:val="left" w:pos="572"/>
      </w:tabs>
      <w:spacing w:line="520" w:lineRule="exact"/>
      <w:textAlignment w:val="baseline"/>
    </w:pPr>
    <w:rPr>
      <w:color w:val="000000"/>
      <w:sz w:val="28"/>
      <w:u w:color="000000"/>
    </w:rPr>
  </w:style>
  <w:style w:type="paragraph" w:customStyle="1" w:styleId="3256">
    <w:name w:val="样式 正文首行缩进"/>
    <w:basedOn w:val="86"/>
    <w:next w:val="86"/>
    <w:qFormat/>
    <w:uiPriority w:val="0"/>
    <w:pPr>
      <w:adjustRightInd/>
      <w:snapToGrid/>
      <w:spacing w:after="0" w:line="360" w:lineRule="auto"/>
      <w:ind w:firstLine="200" w:firstLineChars="0"/>
    </w:pPr>
    <w:rPr>
      <w:rFonts w:ascii="Calibri" w:hAnsi="Calibri"/>
      <w:b/>
      <w:snapToGrid/>
      <w:kern w:val="2"/>
    </w:rPr>
  </w:style>
  <w:style w:type="paragraph" w:customStyle="1" w:styleId="3257">
    <w:name w:val="正文首行缩进1"/>
    <w:basedOn w:val="34"/>
    <w:qFormat/>
    <w:uiPriority w:val="99"/>
    <w:pPr>
      <w:spacing w:after="120" w:line="480" w:lineRule="exact"/>
      <w:ind w:firstLine="420" w:firstLineChars="100"/>
    </w:pPr>
    <w:rPr>
      <w:rFonts w:ascii="Calibri" w:hAnsi="Calibri"/>
      <w:snapToGrid/>
    </w:rPr>
  </w:style>
  <w:style w:type="paragraph" w:customStyle="1" w:styleId="3258">
    <w:name w:val="样式 正文首行缩进 + Times New Roman Char"/>
    <w:basedOn w:val="3257"/>
    <w:link w:val="3259"/>
    <w:qFormat/>
    <w:uiPriority w:val="0"/>
    <w:pPr>
      <w:spacing w:after="0" w:line="360" w:lineRule="auto"/>
      <w:ind w:firstLine="200" w:firstLineChars="200"/>
    </w:pPr>
    <w:rPr>
      <w:rFonts w:ascii="Book Antiqua" w:hAnsi="Book Antiqua"/>
    </w:rPr>
  </w:style>
  <w:style w:type="character" w:customStyle="1" w:styleId="3259">
    <w:name w:val="样式 正文首行缩进 + Times New Roman Char Char Char"/>
    <w:link w:val="3258"/>
    <w:qFormat/>
    <w:uiPriority w:val="0"/>
    <w:rPr>
      <w:rFonts w:ascii="Book Antiqua" w:hAnsi="Book Antiqua" w:eastAsia="宋体" w:cs="Times New Roman"/>
      <w:kern w:val="0"/>
      <w:sz w:val="26"/>
      <w:szCs w:val="24"/>
      <w14:ligatures w14:val="none"/>
    </w:rPr>
  </w:style>
  <w:style w:type="paragraph" w:customStyle="1" w:styleId="3260">
    <w:name w:val="样式 正文首行缩进 + 首行缩进:  2 字符1"/>
    <w:basedOn w:val="1"/>
    <w:link w:val="3261"/>
    <w:qFormat/>
    <w:uiPriority w:val="0"/>
    <w:pPr>
      <w:widowControl/>
      <w:adjustRightInd/>
      <w:snapToGrid/>
      <w:spacing w:line="240" w:lineRule="auto"/>
    </w:pPr>
    <w:rPr>
      <w:rFonts w:ascii="Book Antiqua" w:hAnsi="Book Antiqua"/>
      <w:snapToGrid/>
      <w:sz w:val="28"/>
      <w:szCs w:val="20"/>
    </w:rPr>
  </w:style>
  <w:style w:type="character" w:customStyle="1" w:styleId="3261">
    <w:name w:val="样式 正文首行缩进 + 首行缩进:  2 字符1 Char"/>
    <w:link w:val="3260"/>
    <w:qFormat/>
    <w:uiPriority w:val="0"/>
    <w:rPr>
      <w:rFonts w:ascii="Book Antiqua" w:hAnsi="Book Antiqua" w:eastAsia="宋体" w:cs="Times New Roman"/>
      <w:kern w:val="0"/>
      <w:sz w:val="28"/>
      <w:szCs w:val="20"/>
      <w14:ligatures w14:val="none"/>
    </w:rPr>
  </w:style>
  <w:style w:type="paragraph" w:customStyle="1" w:styleId="3262">
    <w:name w:val="样式 正文首行缩进 + 行距: 1.5 倍行距"/>
    <w:basedOn w:val="86"/>
    <w:qFormat/>
    <w:uiPriority w:val="0"/>
    <w:pPr>
      <w:snapToGrid/>
      <w:spacing w:after="0" w:line="440" w:lineRule="exact"/>
      <w:ind w:firstLine="200" w:firstLineChars="200"/>
      <w:textAlignment w:val="baseline"/>
    </w:pPr>
    <w:rPr>
      <w:rFonts w:ascii="Calibri" w:hAnsi="Calibri"/>
      <w:b/>
      <w:snapToGrid/>
      <w:kern w:val="2"/>
    </w:rPr>
  </w:style>
  <w:style w:type="paragraph" w:customStyle="1" w:styleId="3263">
    <w:name w:val="样式 正文首行缩进 2"/>
    <w:basedOn w:val="87"/>
    <w:next w:val="1"/>
    <w:qFormat/>
    <w:uiPriority w:val="0"/>
    <w:pPr>
      <w:adjustRightInd/>
      <w:snapToGrid/>
      <w:spacing w:line="480" w:lineRule="exact"/>
      <w:ind w:left="0" w:leftChars="0" w:firstLine="200"/>
    </w:pPr>
    <w:rPr>
      <w:rFonts w:ascii="宋体" w:hAnsi="Calibri" w:cs="宋体"/>
      <w:snapToGrid/>
      <w:kern w:val="2"/>
      <w:sz w:val="28"/>
    </w:rPr>
  </w:style>
  <w:style w:type="paragraph" w:customStyle="1" w:styleId="3264">
    <w:name w:val="样式 正文首行缩进 2 + 段后: 15.6 磅"/>
    <w:basedOn w:val="87"/>
    <w:autoRedefine/>
    <w:qFormat/>
    <w:uiPriority w:val="0"/>
    <w:pPr>
      <w:tabs>
        <w:tab w:val="left" w:pos="1802"/>
      </w:tabs>
      <w:adjustRightInd/>
      <w:spacing w:after="0" w:line="360" w:lineRule="auto"/>
      <w:ind w:left="1802" w:leftChars="0" w:hanging="1200" w:firstLineChars="0"/>
    </w:pPr>
    <w:rPr>
      <w:rFonts w:ascii="宋体" w:hAnsi="宋体"/>
      <w:bCs/>
      <w:snapToGrid/>
      <w:color w:val="FF0000"/>
      <w:szCs w:val="28"/>
    </w:rPr>
  </w:style>
  <w:style w:type="paragraph" w:customStyle="1" w:styleId="3265">
    <w:name w:val="样式 正文首行缩进 2 + 首行缩进:  2 字符"/>
    <w:basedOn w:val="87"/>
    <w:qFormat/>
    <w:uiPriority w:val="0"/>
    <w:pPr>
      <w:adjustRightInd/>
      <w:snapToGrid/>
      <w:spacing w:after="0" w:line="360" w:lineRule="auto"/>
      <w:ind w:left="0" w:leftChars="0" w:firstLine="480"/>
    </w:pPr>
    <w:rPr>
      <w:rFonts w:ascii="Calibri" w:hAnsi="Calibri" w:cs="宋体"/>
      <w:snapToGrid/>
      <w:kern w:val="2"/>
      <w:szCs w:val="22"/>
    </w:rPr>
  </w:style>
  <w:style w:type="paragraph" w:customStyle="1" w:styleId="3266">
    <w:name w:val="样式 正文首行缩进 2 + 四号 首行缩进:  2 字符"/>
    <w:basedOn w:val="87"/>
    <w:qFormat/>
    <w:uiPriority w:val="0"/>
    <w:pPr>
      <w:adjustRightInd/>
      <w:snapToGrid/>
      <w:spacing w:after="0" w:line="360" w:lineRule="auto"/>
      <w:ind w:left="0" w:leftChars="0" w:firstLine="200"/>
    </w:pPr>
    <w:rPr>
      <w:rFonts w:ascii="Calibri" w:hAnsi="Calibri" w:cs="宋体"/>
      <w:snapToGrid/>
      <w:kern w:val="2"/>
      <w:szCs w:val="22"/>
    </w:rPr>
  </w:style>
  <w:style w:type="paragraph" w:customStyle="1" w:styleId="3267">
    <w:name w:val="样式 正文首行缩进 2 Char"/>
    <w:basedOn w:val="87"/>
    <w:next w:val="1"/>
    <w:link w:val="3268"/>
    <w:qFormat/>
    <w:uiPriority w:val="0"/>
    <w:pPr>
      <w:adjustRightInd/>
      <w:snapToGrid/>
      <w:spacing w:line="480" w:lineRule="exact"/>
      <w:ind w:left="0" w:leftChars="0" w:firstLine="200"/>
    </w:pPr>
    <w:rPr>
      <w:rFonts w:ascii="宋体" w:hAnsi="Calibri"/>
      <w:snapToGrid/>
      <w:kern w:val="2"/>
      <w:sz w:val="28"/>
    </w:rPr>
  </w:style>
  <w:style w:type="character" w:customStyle="1" w:styleId="3268">
    <w:name w:val="样式 正文首行缩进 2 Char Char"/>
    <w:link w:val="3267"/>
    <w:qFormat/>
    <w:uiPriority w:val="0"/>
    <w:rPr>
      <w:rFonts w:ascii="宋体" w:hAnsi="Calibri" w:eastAsia="宋体" w:cs="Times New Roman"/>
      <w:sz w:val="28"/>
      <w:szCs w:val="24"/>
      <w14:ligatures w14:val="none"/>
    </w:rPr>
  </w:style>
  <w:style w:type="paragraph" w:customStyle="1" w:styleId="3269">
    <w:name w:val="样式 正文首行缩进正文首行缩进 Char Char Char Char Char正文首行缩进 Char Char Char ..."/>
    <w:basedOn w:val="86"/>
    <w:qFormat/>
    <w:uiPriority w:val="0"/>
    <w:pPr>
      <w:adjustRightInd/>
      <w:snapToGrid/>
      <w:spacing w:after="0" w:line="360" w:lineRule="auto"/>
      <w:ind w:firstLine="480" w:firstLineChars="200"/>
    </w:pPr>
    <w:rPr>
      <w:rFonts w:ascii="Calibri" w:hAnsi="Calibri" w:cs="宋体"/>
      <w:b/>
      <w:snapToGrid/>
      <w:kern w:val="2"/>
    </w:rPr>
  </w:style>
  <w:style w:type="paragraph" w:customStyle="1" w:styleId="3270">
    <w:name w:val="样式 正文缩进"/>
    <w:basedOn w:val="1"/>
    <w:next w:val="1"/>
    <w:qFormat/>
    <w:uiPriority w:val="0"/>
    <w:pPr>
      <w:adjustRightInd/>
      <w:snapToGrid/>
      <w:spacing w:line="240" w:lineRule="auto"/>
      <w:ind w:firstLine="480"/>
    </w:pPr>
    <w:rPr>
      <w:snapToGrid/>
      <w:kern w:val="2"/>
      <w:sz w:val="24"/>
      <w:szCs w:val="20"/>
      <w:u w:color="000000"/>
    </w:rPr>
  </w:style>
  <w:style w:type="paragraph" w:customStyle="1" w:styleId="3271">
    <w:name w:val="样式 正文缩进 + 首行缩进:  2 字符"/>
    <w:basedOn w:val="1"/>
    <w:link w:val="3272"/>
    <w:qFormat/>
    <w:uiPriority w:val="0"/>
    <w:pPr>
      <w:spacing w:line="360" w:lineRule="auto"/>
      <w:ind w:firstLine="480"/>
    </w:pPr>
    <w:rPr>
      <w:rFonts w:ascii="Calibri" w:hAnsi="Calibri"/>
      <w:snapToGrid/>
      <w:kern w:val="2"/>
      <w:sz w:val="24"/>
      <w:szCs w:val="20"/>
    </w:rPr>
  </w:style>
  <w:style w:type="character" w:customStyle="1" w:styleId="3272">
    <w:name w:val="样式 正文缩进 + 首行缩进:  2 字符 Char"/>
    <w:link w:val="3271"/>
    <w:qFormat/>
    <w:uiPriority w:val="0"/>
    <w:rPr>
      <w:rFonts w:ascii="Calibri" w:hAnsi="Calibri" w:eastAsia="宋体" w:cs="Times New Roman"/>
      <w:sz w:val="24"/>
      <w:szCs w:val="20"/>
      <w14:ligatures w14:val="none"/>
    </w:rPr>
  </w:style>
  <w:style w:type="paragraph" w:customStyle="1" w:styleId="3273">
    <w:name w:val="样式 正文缩进正文（首行缩进两字） + 首行缩进:  2 字符"/>
    <w:basedOn w:val="1"/>
    <w:qFormat/>
    <w:uiPriority w:val="0"/>
    <w:pPr>
      <w:adjustRightInd/>
      <w:snapToGrid/>
      <w:spacing w:line="360" w:lineRule="auto"/>
    </w:pPr>
    <w:rPr>
      <w:rFonts w:ascii="Calibri" w:hAnsi="Calibri" w:cs="宋体"/>
      <w:snapToGrid/>
      <w:kern w:val="2"/>
      <w:sz w:val="28"/>
      <w:szCs w:val="20"/>
    </w:rPr>
  </w:style>
  <w:style w:type="paragraph" w:customStyle="1" w:styleId="3274">
    <w:name w:val="样式 正文缩进正文（首行缩进两字）文本条款正文（首行缩进两字） Chars4表正文正文非缩进四号首行缩进特点 ..."/>
    <w:basedOn w:val="1"/>
    <w:qFormat/>
    <w:uiPriority w:val="0"/>
    <w:pPr>
      <w:adjustRightInd/>
      <w:snapToGrid/>
      <w:spacing w:line="360" w:lineRule="auto"/>
      <w:ind w:firstLine="560"/>
    </w:pPr>
    <w:rPr>
      <w:rFonts w:ascii="Calibri" w:hAnsi="Calibri" w:cs="宋体"/>
      <w:snapToGrid/>
      <w:kern w:val="2"/>
      <w:sz w:val="24"/>
      <w:szCs w:val="20"/>
    </w:rPr>
  </w:style>
  <w:style w:type="paragraph" w:customStyle="1" w:styleId="3275">
    <w:name w:val="样式 正文缩进正文（首行缩进两字）文本条款正文（首行缩进两字） Chars4表正文正文非缩进四号首行缩进特点 ...2"/>
    <w:basedOn w:val="1"/>
    <w:qFormat/>
    <w:uiPriority w:val="0"/>
    <w:pPr>
      <w:adjustRightInd/>
      <w:snapToGrid/>
      <w:spacing w:line="360" w:lineRule="auto"/>
      <w:ind w:firstLine="0" w:firstLineChars="0"/>
    </w:pPr>
    <w:rPr>
      <w:rFonts w:ascii="宋体" w:hAnsi="宋体" w:cs="宋体"/>
      <w:snapToGrid/>
      <w:kern w:val="2"/>
      <w:sz w:val="24"/>
      <w:szCs w:val="20"/>
    </w:rPr>
  </w:style>
  <w:style w:type="paragraph" w:customStyle="1" w:styleId="3276">
    <w:name w:val="样式 正文缩进正文（首行缩进两字）正文（首行缩进两字） Char + (符号) 宋体 首行缩进:  0 厘米"/>
    <w:basedOn w:val="1"/>
    <w:autoRedefine/>
    <w:qFormat/>
    <w:uiPriority w:val="0"/>
    <w:pPr>
      <w:adjustRightInd/>
      <w:snapToGrid/>
      <w:spacing w:line="500" w:lineRule="exact"/>
    </w:pPr>
    <w:rPr>
      <w:rFonts w:ascii="宋体" w:hAnsi="宋体"/>
      <w:snapToGrid/>
      <w:kern w:val="2"/>
      <w:sz w:val="28"/>
      <w:szCs w:val="20"/>
    </w:rPr>
  </w:style>
  <w:style w:type="paragraph" w:customStyle="1" w:styleId="3277">
    <w:name w:val="样式 正文缩进正文（首行缩进两字）正文（首行缩进两字） Char + (符号) 宋体 首行缩进:  0.85 厘米"/>
    <w:basedOn w:val="1"/>
    <w:autoRedefine/>
    <w:qFormat/>
    <w:uiPriority w:val="0"/>
    <w:pPr>
      <w:adjustRightInd/>
      <w:snapToGrid/>
      <w:spacing w:line="500" w:lineRule="atLeast"/>
      <w:ind w:firstLine="560"/>
    </w:pPr>
    <w:rPr>
      <w:rFonts w:ascii="宋体" w:hAnsi="宋体"/>
      <w:snapToGrid/>
      <w:kern w:val="2"/>
      <w:sz w:val="28"/>
      <w:szCs w:val="20"/>
    </w:rPr>
  </w:style>
  <w:style w:type="paragraph" w:customStyle="1" w:styleId="3278">
    <w:name w:val="样式 正文缩进正文缩进 Chars4 Chars4标题4表正文正文非缩进特点正文缩进 Char1 Char正文..."/>
    <w:basedOn w:val="1"/>
    <w:qFormat/>
    <w:uiPriority w:val="0"/>
    <w:pPr>
      <w:adjustRightInd/>
      <w:snapToGrid/>
      <w:spacing w:afterLines="20" w:line="400" w:lineRule="exact"/>
      <w:ind w:firstLine="482" w:firstLineChars="0"/>
    </w:pPr>
    <w:rPr>
      <w:rFonts w:ascii="Calibri" w:hAnsi="Calibri" w:cs="宋体"/>
      <w:snapToGrid/>
      <w:kern w:val="2"/>
      <w:sz w:val="24"/>
      <w:szCs w:val="20"/>
    </w:rPr>
  </w:style>
  <w:style w:type="paragraph" w:customStyle="1" w:styleId="3279">
    <w:name w:val="样式 正文文本 + 二号"/>
    <w:basedOn w:val="34"/>
    <w:semiHidden/>
    <w:qFormat/>
    <w:uiPriority w:val="0"/>
    <w:pPr>
      <w:keepNext/>
      <w:adjustRightInd/>
      <w:snapToGrid/>
      <w:spacing w:line="240" w:lineRule="auto"/>
      <w:jc w:val="center"/>
    </w:pPr>
    <w:rPr>
      <w:rFonts w:ascii="Calibri" w:hAnsi="Calibri" w:eastAsia="黑体"/>
      <w:kern w:val="28"/>
      <w:sz w:val="44"/>
    </w:rPr>
  </w:style>
  <w:style w:type="paragraph" w:customStyle="1" w:styleId="3280">
    <w:name w:val="样式 正文文本 + 四号 段后: 0 磅 行距: 固定值 24 磅"/>
    <w:basedOn w:val="34"/>
    <w:qFormat/>
    <w:uiPriority w:val="0"/>
    <w:pPr>
      <w:adjustRightInd/>
      <w:snapToGrid/>
      <w:spacing w:line="480" w:lineRule="exact"/>
      <w:ind w:firstLine="630" w:firstLineChars="225"/>
    </w:pPr>
    <w:rPr>
      <w:rFonts w:ascii="Calibri" w:hAnsi="Calibri"/>
      <w:snapToGrid/>
      <w:kern w:val="2"/>
      <w:sz w:val="28"/>
      <w:szCs w:val="20"/>
    </w:rPr>
  </w:style>
  <w:style w:type="paragraph" w:customStyle="1" w:styleId="3281">
    <w:name w:val="样式 正文文本 + 行距: 固定值 23 磅"/>
    <w:basedOn w:val="34"/>
    <w:qFormat/>
    <w:uiPriority w:val="0"/>
    <w:pPr>
      <w:ind w:firstLine="510"/>
    </w:pPr>
    <w:rPr>
      <w:rFonts w:ascii="Calibri" w:hAnsi="Calibri"/>
      <w:snapToGrid/>
      <w:kern w:val="24"/>
    </w:rPr>
  </w:style>
  <w:style w:type="paragraph" w:customStyle="1" w:styleId="3282">
    <w:name w:val="样式 正文文本 + 自动设置"/>
    <w:basedOn w:val="34"/>
    <w:link w:val="3283"/>
    <w:qFormat/>
    <w:uiPriority w:val="0"/>
    <w:pPr>
      <w:spacing w:after="120" w:line="240" w:lineRule="auto"/>
    </w:pPr>
    <w:rPr>
      <w:rFonts w:ascii="宋体" w:hAnsi="宋体" w:cs="宋体"/>
      <w:bCs/>
      <w:snapToGrid/>
      <w:color w:val="FF0000"/>
      <w:spacing w:val="-6"/>
      <w:w w:val="90"/>
      <w:szCs w:val="21"/>
    </w:rPr>
  </w:style>
  <w:style w:type="character" w:customStyle="1" w:styleId="3283">
    <w:name w:val="样式 正文文本 + 自动设置 Char Char"/>
    <w:link w:val="3282"/>
    <w:qFormat/>
    <w:uiPriority w:val="0"/>
    <w:rPr>
      <w:rFonts w:ascii="宋体" w:hAnsi="宋体" w:eastAsia="宋体" w:cs="宋体"/>
      <w:bCs/>
      <w:color w:val="FF0000"/>
      <w:spacing w:val="-6"/>
      <w:w w:val="90"/>
      <w:kern w:val="0"/>
      <w:sz w:val="26"/>
      <w:szCs w:val="21"/>
      <w14:ligatures w14:val="none"/>
    </w:rPr>
  </w:style>
  <w:style w:type="character" w:customStyle="1" w:styleId="3284">
    <w:name w:val="样式 正文文本 + 自动设置 Char"/>
    <w:qFormat/>
    <w:uiPriority w:val="0"/>
    <w:rPr>
      <w:rFonts w:ascii="宋体" w:hAnsi="宋体" w:eastAsia="宋体" w:cs="宋体"/>
      <w:bCs/>
      <w:color w:val="FF0000"/>
      <w:spacing w:val="-6"/>
      <w:w w:val="90"/>
      <w:kern w:val="2"/>
      <w:sz w:val="24"/>
      <w:szCs w:val="21"/>
      <w:lang w:val="en-US" w:eastAsia="zh-CN" w:bidi="ar-SA"/>
    </w:rPr>
  </w:style>
  <w:style w:type="paragraph" w:customStyle="1" w:styleId="3285">
    <w:name w:val="样式 正文文本缩进 + (中文) 仿宋_GB2312 左侧:  0 厘米 行距: 1.5 倍行距 首行缩进:  2 字符"/>
    <w:basedOn w:val="35"/>
    <w:link w:val="3286"/>
    <w:autoRedefine/>
    <w:qFormat/>
    <w:uiPriority w:val="0"/>
    <w:pPr>
      <w:adjustRightInd/>
      <w:snapToGrid/>
      <w:spacing w:line="360" w:lineRule="auto"/>
      <w:ind w:firstLine="560"/>
    </w:pPr>
    <w:rPr>
      <w:rFonts w:ascii="仿宋_GB2312" w:eastAsia="仿宋_GB2312"/>
      <w:snapToGrid/>
      <w:kern w:val="2"/>
      <w:sz w:val="28"/>
      <w:szCs w:val="28"/>
    </w:rPr>
  </w:style>
  <w:style w:type="character" w:customStyle="1" w:styleId="3286">
    <w:name w:val="样式 正文文本缩进 + (中文) 仿宋_GB2312 左侧:  0 厘米 行距: 1.5 倍行距 首行缩进:  2 字符 Char"/>
    <w:link w:val="3285"/>
    <w:qFormat/>
    <w:uiPriority w:val="0"/>
    <w:rPr>
      <w:rFonts w:ascii="仿宋_GB2312" w:hAnsi="Times New Roman" w:eastAsia="仿宋_GB2312" w:cs="Times New Roman"/>
      <w:sz w:val="28"/>
      <w:szCs w:val="28"/>
      <w14:ligatures w14:val="none"/>
    </w:rPr>
  </w:style>
  <w:style w:type="paragraph" w:customStyle="1" w:styleId="3287">
    <w:name w:val="样式 正文文本缩进 + 宋体 小四 首行缩进:  2 字符 段前: 5 磅 段后: 5 磅 行距: 1.5 倍行距"/>
    <w:basedOn w:val="35"/>
    <w:qFormat/>
    <w:uiPriority w:val="0"/>
    <w:pPr>
      <w:adjustRightInd/>
      <w:snapToGrid/>
      <w:spacing w:line="360" w:lineRule="auto"/>
      <w:ind w:firstLine="200"/>
    </w:pPr>
    <w:rPr>
      <w:rFonts w:ascii="宋体" w:hAnsi="宋体" w:cs="宋体"/>
      <w:snapToGrid/>
      <w:kern w:val="2"/>
      <w:szCs w:val="20"/>
    </w:rPr>
  </w:style>
  <w:style w:type="paragraph" w:customStyle="1" w:styleId="3288">
    <w:name w:val="样式 正文文本缩进 + 行距: 单倍行距"/>
    <w:basedOn w:val="35"/>
    <w:qFormat/>
    <w:uiPriority w:val="0"/>
    <w:pPr>
      <w:adjustRightInd/>
      <w:spacing w:line="240" w:lineRule="auto"/>
      <w:ind w:firstLine="200"/>
    </w:pPr>
    <w:rPr>
      <w:rFonts w:ascii="宋体" w:hAnsi="宋体"/>
      <w:snapToGrid/>
      <w:kern w:val="2"/>
      <w:sz w:val="28"/>
      <w:szCs w:val="20"/>
    </w:rPr>
  </w:style>
  <w:style w:type="paragraph" w:customStyle="1" w:styleId="3289">
    <w:name w:val="样式 正文文本缩进 2 + 红色"/>
    <w:basedOn w:val="51"/>
    <w:qFormat/>
    <w:uiPriority w:val="0"/>
    <w:pPr>
      <w:adjustRightInd/>
      <w:snapToGrid/>
      <w:spacing w:line="300" w:lineRule="auto"/>
      <w:ind w:firstLine="539" w:firstLineChars="0"/>
    </w:pPr>
    <w:rPr>
      <w:rFonts w:ascii="Calibri" w:hAnsi="Calibri"/>
      <w:snapToGrid/>
      <w:color w:val="FF0000"/>
    </w:rPr>
  </w:style>
  <w:style w:type="paragraph" w:customStyle="1" w:styleId="3290">
    <w:name w:val="样式 正文文本缩进 2 + 左侧:  0.98 厘米 首行缩进:  2 字符"/>
    <w:basedOn w:val="51"/>
    <w:autoRedefine/>
    <w:qFormat/>
    <w:uiPriority w:val="0"/>
    <w:pPr>
      <w:spacing w:line="360" w:lineRule="auto"/>
      <w:ind w:firstLine="560"/>
    </w:pPr>
    <w:rPr>
      <w:rFonts w:eastAsia="仿宋_GB2312"/>
      <w:snapToGrid/>
      <w:color w:val="auto"/>
      <w:kern w:val="2"/>
      <w:sz w:val="28"/>
      <w:szCs w:val="20"/>
    </w:rPr>
  </w:style>
  <w:style w:type="character" w:customStyle="1" w:styleId="3291">
    <w:name w:val="正文文本缩进 3 字符"/>
    <w:semiHidden/>
    <w:qFormat/>
    <w:uiPriority w:val="0"/>
    <w:rPr>
      <w:snapToGrid/>
      <w:sz w:val="16"/>
      <w:szCs w:val="16"/>
    </w:rPr>
  </w:style>
  <w:style w:type="character" w:customStyle="1" w:styleId="3292">
    <w:name w:val="正文文本缩进 3 字符3"/>
    <w:link w:val="70"/>
    <w:qFormat/>
    <w:uiPriority w:val="0"/>
    <w:rPr>
      <w:rFonts w:ascii="Times New Roman" w:hAnsi="Times New Roman" w:eastAsia="宋体" w:cs="Times New Roman"/>
      <w:snapToGrid w:val="0"/>
      <w:kern w:val="0"/>
      <w:sz w:val="26"/>
      <w:szCs w:val="24"/>
      <w14:ligatures w14:val="none"/>
    </w:rPr>
  </w:style>
  <w:style w:type="paragraph" w:customStyle="1" w:styleId="3293">
    <w:name w:val="样式 正文文本缩进 3正文文字缩进 3 + 首行缩进:  1.18 厘米"/>
    <w:basedOn w:val="70"/>
    <w:qFormat/>
    <w:uiPriority w:val="0"/>
    <w:pPr>
      <w:tabs>
        <w:tab w:val="left" w:pos="8790"/>
      </w:tabs>
      <w:spacing w:after="40" w:line="276" w:lineRule="auto"/>
      <w:ind w:left="-37" w:firstLine="667" w:firstLineChars="0"/>
    </w:pPr>
    <w:rPr>
      <w:rFonts w:ascii="Arial" w:hAnsi="Arial" w:cs="宋体"/>
      <w:color w:val="000000"/>
      <w:spacing w:val="6"/>
      <w:kern w:val="28"/>
      <w:szCs w:val="20"/>
    </w:rPr>
  </w:style>
  <w:style w:type="paragraph" w:customStyle="1" w:styleId="3294">
    <w:name w:val="样式 正文文本正文文字"/>
    <w:basedOn w:val="34"/>
    <w:qFormat/>
    <w:uiPriority w:val="0"/>
    <w:pPr>
      <w:adjustRightInd/>
      <w:snapToGrid/>
      <w:spacing w:line="240" w:lineRule="atLeast"/>
      <w:jc w:val="center"/>
    </w:pPr>
    <w:rPr>
      <w:rFonts w:ascii="Calibri" w:hAnsi="Calibri"/>
      <w:bCs/>
      <w:snapToGrid/>
      <w:kern w:val="2"/>
      <w:sz w:val="21"/>
    </w:rPr>
  </w:style>
  <w:style w:type="paragraph" w:customStyle="1" w:styleId="3295">
    <w:name w:val="样式 正文文本正文文字 Char"/>
    <w:basedOn w:val="34"/>
    <w:qFormat/>
    <w:uiPriority w:val="0"/>
    <w:pPr>
      <w:adjustRightInd/>
      <w:snapToGrid/>
      <w:spacing w:line="240" w:lineRule="atLeast"/>
      <w:jc w:val="center"/>
    </w:pPr>
    <w:rPr>
      <w:rFonts w:ascii="Calibri" w:hAnsi="Calibri"/>
      <w:bCs/>
      <w:snapToGrid/>
      <w:kern w:val="2"/>
      <w:sz w:val="21"/>
    </w:rPr>
  </w:style>
  <w:style w:type="paragraph" w:customStyle="1" w:styleId="3296">
    <w:name w:val="样式 正文文字 + 首行缩进:  2 字符"/>
    <w:basedOn w:val="34"/>
    <w:uiPriority w:val="0"/>
    <w:pPr>
      <w:adjustRightInd/>
      <w:snapToGrid/>
      <w:spacing w:line="240" w:lineRule="auto"/>
      <w:ind w:firstLine="560" w:firstLineChars="200"/>
    </w:pPr>
    <w:rPr>
      <w:rFonts w:ascii="Calibri" w:hAnsi="Calibri" w:cs="宋体"/>
      <w:snapToGrid/>
      <w:kern w:val="2"/>
      <w:sz w:val="28"/>
      <w:szCs w:val="20"/>
    </w:rPr>
  </w:style>
  <w:style w:type="paragraph" w:customStyle="1" w:styleId="3297">
    <w:name w:val="样式 正文文字缩进 + (符号) 宋体 首行缩进:  0.95 厘米"/>
    <w:basedOn w:val="35"/>
    <w:qFormat/>
    <w:uiPriority w:val="0"/>
    <w:pPr>
      <w:adjustRightInd/>
      <w:snapToGrid/>
      <w:spacing w:line="300" w:lineRule="auto"/>
      <w:ind w:firstLine="539" w:firstLineChars="0"/>
    </w:pPr>
    <w:rPr>
      <w:rFonts w:ascii="宋体" w:hAnsi="宋体"/>
      <w:snapToGrid/>
      <w:kern w:val="2"/>
      <w:szCs w:val="24"/>
    </w:rPr>
  </w:style>
  <w:style w:type="paragraph" w:customStyle="1" w:styleId="3298">
    <w:name w:val="样式 正文文字缩进 + (西文) Times New Roman (中文) 黑体 左 首行缩进:  0.99 厘米"/>
    <w:basedOn w:val="35"/>
    <w:qFormat/>
    <w:uiPriority w:val="0"/>
    <w:pPr>
      <w:snapToGrid/>
      <w:spacing w:line="360" w:lineRule="auto"/>
      <w:ind w:firstLine="561" w:firstLineChars="0"/>
      <w:textAlignment w:val="baseline"/>
    </w:pPr>
    <w:rPr>
      <w:rFonts w:ascii="Calibri" w:hAnsi="Calibri" w:cs="宋体"/>
      <w:snapToGrid/>
      <w:spacing w:val="5"/>
      <w:szCs w:val="20"/>
    </w:rPr>
  </w:style>
  <w:style w:type="paragraph" w:customStyle="1" w:styleId="3299">
    <w:name w:val="样式 正文文字缩进 2 + 首行缩进:  2 字符 行距: 固定值 23 磅"/>
    <w:basedOn w:val="51"/>
    <w:qFormat/>
    <w:uiPriority w:val="0"/>
    <w:pPr>
      <w:adjustRightInd/>
      <w:snapToGrid/>
      <w:spacing w:line="240" w:lineRule="auto"/>
      <w:ind w:firstLine="200"/>
    </w:pPr>
    <w:rPr>
      <w:rFonts w:ascii="Calibri" w:hAnsi="Calibri" w:eastAsia="华文中宋"/>
      <w:snapToGrid/>
      <w:color w:val="auto"/>
    </w:rPr>
  </w:style>
  <w:style w:type="paragraph" w:customStyle="1" w:styleId="3300">
    <w:name w:val="正文小四"/>
    <w:basedOn w:val="1"/>
    <w:link w:val="3301"/>
    <w:qFormat/>
    <w:uiPriority w:val="0"/>
    <w:pPr>
      <w:adjustRightInd/>
      <w:snapToGrid/>
      <w:spacing w:line="453" w:lineRule="atLeast"/>
      <w:ind w:firstLine="481" w:firstLineChars="0"/>
    </w:pPr>
    <w:rPr>
      <w:rFonts w:ascii="宋体" w:hAnsi="宋体" w:cs="宋体"/>
      <w:snapToGrid/>
      <w:szCs w:val="20"/>
    </w:rPr>
  </w:style>
  <w:style w:type="character" w:customStyle="1" w:styleId="3301">
    <w:name w:val="正文小四 Char1"/>
    <w:link w:val="3300"/>
    <w:qFormat/>
    <w:uiPriority w:val="0"/>
    <w:rPr>
      <w:rFonts w:ascii="宋体" w:hAnsi="宋体" w:eastAsia="宋体" w:cs="宋体"/>
      <w:kern w:val="0"/>
      <w:sz w:val="26"/>
      <w:szCs w:val="20"/>
      <w14:ligatures w14:val="none"/>
    </w:rPr>
  </w:style>
  <w:style w:type="paragraph" w:customStyle="1" w:styleId="3302">
    <w:name w:val="样式 正文小四 +"/>
    <w:basedOn w:val="3300"/>
    <w:link w:val="3303"/>
    <w:qFormat/>
    <w:uiPriority w:val="0"/>
    <w:rPr>
      <w:u w:color="000000"/>
    </w:rPr>
  </w:style>
  <w:style w:type="character" w:customStyle="1" w:styleId="3303">
    <w:name w:val="样式 正文小四 + Char Char"/>
    <w:link w:val="3302"/>
    <w:qFormat/>
    <w:uiPriority w:val="0"/>
    <w:rPr>
      <w:rFonts w:ascii="宋体" w:hAnsi="宋体" w:eastAsia="宋体" w:cs="宋体"/>
      <w:kern w:val="0"/>
      <w:sz w:val="26"/>
      <w:szCs w:val="20"/>
      <w:u w:color="000000"/>
      <w14:ligatures w14:val="none"/>
    </w:rPr>
  </w:style>
  <w:style w:type="character" w:customStyle="1" w:styleId="3304">
    <w:name w:val="样式 正文小四 + Char"/>
    <w:qFormat/>
    <w:uiPriority w:val="0"/>
    <w:rPr>
      <w:rFonts w:ascii="宋体" w:hAnsi="宋体" w:eastAsia="宋体" w:cs="宋体"/>
      <w:kern w:val="2"/>
      <w:sz w:val="24"/>
      <w:u w:color="000000"/>
      <w:lang w:val="en-US" w:eastAsia="zh-CN" w:bidi="ar-SA"/>
    </w:rPr>
  </w:style>
  <w:style w:type="paragraph" w:customStyle="1" w:styleId="3305">
    <w:name w:val="样式 正文样式 + 首行缩进:  2.03 字符"/>
    <w:basedOn w:val="1"/>
    <w:semiHidden/>
    <w:qFormat/>
    <w:uiPriority w:val="0"/>
    <w:pPr>
      <w:autoSpaceDE w:val="0"/>
      <w:autoSpaceDN w:val="0"/>
      <w:snapToGrid/>
      <w:spacing w:line="240" w:lineRule="auto"/>
      <w:ind w:firstLine="203" w:firstLineChars="203"/>
    </w:pPr>
    <w:rPr>
      <w:rFonts w:ascii="宋体" w:cs="宋体"/>
      <w:snapToGrid/>
      <w:spacing w:val="8"/>
      <w:position w:val="-20"/>
      <w:szCs w:val="20"/>
      <w:lang w:val="zh-CN"/>
    </w:rPr>
  </w:style>
  <w:style w:type="paragraph" w:customStyle="1" w:styleId="3306">
    <w:name w:val="样式 正文一 + 首行缩进:  2 字符"/>
    <w:basedOn w:val="1"/>
    <w:qFormat/>
    <w:uiPriority w:val="0"/>
    <w:pPr>
      <w:adjustRightInd/>
      <w:snapToGrid/>
      <w:spacing w:line="360" w:lineRule="auto"/>
      <w:ind w:firstLine="560"/>
    </w:pPr>
    <w:rPr>
      <w:rFonts w:ascii="仿宋_GB2312" w:eastAsia="仿宋_GB2312" w:cs="宋体"/>
      <w:snapToGrid/>
      <w:sz w:val="21"/>
      <w:szCs w:val="20"/>
      <w:u w:color="000000"/>
    </w:rPr>
  </w:style>
  <w:style w:type="paragraph" w:customStyle="1" w:styleId="3307">
    <w:name w:val="样式 左"/>
    <w:basedOn w:val="1"/>
    <w:link w:val="3308"/>
    <w:qFormat/>
    <w:uiPriority w:val="0"/>
    <w:pPr>
      <w:spacing w:line="240" w:lineRule="auto"/>
      <w:ind w:firstLine="420"/>
    </w:pPr>
    <w:rPr>
      <w:rFonts w:cs="宋体"/>
      <w:snapToGrid/>
      <w:sz w:val="20"/>
      <w:szCs w:val="20"/>
    </w:rPr>
  </w:style>
  <w:style w:type="character" w:customStyle="1" w:styleId="3308">
    <w:name w:val="样式 左 Char Char"/>
    <w:link w:val="3307"/>
    <w:qFormat/>
    <w:uiPriority w:val="0"/>
    <w:rPr>
      <w:rFonts w:ascii="Times New Roman" w:hAnsi="Times New Roman" w:eastAsia="宋体" w:cs="宋体"/>
      <w:kern w:val="0"/>
      <w:sz w:val="20"/>
      <w:szCs w:val="20"/>
      <w14:ligatures w14:val="none"/>
    </w:rPr>
  </w:style>
  <w:style w:type="character" w:customStyle="1" w:styleId="3309">
    <w:name w:val="样式 左 Char"/>
    <w:qFormat/>
    <w:uiPriority w:val="0"/>
    <w:rPr>
      <w:rFonts w:eastAsia="宋体" w:cs="宋体"/>
      <w:kern w:val="2"/>
      <w:sz w:val="21"/>
      <w:lang w:val="en-US" w:eastAsia="zh-CN" w:bidi="ar-SA"/>
    </w:rPr>
  </w:style>
  <w:style w:type="paragraph" w:customStyle="1" w:styleId="3310">
    <w:name w:val="样式 左 首行缩进:  1.01 厘米"/>
    <w:basedOn w:val="1"/>
    <w:link w:val="3311"/>
    <w:qFormat/>
    <w:uiPriority w:val="0"/>
    <w:rPr>
      <w:rFonts w:cs="宋体"/>
      <w:snapToGrid/>
      <w:szCs w:val="26"/>
    </w:rPr>
  </w:style>
  <w:style w:type="character" w:customStyle="1" w:styleId="3311">
    <w:name w:val="样式 左 首行缩进:  1.01 厘米 Char Char"/>
    <w:link w:val="3310"/>
    <w:qFormat/>
    <w:uiPriority w:val="0"/>
    <w:rPr>
      <w:rFonts w:ascii="Times New Roman" w:hAnsi="Times New Roman" w:eastAsia="宋体" w:cs="宋体"/>
      <w:kern w:val="0"/>
      <w:sz w:val="26"/>
      <w:szCs w:val="26"/>
      <w14:ligatures w14:val="none"/>
    </w:rPr>
  </w:style>
  <w:style w:type="paragraph" w:customStyle="1" w:styleId="3312">
    <w:name w:val="样式 左 首行缩进:  1.01 厘米 Char"/>
    <w:basedOn w:val="1"/>
    <w:qFormat/>
    <w:uiPriority w:val="0"/>
    <w:rPr>
      <w:rFonts w:cs="宋体"/>
      <w:snapToGrid/>
      <w:kern w:val="2"/>
      <w:szCs w:val="26"/>
    </w:rPr>
  </w:style>
  <w:style w:type="paragraph" w:customStyle="1" w:styleId="3313">
    <w:name w:val="样式 左 首行缩进:  2 字符 行距: 1.5 倍行距"/>
    <w:basedOn w:val="1"/>
    <w:qFormat/>
    <w:uiPriority w:val="0"/>
    <w:pPr>
      <w:adjustRightInd/>
      <w:snapToGrid/>
      <w:spacing w:line="360" w:lineRule="auto"/>
      <w:ind w:firstLine="0" w:firstLineChars="0"/>
    </w:pPr>
    <w:rPr>
      <w:rFonts w:cs="宋体"/>
      <w:snapToGrid/>
      <w:sz w:val="18"/>
      <w:szCs w:val="18"/>
    </w:rPr>
  </w:style>
  <w:style w:type="paragraph" w:customStyle="1" w:styleId="3314">
    <w:name w:val="样式 左侧:  0 厘米 首行缩进:  0.85 厘米"/>
    <w:basedOn w:val="1"/>
    <w:qFormat/>
    <w:uiPriority w:val="0"/>
    <w:pPr>
      <w:adjustRightInd/>
      <w:snapToGrid/>
      <w:spacing w:line="240" w:lineRule="auto"/>
      <w:ind w:firstLine="480" w:firstLineChars="0"/>
    </w:pPr>
    <w:rPr>
      <w:rFonts w:eastAsia="仿宋_GB2312"/>
      <w:snapToGrid/>
      <w:kern w:val="2"/>
      <w:szCs w:val="20"/>
    </w:rPr>
  </w:style>
  <w:style w:type="paragraph" w:customStyle="1" w:styleId="3315">
    <w:name w:val="样式 左侧:  0.98 厘米"/>
    <w:basedOn w:val="1"/>
    <w:qFormat/>
    <w:uiPriority w:val="0"/>
    <w:pPr>
      <w:spacing w:line="490" w:lineRule="exact"/>
      <w:ind w:firstLine="560"/>
    </w:pPr>
    <w:rPr>
      <w:rFonts w:eastAsia="仿宋_GB2312"/>
      <w:snapToGrid/>
      <w:kern w:val="2"/>
      <w:sz w:val="28"/>
      <w:szCs w:val="20"/>
    </w:rPr>
  </w:style>
  <w:style w:type="paragraph" w:customStyle="1" w:styleId="3316">
    <w:name w:val="样式 左侧:  1 字符 右侧:  1 字符"/>
    <w:basedOn w:val="1"/>
    <w:qFormat/>
    <w:uiPriority w:val="0"/>
    <w:pPr>
      <w:tabs>
        <w:tab w:val="left" w:pos="6660"/>
      </w:tabs>
      <w:adjustRightInd/>
      <w:snapToGrid/>
      <w:spacing w:line="360" w:lineRule="auto"/>
      <w:ind w:firstLine="540" w:firstLineChars="225"/>
    </w:pPr>
    <w:rPr>
      <w:rFonts w:cs="宋体"/>
      <w:snapToGrid/>
      <w:kern w:val="2"/>
    </w:rPr>
  </w:style>
  <w:style w:type="paragraph" w:customStyle="1" w:styleId="3317">
    <w:name w:val="样式 左侧:  1 字符 右侧:  1 字符1"/>
    <w:basedOn w:val="1"/>
    <w:qFormat/>
    <w:uiPriority w:val="0"/>
    <w:pPr>
      <w:tabs>
        <w:tab w:val="left" w:pos="6660"/>
      </w:tabs>
      <w:snapToGrid/>
      <w:spacing w:line="312" w:lineRule="auto"/>
      <w:ind w:right="70" w:rightChars="29" w:firstLine="540" w:firstLineChars="225"/>
    </w:pPr>
    <w:rPr>
      <w:rFonts w:cs="宋体"/>
      <w:snapToGrid/>
      <w:color w:val="000000"/>
      <w:kern w:val="2"/>
      <w:szCs w:val="20"/>
    </w:rPr>
  </w:style>
  <w:style w:type="paragraph" w:customStyle="1" w:styleId="3318">
    <w:name w:val="样式 左侧:  1 字符 右侧:  1 字符2"/>
    <w:basedOn w:val="1"/>
    <w:qFormat/>
    <w:uiPriority w:val="0"/>
    <w:pPr>
      <w:tabs>
        <w:tab w:val="left" w:pos="6660"/>
      </w:tabs>
      <w:adjustRightInd/>
      <w:snapToGrid/>
      <w:spacing w:line="360" w:lineRule="auto"/>
      <w:ind w:firstLine="540" w:firstLineChars="225"/>
    </w:pPr>
    <w:rPr>
      <w:rFonts w:cs="宋体"/>
      <w:snapToGrid/>
      <w:color w:val="000000"/>
      <w:kern w:val="2"/>
      <w:szCs w:val="20"/>
    </w:rPr>
  </w:style>
  <w:style w:type="paragraph" w:customStyle="1" w:styleId="3319">
    <w:name w:val="样式 左侧:  2 字符"/>
    <w:basedOn w:val="1"/>
    <w:qFormat/>
    <w:uiPriority w:val="0"/>
    <w:pPr>
      <w:adjustRightInd/>
      <w:snapToGrid/>
      <w:spacing w:line="360" w:lineRule="auto"/>
    </w:pPr>
    <w:rPr>
      <w:rFonts w:cs="宋体"/>
      <w:snapToGrid/>
      <w:kern w:val="2"/>
      <w:szCs w:val="20"/>
    </w:rPr>
  </w:style>
  <w:style w:type="paragraph" w:customStyle="1" w:styleId="3320">
    <w:name w:val="样式（1）"/>
    <w:basedOn w:val="1"/>
    <w:qFormat/>
    <w:uiPriority w:val="0"/>
    <w:pPr>
      <w:tabs>
        <w:tab w:val="left" w:pos="432"/>
        <w:tab w:val="left" w:pos="1134"/>
        <w:tab w:val="left" w:pos="1330"/>
      </w:tabs>
      <w:adjustRightInd/>
      <w:snapToGrid/>
      <w:ind w:left="432" w:hanging="432" w:firstLineChars="0"/>
    </w:pPr>
    <w:rPr>
      <w:rFonts w:ascii="宋体" w:hAnsi="宋体"/>
      <w:snapToGrid/>
      <w:kern w:val="2"/>
    </w:rPr>
  </w:style>
  <w:style w:type="paragraph" w:customStyle="1" w:styleId="3321">
    <w:name w:val="样式（正文）"/>
    <w:basedOn w:val="1"/>
    <w:semiHidden/>
    <w:qFormat/>
    <w:uiPriority w:val="0"/>
    <w:pPr>
      <w:adjustRightInd/>
      <w:snapToGrid/>
      <w:spacing w:line="360" w:lineRule="auto"/>
      <w:ind w:firstLine="554" w:firstLineChars="0"/>
    </w:pPr>
    <w:rPr>
      <w:rFonts w:ascii="仿宋_GB2312" w:eastAsia="仿宋_GB2312"/>
      <w:snapToGrid/>
      <w:kern w:val="2"/>
    </w:rPr>
  </w:style>
  <w:style w:type="paragraph" w:customStyle="1" w:styleId="3322">
    <w:name w:val="样式02"/>
    <w:basedOn w:val="1"/>
    <w:autoRedefine/>
    <w:qFormat/>
    <w:uiPriority w:val="0"/>
    <w:pPr>
      <w:keepNext/>
      <w:keepLines/>
      <w:snapToGrid/>
      <w:spacing w:beforeLines="90" w:afterLines="90" w:line="360" w:lineRule="atLeast"/>
      <w:ind w:firstLine="0" w:firstLineChars="0"/>
      <w:textAlignment w:val="baseline"/>
      <w:outlineLvl w:val="1"/>
    </w:pPr>
    <w:rPr>
      <w:rFonts w:ascii="Calibri" w:hAnsi="Calibri"/>
      <w:b/>
      <w:snapToGrid/>
      <w:kern w:val="2"/>
      <w:sz w:val="30"/>
      <w:szCs w:val="30"/>
    </w:rPr>
  </w:style>
  <w:style w:type="paragraph" w:customStyle="1" w:styleId="3323">
    <w:name w:val="样式03"/>
    <w:basedOn w:val="1"/>
    <w:autoRedefine/>
    <w:qFormat/>
    <w:uiPriority w:val="0"/>
    <w:pPr>
      <w:keepNext/>
      <w:keepLines/>
      <w:spacing w:beforeLines="30" w:afterLines="30" w:line="500" w:lineRule="exact"/>
      <w:ind w:firstLine="0" w:firstLineChars="0"/>
      <w:textAlignment w:val="baseline"/>
      <w:outlineLvl w:val="2"/>
    </w:pPr>
    <w:rPr>
      <w:rFonts w:ascii="Calibri" w:hAnsi="Calibri" w:eastAsia="楷体_GB2312"/>
      <w:snapToGrid/>
      <w:kern w:val="2"/>
      <w:sz w:val="30"/>
      <w:szCs w:val="30"/>
    </w:rPr>
  </w:style>
  <w:style w:type="paragraph" w:customStyle="1" w:styleId="3324">
    <w:name w:val="样式0表换行"/>
    <w:basedOn w:val="1"/>
    <w:qFormat/>
    <w:uiPriority w:val="0"/>
    <w:pPr>
      <w:adjustRightInd/>
      <w:snapToGrid/>
      <w:spacing w:line="300" w:lineRule="auto"/>
      <w:ind w:firstLine="0" w:firstLineChars="0"/>
      <w:jc w:val="center"/>
    </w:pPr>
    <w:rPr>
      <w:snapToGrid/>
      <w:kern w:val="2"/>
      <w:sz w:val="21"/>
      <w:szCs w:val="20"/>
    </w:rPr>
  </w:style>
  <w:style w:type="character" w:customStyle="1" w:styleId="3325">
    <w:name w:val="样式1 Char Char"/>
    <w:qFormat/>
    <w:uiPriority w:val="0"/>
    <w:rPr>
      <w:rFonts w:eastAsia="宋体"/>
      <w:sz w:val="26"/>
      <w:szCs w:val="26"/>
    </w:rPr>
  </w:style>
  <w:style w:type="paragraph" w:customStyle="1" w:styleId="3326">
    <w:name w:val="样式1 Char Char Char"/>
    <w:basedOn w:val="1"/>
    <w:link w:val="3327"/>
    <w:semiHidden/>
    <w:qFormat/>
    <w:uiPriority w:val="0"/>
    <w:pPr>
      <w:widowControl/>
      <w:spacing w:line="240" w:lineRule="auto"/>
      <w:ind w:firstLine="0" w:firstLineChars="0"/>
      <w:jc w:val="center"/>
    </w:pPr>
    <w:rPr>
      <w:rFonts w:ascii="宋体" w:hAnsi="宋体"/>
      <w:snapToGrid/>
      <w:kern w:val="2"/>
      <w:sz w:val="21"/>
    </w:rPr>
  </w:style>
  <w:style w:type="character" w:customStyle="1" w:styleId="3327">
    <w:name w:val="样式1 Char Char Char Char"/>
    <w:link w:val="3326"/>
    <w:semiHidden/>
    <w:qFormat/>
    <w:uiPriority w:val="0"/>
    <w:rPr>
      <w:rFonts w:ascii="宋体" w:hAnsi="宋体" w:eastAsia="宋体" w:cs="Times New Roman"/>
      <w:szCs w:val="24"/>
      <w14:ligatures w14:val="none"/>
    </w:rPr>
  </w:style>
  <w:style w:type="paragraph" w:customStyle="1" w:styleId="3328">
    <w:name w:val="样式1 Char Char Char Char Char"/>
    <w:basedOn w:val="1"/>
    <w:link w:val="3329"/>
    <w:qFormat/>
    <w:uiPriority w:val="0"/>
    <w:pPr>
      <w:adjustRightInd/>
      <w:snapToGrid/>
      <w:spacing w:line="560" w:lineRule="atLeast"/>
      <w:ind w:firstLine="480"/>
    </w:pPr>
    <w:rPr>
      <w:rFonts w:ascii="宋体" w:hAnsi="宋体"/>
      <w:snapToGrid/>
    </w:rPr>
  </w:style>
  <w:style w:type="character" w:customStyle="1" w:styleId="3329">
    <w:name w:val="样式1 Char Char Char Char Char Char Char Char"/>
    <w:link w:val="3328"/>
    <w:qFormat/>
    <w:uiPriority w:val="0"/>
    <w:rPr>
      <w:rFonts w:ascii="宋体" w:hAnsi="宋体" w:eastAsia="宋体" w:cs="Times New Roman"/>
      <w:kern w:val="0"/>
      <w:sz w:val="26"/>
      <w:szCs w:val="24"/>
      <w14:ligatures w14:val="none"/>
    </w:rPr>
  </w:style>
  <w:style w:type="paragraph" w:customStyle="1" w:styleId="3330">
    <w:name w:val="样式1 Char Char Char Char Char Char"/>
    <w:basedOn w:val="1"/>
    <w:qFormat/>
    <w:uiPriority w:val="0"/>
    <w:pPr>
      <w:adjustRightInd/>
      <w:snapToGrid/>
      <w:spacing w:line="560" w:lineRule="atLeast"/>
      <w:ind w:firstLine="480"/>
    </w:pPr>
    <w:rPr>
      <w:rFonts w:ascii="宋体" w:hAnsi="宋体"/>
      <w:snapToGrid/>
      <w:kern w:val="2"/>
    </w:rPr>
  </w:style>
  <w:style w:type="character" w:customStyle="1" w:styleId="3331">
    <w:name w:val="样式1 Char Char Char Char Char Char Char"/>
    <w:qFormat/>
    <w:uiPriority w:val="0"/>
    <w:rPr>
      <w:rFonts w:ascii="宋体" w:hAnsi="宋体" w:eastAsia="宋体"/>
      <w:kern w:val="2"/>
      <w:sz w:val="24"/>
      <w:szCs w:val="24"/>
      <w:lang w:val="en-US" w:eastAsia="zh-CN" w:bidi="ar-SA"/>
    </w:rPr>
  </w:style>
  <w:style w:type="character" w:customStyle="1" w:styleId="3332">
    <w:name w:val="样式1 Char Char Char Char Char Char Char Char Char"/>
    <w:qFormat/>
    <w:uiPriority w:val="0"/>
    <w:rPr>
      <w:rFonts w:ascii="宋体" w:hAnsi="宋体" w:eastAsia="宋体"/>
      <w:kern w:val="2"/>
      <w:sz w:val="24"/>
      <w:szCs w:val="24"/>
      <w:lang w:val="en-US" w:eastAsia="zh-CN" w:bidi="ar-SA"/>
    </w:rPr>
  </w:style>
  <w:style w:type="paragraph" w:customStyle="1" w:styleId="3333">
    <w:name w:val="样式1 Char Char Char Char1"/>
    <w:basedOn w:val="1"/>
    <w:qFormat/>
    <w:uiPriority w:val="0"/>
    <w:pPr>
      <w:adjustRightInd/>
      <w:snapToGrid/>
      <w:spacing w:line="560" w:lineRule="atLeast"/>
      <w:ind w:firstLine="480"/>
    </w:pPr>
    <w:rPr>
      <w:rFonts w:ascii="宋体" w:hAnsi="宋体"/>
      <w:snapToGrid/>
      <w:kern w:val="2"/>
    </w:rPr>
  </w:style>
  <w:style w:type="character" w:customStyle="1" w:styleId="3334">
    <w:name w:val="样式1 Char1"/>
    <w:qFormat/>
    <w:uiPriority w:val="0"/>
    <w:rPr>
      <w:rFonts w:ascii="宋体" w:hAnsi="Tms Rmn" w:eastAsia="宋体" w:cs="Times New Roman"/>
      <w:color w:val="000000"/>
      <w:kern w:val="0"/>
      <w:sz w:val="24"/>
      <w:szCs w:val="20"/>
    </w:rPr>
  </w:style>
  <w:style w:type="character" w:customStyle="1" w:styleId="3335">
    <w:name w:val="样式1 Char2"/>
    <w:qFormat/>
    <w:uiPriority w:val="0"/>
    <w:rPr>
      <w:rFonts w:ascii="仿宋_GB2312" w:eastAsia="宋体"/>
      <w:kern w:val="2"/>
      <w:sz w:val="24"/>
      <w:szCs w:val="24"/>
      <w:lang w:val="en-US" w:eastAsia="zh-CN" w:bidi="ar-SA"/>
    </w:rPr>
  </w:style>
  <w:style w:type="paragraph" w:customStyle="1" w:styleId="3336">
    <w:name w:val="样式1 正文居中"/>
    <w:basedOn w:val="1"/>
    <w:semiHidden/>
    <w:qFormat/>
    <w:uiPriority w:val="0"/>
    <w:pPr>
      <w:adjustRightInd/>
      <w:snapToGrid/>
      <w:spacing w:line="240" w:lineRule="auto"/>
      <w:ind w:firstLine="0" w:firstLineChars="0"/>
      <w:jc w:val="center"/>
    </w:pPr>
    <w:rPr>
      <w:rFonts w:ascii="宋体" w:hAnsi="宋体"/>
      <w:b/>
      <w:snapToGrid/>
      <w:kern w:val="2"/>
      <w:sz w:val="32"/>
    </w:rPr>
  </w:style>
  <w:style w:type="paragraph" w:customStyle="1" w:styleId="3337">
    <w:name w:val="样式1."/>
    <w:basedOn w:val="1"/>
    <w:qFormat/>
    <w:uiPriority w:val="0"/>
    <w:pPr>
      <w:ind w:firstLine="0" w:firstLineChars="0"/>
    </w:pPr>
    <w:rPr>
      <w:rFonts w:ascii="黑体" w:eastAsia="黑体"/>
      <w:b/>
      <w:snapToGrid/>
      <w:kern w:val="2"/>
      <w:sz w:val="30"/>
      <w:szCs w:val="20"/>
    </w:rPr>
  </w:style>
  <w:style w:type="paragraph" w:customStyle="1" w:styleId="3338">
    <w:name w:val="样式1.1.1"/>
    <w:basedOn w:val="1"/>
    <w:qFormat/>
    <w:uiPriority w:val="0"/>
    <w:pPr>
      <w:spacing w:line="360" w:lineRule="auto"/>
      <w:ind w:firstLine="0" w:firstLineChars="0"/>
    </w:pPr>
    <w:rPr>
      <w:rFonts w:hAnsi="宋体"/>
      <w:b/>
      <w:snapToGrid/>
      <w:kern w:val="2"/>
      <w:sz w:val="28"/>
      <w:szCs w:val="20"/>
    </w:rPr>
  </w:style>
  <w:style w:type="paragraph" w:customStyle="1" w:styleId="3339">
    <w:name w:val="样式10"/>
    <w:basedOn w:val="1"/>
    <w:link w:val="3340"/>
    <w:qFormat/>
    <w:uiPriority w:val="0"/>
    <w:pPr>
      <w:spacing w:line="240" w:lineRule="auto"/>
      <w:ind w:firstLine="520"/>
      <w:jc w:val="right"/>
    </w:pPr>
    <w:rPr>
      <w:snapToGrid/>
      <w:szCs w:val="26"/>
    </w:rPr>
  </w:style>
  <w:style w:type="character" w:customStyle="1" w:styleId="3340">
    <w:name w:val="样式10 Char Char"/>
    <w:link w:val="3339"/>
    <w:qFormat/>
    <w:uiPriority w:val="0"/>
    <w:rPr>
      <w:rFonts w:ascii="Times New Roman" w:hAnsi="Times New Roman" w:eastAsia="宋体" w:cs="Times New Roman"/>
      <w:kern w:val="0"/>
      <w:sz w:val="26"/>
      <w:szCs w:val="26"/>
      <w14:ligatures w14:val="none"/>
    </w:rPr>
  </w:style>
  <w:style w:type="paragraph" w:customStyle="1" w:styleId="3341">
    <w:name w:val="样式11"/>
    <w:basedOn w:val="1"/>
    <w:link w:val="3342"/>
    <w:qFormat/>
    <w:uiPriority w:val="0"/>
    <w:pPr>
      <w:spacing w:line="240" w:lineRule="atLeast"/>
      <w:ind w:firstLine="0" w:firstLineChars="0"/>
    </w:pPr>
    <w:rPr>
      <w:snapToGrid/>
    </w:rPr>
  </w:style>
  <w:style w:type="character" w:customStyle="1" w:styleId="3342">
    <w:name w:val="样式11 Char Char"/>
    <w:link w:val="3341"/>
    <w:qFormat/>
    <w:uiPriority w:val="0"/>
    <w:rPr>
      <w:rFonts w:ascii="Times New Roman" w:hAnsi="Times New Roman" w:eastAsia="宋体" w:cs="Times New Roman"/>
      <w:kern w:val="0"/>
      <w:sz w:val="26"/>
      <w:szCs w:val="24"/>
      <w14:ligatures w14:val="none"/>
    </w:rPr>
  </w:style>
  <w:style w:type="character" w:customStyle="1" w:styleId="3343">
    <w:name w:val="样式11 Char"/>
    <w:qFormat/>
    <w:uiPriority w:val="0"/>
    <w:rPr>
      <w:rFonts w:ascii="宋体" w:hAnsi="宋体" w:eastAsia="宋体" w:cs="宋体"/>
      <w:bCs/>
      <w:sz w:val="24"/>
      <w:szCs w:val="24"/>
      <w:lang w:val="en-US" w:eastAsia="zh-CN" w:bidi="ar-SA"/>
    </w:rPr>
  </w:style>
  <w:style w:type="paragraph" w:customStyle="1" w:styleId="3344">
    <w:name w:val="样式111"/>
    <w:basedOn w:val="1"/>
    <w:autoRedefine/>
    <w:qFormat/>
    <w:uiPriority w:val="0"/>
    <w:pPr>
      <w:keepNext/>
      <w:keepLines/>
      <w:tabs>
        <w:tab w:val="left" w:pos="1620"/>
        <w:tab w:val="center" w:pos="4252"/>
        <w:tab w:val="left" w:pos="6540"/>
      </w:tabs>
      <w:snapToGrid/>
      <w:spacing w:beforeLines="110" w:afterLines="110" w:line="360" w:lineRule="atLeast"/>
      <w:ind w:firstLine="0" w:firstLineChars="0"/>
      <w:jc w:val="center"/>
      <w:textAlignment w:val="baseline"/>
      <w:outlineLvl w:val="0"/>
    </w:pPr>
    <w:rPr>
      <w:rFonts w:ascii="Calibri" w:hAnsi="Calibri"/>
      <w:b/>
      <w:bCs/>
      <w:snapToGrid/>
      <w:sz w:val="32"/>
      <w:szCs w:val="30"/>
    </w:rPr>
  </w:style>
  <w:style w:type="paragraph" w:customStyle="1" w:styleId="3345">
    <w:name w:val="样式1-1级项目编号"/>
    <w:basedOn w:val="1"/>
    <w:qFormat/>
    <w:uiPriority w:val="0"/>
    <w:pPr>
      <w:tabs>
        <w:tab w:val="left" w:pos="482"/>
      </w:tabs>
      <w:spacing w:line="380" w:lineRule="exact"/>
      <w:ind w:left="482" w:firstLine="0" w:firstLineChars="0"/>
      <w:textAlignment w:val="center"/>
    </w:pPr>
    <w:rPr>
      <w:szCs w:val="20"/>
    </w:rPr>
  </w:style>
  <w:style w:type="paragraph" w:customStyle="1" w:styleId="3346">
    <w:name w:val="样式12"/>
    <w:basedOn w:val="3341"/>
    <w:link w:val="3347"/>
    <w:qFormat/>
    <w:uiPriority w:val="0"/>
    <w:rPr>
      <w:sz w:val="20"/>
      <w:szCs w:val="21"/>
    </w:rPr>
  </w:style>
  <w:style w:type="character" w:customStyle="1" w:styleId="3347">
    <w:name w:val="样式12 Char Char"/>
    <w:link w:val="3346"/>
    <w:qFormat/>
    <w:uiPriority w:val="0"/>
    <w:rPr>
      <w:rFonts w:ascii="Times New Roman" w:hAnsi="Times New Roman" w:eastAsia="宋体" w:cs="Times New Roman"/>
      <w:kern w:val="0"/>
      <w:sz w:val="20"/>
      <w:szCs w:val="21"/>
      <w14:ligatures w14:val="none"/>
    </w:rPr>
  </w:style>
  <w:style w:type="paragraph" w:customStyle="1" w:styleId="3348">
    <w:name w:val="样式12 Char Char Char"/>
    <w:basedOn w:val="5"/>
    <w:qFormat/>
    <w:uiPriority w:val="0"/>
    <w:pPr>
      <w:keepNext/>
      <w:keepLines/>
      <w:numPr>
        <w:ilvl w:val="0"/>
        <w:numId w:val="0"/>
      </w:numPr>
      <w:adjustRightInd/>
      <w:snapToGrid/>
      <w:spacing w:line="360" w:lineRule="auto"/>
      <w:ind w:left="720" w:hanging="432"/>
      <w:jc w:val="both"/>
    </w:pPr>
    <w:rPr>
      <w:snapToGrid/>
      <w:kern w:val="2"/>
    </w:rPr>
  </w:style>
  <w:style w:type="paragraph" w:customStyle="1" w:styleId="3349">
    <w:name w:val="样式13"/>
    <w:basedOn w:val="3339"/>
    <w:qFormat/>
    <w:uiPriority w:val="0"/>
    <w:pPr>
      <w:jc w:val="center"/>
    </w:pPr>
  </w:style>
  <w:style w:type="paragraph" w:customStyle="1" w:styleId="3350">
    <w:name w:val="样式14"/>
    <w:basedOn w:val="3218"/>
    <w:link w:val="3351"/>
    <w:qFormat/>
    <w:uiPriority w:val="0"/>
    <w:pPr>
      <w:keepNext w:val="0"/>
      <w:keepLines w:val="0"/>
      <w:adjustRightInd w:val="0"/>
      <w:snapToGrid w:val="0"/>
      <w:spacing w:beforeLines="0" w:line="480" w:lineRule="exact"/>
      <w:ind w:firstLine="0" w:firstLineChars="0"/>
      <w:jc w:val="both"/>
    </w:pPr>
    <w:rPr>
      <w:b/>
      <w:bCs w:val="0"/>
      <w:snapToGrid w:val="0"/>
      <w:kern w:val="0"/>
      <w:szCs w:val="26"/>
    </w:rPr>
  </w:style>
  <w:style w:type="character" w:customStyle="1" w:styleId="3351">
    <w:name w:val="样式14 Char Char"/>
    <w:link w:val="3350"/>
    <w:qFormat/>
    <w:uiPriority w:val="0"/>
    <w:rPr>
      <w:rFonts w:ascii="Times New Roman" w:hAnsi="Times New Roman" w:eastAsia="宋体" w:cs="Times New Roman"/>
      <w:b/>
      <w:snapToGrid w:val="0"/>
      <w:kern w:val="0"/>
      <w:sz w:val="26"/>
      <w:szCs w:val="26"/>
      <w14:ligatures w14:val="none"/>
    </w:rPr>
  </w:style>
  <w:style w:type="paragraph" w:customStyle="1" w:styleId="3352">
    <w:name w:val="样式15"/>
    <w:basedOn w:val="6"/>
    <w:qFormat/>
    <w:uiPriority w:val="0"/>
    <w:pPr>
      <w:widowControl/>
      <w:numPr>
        <w:ilvl w:val="0"/>
        <w:numId w:val="0"/>
      </w:numPr>
      <w:tabs>
        <w:tab w:val="left" w:pos="0"/>
      </w:tabs>
      <w:spacing w:line="480" w:lineRule="exact"/>
      <w:ind w:left="1680" w:hanging="420"/>
    </w:pPr>
    <w:rPr>
      <w:b/>
      <w:kern w:val="2"/>
      <w:szCs w:val="28"/>
      <w:lang w:val="en-US"/>
    </w:rPr>
  </w:style>
  <w:style w:type="paragraph" w:customStyle="1" w:styleId="3353">
    <w:name w:val="样式16"/>
    <w:basedOn w:val="4"/>
    <w:link w:val="3354"/>
    <w:qFormat/>
    <w:uiPriority w:val="0"/>
    <w:pPr>
      <w:numPr>
        <w:ilvl w:val="0"/>
        <w:numId w:val="0"/>
      </w:numPr>
      <w:ind w:left="840" w:hanging="420"/>
    </w:pPr>
    <w:rPr>
      <w:rFonts w:hAnsi="宋体" w:eastAsia="黑体"/>
      <w:bCs/>
      <w:sz w:val="28"/>
      <w:szCs w:val="32"/>
    </w:rPr>
  </w:style>
  <w:style w:type="character" w:customStyle="1" w:styleId="3354">
    <w:name w:val="样式16 Char Char"/>
    <w:link w:val="3353"/>
    <w:qFormat/>
    <w:uiPriority w:val="0"/>
    <w:rPr>
      <w:rFonts w:ascii="Times New Roman" w:hAnsi="宋体" w:eastAsia="黑体" w:cs="Times New Roman"/>
      <w:b/>
      <w:bCs/>
      <w:snapToGrid w:val="0"/>
      <w:kern w:val="0"/>
      <w:sz w:val="28"/>
      <w:szCs w:val="32"/>
      <w14:ligatures w14:val="none"/>
    </w:rPr>
  </w:style>
  <w:style w:type="paragraph" w:customStyle="1" w:styleId="3355">
    <w:name w:val="样式17"/>
    <w:basedOn w:val="3"/>
    <w:link w:val="3356"/>
    <w:qFormat/>
    <w:uiPriority w:val="0"/>
    <w:pPr>
      <w:numPr>
        <w:numId w:val="0"/>
      </w:numPr>
      <w:spacing w:line="240" w:lineRule="auto"/>
      <w:ind w:left="620" w:hanging="420"/>
    </w:pPr>
  </w:style>
  <w:style w:type="character" w:customStyle="1" w:styleId="3356">
    <w:name w:val="样式17 Char"/>
    <w:link w:val="3355"/>
    <w:qFormat/>
    <w:uiPriority w:val="0"/>
    <w:rPr>
      <w:rFonts w:ascii="Times New Roman" w:hAnsi="Times New Roman" w:eastAsia="黑体" w:cs="Times New Roman"/>
      <w:b/>
      <w:bCs/>
      <w:snapToGrid w:val="0"/>
      <w:kern w:val="0"/>
      <w:sz w:val="30"/>
      <w:szCs w:val="32"/>
      <w14:ligatures w14:val="none"/>
    </w:rPr>
  </w:style>
  <w:style w:type="paragraph" w:customStyle="1" w:styleId="3357">
    <w:name w:val="样式17 Char Char"/>
    <w:basedOn w:val="1"/>
    <w:qFormat/>
    <w:uiPriority w:val="0"/>
    <w:pPr>
      <w:adjustRightInd/>
      <w:snapToGrid/>
      <w:spacing w:line="240" w:lineRule="auto"/>
      <w:ind w:firstLine="480"/>
    </w:pPr>
    <w:rPr>
      <w:rFonts w:eastAsia="华文中宋"/>
      <w:snapToGrid/>
      <w:kern w:val="2"/>
    </w:rPr>
  </w:style>
  <w:style w:type="paragraph" w:customStyle="1" w:styleId="3358">
    <w:name w:val="样式17 Char Char Char"/>
    <w:basedOn w:val="1"/>
    <w:qFormat/>
    <w:uiPriority w:val="0"/>
    <w:pPr>
      <w:adjustRightInd/>
      <w:snapToGrid/>
      <w:spacing w:line="240" w:lineRule="auto"/>
      <w:ind w:firstLine="480"/>
    </w:pPr>
    <w:rPr>
      <w:rFonts w:eastAsia="华文中宋"/>
      <w:snapToGrid/>
      <w:kern w:val="2"/>
    </w:rPr>
  </w:style>
  <w:style w:type="character" w:customStyle="1" w:styleId="3359">
    <w:name w:val="样式17 Char Char Char Char"/>
    <w:qFormat/>
    <w:uiPriority w:val="0"/>
    <w:rPr>
      <w:rFonts w:eastAsia="华文中宋"/>
      <w:kern w:val="2"/>
      <w:sz w:val="24"/>
      <w:szCs w:val="24"/>
      <w:lang w:val="en-US" w:eastAsia="zh-CN"/>
    </w:rPr>
  </w:style>
  <w:style w:type="character" w:customStyle="1" w:styleId="3360">
    <w:name w:val="样式17 Char Char Char Char Char Char"/>
    <w:qFormat/>
    <w:uiPriority w:val="0"/>
    <w:rPr>
      <w:rFonts w:eastAsia="华文中宋"/>
      <w:kern w:val="2"/>
      <w:sz w:val="24"/>
      <w:szCs w:val="24"/>
      <w:lang w:val="en-US" w:eastAsia="zh-CN"/>
    </w:rPr>
  </w:style>
  <w:style w:type="paragraph" w:customStyle="1" w:styleId="3361">
    <w:name w:val="样式18"/>
    <w:basedOn w:val="3214"/>
    <w:link w:val="3362"/>
    <w:qFormat/>
    <w:uiPriority w:val="0"/>
    <w:pPr>
      <w:tabs>
        <w:tab w:val="clear" w:pos="360"/>
        <w:tab w:val="clear" w:pos="540"/>
      </w:tabs>
      <w:adjustRightInd w:val="0"/>
      <w:snapToGrid w:val="0"/>
      <w:spacing w:line="480" w:lineRule="exact"/>
      <w:ind w:firstLine="200"/>
    </w:pPr>
    <w:rPr>
      <w:rFonts w:ascii="宋体" w:hAnsi="宋体"/>
      <w:kern w:val="0"/>
      <w:szCs w:val="26"/>
    </w:rPr>
  </w:style>
  <w:style w:type="character" w:customStyle="1" w:styleId="3362">
    <w:name w:val="样式18 Char"/>
    <w:link w:val="3361"/>
    <w:qFormat/>
    <w:locked/>
    <w:uiPriority w:val="0"/>
    <w:rPr>
      <w:rFonts w:ascii="宋体" w:hAnsi="宋体" w:eastAsia="宋体" w:cs="Times New Roman"/>
      <w:kern w:val="0"/>
      <w:sz w:val="26"/>
      <w:szCs w:val="26"/>
      <w14:ligatures w14:val="none"/>
    </w:rPr>
  </w:style>
  <w:style w:type="paragraph" w:customStyle="1" w:styleId="3363">
    <w:name w:val="样式19"/>
    <w:basedOn w:val="1"/>
    <w:link w:val="3364"/>
    <w:qFormat/>
    <w:uiPriority w:val="0"/>
    <w:pPr>
      <w:spacing w:beforeLines="50" w:afterLines="50" w:line="480" w:lineRule="exact"/>
      <w:ind w:firstLine="0" w:firstLineChars="0"/>
      <w:jc w:val="center"/>
      <w:outlineLvl w:val="0"/>
    </w:pPr>
    <w:rPr>
      <w:b/>
      <w:snapToGrid/>
      <w:sz w:val="36"/>
      <w:szCs w:val="36"/>
    </w:rPr>
  </w:style>
  <w:style w:type="character" w:customStyle="1" w:styleId="3364">
    <w:name w:val="样式19 Char Char"/>
    <w:link w:val="3363"/>
    <w:qFormat/>
    <w:uiPriority w:val="0"/>
    <w:rPr>
      <w:rFonts w:ascii="Times New Roman" w:hAnsi="Times New Roman" w:eastAsia="宋体" w:cs="Times New Roman"/>
      <w:b/>
      <w:kern w:val="0"/>
      <w:sz w:val="36"/>
      <w:szCs w:val="36"/>
      <w14:ligatures w14:val="none"/>
    </w:rPr>
  </w:style>
  <w:style w:type="character" w:customStyle="1" w:styleId="3365">
    <w:name w:val="样式2 Char"/>
    <w:qFormat/>
    <w:uiPriority w:val="0"/>
    <w:rPr>
      <w:rFonts w:ascii="Times New Roman" w:hAnsi="宋体"/>
      <w:sz w:val="22"/>
    </w:rPr>
  </w:style>
  <w:style w:type="character" w:customStyle="1" w:styleId="3366">
    <w:name w:val="样式2 宋体"/>
    <w:semiHidden/>
    <w:qFormat/>
    <w:uiPriority w:val="0"/>
    <w:rPr>
      <w:rFonts w:hAnsi="宋体" w:eastAsia="宋体"/>
      <w:sz w:val="28"/>
      <w:szCs w:val="18"/>
    </w:rPr>
  </w:style>
  <w:style w:type="paragraph" w:customStyle="1" w:styleId="3367">
    <w:name w:val="样式20"/>
    <w:basedOn w:val="1"/>
    <w:link w:val="3368"/>
    <w:qFormat/>
    <w:uiPriority w:val="0"/>
    <w:pPr>
      <w:spacing w:line="280" w:lineRule="atLeast"/>
      <w:ind w:firstLine="0" w:firstLineChars="0"/>
      <w:jc w:val="center"/>
    </w:pPr>
    <w:rPr>
      <w:rFonts w:hAnsi="宋体" w:eastAsia="黑体"/>
      <w:b/>
      <w:bCs/>
      <w:snapToGrid/>
      <w:sz w:val="20"/>
      <w:szCs w:val="21"/>
    </w:rPr>
  </w:style>
  <w:style w:type="character" w:customStyle="1" w:styleId="3368">
    <w:name w:val="样式20 Char Char"/>
    <w:link w:val="3367"/>
    <w:qFormat/>
    <w:uiPriority w:val="0"/>
    <w:rPr>
      <w:rFonts w:ascii="Times New Roman" w:hAnsi="宋体" w:eastAsia="黑体" w:cs="Times New Roman"/>
      <w:b/>
      <w:bCs/>
      <w:kern w:val="0"/>
      <w:sz w:val="20"/>
      <w:szCs w:val="21"/>
      <w14:ligatures w14:val="none"/>
    </w:rPr>
  </w:style>
  <w:style w:type="paragraph" w:customStyle="1" w:styleId="3369">
    <w:name w:val="样式21"/>
    <w:basedOn w:val="1"/>
    <w:link w:val="3370"/>
    <w:qFormat/>
    <w:uiPriority w:val="0"/>
    <w:pPr>
      <w:spacing w:line="480" w:lineRule="exact"/>
      <w:ind w:firstLine="520"/>
    </w:pPr>
    <w:rPr>
      <w:rFonts w:ascii="Calibri" w:hAnsi="Calibri"/>
      <w:snapToGrid/>
      <w:szCs w:val="26"/>
    </w:rPr>
  </w:style>
  <w:style w:type="character" w:customStyle="1" w:styleId="3370">
    <w:name w:val="样式21 Char Char"/>
    <w:link w:val="3369"/>
    <w:qFormat/>
    <w:uiPriority w:val="0"/>
    <w:rPr>
      <w:rFonts w:ascii="Calibri" w:hAnsi="Calibri" w:eastAsia="宋体" w:cs="Times New Roman"/>
      <w:kern w:val="0"/>
      <w:sz w:val="26"/>
      <w:szCs w:val="26"/>
      <w14:ligatures w14:val="none"/>
    </w:rPr>
  </w:style>
  <w:style w:type="character" w:customStyle="1" w:styleId="3371">
    <w:name w:val="样式21 Char"/>
    <w:qFormat/>
    <w:uiPriority w:val="0"/>
    <w:rPr>
      <w:rFonts w:ascii="Swis721 BT" w:hAnsi="Swis721 BT" w:eastAsia="黑体" w:cs="黑体"/>
      <w:b/>
      <w:bCs/>
      <w:kern w:val="2"/>
      <w:sz w:val="28"/>
      <w:szCs w:val="28"/>
      <w:lang w:val="en-US" w:eastAsia="zh-CN" w:bidi="ar-SA"/>
    </w:rPr>
  </w:style>
  <w:style w:type="paragraph" w:customStyle="1" w:styleId="3372">
    <w:name w:val="样式36"/>
    <w:basedOn w:val="1"/>
    <w:qFormat/>
    <w:uiPriority w:val="0"/>
    <w:pPr>
      <w:spacing w:line="360" w:lineRule="auto"/>
      <w:ind w:firstLine="560"/>
    </w:pPr>
    <w:rPr>
      <w:rFonts w:ascii="宋体" w:hAnsi="宋体" w:eastAsia="仿宋_GB2312"/>
      <w:sz w:val="28"/>
      <w:szCs w:val="28"/>
    </w:rPr>
  </w:style>
  <w:style w:type="paragraph" w:customStyle="1" w:styleId="3373">
    <w:name w:val="样式22"/>
    <w:basedOn w:val="3372"/>
    <w:qFormat/>
    <w:uiPriority w:val="0"/>
    <w:pPr>
      <w:spacing w:line="320" w:lineRule="atLeast"/>
      <w:ind w:firstLine="0" w:firstLineChars="0"/>
      <w:jc w:val="center"/>
    </w:pPr>
    <w:rPr>
      <w:rFonts w:ascii="Times New Roman" w:eastAsia="宋体"/>
      <w:sz w:val="22"/>
      <w:szCs w:val="22"/>
    </w:rPr>
  </w:style>
  <w:style w:type="paragraph" w:customStyle="1" w:styleId="3374">
    <w:name w:val="样式23"/>
    <w:basedOn w:val="1"/>
    <w:link w:val="3375"/>
    <w:uiPriority w:val="0"/>
    <w:pPr>
      <w:spacing w:line="300" w:lineRule="auto"/>
      <w:ind w:firstLine="240" w:firstLineChars="100"/>
    </w:pPr>
    <w:rPr>
      <w:rFonts w:ascii="黑体" w:eastAsia="黑体"/>
      <w:snapToGrid/>
    </w:rPr>
  </w:style>
  <w:style w:type="character" w:customStyle="1" w:styleId="3375">
    <w:name w:val="样式23 Char"/>
    <w:link w:val="3374"/>
    <w:qFormat/>
    <w:uiPriority w:val="0"/>
    <w:rPr>
      <w:rFonts w:ascii="黑体" w:hAnsi="Times New Roman" w:eastAsia="黑体" w:cs="Times New Roman"/>
      <w:kern w:val="0"/>
      <w:sz w:val="26"/>
      <w:szCs w:val="24"/>
      <w14:ligatures w14:val="none"/>
    </w:rPr>
  </w:style>
  <w:style w:type="paragraph" w:customStyle="1" w:styleId="3376">
    <w:name w:val="样式24"/>
    <w:basedOn w:val="3369"/>
    <w:link w:val="3377"/>
    <w:qFormat/>
    <w:uiPriority w:val="0"/>
    <w:pPr>
      <w:keepNext/>
      <w:keepLines/>
      <w:spacing w:line="355" w:lineRule="auto"/>
      <w:ind w:firstLine="0" w:firstLineChars="0"/>
      <w:outlineLvl w:val="3"/>
    </w:pPr>
    <w:rPr>
      <w:rFonts w:ascii="Swis721 Lt BT" w:hAnsi="Swis721 Lt BT" w:eastAsia="方正细黑一简体"/>
      <w:bCs/>
      <w:sz w:val="28"/>
      <w:szCs w:val="28"/>
    </w:rPr>
  </w:style>
  <w:style w:type="character" w:customStyle="1" w:styleId="3377">
    <w:name w:val="样式24 Char"/>
    <w:link w:val="3376"/>
    <w:qFormat/>
    <w:uiPriority w:val="0"/>
    <w:rPr>
      <w:rFonts w:ascii="Swis721 Lt BT" w:hAnsi="Swis721 Lt BT" w:eastAsia="方正细黑一简体" w:cs="Times New Roman"/>
      <w:bCs/>
      <w:kern w:val="0"/>
      <w:sz w:val="28"/>
      <w:szCs w:val="28"/>
      <w14:ligatures w14:val="none"/>
    </w:rPr>
  </w:style>
  <w:style w:type="paragraph" w:customStyle="1" w:styleId="3378">
    <w:name w:val="样式25"/>
    <w:basedOn w:val="1"/>
    <w:uiPriority w:val="0"/>
    <w:pPr>
      <w:widowControl/>
      <w:spacing w:line="440" w:lineRule="atLeast"/>
      <w:textAlignment w:val="baseline"/>
      <w:outlineLvl w:val="3"/>
    </w:pPr>
    <w:rPr>
      <w:rFonts w:cs="宋体"/>
      <w:spacing w:val="26"/>
      <w:sz w:val="32"/>
      <w:szCs w:val="28"/>
      <w:u w:color="000000"/>
    </w:rPr>
  </w:style>
  <w:style w:type="paragraph" w:customStyle="1" w:styleId="3379">
    <w:name w:val="样式26"/>
    <w:basedOn w:val="45"/>
    <w:qFormat/>
    <w:uiPriority w:val="0"/>
    <w:pPr>
      <w:spacing w:line="360" w:lineRule="auto"/>
      <w:ind w:firstLine="470" w:firstLineChars="196"/>
    </w:pPr>
    <w:rPr>
      <w:kern w:val="0"/>
      <w:sz w:val="24"/>
      <w:szCs w:val="24"/>
    </w:rPr>
  </w:style>
  <w:style w:type="paragraph" w:customStyle="1" w:styleId="3380">
    <w:name w:val="样式26 Char"/>
    <w:basedOn w:val="1"/>
    <w:link w:val="3381"/>
    <w:autoRedefine/>
    <w:semiHidden/>
    <w:qFormat/>
    <w:uiPriority w:val="0"/>
    <w:pPr>
      <w:widowControl/>
      <w:spacing w:line="440" w:lineRule="atLeast"/>
      <w:textAlignment w:val="baseline"/>
      <w:outlineLvl w:val="3"/>
    </w:pPr>
    <w:rPr>
      <w:rFonts w:cs="宋体"/>
      <w:spacing w:val="26"/>
      <w:sz w:val="32"/>
      <w:szCs w:val="28"/>
      <w:u w:color="000000"/>
    </w:rPr>
  </w:style>
  <w:style w:type="character" w:customStyle="1" w:styleId="3381">
    <w:name w:val="样式26 Char Char"/>
    <w:link w:val="3380"/>
    <w:semiHidden/>
    <w:qFormat/>
    <w:uiPriority w:val="0"/>
    <w:rPr>
      <w:rFonts w:ascii="Times New Roman" w:hAnsi="Times New Roman" w:eastAsia="宋体" w:cs="宋体"/>
      <w:snapToGrid w:val="0"/>
      <w:spacing w:val="26"/>
      <w:kern w:val="0"/>
      <w:sz w:val="32"/>
      <w:szCs w:val="28"/>
      <w:u w:color="000000"/>
      <w14:ligatures w14:val="none"/>
    </w:rPr>
  </w:style>
  <w:style w:type="paragraph" w:customStyle="1" w:styleId="3382">
    <w:name w:val="样式27"/>
    <w:basedOn w:val="1"/>
    <w:qFormat/>
    <w:uiPriority w:val="0"/>
    <w:pPr>
      <w:keepNext/>
      <w:keepLines/>
      <w:widowControl/>
      <w:spacing w:line="240" w:lineRule="auto"/>
      <w:textAlignment w:val="baseline"/>
      <w:outlineLvl w:val="3"/>
    </w:pPr>
    <w:rPr>
      <w:b/>
      <w:bCs/>
      <w:color w:val="000000"/>
      <w:sz w:val="32"/>
      <w:szCs w:val="28"/>
      <w:u w:color="000000"/>
    </w:rPr>
  </w:style>
  <w:style w:type="paragraph" w:customStyle="1" w:styleId="3383">
    <w:name w:val="样式28"/>
    <w:basedOn w:val="3218"/>
    <w:link w:val="3384"/>
    <w:qFormat/>
    <w:uiPriority w:val="0"/>
    <w:pPr>
      <w:keepNext w:val="0"/>
      <w:keepLines w:val="0"/>
      <w:widowControl/>
      <w:adjustRightInd w:val="0"/>
      <w:snapToGrid w:val="0"/>
      <w:spacing w:beforeLines="0" w:line="480" w:lineRule="exact"/>
      <w:ind w:firstLine="520"/>
      <w:outlineLvl w:val="9"/>
    </w:pPr>
    <w:rPr>
      <w:rFonts w:hAnsi="宋体"/>
      <w:b/>
      <w:bCs w:val="0"/>
      <w:snapToGrid w:val="0"/>
      <w:kern w:val="0"/>
    </w:rPr>
  </w:style>
  <w:style w:type="character" w:customStyle="1" w:styleId="3384">
    <w:name w:val="样式28 Char Char"/>
    <w:link w:val="3383"/>
    <w:qFormat/>
    <w:uiPriority w:val="0"/>
    <w:rPr>
      <w:rFonts w:ascii="Times New Roman" w:hAnsi="宋体" w:eastAsia="宋体" w:cs="Times New Roman"/>
      <w:b/>
      <w:snapToGrid w:val="0"/>
      <w:kern w:val="0"/>
      <w:sz w:val="26"/>
      <w:szCs w:val="28"/>
      <w14:ligatures w14:val="none"/>
    </w:rPr>
  </w:style>
  <w:style w:type="paragraph" w:customStyle="1" w:styleId="3385">
    <w:name w:val="样式29"/>
    <w:basedOn w:val="3382"/>
    <w:qFormat/>
    <w:uiPriority w:val="0"/>
  </w:style>
  <w:style w:type="character" w:customStyle="1" w:styleId="3386">
    <w:name w:val="样式3 Char"/>
    <w:qFormat/>
    <w:uiPriority w:val="0"/>
    <w:rPr>
      <w:rFonts w:ascii="Times New Roman" w:hAnsi="Times New Roman" w:eastAsia="宋体" w:cs="Times New Roman"/>
      <w:b/>
      <w:bCs/>
      <w:sz w:val="24"/>
      <w:szCs w:val="32"/>
    </w:rPr>
  </w:style>
  <w:style w:type="paragraph" w:customStyle="1" w:styleId="3387">
    <w:name w:val="样式30"/>
    <w:basedOn w:val="3257"/>
    <w:qFormat/>
    <w:uiPriority w:val="0"/>
    <w:pPr>
      <w:spacing w:after="0" w:line="240" w:lineRule="exact"/>
      <w:ind w:firstLine="0" w:firstLineChars="0"/>
    </w:pPr>
    <w:rPr>
      <w:szCs w:val="26"/>
    </w:rPr>
  </w:style>
  <w:style w:type="paragraph" w:customStyle="1" w:styleId="3388">
    <w:name w:val="样式31"/>
    <w:basedOn w:val="1"/>
    <w:qFormat/>
    <w:uiPriority w:val="0"/>
    <w:pPr>
      <w:adjustRightInd/>
      <w:snapToGrid/>
      <w:spacing w:line="240" w:lineRule="auto"/>
      <w:ind w:firstLine="475"/>
    </w:pPr>
    <w:rPr>
      <w:rFonts w:eastAsia="华文中宋"/>
      <w:snapToGrid/>
      <w:kern w:val="2"/>
    </w:rPr>
  </w:style>
  <w:style w:type="paragraph" w:customStyle="1" w:styleId="3389">
    <w:name w:val="样式32"/>
    <w:basedOn w:val="1"/>
    <w:link w:val="3390"/>
    <w:qFormat/>
    <w:uiPriority w:val="0"/>
    <w:pPr>
      <w:spacing w:line="480" w:lineRule="exact"/>
      <w:ind w:firstLine="560" w:firstLineChars="0"/>
    </w:pPr>
    <w:rPr>
      <w:rFonts w:ascii="宋体" w:hAnsi="宋体" w:cs="宋体"/>
      <w:snapToGrid/>
      <w:szCs w:val="26"/>
    </w:rPr>
  </w:style>
  <w:style w:type="character" w:customStyle="1" w:styleId="3390">
    <w:name w:val="样式32 Char Char"/>
    <w:link w:val="3389"/>
    <w:qFormat/>
    <w:uiPriority w:val="0"/>
    <w:rPr>
      <w:rFonts w:ascii="宋体" w:hAnsi="宋体" w:eastAsia="宋体" w:cs="宋体"/>
      <w:kern w:val="0"/>
      <w:sz w:val="26"/>
      <w:szCs w:val="26"/>
      <w14:ligatures w14:val="none"/>
    </w:rPr>
  </w:style>
  <w:style w:type="paragraph" w:customStyle="1" w:styleId="3391">
    <w:name w:val="样式33"/>
    <w:basedOn w:val="3383"/>
    <w:qFormat/>
    <w:uiPriority w:val="0"/>
    <w:pPr>
      <w:keepNext/>
      <w:keepLines/>
      <w:spacing w:line="240" w:lineRule="auto"/>
      <w:ind w:firstLine="0" w:firstLineChars="0"/>
      <w:textAlignment w:val="baseline"/>
      <w:outlineLvl w:val="3"/>
    </w:pPr>
    <w:rPr>
      <w:rFonts w:hAnsi="Times New Roman"/>
      <w:bCs/>
      <w:color w:val="000000"/>
      <w:sz w:val="32"/>
      <w:u w:color="000000"/>
    </w:rPr>
  </w:style>
  <w:style w:type="paragraph" w:customStyle="1" w:styleId="3392">
    <w:name w:val="样式34"/>
    <w:basedOn w:val="3222"/>
    <w:qFormat/>
    <w:uiPriority w:val="0"/>
    <w:pPr>
      <w:widowControl w:val="0"/>
      <w:adjustRightInd w:val="0"/>
      <w:snapToGrid w:val="0"/>
      <w:spacing w:line="480" w:lineRule="exact"/>
      <w:ind w:firstLine="0" w:firstLineChars="0"/>
      <w:outlineLvl w:val="1"/>
    </w:pPr>
    <w:rPr>
      <w:rFonts w:ascii="Times New Roman"/>
      <w:b/>
      <w:sz w:val="28"/>
      <w:szCs w:val="28"/>
    </w:rPr>
  </w:style>
  <w:style w:type="paragraph" w:customStyle="1" w:styleId="3393">
    <w:name w:val="样式35"/>
    <w:basedOn w:val="1"/>
    <w:link w:val="3394"/>
    <w:qFormat/>
    <w:uiPriority w:val="0"/>
    <w:pPr>
      <w:spacing w:line="480" w:lineRule="exact"/>
      <w:ind w:firstLine="520"/>
      <w:jc w:val="center"/>
    </w:pPr>
    <w:rPr>
      <w:rFonts w:ascii="新宋体" w:hAnsi="新宋体" w:eastAsia="新宋体"/>
      <w:snapToGrid/>
      <w:szCs w:val="26"/>
    </w:rPr>
  </w:style>
  <w:style w:type="character" w:customStyle="1" w:styleId="3394">
    <w:name w:val="样式35 Char Char"/>
    <w:link w:val="3393"/>
    <w:qFormat/>
    <w:uiPriority w:val="0"/>
    <w:rPr>
      <w:rFonts w:ascii="新宋体" w:hAnsi="新宋体" w:eastAsia="新宋体" w:cs="Times New Roman"/>
      <w:kern w:val="0"/>
      <w:sz w:val="26"/>
      <w:szCs w:val="26"/>
      <w14:ligatures w14:val="none"/>
    </w:rPr>
  </w:style>
  <w:style w:type="paragraph" w:customStyle="1" w:styleId="3395">
    <w:name w:val="样式37"/>
    <w:basedOn w:val="1"/>
    <w:link w:val="3396"/>
    <w:qFormat/>
    <w:uiPriority w:val="0"/>
    <w:pPr>
      <w:spacing w:line="240" w:lineRule="auto"/>
      <w:ind w:firstLine="0" w:firstLineChars="0"/>
      <w:jc w:val="center"/>
    </w:pPr>
    <w:rPr>
      <w:rFonts w:ascii="黑体" w:eastAsia="黑体"/>
      <w:snapToGrid/>
    </w:rPr>
  </w:style>
  <w:style w:type="character" w:customStyle="1" w:styleId="3396">
    <w:name w:val="样式37 Char Char"/>
    <w:link w:val="3395"/>
    <w:qFormat/>
    <w:uiPriority w:val="0"/>
    <w:rPr>
      <w:rFonts w:ascii="黑体" w:hAnsi="Times New Roman" w:eastAsia="黑体" w:cs="Times New Roman"/>
      <w:kern w:val="0"/>
      <w:sz w:val="26"/>
      <w:szCs w:val="24"/>
      <w14:ligatures w14:val="none"/>
    </w:rPr>
  </w:style>
  <w:style w:type="paragraph" w:customStyle="1" w:styleId="3397">
    <w:name w:val="样式38"/>
    <w:basedOn w:val="1"/>
    <w:qFormat/>
    <w:uiPriority w:val="0"/>
    <w:pPr>
      <w:spacing w:line="480" w:lineRule="exact"/>
      <w:ind w:firstLine="520"/>
      <w:jc w:val="center"/>
    </w:pPr>
    <w:rPr>
      <w:rFonts w:ascii="新宋体" w:hAnsi="新宋体" w:eastAsia="新宋体"/>
      <w:snapToGrid/>
      <w:kern w:val="2"/>
      <w:szCs w:val="26"/>
    </w:rPr>
  </w:style>
  <w:style w:type="paragraph" w:customStyle="1" w:styleId="3398">
    <w:name w:val="样式39"/>
    <w:basedOn w:val="1"/>
    <w:qFormat/>
    <w:uiPriority w:val="0"/>
    <w:pPr>
      <w:spacing w:beforeLines="20" w:afterLines="20" w:line="240" w:lineRule="auto"/>
      <w:ind w:firstLine="0" w:firstLineChars="0"/>
      <w:jc w:val="center"/>
    </w:pPr>
    <w:rPr>
      <w:rFonts w:ascii="宋体" w:hAnsi="宋体" w:eastAsia="楷体_GB2312"/>
      <w:kern w:val="24"/>
      <w:sz w:val="21"/>
      <w:szCs w:val="22"/>
    </w:rPr>
  </w:style>
  <w:style w:type="paragraph" w:customStyle="1" w:styleId="3399">
    <w:name w:val="样式4"/>
    <w:basedOn w:val="2293"/>
    <w:link w:val="3400"/>
    <w:qFormat/>
    <w:uiPriority w:val="0"/>
    <w:pPr>
      <w:spacing w:beforeLines="0" w:line="360" w:lineRule="exact"/>
      <w:outlineLvl w:val="9"/>
    </w:pPr>
    <w:rPr>
      <w:sz w:val="22"/>
      <w:szCs w:val="22"/>
    </w:rPr>
  </w:style>
  <w:style w:type="character" w:customStyle="1" w:styleId="3400">
    <w:name w:val="样式4 Char Char"/>
    <w:link w:val="3399"/>
    <w:qFormat/>
    <w:uiPriority w:val="0"/>
    <w:rPr>
      <w:rFonts w:ascii="Times New Roman" w:hAnsi="Times New Roman" w:eastAsia="宋体" w:cs="Times New Roman"/>
      <w:sz w:val="22"/>
      <w14:ligatures w14:val="none"/>
    </w:rPr>
  </w:style>
  <w:style w:type="character" w:customStyle="1" w:styleId="3401">
    <w:name w:val="样式4 Char"/>
    <w:qFormat/>
    <w:uiPriority w:val="0"/>
    <w:rPr>
      <w:rFonts w:ascii="楷体_GB2312" w:eastAsia="楷体_GB2312"/>
      <w:b/>
      <w:iCs/>
      <w:kern w:val="2"/>
      <w:sz w:val="18"/>
      <w:szCs w:val="18"/>
      <w:lang w:val="en-US" w:eastAsia="zh-CN" w:bidi="ar-SA"/>
    </w:rPr>
  </w:style>
  <w:style w:type="paragraph" w:customStyle="1" w:styleId="3402">
    <w:name w:val="样式42"/>
    <w:basedOn w:val="1"/>
    <w:qFormat/>
    <w:uiPriority w:val="0"/>
    <w:pPr>
      <w:adjustRightInd/>
      <w:snapToGrid/>
      <w:spacing w:beforeLines="50" w:afterLines="50" w:line="240" w:lineRule="auto"/>
      <w:ind w:firstLine="480"/>
    </w:pPr>
    <w:rPr>
      <w:rFonts w:eastAsia="华文中宋"/>
      <w:snapToGrid/>
      <w:color w:val="000000"/>
      <w:kern w:val="2"/>
    </w:rPr>
  </w:style>
  <w:style w:type="paragraph" w:customStyle="1" w:styleId="3403">
    <w:name w:val="样式43"/>
    <w:basedOn w:val="3398"/>
    <w:link w:val="3404"/>
    <w:qFormat/>
    <w:uiPriority w:val="0"/>
    <w:pPr>
      <w:spacing w:line="480" w:lineRule="exact"/>
      <w:ind w:firstLine="520" w:firstLineChars="200"/>
      <w:jc w:val="both"/>
    </w:pPr>
    <w:rPr>
      <w:rFonts w:eastAsia="宋体"/>
      <w:snapToGrid/>
      <w:kern w:val="0"/>
      <w:sz w:val="26"/>
      <w:szCs w:val="26"/>
    </w:rPr>
  </w:style>
  <w:style w:type="character" w:customStyle="1" w:styleId="3404">
    <w:name w:val="样式43 Char Char"/>
    <w:link w:val="3403"/>
    <w:qFormat/>
    <w:uiPriority w:val="0"/>
    <w:rPr>
      <w:rFonts w:ascii="宋体" w:hAnsi="宋体" w:eastAsia="宋体" w:cs="Times New Roman"/>
      <w:kern w:val="0"/>
      <w:sz w:val="26"/>
      <w:szCs w:val="26"/>
      <w14:ligatures w14:val="none"/>
    </w:rPr>
  </w:style>
  <w:style w:type="paragraph" w:customStyle="1" w:styleId="3405">
    <w:name w:val="样式46"/>
    <w:basedOn w:val="1"/>
    <w:qFormat/>
    <w:uiPriority w:val="0"/>
    <w:pPr>
      <w:adjustRightInd/>
      <w:snapToGrid/>
      <w:spacing w:line="240" w:lineRule="auto"/>
      <w:ind w:firstLine="0" w:firstLineChars="0"/>
      <w:jc w:val="center"/>
      <w:outlineLvl w:val="0"/>
    </w:pPr>
    <w:rPr>
      <w:rFonts w:eastAsia="黑体"/>
      <w:snapToGrid/>
      <w:color w:val="000000"/>
      <w:kern w:val="2"/>
    </w:rPr>
  </w:style>
  <w:style w:type="paragraph" w:customStyle="1" w:styleId="3406">
    <w:name w:val="样式47"/>
    <w:basedOn w:val="1"/>
    <w:link w:val="3407"/>
    <w:qFormat/>
    <w:uiPriority w:val="0"/>
    <w:pPr>
      <w:spacing w:line="480" w:lineRule="exact"/>
      <w:ind w:firstLine="520"/>
    </w:pPr>
    <w:rPr>
      <w:rFonts w:ascii="宋体" w:hAnsi="宋体"/>
      <w:snapToGrid/>
      <w:szCs w:val="26"/>
    </w:rPr>
  </w:style>
  <w:style w:type="character" w:customStyle="1" w:styleId="3407">
    <w:name w:val="样式47 Char Char"/>
    <w:link w:val="3406"/>
    <w:qFormat/>
    <w:uiPriority w:val="0"/>
    <w:rPr>
      <w:rFonts w:ascii="宋体" w:hAnsi="宋体" w:eastAsia="宋体" w:cs="Times New Roman"/>
      <w:kern w:val="0"/>
      <w:sz w:val="26"/>
      <w:szCs w:val="26"/>
      <w14:ligatures w14:val="none"/>
    </w:rPr>
  </w:style>
  <w:style w:type="character" w:customStyle="1" w:styleId="3408">
    <w:name w:val="样式5 Char Char"/>
    <w:qFormat/>
    <w:uiPriority w:val="0"/>
    <w:rPr>
      <w:rFonts w:ascii="宋体" w:hAnsi="宋体" w:eastAsia="宋体" w:cs="宋体"/>
      <w:sz w:val="26"/>
      <w:szCs w:val="26"/>
      <w:lang w:val="en-US"/>
    </w:rPr>
  </w:style>
  <w:style w:type="character" w:customStyle="1" w:styleId="3409">
    <w:name w:val="样式5 Char Char Char"/>
    <w:qFormat/>
    <w:uiPriority w:val="0"/>
    <w:rPr>
      <w:rFonts w:ascii="宋体" w:hAnsi="宋体" w:eastAsia="宋体" w:cs="宋体"/>
      <w:sz w:val="26"/>
      <w:szCs w:val="26"/>
      <w:lang w:val="en-US" w:eastAsia="zh-CN"/>
    </w:rPr>
  </w:style>
  <w:style w:type="character" w:customStyle="1" w:styleId="3410">
    <w:name w:val="样式5 Char Char Char Char"/>
    <w:qFormat/>
    <w:uiPriority w:val="0"/>
    <w:rPr>
      <w:rFonts w:eastAsia="宋体"/>
      <w:kern w:val="2"/>
      <w:sz w:val="24"/>
      <w:szCs w:val="24"/>
      <w:lang w:val="en-US" w:eastAsia="zh-CN" w:bidi="ar-SA"/>
    </w:rPr>
  </w:style>
  <w:style w:type="character" w:customStyle="1" w:styleId="3411">
    <w:name w:val="样式5 Char Char Char Char Char"/>
    <w:qFormat/>
    <w:uiPriority w:val="0"/>
    <w:rPr>
      <w:rFonts w:eastAsia="宋体"/>
      <w:sz w:val="24"/>
      <w:szCs w:val="24"/>
    </w:rPr>
  </w:style>
  <w:style w:type="paragraph" w:customStyle="1" w:styleId="3412">
    <w:name w:val="样式51"/>
    <w:basedOn w:val="3372"/>
    <w:qFormat/>
    <w:uiPriority w:val="0"/>
    <w:pPr>
      <w:widowControl/>
      <w:adjustRightInd/>
      <w:snapToGrid/>
      <w:spacing w:line="320" w:lineRule="exact"/>
      <w:ind w:firstLine="0" w:firstLineChars="0"/>
      <w:jc w:val="center"/>
    </w:pPr>
    <w:rPr>
      <w:rFonts w:ascii="Times New Roman" w:hAnsi="Times New Roman" w:eastAsia="宋体"/>
      <w:snapToGrid/>
      <w:sz w:val="22"/>
      <w:szCs w:val="22"/>
    </w:rPr>
  </w:style>
  <w:style w:type="paragraph" w:customStyle="1" w:styleId="3413">
    <w:name w:val="样式6 正文"/>
    <w:qFormat/>
    <w:uiPriority w:val="0"/>
    <w:pPr>
      <w:spacing w:line="360" w:lineRule="auto"/>
      <w:ind w:firstLine="510"/>
      <w:jc w:val="both"/>
    </w:pPr>
    <w:rPr>
      <w:rFonts w:ascii="Times New Roman" w:hAnsi="Times New Roman" w:eastAsia="宋体" w:cs="Times New Roman"/>
      <w:sz w:val="24"/>
      <w:lang w:val="en-US" w:eastAsia="zh-CN" w:bidi="ar-SA"/>
    </w:rPr>
  </w:style>
  <w:style w:type="character" w:customStyle="1" w:styleId="3414">
    <w:name w:val="样式7 Char Char"/>
    <w:qFormat/>
    <w:uiPriority w:val="0"/>
    <w:rPr>
      <w:rFonts w:ascii="黑体" w:eastAsia="黑体"/>
      <w:b/>
      <w:sz w:val="28"/>
      <w:szCs w:val="28"/>
    </w:rPr>
  </w:style>
  <w:style w:type="paragraph" w:customStyle="1" w:styleId="3415">
    <w:name w:val="样式7表名"/>
    <w:next w:val="1"/>
    <w:qFormat/>
    <w:uiPriority w:val="0"/>
    <w:pPr>
      <w:spacing w:before="120" w:line="360" w:lineRule="auto"/>
      <w:jc w:val="center"/>
    </w:pPr>
    <w:rPr>
      <w:rFonts w:ascii="黑体" w:hAnsi="Times New Roman" w:eastAsia="黑体" w:cs="Times New Roman"/>
      <w:spacing w:val="60"/>
      <w:sz w:val="24"/>
      <w:szCs w:val="24"/>
      <w:lang w:val="en-US" w:eastAsia="zh-CN" w:bidi="ar-SA"/>
    </w:rPr>
  </w:style>
  <w:style w:type="character" w:customStyle="1" w:styleId="3416">
    <w:name w:val="样式8 Char Char"/>
    <w:qFormat/>
    <w:uiPriority w:val="0"/>
    <w:rPr>
      <w:rFonts w:hAnsi="宋体" w:eastAsia="宋体"/>
      <w:sz w:val="26"/>
      <w:szCs w:val="26"/>
    </w:rPr>
  </w:style>
  <w:style w:type="paragraph" w:customStyle="1" w:styleId="3417">
    <w:name w:val="样式8表号"/>
    <w:next w:val="1"/>
    <w:qFormat/>
    <w:uiPriority w:val="0"/>
    <w:pPr>
      <w:spacing w:line="360" w:lineRule="auto"/>
      <w:ind w:firstLine="510"/>
      <w:jc w:val="both"/>
    </w:pPr>
    <w:rPr>
      <w:rFonts w:ascii="Times New Roman" w:hAnsi="Times New Roman" w:eastAsia="宋体" w:cs="Times New Roman"/>
      <w:lang w:val="en-US" w:eastAsia="zh-CN" w:bidi="ar-SA"/>
    </w:rPr>
  </w:style>
  <w:style w:type="paragraph" w:customStyle="1" w:styleId="3418">
    <w:name w:val="样式9"/>
    <w:basedOn w:val="40"/>
    <w:link w:val="3419"/>
    <w:qFormat/>
    <w:uiPriority w:val="0"/>
    <w:pPr>
      <w:numPr>
        <w:numId w:val="0"/>
      </w:numPr>
      <w:spacing w:line="320" w:lineRule="exact"/>
      <w:jc w:val="center"/>
      <w:textAlignment w:val="baseline"/>
    </w:pPr>
    <w:rPr>
      <w:rFonts w:ascii="Calibri" w:hAnsi="Calibri"/>
      <w:snapToGrid/>
      <w:sz w:val="22"/>
      <w:szCs w:val="20"/>
    </w:rPr>
  </w:style>
  <w:style w:type="character" w:customStyle="1" w:styleId="3419">
    <w:name w:val="样式9 Char"/>
    <w:link w:val="3418"/>
    <w:qFormat/>
    <w:uiPriority w:val="0"/>
    <w:rPr>
      <w:rFonts w:ascii="Calibri" w:hAnsi="Calibri" w:eastAsia="宋体" w:cs="Times New Roman"/>
      <w:kern w:val="0"/>
      <w:sz w:val="22"/>
      <w:szCs w:val="20"/>
      <w14:ligatures w14:val="none"/>
    </w:rPr>
  </w:style>
  <w:style w:type="paragraph" w:customStyle="1" w:styleId="3420">
    <w:name w:val="样式9表格"/>
    <w:next w:val="1"/>
    <w:qFormat/>
    <w:uiPriority w:val="0"/>
    <w:pPr>
      <w:spacing w:before="120" w:line="300" w:lineRule="auto"/>
      <w:jc w:val="center"/>
    </w:pPr>
    <w:rPr>
      <w:rFonts w:ascii="Times New Roman" w:hAnsi="Times New Roman" w:eastAsia="宋体" w:cs="Times New Roman"/>
      <w:lang w:val="en-US" w:eastAsia="zh-CN" w:bidi="ar-SA"/>
    </w:rPr>
  </w:style>
  <w:style w:type="character" w:customStyle="1" w:styleId="3421">
    <w:name w:val="样式四 Char1"/>
    <w:qFormat/>
    <w:uiPriority w:val="0"/>
    <w:rPr>
      <w:rFonts w:ascii="Arial" w:hAnsi="Arial" w:eastAsia="黑体"/>
      <w:b/>
      <w:bCs/>
      <w:kern w:val="2"/>
      <w:sz w:val="32"/>
      <w:szCs w:val="32"/>
      <w:lang w:val="en-US" w:eastAsia="zh-CN" w:bidi="ar-SA"/>
    </w:rPr>
  </w:style>
  <w:style w:type="paragraph" w:customStyle="1" w:styleId="3422">
    <w:name w:val="样式正文"/>
    <w:basedOn w:val="1"/>
    <w:link w:val="3423"/>
    <w:qFormat/>
    <w:uiPriority w:val="0"/>
    <w:pPr>
      <w:ind w:firstLine="480"/>
      <w:jc w:val="left"/>
    </w:pPr>
    <w:rPr>
      <w:rFonts w:hAnsi="宋体"/>
      <w:bCs/>
      <w:snapToGrid/>
      <w:kern w:val="2"/>
      <w:sz w:val="24"/>
    </w:rPr>
  </w:style>
  <w:style w:type="character" w:customStyle="1" w:styleId="3423">
    <w:name w:val="样式正文 Char"/>
    <w:link w:val="3422"/>
    <w:qFormat/>
    <w:uiPriority w:val="0"/>
    <w:rPr>
      <w:rFonts w:ascii="Times New Roman" w:hAnsi="宋体" w:eastAsia="宋体" w:cs="Times New Roman"/>
      <w:bCs/>
      <w:sz w:val="24"/>
      <w:szCs w:val="24"/>
      <w14:ligatures w14:val="none"/>
    </w:rPr>
  </w:style>
  <w:style w:type="character" w:customStyle="1" w:styleId="3424">
    <w:name w:val="要点1"/>
    <w:uiPriority w:val="0"/>
    <w:rPr>
      <w:rFonts w:ascii="宋体" w:hAnsi="宋体" w:eastAsia="宋体"/>
      <w:b/>
    </w:rPr>
  </w:style>
  <w:style w:type="character" w:customStyle="1" w:styleId="3425">
    <w:name w:val="要点2"/>
    <w:qFormat/>
    <w:uiPriority w:val="0"/>
    <w:rPr>
      <w:rFonts w:ascii="宋体" w:hAnsi="宋体" w:eastAsia="宋体"/>
      <w:b/>
    </w:rPr>
  </w:style>
  <w:style w:type="character" w:customStyle="1" w:styleId="3426">
    <w:name w:val="页脚 Char1"/>
    <w:qFormat/>
    <w:uiPriority w:val="0"/>
    <w:rPr>
      <w:rFonts w:eastAsia="宋体"/>
      <w:b/>
      <w:sz w:val="18"/>
      <w:szCs w:val="18"/>
    </w:rPr>
  </w:style>
  <w:style w:type="character" w:customStyle="1" w:styleId="3427">
    <w:name w:val="页脚 字符1"/>
    <w:semiHidden/>
    <w:qFormat/>
    <w:locked/>
    <w:uiPriority w:val="99"/>
    <w:rPr>
      <w:sz w:val="18"/>
      <w:szCs w:val="18"/>
    </w:rPr>
  </w:style>
  <w:style w:type="character" w:customStyle="1" w:styleId="3428">
    <w:name w:val="页脚 字符2"/>
    <w:link w:val="55"/>
    <w:qFormat/>
    <w:uiPriority w:val="99"/>
    <w:rPr>
      <w:rFonts w:ascii="Times New Roman" w:hAnsi="Times New Roman" w:eastAsia="宋体" w:cs="Times New Roman"/>
      <w:snapToGrid w:val="0"/>
      <w:kern w:val="0"/>
      <w:sz w:val="18"/>
      <w:szCs w:val="18"/>
      <w14:ligatures w14:val="none"/>
    </w:rPr>
  </w:style>
  <w:style w:type="paragraph" w:customStyle="1" w:styleId="3429">
    <w:name w:val="页脚1"/>
    <w:basedOn w:val="1"/>
    <w:link w:val="3430"/>
    <w:qFormat/>
    <w:uiPriority w:val="0"/>
    <w:pPr>
      <w:pBdr>
        <w:top w:val="single" w:color="auto" w:sz="4" w:space="2"/>
      </w:pBdr>
      <w:tabs>
        <w:tab w:val="center" w:pos="4153"/>
        <w:tab w:val="right" w:pos="8306"/>
      </w:tabs>
      <w:adjustRightInd/>
      <w:spacing w:line="360" w:lineRule="atLeast"/>
      <w:ind w:firstLine="0" w:firstLineChars="0"/>
      <w:jc w:val="center"/>
      <w:textAlignment w:val="baseline"/>
    </w:pPr>
    <w:rPr>
      <w:snapToGrid/>
      <w:sz w:val="18"/>
      <w:szCs w:val="20"/>
    </w:rPr>
  </w:style>
  <w:style w:type="character" w:customStyle="1" w:styleId="3430">
    <w:name w:val="123YJ Char1"/>
    <w:link w:val="3429"/>
    <w:qFormat/>
    <w:uiPriority w:val="0"/>
    <w:rPr>
      <w:rFonts w:ascii="Times New Roman" w:hAnsi="Times New Roman" w:eastAsia="宋体" w:cs="Times New Roman"/>
      <w:kern w:val="0"/>
      <w:sz w:val="18"/>
      <w:szCs w:val="20"/>
      <w14:ligatures w14:val="none"/>
    </w:rPr>
  </w:style>
  <w:style w:type="paragraph" w:customStyle="1" w:styleId="3431">
    <w:name w:val="页脚msy"/>
    <w:qFormat/>
    <w:uiPriority w:val="0"/>
    <w:pPr>
      <w:pBdr>
        <w:top w:val="single" w:color="auto" w:sz="4" w:space="1"/>
      </w:pBdr>
      <w:adjustRightInd w:val="0"/>
      <w:snapToGrid w:val="0"/>
      <w:jc w:val="center"/>
    </w:pPr>
    <w:rPr>
      <w:rFonts w:ascii="Times New Roman" w:hAnsi="Times New Roman" w:eastAsia="宋体" w:cs="Times New Roman"/>
      <w:kern w:val="2"/>
      <w:sz w:val="22"/>
      <w:szCs w:val="22"/>
      <w:lang w:val="en-US" w:eastAsia="zh-CN" w:bidi="ar-SA"/>
    </w:rPr>
  </w:style>
  <w:style w:type="paragraph" w:customStyle="1" w:styleId="3432">
    <w:name w:val="页脚X"/>
    <w:basedOn w:val="1"/>
    <w:autoRedefine/>
    <w:qFormat/>
    <w:uiPriority w:val="0"/>
    <w:pPr>
      <w:spacing w:line="240" w:lineRule="auto"/>
      <w:ind w:firstLine="0" w:firstLineChars="0"/>
      <w:jc w:val="center"/>
    </w:pPr>
    <w:rPr>
      <w:snapToGrid/>
      <w:kern w:val="2"/>
      <w:sz w:val="21"/>
      <w:szCs w:val="36"/>
    </w:rPr>
  </w:style>
  <w:style w:type="character" w:customStyle="1" w:styleId="3433">
    <w:name w:val="页眉 字符2"/>
    <w:link w:val="57"/>
    <w:qFormat/>
    <w:uiPriority w:val="0"/>
    <w:rPr>
      <w:rFonts w:ascii="Times New Roman" w:hAnsi="Times New Roman" w:eastAsia="宋体" w:cs="Times New Roman"/>
      <w:snapToGrid w:val="0"/>
      <w:kern w:val="0"/>
      <w:sz w:val="18"/>
      <w:szCs w:val="18"/>
      <w14:ligatures w14:val="none"/>
    </w:rPr>
  </w:style>
  <w:style w:type="paragraph" w:customStyle="1" w:styleId="3434">
    <w:name w:val="页脚线"/>
    <w:basedOn w:val="57"/>
    <w:autoRedefine/>
    <w:qFormat/>
    <w:uiPriority w:val="0"/>
    <w:pPr>
      <w:pBdr>
        <w:bottom w:val="none" w:color="auto" w:sz="0" w:space="0"/>
        <w:between w:val="single" w:color="auto" w:sz="6" w:space="1"/>
      </w:pBdr>
      <w:tabs>
        <w:tab w:val="left" w:pos="4224"/>
        <w:tab w:val="center" w:pos="4393"/>
      </w:tabs>
      <w:spacing w:line="240" w:lineRule="atLeast"/>
      <w:textAlignment w:val="baseline"/>
    </w:pPr>
    <w:rPr>
      <w:rFonts w:ascii="Calibri" w:hAnsi="Calibri"/>
      <w:snapToGrid/>
      <w:kern w:val="2"/>
      <w:sz w:val="21"/>
      <w:szCs w:val="21"/>
    </w:rPr>
  </w:style>
  <w:style w:type="character" w:customStyle="1" w:styleId="3435">
    <w:name w:val="页码1"/>
    <w:qFormat/>
    <w:uiPriority w:val="0"/>
    <w:rPr>
      <w:rFonts w:eastAsia="宋体"/>
      <w:sz w:val="18"/>
    </w:rPr>
  </w:style>
  <w:style w:type="character" w:customStyle="1" w:styleId="3436">
    <w:name w:val="页眉 Char Char Char"/>
    <w:qFormat/>
    <w:uiPriority w:val="0"/>
    <w:rPr>
      <w:rFonts w:ascii="宋体" w:hAnsi="宋体" w:eastAsia="宋体"/>
      <w:sz w:val="18"/>
      <w:szCs w:val="18"/>
      <w:lang w:val="en-US" w:eastAsia="zh-CN" w:bidi="ar-SA"/>
    </w:rPr>
  </w:style>
  <w:style w:type="character" w:customStyle="1" w:styleId="3437">
    <w:name w:val="页眉 Char2"/>
    <w:qFormat/>
    <w:uiPriority w:val="0"/>
    <w:rPr>
      <w:rFonts w:eastAsia="宋体"/>
      <w:b/>
      <w:sz w:val="18"/>
      <w:szCs w:val="18"/>
    </w:rPr>
  </w:style>
  <w:style w:type="character" w:customStyle="1" w:styleId="3438">
    <w:name w:val="页眉 字符1"/>
    <w:semiHidden/>
    <w:qFormat/>
    <w:locked/>
    <w:uiPriority w:val="0"/>
    <w:rPr>
      <w:sz w:val="18"/>
      <w:szCs w:val="18"/>
    </w:rPr>
  </w:style>
  <w:style w:type="character" w:customStyle="1" w:styleId="3439">
    <w:name w:val="页眉00 Char1"/>
    <w:qFormat/>
    <w:uiPriority w:val="0"/>
    <w:rPr>
      <w:sz w:val="18"/>
      <w:szCs w:val="18"/>
    </w:rPr>
  </w:style>
  <w:style w:type="paragraph" w:customStyle="1" w:styleId="3440">
    <w:name w:val="页眉1"/>
    <w:basedOn w:val="1"/>
    <w:link w:val="3441"/>
    <w:qFormat/>
    <w:uiPriority w:val="0"/>
    <w:pPr>
      <w:pBdr>
        <w:bottom w:val="single" w:color="auto" w:sz="6" w:space="1"/>
      </w:pBdr>
      <w:tabs>
        <w:tab w:val="center" w:pos="4153"/>
        <w:tab w:val="right" w:pos="8306"/>
      </w:tabs>
      <w:adjustRightInd/>
      <w:spacing w:line="360" w:lineRule="atLeast"/>
      <w:ind w:firstLine="0" w:firstLineChars="0"/>
      <w:jc w:val="center"/>
      <w:textAlignment w:val="baseline"/>
    </w:pPr>
    <w:rPr>
      <w:snapToGrid/>
      <w:sz w:val="18"/>
      <w:szCs w:val="18"/>
    </w:rPr>
  </w:style>
  <w:style w:type="character" w:customStyle="1" w:styleId="3441">
    <w:name w:val="even Char"/>
    <w:link w:val="3440"/>
    <w:qFormat/>
    <w:uiPriority w:val="0"/>
    <w:rPr>
      <w:rFonts w:ascii="Times New Roman" w:hAnsi="Times New Roman" w:eastAsia="宋体" w:cs="Times New Roman"/>
      <w:kern w:val="0"/>
      <w:sz w:val="18"/>
      <w:szCs w:val="18"/>
      <w14:ligatures w14:val="none"/>
    </w:rPr>
  </w:style>
  <w:style w:type="character" w:customStyle="1" w:styleId="3442">
    <w:name w:val="页眉2 Char1"/>
    <w:qFormat/>
    <w:uiPriority w:val="0"/>
    <w:rPr>
      <w:rFonts w:eastAsia="宋体"/>
      <w:b/>
      <w:kern w:val="2"/>
      <w:sz w:val="18"/>
      <w:szCs w:val="18"/>
      <w:lang w:val="en-US" w:eastAsia="zh-CN" w:bidi="ar-SA"/>
    </w:rPr>
  </w:style>
  <w:style w:type="paragraph" w:customStyle="1" w:styleId="3443">
    <w:name w:val="页眉msy"/>
    <w:qFormat/>
    <w:uiPriority w:val="0"/>
    <w:pPr>
      <w:pBdr>
        <w:bottom w:val="single" w:color="auto" w:sz="4" w:space="1"/>
      </w:pBdr>
      <w:adjustRightInd w:val="0"/>
      <w:snapToGrid w:val="0"/>
      <w:jc w:val="center"/>
    </w:pPr>
    <w:rPr>
      <w:rFonts w:ascii="Times New Roman" w:hAnsi="Times New Roman" w:eastAsia="宋体" w:cs="Times New Roman"/>
      <w:kern w:val="2"/>
      <w:sz w:val="22"/>
      <w:szCs w:val="22"/>
      <w:lang w:val="en-US" w:eastAsia="zh-CN" w:bidi="ar-SA"/>
    </w:rPr>
  </w:style>
  <w:style w:type="paragraph" w:customStyle="1" w:styleId="3444">
    <w:name w:val="页眉x"/>
    <w:basedOn w:val="1"/>
    <w:autoRedefine/>
    <w:qFormat/>
    <w:uiPriority w:val="0"/>
    <w:pPr>
      <w:spacing w:line="240" w:lineRule="auto"/>
      <w:ind w:firstLine="0" w:firstLineChars="0"/>
      <w:jc w:val="center"/>
    </w:pPr>
    <w:rPr>
      <w:rFonts w:ascii="宋体" w:hAnsi="宋体" w:cs="宋体"/>
      <w:snapToGrid/>
      <w:sz w:val="21"/>
      <w:szCs w:val="22"/>
    </w:rPr>
  </w:style>
  <w:style w:type="paragraph" w:customStyle="1" w:styleId="3445">
    <w:name w:val="页眉头"/>
    <w:basedOn w:val="57"/>
    <w:qFormat/>
    <w:uiPriority w:val="0"/>
    <w:pPr>
      <w:pBdr>
        <w:bottom w:val="none" w:color="auto" w:sz="0" w:space="0"/>
      </w:pBdr>
      <w:tabs>
        <w:tab w:val="center" w:pos="4153"/>
        <w:tab w:val="right" w:pos="8306"/>
      </w:tabs>
      <w:spacing w:beforeLines="50" w:afterLines="50"/>
      <w:ind w:left="476" w:right="476" w:firstLine="454"/>
    </w:pPr>
    <w:rPr>
      <w:rFonts w:ascii="Calibri" w:hAnsi="Calibri"/>
      <w:snapToGrid/>
      <w:color w:val="000000"/>
    </w:rPr>
  </w:style>
  <w:style w:type="paragraph" w:customStyle="1" w:styleId="3446">
    <w:name w:val="一般正文"/>
    <w:basedOn w:val="1"/>
    <w:qFormat/>
    <w:uiPriority w:val="0"/>
    <w:pPr>
      <w:spacing w:line="500" w:lineRule="exact"/>
    </w:pPr>
    <w:rPr>
      <w:snapToGrid/>
      <w:kern w:val="2"/>
      <w:sz w:val="28"/>
    </w:rPr>
  </w:style>
  <w:style w:type="paragraph" w:customStyle="1" w:styleId="3447">
    <w:name w:val="一般正文 + 首行缩进:  2 字符 Char Char"/>
    <w:basedOn w:val="1"/>
    <w:link w:val="3448"/>
    <w:qFormat/>
    <w:uiPriority w:val="0"/>
    <w:pPr>
      <w:spacing w:beforeLines="20" w:line="324" w:lineRule="auto"/>
    </w:pPr>
    <w:rPr>
      <w:rFonts w:cs="宋体"/>
      <w:snapToGrid/>
      <w:color w:val="000000"/>
    </w:rPr>
  </w:style>
  <w:style w:type="character" w:customStyle="1" w:styleId="3448">
    <w:name w:val="一般正文 + 首行缩进:  2 字符 Char Char Char Char"/>
    <w:link w:val="3447"/>
    <w:qFormat/>
    <w:uiPriority w:val="0"/>
    <w:rPr>
      <w:rFonts w:ascii="Times New Roman" w:hAnsi="Times New Roman" w:eastAsia="宋体" w:cs="宋体"/>
      <w:color w:val="000000"/>
      <w:kern w:val="0"/>
      <w:sz w:val="26"/>
      <w:szCs w:val="24"/>
      <w14:ligatures w14:val="none"/>
    </w:rPr>
  </w:style>
  <w:style w:type="character" w:customStyle="1" w:styleId="3449">
    <w:name w:val="一般正文 + 首行缩进:  2 字符 Char Char Char"/>
    <w:qFormat/>
    <w:uiPriority w:val="0"/>
    <w:rPr>
      <w:rFonts w:eastAsia="宋体" w:cs="宋体"/>
      <w:color w:val="000000"/>
      <w:kern w:val="2"/>
      <w:sz w:val="26"/>
      <w:szCs w:val="24"/>
      <w:lang w:val="en-US" w:eastAsia="zh-CN" w:bidi="ar-SA"/>
    </w:rPr>
  </w:style>
  <w:style w:type="paragraph" w:customStyle="1" w:styleId="3450">
    <w:name w:val="一级"/>
    <w:basedOn w:val="45"/>
    <w:qFormat/>
    <w:uiPriority w:val="0"/>
    <w:pPr>
      <w:spacing w:before="240" w:after="60"/>
      <w:outlineLvl w:val="0"/>
    </w:pPr>
    <w:rPr>
      <w:rFonts w:ascii="黑体" w:hAnsi="Arial" w:eastAsia="黑体"/>
      <w:kern w:val="0"/>
      <w:sz w:val="24"/>
      <w:szCs w:val="20"/>
    </w:rPr>
  </w:style>
  <w:style w:type="character" w:customStyle="1" w:styleId="3451">
    <w:name w:val="一样式 Char"/>
    <w:qFormat/>
    <w:uiPriority w:val="0"/>
    <w:rPr>
      <w:rFonts w:ascii="Arial" w:hAnsi="Arial" w:eastAsia="宋体"/>
      <w:sz w:val="28"/>
      <w:szCs w:val="28"/>
      <w:lang w:val="en-US" w:eastAsia="zh-CN" w:bidi="ar-SA"/>
    </w:rPr>
  </w:style>
  <w:style w:type="character" w:customStyle="1" w:styleId="3452">
    <w:name w:val="已访问的超级链接"/>
    <w:qFormat/>
    <w:uiPriority w:val="0"/>
    <w:rPr>
      <w:rFonts w:ascii="Times New Roman" w:eastAsia="宋体"/>
      <w:color w:val="800080"/>
      <w:spacing w:val="0"/>
      <w:w w:val="100"/>
      <w:sz w:val="21"/>
      <w:u w:val="single" w:color="800080"/>
      <w:vertAlign w:val="baseline"/>
      <w:lang w:val="en-US" w:eastAsia="zh-CN"/>
    </w:rPr>
  </w:style>
  <w:style w:type="character" w:customStyle="1" w:styleId="3453">
    <w:name w:val="已访问的超链接1"/>
    <w:qFormat/>
    <w:uiPriority w:val="0"/>
    <w:rPr>
      <w:color w:val="800080"/>
      <w:u w:val="single"/>
    </w:rPr>
  </w:style>
  <w:style w:type="paragraph" w:customStyle="1" w:styleId="3454">
    <w:name w:val="引文目录1"/>
    <w:basedOn w:val="1"/>
    <w:next w:val="1"/>
    <w:qFormat/>
    <w:uiPriority w:val="0"/>
    <w:pPr>
      <w:spacing w:line="240" w:lineRule="auto"/>
      <w:ind w:firstLine="0" w:firstLineChars="0"/>
    </w:pPr>
    <w:rPr>
      <w:rFonts w:ascii="宋体"/>
      <w:snapToGrid/>
      <w:kern w:val="2"/>
      <w:sz w:val="28"/>
      <w:szCs w:val="20"/>
    </w:rPr>
  </w:style>
  <w:style w:type="paragraph" w:styleId="3455">
    <w:name w:val="Quote"/>
    <w:basedOn w:val="22"/>
    <w:next w:val="1"/>
    <w:link w:val="3456"/>
    <w:qFormat/>
    <w:uiPriority w:val="0"/>
    <w:pPr>
      <w:adjustRightInd/>
      <w:snapToGrid/>
      <w:spacing w:beforeAutospacing="1" w:after="100" w:afterAutospacing="1" w:line="240" w:lineRule="auto"/>
    </w:pPr>
    <w:rPr>
      <w:rFonts w:ascii="宋体" w:hAnsi="宋体"/>
      <w:snapToGrid w:val="0"/>
      <w:kern w:val="2"/>
      <w:sz w:val="21"/>
    </w:rPr>
  </w:style>
  <w:style w:type="character" w:customStyle="1" w:styleId="3456">
    <w:name w:val="引用 字符"/>
    <w:link w:val="3455"/>
    <w:qFormat/>
    <w:uiPriority w:val="0"/>
    <w:rPr>
      <w:rFonts w:ascii="宋体" w:hAnsi="宋体" w:eastAsia="宋体" w:cs="Times New Roman"/>
      <w:b/>
      <w:bCs/>
      <w:snapToGrid w:val="0"/>
      <w:szCs w:val="21"/>
      <w14:ligatures w14:val="none"/>
    </w:rPr>
  </w:style>
  <w:style w:type="character" w:customStyle="1" w:styleId="3457">
    <w:name w:val="引用 字符1"/>
    <w:basedOn w:val="132"/>
    <w:qFormat/>
    <w:uiPriority w:val="0"/>
    <w:rPr>
      <w:rFonts w:ascii="Times New Roman" w:hAnsi="Times New Roman" w:cs="Times New Roman"/>
      <w:i/>
      <w:iCs/>
      <w:color w:val="404040" w:themeColor="text1" w:themeTint="BF"/>
      <w:kern w:val="0"/>
      <w:sz w:val="26"/>
      <w:szCs w:val="24"/>
      <w14:textFill>
        <w14:solidFill>
          <w14:schemeClr w14:val="tx1">
            <w14:lumMod w14:val="75000"/>
            <w14:lumOff w14:val="25000"/>
          </w14:schemeClr>
        </w14:solidFill>
      </w14:textFill>
    </w:rPr>
  </w:style>
  <w:style w:type="paragraph" w:customStyle="1" w:styleId="3458">
    <w:name w:val="引用1"/>
    <w:basedOn w:val="1"/>
    <w:next w:val="1"/>
    <w:link w:val="3459"/>
    <w:qFormat/>
    <w:uiPriority w:val="0"/>
    <w:pPr>
      <w:adjustRightInd/>
      <w:snapToGrid/>
      <w:spacing w:line="240" w:lineRule="auto"/>
      <w:ind w:firstLine="0" w:firstLineChars="0"/>
    </w:pPr>
    <w:rPr>
      <w:i/>
      <w:iCs/>
      <w:snapToGrid/>
      <w:color w:val="000000"/>
      <w:kern w:val="2"/>
      <w:sz w:val="21"/>
    </w:rPr>
  </w:style>
  <w:style w:type="character" w:customStyle="1" w:styleId="3459">
    <w:name w:val="Quote Char1"/>
    <w:link w:val="3458"/>
    <w:qFormat/>
    <w:locked/>
    <w:uiPriority w:val="0"/>
    <w:rPr>
      <w:rFonts w:ascii="Times New Roman" w:hAnsi="Times New Roman" w:eastAsia="宋体" w:cs="Times New Roman"/>
      <w:i/>
      <w:iCs/>
      <w:color w:val="000000"/>
      <w:szCs w:val="24"/>
      <w14:ligatures w14:val="none"/>
    </w:rPr>
  </w:style>
  <w:style w:type="paragraph" w:customStyle="1" w:styleId="3460">
    <w:name w:val="引用11"/>
    <w:basedOn w:val="1"/>
    <w:next w:val="1"/>
    <w:link w:val="3461"/>
    <w:qFormat/>
    <w:uiPriority w:val="29"/>
    <w:pPr>
      <w:adjustRightInd/>
      <w:snapToGrid/>
      <w:spacing w:line="240" w:lineRule="auto"/>
      <w:ind w:firstLine="0" w:firstLineChars="0"/>
    </w:pPr>
    <w:rPr>
      <w:i/>
      <w:iCs/>
      <w:snapToGrid/>
      <w:color w:val="000000"/>
      <w:sz w:val="21"/>
      <w:szCs w:val="21"/>
    </w:rPr>
  </w:style>
  <w:style w:type="character" w:customStyle="1" w:styleId="3461">
    <w:name w:val="Quote Char"/>
    <w:link w:val="3460"/>
    <w:qFormat/>
    <w:locked/>
    <w:uiPriority w:val="29"/>
    <w:rPr>
      <w:rFonts w:ascii="Times New Roman" w:hAnsi="Times New Roman" w:eastAsia="宋体" w:cs="Times New Roman"/>
      <w:i/>
      <w:iCs/>
      <w:color w:val="000000"/>
      <w:kern w:val="0"/>
      <w:szCs w:val="21"/>
      <w14:ligatures w14:val="none"/>
    </w:rPr>
  </w:style>
  <w:style w:type="paragraph" w:customStyle="1" w:styleId="3462">
    <w:name w:val="引用2"/>
    <w:basedOn w:val="1"/>
    <w:next w:val="1"/>
    <w:link w:val="3463"/>
    <w:qFormat/>
    <w:uiPriority w:val="0"/>
    <w:pPr>
      <w:adjustRightInd/>
      <w:snapToGrid/>
      <w:spacing w:line="360" w:lineRule="auto"/>
      <w:ind w:firstLine="482" w:firstLineChars="0"/>
    </w:pPr>
    <w:rPr>
      <w:rFonts w:ascii="Cambria" w:hAnsi="Cambria"/>
      <w:i/>
      <w:iCs/>
      <w:snapToGrid/>
      <w:sz w:val="22"/>
      <w:szCs w:val="20"/>
      <w:lang w:eastAsia="en-US"/>
    </w:rPr>
  </w:style>
  <w:style w:type="character" w:customStyle="1" w:styleId="3463">
    <w:name w:val="Quote Char Char"/>
    <w:link w:val="3462"/>
    <w:qFormat/>
    <w:uiPriority w:val="0"/>
    <w:rPr>
      <w:rFonts w:ascii="Cambria" w:hAnsi="Cambria" w:eastAsia="宋体" w:cs="Times New Roman"/>
      <w:i/>
      <w:iCs/>
      <w:kern w:val="0"/>
      <w:sz w:val="22"/>
      <w:szCs w:val="20"/>
      <w:lang w:eastAsia="en-US"/>
      <w14:ligatures w14:val="none"/>
    </w:rPr>
  </w:style>
  <w:style w:type="paragraph" w:customStyle="1" w:styleId="3464">
    <w:name w:val="引用3"/>
    <w:basedOn w:val="1"/>
    <w:next w:val="1"/>
    <w:qFormat/>
    <w:uiPriority w:val="0"/>
    <w:pPr>
      <w:adjustRightInd/>
      <w:snapToGrid/>
      <w:spacing w:line="360" w:lineRule="auto"/>
      <w:ind w:firstLine="482" w:firstLineChars="0"/>
    </w:pPr>
    <w:rPr>
      <w:rFonts w:ascii="Cambria" w:hAnsi="Cambria"/>
      <w:i/>
      <w:iCs/>
      <w:snapToGrid/>
      <w:sz w:val="22"/>
      <w:szCs w:val="22"/>
      <w:lang w:eastAsia="en-US"/>
    </w:rPr>
  </w:style>
  <w:style w:type="paragraph" w:customStyle="1" w:styleId="3465">
    <w:name w:val="隐形说明"/>
    <w:basedOn w:val="86"/>
    <w:next w:val="86"/>
    <w:qFormat/>
    <w:uiPriority w:val="0"/>
    <w:pPr>
      <w:tabs>
        <w:tab w:val="left" w:pos="-120"/>
      </w:tabs>
      <w:adjustRightInd/>
      <w:snapToGrid/>
      <w:spacing w:after="0" w:line="288" w:lineRule="auto"/>
      <w:ind w:firstLine="0" w:firstLineChars="200"/>
      <w:jc w:val="center"/>
    </w:pPr>
    <w:rPr>
      <w:rFonts w:ascii="Calibri" w:hAnsi="Calibri"/>
      <w:b/>
      <w:i/>
      <w:snapToGrid/>
      <w:color w:val="008080"/>
      <w:spacing w:val="16"/>
      <w:kern w:val="2"/>
    </w:rPr>
  </w:style>
  <w:style w:type="paragraph" w:customStyle="1" w:styleId="3466">
    <w:name w:val="原则正文"/>
    <w:basedOn w:val="1"/>
    <w:autoRedefine/>
    <w:semiHidden/>
    <w:qFormat/>
    <w:uiPriority w:val="0"/>
    <w:pPr>
      <w:adjustRightInd/>
      <w:snapToGrid/>
      <w:spacing w:line="240" w:lineRule="auto"/>
      <w:ind w:firstLine="560"/>
    </w:pPr>
    <w:rPr>
      <w:rFonts w:eastAsia="仿宋_GB2312"/>
      <w:snapToGrid/>
      <w:kern w:val="2"/>
    </w:rPr>
  </w:style>
  <w:style w:type="paragraph" w:customStyle="1" w:styleId="3467">
    <w:name w:val="责任表文"/>
    <w:basedOn w:val="1"/>
    <w:qFormat/>
    <w:uiPriority w:val="0"/>
    <w:pPr>
      <w:spacing w:line="240" w:lineRule="auto"/>
      <w:ind w:firstLine="0" w:firstLineChars="0"/>
      <w:jc w:val="center"/>
      <w:textAlignment w:val="baseline"/>
    </w:pPr>
    <w:rPr>
      <w:rFonts w:ascii="隶书" w:eastAsia="隶书"/>
      <w:b/>
      <w:kern w:val="24"/>
      <w:sz w:val="36"/>
      <w:szCs w:val="20"/>
    </w:rPr>
  </w:style>
  <w:style w:type="character" w:styleId="3468">
    <w:name w:val="Placeholder Text"/>
    <w:semiHidden/>
    <w:qFormat/>
    <w:uiPriority w:val="0"/>
    <w:rPr>
      <w:color w:val="808080"/>
    </w:rPr>
  </w:style>
  <w:style w:type="paragraph" w:customStyle="1" w:styleId="3469">
    <w:name w:val="章  一、"/>
    <w:semiHidden/>
    <w:qFormat/>
    <w:uiPriority w:val="0"/>
    <w:pPr>
      <w:spacing w:line="480" w:lineRule="auto"/>
      <w:jc w:val="both"/>
    </w:pPr>
    <w:rPr>
      <w:rFonts w:ascii="Times New Roman" w:hAnsi="Times New Roman" w:eastAsia="宋体" w:cs="Times New Roman"/>
      <w:b/>
      <w:sz w:val="32"/>
      <w:lang w:val="en-US" w:eastAsia="zh-CN" w:bidi="ar-SA"/>
    </w:rPr>
  </w:style>
  <w:style w:type="paragraph" w:customStyle="1" w:styleId="3470">
    <w:name w:val="章节号"/>
    <w:basedOn w:val="1"/>
    <w:semiHidden/>
    <w:qFormat/>
    <w:uiPriority w:val="0"/>
    <w:pPr>
      <w:adjustRightInd/>
      <w:snapToGrid/>
      <w:spacing w:beforeLines="50" w:afterLines="50" w:line="240" w:lineRule="auto"/>
      <w:ind w:firstLine="0" w:firstLineChars="0"/>
      <w:jc w:val="center"/>
      <w:outlineLvl w:val="0"/>
    </w:pPr>
    <w:rPr>
      <w:rFonts w:ascii="宋体"/>
      <w:b/>
      <w:snapToGrid/>
      <w:kern w:val="2"/>
      <w:sz w:val="32"/>
      <w:szCs w:val="32"/>
    </w:rPr>
  </w:style>
  <w:style w:type="paragraph" w:customStyle="1" w:styleId="3471">
    <w:name w:val="长山坳正文样式"/>
    <w:basedOn w:val="1"/>
    <w:autoRedefine/>
    <w:qFormat/>
    <w:uiPriority w:val="0"/>
    <w:pPr>
      <w:adjustRightInd/>
      <w:snapToGrid/>
      <w:spacing w:line="360" w:lineRule="auto"/>
      <w:ind w:firstLine="560"/>
    </w:pPr>
    <w:rPr>
      <w:snapToGrid/>
      <w:kern w:val="2"/>
      <w:sz w:val="28"/>
      <w:szCs w:val="28"/>
    </w:rPr>
  </w:style>
  <w:style w:type="paragraph" w:customStyle="1" w:styleId="3472">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3473">
    <w:name w:val="征文"/>
    <w:basedOn w:val="1"/>
    <w:qFormat/>
    <w:uiPriority w:val="0"/>
    <w:pPr>
      <w:spacing w:line="312" w:lineRule="auto"/>
      <w:ind w:firstLine="0" w:firstLineChars="0"/>
      <w:jc w:val="center"/>
      <w:textAlignment w:val="baseline"/>
    </w:pPr>
    <w:rPr>
      <w:rFonts w:ascii="宋体" w:hAnsi="宋体"/>
      <w:snapToGrid/>
      <w:sz w:val="21"/>
      <w:szCs w:val="20"/>
    </w:rPr>
  </w:style>
  <w:style w:type="paragraph" w:customStyle="1" w:styleId="3474">
    <w:name w:val="正"/>
    <w:basedOn w:val="1"/>
    <w:qFormat/>
    <w:uiPriority w:val="0"/>
    <w:pPr>
      <w:spacing w:line="480" w:lineRule="exact"/>
      <w:ind w:firstLine="560"/>
    </w:pPr>
    <w:rPr>
      <w:snapToGrid/>
      <w:kern w:val="2"/>
      <w:sz w:val="28"/>
      <w:szCs w:val="28"/>
    </w:rPr>
  </w:style>
  <w:style w:type="paragraph" w:customStyle="1" w:styleId="3475">
    <w:name w:val="正1"/>
    <w:basedOn w:val="1"/>
    <w:qFormat/>
    <w:uiPriority w:val="0"/>
    <w:pPr>
      <w:spacing w:after="60" w:line="400" w:lineRule="exact"/>
      <w:ind w:right="32" w:firstLine="612" w:firstLineChars="0"/>
    </w:pPr>
    <w:rPr>
      <w:rFonts w:ascii="宋体"/>
      <w:snapToGrid/>
      <w:kern w:val="2"/>
      <w:sz w:val="28"/>
      <w:szCs w:val="20"/>
    </w:rPr>
  </w:style>
  <w:style w:type="paragraph" w:customStyle="1" w:styleId="3476">
    <w:name w:val="正编号"/>
    <w:basedOn w:val="1"/>
    <w:next w:val="1"/>
    <w:link w:val="3477"/>
    <w:autoRedefine/>
    <w:qFormat/>
    <w:uiPriority w:val="0"/>
    <w:pPr>
      <w:numPr>
        <w:ilvl w:val="0"/>
        <w:numId w:val="23"/>
      </w:numPr>
      <w:tabs>
        <w:tab w:val="left" w:pos="0"/>
      </w:tabs>
      <w:spacing w:line="480" w:lineRule="exact"/>
      <w:ind w:firstLine="0" w:firstLineChars="0"/>
    </w:pPr>
    <w:rPr>
      <w:snapToGrid/>
      <w:szCs w:val="20"/>
    </w:rPr>
  </w:style>
  <w:style w:type="character" w:customStyle="1" w:styleId="3477">
    <w:name w:val="正编号 Char"/>
    <w:link w:val="3476"/>
    <w:qFormat/>
    <w:uiPriority w:val="0"/>
    <w:rPr>
      <w:rFonts w:ascii="Times New Roman" w:hAnsi="Times New Roman" w:eastAsia="宋体" w:cs="Times New Roman"/>
      <w:kern w:val="0"/>
      <w:sz w:val="26"/>
      <w:szCs w:val="20"/>
      <w14:ligatures w14:val="none"/>
    </w:rPr>
  </w:style>
  <w:style w:type="paragraph" w:customStyle="1" w:styleId="3478">
    <w:name w:val="正文 + 14 磅"/>
    <w:basedOn w:val="1"/>
    <w:semiHidden/>
    <w:qFormat/>
    <w:uiPriority w:val="0"/>
    <w:pPr>
      <w:spacing w:line="300" w:lineRule="auto"/>
      <w:ind w:firstLine="0" w:firstLineChars="0"/>
    </w:pPr>
    <w:rPr>
      <w:rFonts w:ascii="宋体"/>
      <w:snapToGrid/>
      <w:kern w:val="2"/>
    </w:rPr>
  </w:style>
  <w:style w:type="character" w:customStyle="1" w:styleId="3479">
    <w:name w:val="正文 + Times New Roman Char"/>
    <w:qFormat/>
    <w:uiPriority w:val="0"/>
    <w:rPr>
      <w:rFonts w:ascii="宋体" w:hAnsi="宋体" w:eastAsia="宋体" w:cs="宋体"/>
      <w:kern w:val="2"/>
      <w:sz w:val="24"/>
      <w:szCs w:val="24"/>
      <w:lang w:val="en-US" w:eastAsia="zh-CN" w:bidi="ar-SA"/>
    </w:rPr>
  </w:style>
  <w:style w:type="paragraph" w:customStyle="1" w:styleId="3480">
    <w:name w:val="正文 + Times New Roman"/>
    <w:basedOn w:val="1"/>
    <w:qFormat/>
    <w:uiPriority w:val="0"/>
    <w:pPr>
      <w:spacing w:line="500" w:lineRule="exact"/>
      <w:ind w:firstLine="480"/>
    </w:pPr>
    <w:rPr>
      <w:snapToGrid/>
    </w:rPr>
  </w:style>
  <w:style w:type="paragraph" w:customStyle="1" w:styleId="3481">
    <w:name w:val="正文 + 三号"/>
    <w:basedOn w:val="1"/>
    <w:qFormat/>
    <w:uiPriority w:val="0"/>
    <w:pPr>
      <w:adjustRightInd/>
      <w:snapToGrid/>
      <w:spacing w:line="240" w:lineRule="auto"/>
      <w:ind w:firstLine="0" w:firstLineChars="0"/>
    </w:pPr>
    <w:rPr>
      <w:rFonts w:ascii="宋体" w:hAnsi="宋体"/>
      <w:snapToGrid/>
      <w:kern w:val="2"/>
      <w:sz w:val="32"/>
      <w:szCs w:val="32"/>
    </w:rPr>
  </w:style>
  <w:style w:type="paragraph" w:customStyle="1" w:styleId="3482">
    <w:name w:val="正文 + 首行缩进:  2 字符"/>
    <w:basedOn w:val="1"/>
    <w:qFormat/>
    <w:uiPriority w:val="0"/>
    <w:pPr>
      <w:spacing w:afterLines="50" w:line="300" w:lineRule="auto"/>
      <w:ind w:firstLine="520"/>
    </w:pPr>
    <w:rPr>
      <w:rFonts w:ascii="宋体"/>
      <w:snapToGrid/>
      <w:spacing w:val="10"/>
      <w:kern w:val="2"/>
      <w:szCs w:val="20"/>
    </w:rPr>
  </w:style>
  <w:style w:type="paragraph" w:customStyle="1" w:styleId="3483">
    <w:name w:val="正文 + 四号"/>
    <w:basedOn w:val="1"/>
    <w:qFormat/>
    <w:uiPriority w:val="0"/>
    <w:pPr>
      <w:adjustRightInd/>
      <w:snapToGrid/>
      <w:spacing w:line="240" w:lineRule="auto"/>
      <w:ind w:firstLine="560"/>
    </w:pPr>
    <w:rPr>
      <w:rFonts w:ascii="Calibri" w:hAnsi="Calibri"/>
      <w:snapToGrid/>
      <w:sz w:val="28"/>
      <w:szCs w:val="28"/>
    </w:rPr>
  </w:style>
  <w:style w:type="paragraph" w:customStyle="1" w:styleId="3484">
    <w:name w:val="正文 + 小五"/>
    <w:basedOn w:val="1"/>
    <w:qFormat/>
    <w:uiPriority w:val="0"/>
    <w:pPr>
      <w:shd w:val="clear" w:color="auto" w:fill="000080"/>
      <w:snapToGrid/>
      <w:spacing w:line="312" w:lineRule="atLeast"/>
      <w:ind w:firstLine="0" w:firstLineChars="0"/>
      <w:jc w:val="center"/>
      <w:textAlignment w:val="baseline"/>
    </w:pPr>
    <w:rPr>
      <w:snapToGrid/>
      <w:sz w:val="18"/>
      <w:szCs w:val="18"/>
    </w:rPr>
  </w:style>
  <w:style w:type="paragraph" w:customStyle="1" w:styleId="3485">
    <w:name w:val="正文 1"/>
    <w:basedOn w:val="1"/>
    <w:link w:val="3486"/>
    <w:qFormat/>
    <w:uiPriority w:val="0"/>
    <w:pPr>
      <w:adjustRightInd/>
      <w:snapToGrid/>
      <w:spacing w:line="360" w:lineRule="atLeast"/>
      <w:ind w:firstLine="425" w:firstLineChars="0"/>
    </w:pPr>
    <w:rPr>
      <w:snapToGrid/>
      <w:kern w:val="2"/>
      <w:sz w:val="21"/>
      <w:szCs w:val="21"/>
    </w:rPr>
  </w:style>
  <w:style w:type="character" w:customStyle="1" w:styleId="3486">
    <w:name w:val="正文 1 Char"/>
    <w:link w:val="3485"/>
    <w:qFormat/>
    <w:uiPriority w:val="0"/>
    <w:rPr>
      <w:rFonts w:ascii="Times New Roman" w:hAnsi="Times New Roman" w:eastAsia="宋体" w:cs="Times New Roman"/>
      <w:szCs w:val="21"/>
      <w14:ligatures w14:val="none"/>
    </w:rPr>
  </w:style>
  <w:style w:type="paragraph" w:customStyle="1" w:styleId="3487">
    <w:name w:val="正文 2"/>
    <w:basedOn w:val="1"/>
    <w:next w:val="76"/>
    <w:qFormat/>
    <w:uiPriority w:val="0"/>
    <w:pPr>
      <w:adjustRightInd/>
      <w:snapToGrid/>
      <w:spacing w:line="312" w:lineRule="auto"/>
      <w:ind w:firstLine="0" w:firstLineChars="0"/>
    </w:pPr>
    <w:rPr>
      <w:snapToGrid/>
      <w:kern w:val="2"/>
    </w:rPr>
  </w:style>
  <w:style w:type="character" w:customStyle="1" w:styleId="3488">
    <w:name w:val="正文文本 2 字符"/>
    <w:semiHidden/>
    <w:qFormat/>
    <w:uiPriority w:val="0"/>
    <w:rPr>
      <w:snapToGrid/>
      <w:sz w:val="24"/>
      <w:szCs w:val="24"/>
    </w:rPr>
  </w:style>
  <w:style w:type="character" w:customStyle="1" w:styleId="3489">
    <w:name w:val="正文 Char Char"/>
    <w:qFormat/>
    <w:uiPriority w:val="0"/>
    <w:rPr>
      <w:rFonts w:ascii="宋体" w:eastAsia="宋体"/>
      <w:sz w:val="24"/>
    </w:rPr>
  </w:style>
  <w:style w:type="paragraph" w:customStyle="1" w:styleId="3490">
    <w:name w:val="正文 lsp"/>
    <w:basedOn w:val="1"/>
    <w:link w:val="3491"/>
    <w:qFormat/>
    <w:uiPriority w:val="0"/>
    <w:pPr>
      <w:adjustRightInd/>
      <w:snapToGrid/>
      <w:spacing w:line="360" w:lineRule="auto"/>
      <w:ind w:firstLine="480"/>
    </w:pPr>
    <w:rPr>
      <w:rFonts w:ascii="宋体"/>
      <w:snapToGrid/>
      <w:kern w:val="2"/>
    </w:rPr>
  </w:style>
  <w:style w:type="character" w:customStyle="1" w:styleId="3491">
    <w:name w:val="正文 lsp Char"/>
    <w:link w:val="3490"/>
    <w:qFormat/>
    <w:uiPriority w:val="0"/>
    <w:rPr>
      <w:rFonts w:ascii="宋体" w:hAnsi="Times New Roman" w:eastAsia="宋体" w:cs="Times New Roman"/>
      <w:sz w:val="26"/>
      <w:szCs w:val="24"/>
      <w14:ligatures w14:val="none"/>
    </w:rPr>
  </w:style>
  <w:style w:type="character" w:customStyle="1" w:styleId="3492">
    <w:name w:val="正文 lsp Char Char"/>
    <w:qFormat/>
    <w:uiPriority w:val="0"/>
    <w:rPr>
      <w:rFonts w:ascii="宋体" w:eastAsia="宋体"/>
      <w:kern w:val="2"/>
      <w:sz w:val="24"/>
      <w:szCs w:val="24"/>
      <w:lang w:val="en-US" w:eastAsia="zh-CN" w:bidi="ar-SA"/>
    </w:rPr>
  </w:style>
  <w:style w:type="paragraph" w:customStyle="1" w:styleId="3493">
    <w:name w:val="正文 首行缩进:  2 字符"/>
    <w:basedOn w:val="1"/>
    <w:qFormat/>
    <w:uiPriority w:val="0"/>
    <w:pPr>
      <w:adjustRightInd/>
      <w:snapToGrid/>
      <w:spacing w:line="240" w:lineRule="auto"/>
      <w:ind w:firstLine="579"/>
    </w:pPr>
    <w:rPr>
      <w:snapToGrid/>
      <w:kern w:val="2"/>
      <w:sz w:val="28"/>
      <w:szCs w:val="20"/>
    </w:rPr>
  </w:style>
  <w:style w:type="paragraph" w:customStyle="1" w:styleId="3494">
    <w:name w:val="正文 小四 行距: 1.5 倍行距"/>
    <w:basedOn w:val="1"/>
    <w:qFormat/>
    <w:uiPriority w:val="0"/>
    <w:pPr>
      <w:adjustRightInd/>
      <w:snapToGrid/>
      <w:spacing w:line="360" w:lineRule="auto"/>
      <w:ind w:firstLine="480"/>
    </w:pPr>
    <w:rPr>
      <w:rFonts w:cs="宋体"/>
      <w:snapToGrid/>
      <w:kern w:val="2"/>
      <w:szCs w:val="20"/>
    </w:rPr>
  </w:style>
  <w:style w:type="paragraph" w:customStyle="1" w:styleId="3495">
    <w:name w:val="正文(a)"/>
    <w:basedOn w:val="34"/>
    <w:link w:val="3496"/>
    <w:qFormat/>
    <w:uiPriority w:val="0"/>
    <w:pPr>
      <w:widowControl/>
      <w:tabs>
        <w:tab w:val="left" w:pos="1230"/>
      </w:tabs>
      <w:spacing w:line="480" w:lineRule="exact"/>
      <w:ind w:left="56" w:firstLine="454"/>
      <w:textAlignment w:val="baseline"/>
    </w:pPr>
    <w:rPr>
      <w:rFonts w:ascii="宋体" w:hAnsi="Calibri"/>
      <w:color w:val="000000"/>
      <w:spacing w:val="20"/>
      <w:kern w:val="24"/>
      <w:szCs w:val="20"/>
      <w:u w:color="000000"/>
    </w:rPr>
  </w:style>
  <w:style w:type="character" w:customStyle="1" w:styleId="3496">
    <w:name w:val="正文(a) Char"/>
    <w:link w:val="3495"/>
    <w:qFormat/>
    <w:uiPriority w:val="0"/>
    <w:rPr>
      <w:rFonts w:ascii="宋体" w:hAnsi="Calibri" w:eastAsia="宋体" w:cs="Times New Roman"/>
      <w:snapToGrid w:val="0"/>
      <w:color w:val="000000"/>
      <w:spacing w:val="20"/>
      <w:kern w:val="24"/>
      <w:sz w:val="26"/>
      <w:szCs w:val="20"/>
      <w:u w:color="000000"/>
      <w14:ligatures w14:val="none"/>
    </w:rPr>
  </w:style>
  <w:style w:type="paragraph" w:customStyle="1" w:styleId="3497">
    <w:name w:val="正文（标题5下正文）"/>
    <w:basedOn w:val="1"/>
    <w:autoRedefine/>
    <w:qFormat/>
    <w:uiPriority w:val="0"/>
    <w:pPr>
      <w:widowControl/>
      <w:tabs>
        <w:tab w:val="left" w:pos="0"/>
      </w:tabs>
      <w:adjustRightInd/>
      <w:snapToGrid/>
      <w:spacing w:after="100" w:afterAutospacing="1" w:line="440" w:lineRule="atLeast"/>
      <w:ind w:firstLine="540" w:firstLineChars="225"/>
    </w:pPr>
    <w:rPr>
      <w:rFonts w:ascii="宋体" w:hAnsi="宋体" w:cs="宋体"/>
      <w:bCs/>
      <w:snapToGrid/>
    </w:rPr>
  </w:style>
  <w:style w:type="paragraph" w:customStyle="1" w:styleId="3498">
    <w:name w:val="正文(加宽0.3磅)"/>
    <w:basedOn w:val="1"/>
    <w:qFormat/>
    <w:uiPriority w:val="0"/>
    <w:pPr>
      <w:autoSpaceDE w:val="0"/>
      <w:autoSpaceDN w:val="0"/>
      <w:snapToGrid/>
      <w:spacing w:line="312" w:lineRule="auto"/>
      <w:ind w:firstLine="482" w:firstLineChars="0"/>
      <w:textAlignment w:val="baseline"/>
    </w:pPr>
    <w:rPr>
      <w:snapToGrid/>
      <w:spacing w:val="6"/>
      <w:szCs w:val="20"/>
    </w:rPr>
  </w:style>
  <w:style w:type="paragraph" w:customStyle="1" w:styleId="3499">
    <w:name w:val="正文(首行缩进)"/>
    <w:basedOn w:val="1"/>
    <w:link w:val="3500"/>
    <w:qFormat/>
    <w:uiPriority w:val="0"/>
    <w:pPr>
      <w:adjustRightInd/>
      <w:snapToGrid/>
      <w:spacing w:line="360" w:lineRule="auto"/>
      <w:ind w:firstLine="480"/>
    </w:pPr>
    <w:rPr>
      <w:rFonts w:ascii="宋体" w:hAnsi="宋体"/>
      <w:snapToGrid/>
      <w:kern w:val="24"/>
      <w:szCs w:val="20"/>
    </w:rPr>
  </w:style>
  <w:style w:type="character" w:customStyle="1" w:styleId="3500">
    <w:name w:val="正文(首行缩进) Char"/>
    <w:link w:val="3499"/>
    <w:qFormat/>
    <w:uiPriority w:val="0"/>
    <w:rPr>
      <w:rFonts w:ascii="宋体" w:hAnsi="宋体" w:eastAsia="宋体" w:cs="Times New Roman"/>
      <w:kern w:val="24"/>
      <w:sz w:val="26"/>
      <w:szCs w:val="20"/>
      <w14:ligatures w14:val="none"/>
    </w:rPr>
  </w:style>
  <w:style w:type="paragraph" w:customStyle="1" w:styleId="3501">
    <w:name w:val="正文（首行缩进）"/>
    <w:basedOn w:val="1"/>
    <w:qFormat/>
    <w:uiPriority w:val="0"/>
    <w:pPr>
      <w:spacing w:line="360" w:lineRule="auto"/>
    </w:pPr>
  </w:style>
  <w:style w:type="paragraph" w:customStyle="1" w:styleId="3502">
    <w:name w:val="正文（首行缩进2字符）"/>
    <w:basedOn w:val="1"/>
    <w:qFormat/>
    <w:uiPriority w:val="0"/>
    <w:pPr>
      <w:topLinePunct/>
      <w:adjustRightInd/>
      <w:snapToGrid/>
      <w:spacing w:line="360" w:lineRule="auto"/>
    </w:pPr>
    <w:rPr>
      <w:rFonts w:cs="宋体"/>
      <w:snapToGrid/>
      <w:kern w:val="2"/>
      <w:sz w:val="28"/>
      <w:szCs w:val="28"/>
    </w:rPr>
  </w:style>
  <w:style w:type="paragraph" w:customStyle="1" w:styleId="3503">
    <w:name w:val="正文（首行缩进两字）"/>
    <w:basedOn w:val="1"/>
    <w:qFormat/>
    <w:uiPriority w:val="0"/>
    <w:pPr>
      <w:adjustRightInd/>
      <w:snapToGrid/>
      <w:spacing w:line="360" w:lineRule="auto"/>
      <w:ind w:firstLine="573" w:firstLineChars="0"/>
    </w:pPr>
    <w:rPr>
      <w:snapToGrid/>
      <w:kern w:val="2"/>
      <w:sz w:val="28"/>
      <w:szCs w:val="28"/>
    </w:rPr>
  </w:style>
  <w:style w:type="character" w:customStyle="1" w:styleId="3504">
    <w:name w:val="正文（首行缩进两字） Char Char Char Char Char Char Char Char Char1 Char Char"/>
    <w:qFormat/>
    <w:uiPriority w:val="0"/>
    <w:rPr>
      <w:rFonts w:eastAsia="仿宋_GB2312"/>
      <w:kern w:val="2"/>
      <w:sz w:val="28"/>
      <w:szCs w:val="24"/>
      <w:lang w:val="en-US" w:eastAsia="zh-CN" w:bidi="ar-SA"/>
    </w:rPr>
  </w:style>
  <w:style w:type="paragraph" w:customStyle="1" w:styleId="3505">
    <w:name w:val="正文（首行缩近两字）"/>
    <w:basedOn w:val="1"/>
    <w:next w:val="1"/>
    <w:qFormat/>
    <w:uiPriority w:val="0"/>
    <w:pPr>
      <w:adjustRightInd/>
      <w:snapToGrid/>
      <w:spacing w:line="240" w:lineRule="auto"/>
      <w:ind w:firstLine="420"/>
    </w:pPr>
    <w:rPr>
      <w:snapToGrid/>
      <w:kern w:val="2"/>
      <w:sz w:val="21"/>
    </w:rPr>
  </w:style>
  <w:style w:type="paragraph" w:customStyle="1" w:styleId="3506">
    <w:name w:val="正文，四宋"/>
    <w:basedOn w:val="1"/>
    <w:link w:val="3507"/>
    <w:qFormat/>
    <w:uiPriority w:val="0"/>
    <w:pPr>
      <w:keepNext/>
      <w:adjustRightInd/>
      <w:snapToGrid/>
      <w:ind w:firstLine="567" w:firstLineChars="0"/>
      <w:outlineLvl w:val="4"/>
    </w:pPr>
    <w:rPr>
      <w:snapToGrid/>
      <w:kern w:val="2"/>
      <w:sz w:val="28"/>
      <w:szCs w:val="20"/>
    </w:rPr>
  </w:style>
  <w:style w:type="character" w:customStyle="1" w:styleId="3507">
    <w:name w:val="正文，四宋 Char"/>
    <w:link w:val="3506"/>
    <w:qFormat/>
    <w:uiPriority w:val="0"/>
    <w:rPr>
      <w:rFonts w:ascii="Times New Roman" w:hAnsi="Times New Roman" w:eastAsia="宋体" w:cs="Times New Roman"/>
      <w:sz w:val="28"/>
      <w:szCs w:val="20"/>
      <w14:ligatures w14:val="none"/>
    </w:rPr>
  </w:style>
  <w:style w:type="paragraph" w:customStyle="1" w:styleId="3508">
    <w:name w:val="正文.仿宋5"/>
    <w:basedOn w:val="1"/>
    <w:qFormat/>
    <w:uiPriority w:val="0"/>
    <w:pPr>
      <w:keepNext/>
      <w:keepLines/>
      <w:adjustRightInd/>
      <w:snapToGrid/>
      <w:spacing w:line="320" w:lineRule="exact"/>
      <w:ind w:firstLine="0" w:firstLineChars="0"/>
    </w:pPr>
    <w:rPr>
      <w:rFonts w:eastAsia="仿宋_GB2312"/>
      <w:snapToGrid/>
      <w:kern w:val="2"/>
      <w:sz w:val="21"/>
    </w:rPr>
  </w:style>
  <w:style w:type="paragraph" w:customStyle="1" w:styleId="3509">
    <w:name w:val="正文+ 首行缩进:  2 字符 Char Char"/>
    <w:basedOn w:val="1"/>
    <w:qFormat/>
    <w:uiPriority w:val="0"/>
    <w:pPr>
      <w:adjustRightInd/>
      <w:snapToGrid/>
      <w:spacing w:line="360" w:lineRule="auto"/>
      <w:ind w:firstLine="559"/>
    </w:pPr>
    <w:rPr>
      <w:rFonts w:cs="宋体"/>
      <w:snapToGrid/>
      <w:kern w:val="2"/>
      <w:szCs w:val="28"/>
    </w:rPr>
  </w:style>
  <w:style w:type="character" w:customStyle="1" w:styleId="3510">
    <w:name w:val="正文+ 首行缩进:  2 字符 Char Char Char"/>
    <w:qFormat/>
    <w:uiPriority w:val="0"/>
    <w:rPr>
      <w:rFonts w:ascii="幼圆" w:eastAsia="宋体" w:cs="宋体"/>
      <w:kern w:val="2"/>
      <w:sz w:val="24"/>
      <w:szCs w:val="24"/>
      <w:lang w:val="en-US" w:eastAsia="zh-CN" w:bidi="ar-SA"/>
    </w:rPr>
  </w:style>
  <w:style w:type="paragraph" w:customStyle="1" w:styleId="3511">
    <w:name w:val="正文+1"/>
    <w:basedOn w:val="509"/>
    <w:next w:val="509"/>
    <w:qFormat/>
    <w:uiPriority w:val="0"/>
    <w:rPr>
      <w:rFonts w:ascii="Times New Roman" w:cs="Times New Roman"/>
      <w:color w:val="auto"/>
      <w:sz w:val="20"/>
    </w:rPr>
  </w:style>
  <w:style w:type="paragraph" w:customStyle="1" w:styleId="3512">
    <w:name w:val="正文+加粗"/>
    <w:basedOn w:val="1"/>
    <w:link w:val="3513"/>
    <w:qFormat/>
    <w:uiPriority w:val="0"/>
    <w:pPr>
      <w:adjustRightInd/>
      <w:snapToGrid/>
      <w:spacing w:line="500" w:lineRule="exact"/>
      <w:ind w:firstLine="0" w:firstLineChars="0"/>
    </w:pPr>
    <w:rPr>
      <w:b/>
      <w:snapToGrid/>
    </w:rPr>
  </w:style>
  <w:style w:type="character" w:customStyle="1" w:styleId="3513">
    <w:name w:val="正文+加粗 Char Char"/>
    <w:link w:val="3512"/>
    <w:qFormat/>
    <w:uiPriority w:val="0"/>
    <w:rPr>
      <w:rFonts w:ascii="Times New Roman" w:hAnsi="Times New Roman" w:eastAsia="宋体" w:cs="Times New Roman"/>
      <w:b/>
      <w:kern w:val="0"/>
      <w:sz w:val="26"/>
      <w:szCs w:val="24"/>
      <w14:ligatures w14:val="none"/>
    </w:rPr>
  </w:style>
  <w:style w:type="character" w:customStyle="1" w:styleId="3514">
    <w:name w:val="正文+加粗 Char"/>
    <w:qFormat/>
    <w:uiPriority w:val="0"/>
    <w:rPr>
      <w:rFonts w:eastAsia="宋体"/>
      <w:b/>
      <w:kern w:val="2"/>
      <w:sz w:val="24"/>
      <w:szCs w:val="24"/>
      <w:lang w:val="en-US" w:eastAsia="zh-CN" w:bidi="ar-SA"/>
    </w:rPr>
  </w:style>
  <w:style w:type="paragraph" w:customStyle="1" w:styleId="3515">
    <w:name w:val="正文+宋体"/>
    <w:basedOn w:val="1"/>
    <w:semiHidden/>
    <w:qFormat/>
    <w:uiPriority w:val="0"/>
    <w:pPr>
      <w:adjustRightInd/>
      <w:snapToGrid/>
      <w:spacing w:line="240" w:lineRule="auto"/>
      <w:ind w:firstLine="0" w:firstLineChars="0"/>
      <w:jc w:val="center"/>
    </w:pPr>
    <w:rPr>
      <w:rFonts w:ascii="仿宋_GB2312" w:hAnsi="宋体" w:eastAsia="仿宋_GB2312"/>
      <w:snapToGrid/>
      <w:kern w:val="2"/>
      <w:sz w:val="21"/>
      <w:szCs w:val="21"/>
    </w:rPr>
  </w:style>
  <w:style w:type="paragraph" w:customStyle="1" w:styleId="3516">
    <w:name w:val="正文01"/>
    <w:basedOn w:val="1"/>
    <w:link w:val="3517"/>
    <w:qFormat/>
    <w:uiPriority w:val="0"/>
    <w:pPr>
      <w:snapToGrid/>
      <w:textAlignment w:val="baseline"/>
    </w:pPr>
    <w:rPr>
      <w:snapToGrid/>
      <w:kern w:val="2"/>
      <w:szCs w:val="20"/>
    </w:rPr>
  </w:style>
  <w:style w:type="character" w:customStyle="1" w:styleId="3517">
    <w:name w:val="正文01 Char"/>
    <w:link w:val="3516"/>
    <w:qFormat/>
    <w:uiPriority w:val="0"/>
    <w:rPr>
      <w:rFonts w:ascii="Times New Roman" w:hAnsi="Times New Roman" w:eastAsia="宋体" w:cs="Times New Roman"/>
      <w:sz w:val="26"/>
      <w:szCs w:val="20"/>
      <w14:ligatures w14:val="none"/>
    </w:rPr>
  </w:style>
  <w:style w:type="paragraph" w:customStyle="1" w:styleId="3518">
    <w:name w:val="正文1 Char Char Char"/>
    <w:basedOn w:val="1"/>
    <w:qFormat/>
    <w:uiPriority w:val="0"/>
    <w:pPr>
      <w:adjustRightInd/>
      <w:snapToGrid/>
      <w:spacing w:line="360" w:lineRule="auto"/>
      <w:ind w:firstLine="480"/>
    </w:pPr>
    <w:rPr>
      <w:snapToGrid/>
      <w:kern w:val="2"/>
    </w:rPr>
  </w:style>
  <w:style w:type="paragraph" w:customStyle="1" w:styleId="3519">
    <w:name w:val="正文1 Char Char Char Char Char"/>
    <w:basedOn w:val="1"/>
    <w:link w:val="3520"/>
    <w:qFormat/>
    <w:uiPriority w:val="0"/>
    <w:pPr>
      <w:adjustRightInd/>
      <w:snapToGrid/>
      <w:spacing w:line="360" w:lineRule="auto"/>
      <w:ind w:firstLine="480"/>
    </w:pPr>
    <w:rPr>
      <w:snapToGrid/>
      <w:kern w:val="2"/>
    </w:rPr>
  </w:style>
  <w:style w:type="character" w:customStyle="1" w:styleId="3520">
    <w:name w:val="正文1 Char Char Char Char Char Char"/>
    <w:link w:val="3519"/>
    <w:qFormat/>
    <w:uiPriority w:val="0"/>
    <w:rPr>
      <w:rFonts w:ascii="Times New Roman" w:hAnsi="Times New Roman" w:eastAsia="宋体" w:cs="Times New Roman"/>
      <w:sz w:val="26"/>
      <w:szCs w:val="24"/>
      <w14:ligatures w14:val="none"/>
    </w:rPr>
  </w:style>
  <w:style w:type="character" w:customStyle="1" w:styleId="3521">
    <w:name w:val="正文1 Char Char Char Char Char Char Char"/>
    <w:qFormat/>
    <w:uiPriority w:val="0"/>
    <w:rPr>
      <w:rFonts w:eastAsia="宋体" w:cs="宋体"/>
      <w:kern w:val="2"/>
      <w:sz w:val="24"/>
      <w:szCs w:val="24"/>
      <w:lang w:val="en-US" w:eastAsia="zh-CN" w:bidi="ar-SA"/>
    </w:rPr>
  </w:style>
  <w:style w:type="paragraph" w:customStyle="1" w:styleId="3522">
    <w:name w:val="正文1"/>
    <w:basedOn w:val="1"/>
    <w:link w:val="3523"/>
    <w:qFormat/>
    <w:uiPriority w:val="0"/>
    <w:pPr>
      <w:snapToGrid/>
      <w:spacing w:line="315" w:lineRule="atLeast"/>
      <w:ind w:firstLine="0" w:firstLineChars="0"/>
      <w:jc w:val="left"/>
      <w:textAlignment w:val="baseline"/>
    </w:pPr>
    <w:rPr>
      <w:rFonts w:ascii="宋体"/>
      <w:snapToGrid/>
      <w:szCs w:val="20"/>
    </w:rPr>
  </w:style>
  <w:style w:type="character" w:customStyle="1" w:styleId="3523">
    <w:name w:val="正文 Char"/>
    <w:link w:val="3522"/>
    <w:qFormat/>
    <w:uiPriority w:val="0"/>
    <w:rPr>
      <w:rFonts w:ascii="宋体" w:hAnsi="Times New Roman" w:eastAsia="宋体" w:cs="Times New Roman"/>
      <w:kern w:val="0"/>
      <w:sz w:val="26"/>
      <w:szCs w:val="20"/>
      <w14:ligatures w14:val="none"/>
    </w:rPr>
  </w:style>
  <w:style w:type="paragraph" w:customStyle="1" w:styleId="3524">
    <w:name w:val="正文11"/>
    <w:link w:val="3525"/>
    <w:qFormat/>
    <w:uiPriority w:val="0"/>
    <w:pPr>
      <w:widowControl w:val="0"/>
      <w:adjustRightInd w:val="0"/>
      <w:snapToGrid w:val="0"/>
      <w:spacing w:afterLines="50" w:line="300" w:lineRule="auto"/>
      <w:ind w:firstLine="200" w:firstLineChars="200"/>
      <w:jc w:val="both"/>
    </w:pPr>
    <w:rPr>
      <w:rFonts w:ascii="宋体" w:hAnsi="Times New Roman" w:eastAsia="宋体" w:cs="Times New Roman"/>
      <w:spacing w:val="10"/>
      <w:sz w:val="24"/>
      <w:lang w:val="en-US" w:eastAsia="zh-CN" w:bidi="ar-SA"/>
    </w:rPr>
  </w:style>
  <w:style w:type="character" w:customStyle="1" w:styleId="3525">
    <w:name w:val="正文1 Char"/>
    <w:link w:val="3524"/>
    <w:qFormat/>
    <w:uiPriority w:val="0"/>
    <w:rPr>
      <w:rFonts w:ascii="宋体" w:hAnsi="Times New Roman" w:eastAsia="宋体" w:cs="Times New Roman"/>
      <w:spacing w:val="10"/>
      <w:kern w:val="0"/>
      <w:sz w:val="24"/>
      <w:szCs w:val="20"/>
      <w14:ligatures w14:val="none"/>
    </w:rPr>
  </w:style>
  <w:style w:type="paragraph" w:customStyle="1" w:styleId="3526">
    <w:name w:val="正文11111111"/>
    <w:basedOn w:val="1"/>
    <w:qFormat/>
    <w:uiPriority w:val="0"/>
    <w:pPr>
      <w:adjustRightInd/>
      <w:snapToGrid/>
      <w:spacing w:line="440" w:lineRule="exact"/>
    </w:pPr>
    <w:rPr>
      <w:rFonts w:cs="宋体"/>
      <w:snapToGrid/>
      <w:kern w:val="2"/>
      <w:szCs w:val="20"/>
    </w:rPr>
  </w:style>
  <w:style w:type="paragraph" w:customStyle="1" w:styleId="3527">
    <w:name w:val="正文111111111"/>
    <w:basedOn w:val="1"/>
    <w:link w:val="3528"/>
    <w:qFormat/>
    <w:uiPriority w:val="0"/>
    <w:rPr>
      <w:rFonts w:eastAsia="仿宋_GB2312"/>
      <w:snapToGrid/>
      <w:kern w:val="2"/>
      <w:szCs w:val="20"/>
    </w:rPr>
  </w:style>
  <w:style w:type="character" w:customStyle="1" w:styleId="3528">
    <w:name w:val="正文111111111 Char"/>
    <w:link w:val="3527"/>
    <w:qFormat/>
    <w:uiPriority w:val="0"/>
    <w:rPr>
      <w:rFonts w:ascii="Times New Roman" w:hAnsi="Times New Roman" w:eastAsia="仿宋_GB2312" w:cs="Times New Roman"/>
      <w:sz w:val="26"/>
      <w:szCs w:val="20"/>
      <w14:ligatures w14:val="none"/>
    </w:rPr>
  </w:style>
  <w:style w:type="paragraph" w:customStyle="1" w:styleId="3529">
    <w:name w:val="正文15"/>
    <w:basedOn w:val="1"/>
    <w:qFormat/>
    <w:uiPriority w:val="0"/>
    <w:pPr>
      <w:overflowPunct w:val="0"/>
      <w:topLinePunct/>
      <w:adjustRightInd/>
      <w:spacing w:line="360" w:lineRule="auto"/>
      <w:ind w:firstLine="567" w:firstLineChars="0"/>
    </w:pPr>
    <w:rPr>
      <w:snapToGrid/>
      <w:kern w:val="2"/>
      <w:sz w:val="28"/>
      <w:szCs w:val="28"/>
    </w:rPr>
  </w:style>
  <w:style w:type="paragraph" w:customStyle="1" w:styleId="3530">
    <w:name w:val="正文2"/>
    <w:basedOn w:val="1"/>
    <w:qFormat/>
    <w:uiPriority w:val="0"/>
    <w:pPr>
      <w:overflowPunct w:val="0"/>
      <w:topLinePunct/>
      <w:autoSpaceDE w:val="0"/>
      <w:autoSpaceDN w:val="0"/>
      <w:textAlignment w:val="baseline"/>
    </w:pPr>
    <w:rPr>
      <w:snapToGrid/>
      <w:szCs w:val="20"/>
    </w:rPr>
  </w:style>
  <w:style w:type="paragraph" w:customStyle="1" w:styleId="3531">
    <w:name w:val="正文2 Char Char"/>
    <w:basedOn w:val="1"/>
    <w:qFormat/>
    <w:uiPriority w:val="0"/>
    <w:pPr>
      <w:adjustRightInd/>
      <w:snapToGrid/>
      <w:ind w:firstLine="0" w:firstLineChars="0"/>
      <w:outlineLvl w:val="3"/>
    </w:pPr>
    <w:rPr>
      <w:rFonts w:ascii="宋体" w:hAnsi="宋体" w:eastAsia="Times New Roman" w:cs="宋体"/>
      <w:snapToGrid/>
      <w:kern w:val="2"/>
    </w:rPr>
  </w:style>
  <w:style w:type="paragraph" w:customStyle="1" w:styleId="3532">
    <w:name w:val="正文2000"/>
    <w:basedOn w:val="1"/>
    <w:qFormat/>
    <w:uiPriority w:val="0"/>
    <w:pPr>
      <w:tabs>
        <w:tab w:val="left" w:pos="170"/>
      </w:tabs>
      <w:snapToGrid/>
      <w:spacing w:beforeAutospacing="1"/>
      <w:ind w:firstLine="523" w:firstLineChars="218"/>
    </w:pPr>
    <w:rPr>
      <w:rFonts w:ascii="宋体" w:hAnsi="宋体"/>
      <w:snapToGrid/>
      <w:kern w:val="2"/>
    </w:rPr>
  </w:style>
  <w:style w:type="paragraph" w:customStyle="1" w:styleId="3533">
    <w:name w:val="正文2002"/>
    <w:basedOn w:val="1"/>
    <w:qFormat/>
    <w:uiPriority w:val="0"/>
    <w:pPr>
      <w:adjustRightInd/>
      <w:snapToGrid/>
      <w:spacing w:line="240" w:lineRule="atLeast"/>
      <w:ind w:firstLine="0" w:firstLineChars="0"/>
      <w:jc w:val="center"/>
    </w:pPr>
    <w:rPr>
      <w:snapToGrid/>
      <w:kern w:val="2"/>
      <w:sz w:val="21"/>
    </w:rPr>
  </w:style>
  <w:style w:type="paragraph" w:customStyle="1" w:styleId="3534">
    <w:name w:val="正文22磅"/>
    <w:basedOn w:val="1"/>
    <w:qFormat/>
    <w:uiPriority w:val="0"/>
    <w:pPr>
      <w:adjustRightInd/>
      <w:snapToGrid/>
      <w:spacing w:line="420" w:lineRule="exact"/>
      <w:ind w:firstLine="480"/>
    </w:pPr>
    <w:rPr>
      <w:snapToGrid/>
      <w:kern w:val="2"/>
    </w:rPr>
  </w:style>
  <w:style w:type="paragraph" w:customStyle="1" w:styleId="3535">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536">
    <w:name w:val="正文31"/>
    <w:basedOn w:val="1"/>
    <w:qFormat/>
    <w:uiPriority w:val="0"/>
    <w:pPr>
      <w:adjustRightInd/>
      <w:snapToGrid/>
      <w:spacing w:line="432" w:lineRule="auto"/>
    </w:pPr>
    <w:rPr>
      <w:b/>
      <w:snapToGrid/>
      <w:kern w:val="2"/>
    </w:rPr>
  </w:style>
  <w:style w:type="paragraph" w:customStyle="1" w:styleId="3537">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538">
    <w:name w:val="正文A"/>
    <w:qFormat/>
    <w:uiPriority w:val="0"/>
    <w:pPr>
      <w:widowControl w:val="0"/>
      <w:tabs>
        <w:tab w:val="left" w:pos="0"/>
      </w:tabs>
      <w:adjustRightInd w:val="0"/>
      <w:spacing w:line="360" w:lineRule="auto"/>
      <w:ind w:firstLine="200" w:firstLineChars="200"/>
      <w:jc w:val="both"/>
      <w:textAlignment w:val="baseline"/>
    </w:pPr>
    <w:rPr>
      <w:rFonts w:ascii="Times New Roman" w:hAnsi="Times New Roman" w:eastAsia="宋体" w:cs="Times New Roman"/>
      <w:snapToGrid w:val="0"/>
      <w:sz w:val="24"/>
      <w:lang w:val="en-US" w:eastAsia="zh-CN" w:bidi="ar-SA"/>
    </w:rPr>
  </w:style>
  <w:style w:type="paragraph" w:customStyle="1" w:styleId="3539">
    <w:name w:val="正文a"/>
    <w:basedOn w:val="1"/>
    <w:qFormat/>
    <w:uiPriority w:val="0"/>
    <w:pPr>
      <w:adjustRightInd/>
      <w:snapToGrid/>
      <w:spacing w:line="240" w:lineRule="auto"/>
      <w:ind w:firstLine="570" w:firstLineChars="0"/>
    </w:pPr>
    <w:rPr>
      <w:rFonts w:ascii="宋体"/>
      <w:snapToGrid/>
      <w:kern w:val="2"/>
      <w:sz w:val="28"/>
    </w:rPr>
  </w:style>
  <w:style w:type="paragraph" w:customStyle="1" w:styleId="3540">
    <w:name w:val="正文－other"/>
    <w:basedOn w:val="1"/>
    <w:semiHidden/>
    <w:qFormat/>
    <w:uiPriority w:val="0"/>
    <w:pPr>
      <w:adjustRightInd/>
      <w:snapToGrid/>
      <w:spacing w:line="400" w:lineRule="exact"/>
      <w:ind w:firstLine="480"/>
    </w:pPr>
    <w:rPr>
      <w:rFonts w:ascii="宋体"/>
      <w:snapToGrid/>
      <w:kern w:val="2"/>
      <w:szCs w:val="20"/>
    </w:rPr>
  </w:style>
  <w:style w:type="paragraph" w:customStyle="1" w:styleId="3541">
    <w:name w:val="正文－other2"/>
    <w:basedOn w:val="1"/>
    <w:qFormat/>
    <w:uiPriority w:val="0"/>
    <w:pPr>
      <w:adjustRightInd/>
      <w:snapToGrid/>
      <w:spacing w:line="400" w:lineRule="exact"/>
      <w:ind w:firstLine="480" w:firstLineChars="0"/>
    </w:pPr>
    <w:rPr>
      <w:snapToGrid/>
      <w:kern w:val="2"/>
      <w:szCs w:val="20"/>
    </w:rPr>
  </w:style>
  <w:style w:type="paragraph" w:customStyle="1" w:styleId="3542">
    <w:name w:val="正文T"/>
    <w:basedOn w:val="35"/>
    <w:qFormat/>
    <w:uiPriority w:val="0"/>
    <w:pPr>
      <w:adjustRightInd/>
      <w:snapToGrid/>
      <w:spacing w:line="360" w:lineRule="auto"/>
      <w:ind w:firstLine="200"/>
    </w:pPr>
    <w:rPr>
      <w:snapToGrid/>
      <w:color w:val="000000"/>
      <w:kern w:val="2"/>
      <w:szCs w:val="24"/>
    </w:rPr>
  </w:style>
  <w:style w:type="paragraph" w:customStyle="1" w:styleId="3543">
    <w:name w:val="正文-xu"/>
    <w:basedOn w:val="1"/>
    <w:link w:val="3544"/>
    <w:qFormat/>
    <w:uiPriority w:val="0"/>
    <w:pPr>
      <w:adjustRightInd/>
      <w:spacing w:line="360" w:lineRule="auto"/>
      <w:ind w:firstLine="480"/>
      <w:textAlignment w:val="baseline"/>
    </w:pPr>
    <w:rPr>
      <w:rFonts w:ascii="宋体" w:hAnsi="宋体"/>
      <w:snapToGrid/>
      <w:color w:val="000000"/>
      <w:szCs w:val="20"/>
    </w:rPr>
  </w:style>
  <w:style w:type="character" w:customStyle="1" w:styleId="3544">
    <w:name w:val="正文-xu Char Char"/>
    <w:link w:val="3543"/>
    <w:qFormat/>
    <w:uiPriority w:val="0"/>
    <w:rPr>
      <w:rFonts w:ascii="宋体" w:hAnsi="宋体" w:eastAsia="宋体" w:cs="Times New Roman"/>
      <w:color w:val="000000"/>
      <w:kern w:val="0"/>
      <w:sz w:val="26"/>
      <w:szCs w:val="20"/>
      <w14:ligatures w14:val="none"/>
    </w:rPr>
  </w:style>
  <w:style w:type="character" w:customStyle="1" w:styleId="3545">
    <w:name w:val="正文-xu Char"/>
    <w:qFormat/>
    <w:uiPriority w:val="0"/>
    <w:rPr>
      <w:rFonts w:ascii="宋体" w:hAnsi="宋体"/>
      <w:color w:val="000000"/>
      <w:kern w:val="2"/>
      <w:sz w:val="24"/>
      <w:lang w:bidi="ar-SA"/>
    </w:rPr>
  </w:style>
  <w:style w:type="paragraph" w:customStyle="1" w:styleId="3546">
    <w:name w:val="正文zxq"/>
    <w:basedOn w:val="1"/>
    <w:qFormat/>
    <w:uiPriority w:val="0"/>
    <w:pPr>
      <w:adjustRightInd/>
      <w:snapToGrid/>
      <w:ind w:firstLine="480"/>
    </w:pPr>
    <w:rPr>
      <w:rFonts w:hAnsi="宋体"/>
      <w:snapToGrid/>
      <w:kern w:val="2"/>
      <w:u w:color="000000"/>
    </w:rPr>
  </w:style>
  <w:style w:type="paragraph" w:customStyle="1" w:styleId="3547">
    <w:name w:val="正文版本"/>
    <w:basedOn w:val="1"/>
    <w:autoRedefine/>
    <w:qFormat/>
    <w:uiPriority w:val="0"/>
    <w:pPr>
      <w:autoSpaceDE w:val="0"/>
      <w:autoSpaceDN w:val="0"/>
      <w:snapToGrid/>
      <w:spacing w:line="400" w:lineRule="exact"/>
      <w:ind w:firstLine="0" w:firstLineChars="0"/>
      <w:jc w:val="center"/>
    </w:pPr>
    <w:rPr>
      <w:rFonts w:ascii="宋体" w:hAnsi="宋体"/>
      <w:snapToGrid/>
      <w:kern w:val="2"/>
      <w:sz w:val="22"/>
      <w:szCs w:val="22"/>
      <w:lang w:val="zh-CN"/>
    </w:rPr>
  </w:style>
  <w:style w:type="paragraph" w:customStyle="1" w:styleId="3548">
    <w:name w:val="正文报告"/>
    <w:basedOn w:val="1"/>
    <w:link w:val="3549"/>
    <w:qFormat/>
    <w:uiPriority w:val="0"/>
    <w:pPr>
      <w:topLinePunct/>
      <w:adjustRightInd/>
      <w:spacing w:line="480" w:lineRule="exact"/>
      <w:ind w:firstLine="567" w:firstLineChars="0"/>
    </w:pPr>
    <w:rPr>
      <w:snapToGrid/>
      <w:kern w:val="2"/>
      <w:sz w:val="28"/>
      <w:szCs w:val="28"/>
    </w:rPr>
  </w:style>
  <w:style w:type="character" w:customStyle="1" w:styleId="3549">
    <w:name w:val="正文报告 Char"/>
    <w:link w:val="3548"/>
    <w:qFormat/>
    <w:uiPriority w:val="0"/>
    <w:rPr>
      <w:rFonts w:ascii="Times New Roman" w:hAnsi="Times New Roman" w:eastAsia="宋体" w:cs="Times New Roman"/>
      <w:sz w:val="28"/>
      <w:szCs w:val="28"/>
      <w14:ligatures w14:val="none"/>
    </w:rPr>
  </w:style>
  <w:style w:type="character" w:customStyle="1" w:styleId="3550">
    <w:name w:val="正文编号（1） Char"/>
    <w:qFormat/>
    <w:uiPriority w:val="0"/>
    <w:rPr>
      <w:rFonts w:eastAsia="宋体"/>
      <w:kern w:val="2"/>
      <w:sz w:val="28"/>
      <w:szCs w:val="24"/>
      <w:lang w:val="en-US" w:eastAsia="zh-CN" w:bidi="ar-SA"/>
    </w:rPr>
  </w:style>
  <w:style w:type="paragraph" w:customStyle="1" w:styleId="3551">
    <w:name w:val="正文表标题"/>
    <w:next w:val="1"/>
    <w:autoRedefine/>
    <w:qFormat/>
    <w:uiPriority w:val="0"/>
    <w:pPr>
      <w:widowControl w:val="0"/>
      <w:adjustRightInd w:val="0"/>
      <w:snapToGrid w:val="0"/>
      <w:spacing w:line="300" w:lineRule="auto"/>
      <w:jc w:val="both"/>
    </w:pPr>
    <w:rPr>
      <w:rFonts w:ascii="Times New Roman" w:hAnsi="Times New Roman" w:eastAsia="宋体" w:cs="Times New Roman"/>
      <w:kern w:val="2"/>
      <w:sz w:val="24"/>
      <w:lang w:val="en-US" w:eastAsia="zh-CN" w:bidi="ar-SA"/>
    </w:rPr>
  </w:style>
  <w:style w:type="paragraph" w:customStyle="1" w:styleId="3552">
    <w:name w:val="正文部分"/>
    <w:basedOn w:val="1"/>
    <w:link w:val="3553"/>
    <w:qFormat/>
    <w:uiPriority w:val="0"/>
    <w:pPr>
      <w:spacing w:line="500" w:lineRule="exact"/>
    </w:pPr>
    <w:rPr>
      <w:rFonts w:ascii="宋体" w:hAnsi="宋体" w:cs="宋体"/>
      <w:bCs/>
      <w:snapToGrid/>
      <w:sz w:val="28"/>
      <w:szCs w:val="32"/>
    </w:rPr>
  </w:style>
  <w:style w:type="character" w:customStyle="1" w:styleId="3553">
    <w:name w:val="正文部分 Char Char"/>
    <w:link w:val="3552"/>
    <w:qFormat/>
    <w:uiPriority w:val="0"/>
    <w:rPr>
      <w:rFonts w:ascii="宋体" w:hAnsi="宋体" w:eastAsia="宋体" w:cs="宋体"/>
      <w:bCs/>
      <w:kern w:val="0"/>
      <w:sz w:val="28"/>
      <w:szCs w:val="32"/>
      <w14:ligatures w14:val="none"/>
    </w:rPr>
  </w:style>
  <w:style w:type="character" w:customStyle="1" w:styleId="3554">
    <w:name w:val="正文部分 Char"/>
    <w:semiHidden/>
    <w:qFormat/>
    <w:uiPriority w:val="0"/>
    <w:rPr>
      <w:rFonts w:ascii="宋体" w:hAnsi="宋体" w:eastAsia="宋体" w:cs="Times New Roman"/>
      <w:snapToGrid w:val="0"/>
      <w:kern w:val="28"/>
      <w:sz w:val="24"/>
      <w:szCs w:val="24"/>
    </w:rPr>
  </w:style>
  <w:style w:type="character" w:customStyle="1" w:styleId="3555">
    <w:name w:val="正文粗 Char"/>
    <w:qFormat/>
    <w:uiPriority w:val="0"/>
    <w:rPr>
      <w:rFonts w:eastAsia="宋体"/>
      <w:b/>
      <w:sz w:val="24"/>
      <w:lang w:val="en-US" w:eastAsia="zh-CN"/>
    </w:rPr>
  </w:style>
  <w:style w:type="paragraph" w:customStyle="1" w:styleId="3556">
    <w:name w:val="正文-第几条"/>
    <w:basedOn w:val="1"/>
    <w:qFormat/>
    <w:uiPriority w:val="0"/>
    <w:pPr>
      <w:adjustRightInd/>
      <w:snapToGrid/>
      <w:spacing w:line="360" w:lineRule="auto"/>
      <w:ind w:firstLine="0" w:firstLineChars="0"/>
    </w:pPr>
    <w:rPr>
      <w:b/>
      <w:snapToGrid/>
      <w:kern w:val="2"/>
    </w:rPr>
  </w:style>
  <w:style w:type="paragraph" w:customStyle="1" w:styleId="3557">
    <w:name w:val="正文段落"/>
    <w:basedOn w:val="1"/>
    <w:qFormat/>
    <w:uiPriority w:val="0"/>
    <w:pPr>
      <w:adjustRightInd/>
      <w:snapToGrid/>
      <w:ind w:firstLine="454" w:firstLineChars="0"/>
    </w:pPr>
    <w:rPr>
      <w:rFonts w:eastAsia="仿宋_GB2312"/>
      <w:snapToGrid/>
      <w:kern w:val="2"/>
      <w:sz w:val="28"/>
      <w:szCs w:val="20"/>
    </w:rPr>
  </w:style>
  <w:style w:type="paragraph" w:customStyle="1" w:styleId="3558">
    <w:name w:val="正文-仿宋"/>
    <w:basedOn w:val="1"/>
    <w:autoRedefine/>
    <w:qFormat/>
    <w:uiPriority w:val="0"/>
    <w:pPr>
      <w:adjustRightInd/>
      <w:snapToGrid/>
      <w:spacing w:line="360" w:lineRule="auto"/>
      <w:ind w:firstLine="480"/>
    </w:pPr>
    <w:rPr>
      <w:rFonts w:ascii="宋体" w:hAnsi="宋体"/>
      <w:color w:val="000000"/>
      <w:u w:color="000000"/>
    </w:rPr>
  </w:style>
  <w:style w:type="paragraph" w:customStyle="1" w:styleId="3559">
    <w:name w:val="正文格式"/>
    <w:basedOn w:val="1"/>
    <w:link w:val="3560"/>
    <w:qFormat/>
    <w:uiPriority w:val="0"/>
    <w:pPr>
      <w:adjustRightInd/>
      <w:snapToGrid/>
      <w:spacing w:line="360" w:lineRule="auto"/>
      <w:ind w:firstLine="482" w:firstLineChars="0"/>
    </w:pPr>
    <w:rPr>
      <w:rFonts w:ascii="宋体" w:hAnsi="宋体"/>
      <w:snapToGrid/>
      <w:kern w:val="2"/>
    </w:rPr>
  </w:style>
  <w:style w:type="character" w:customStyle="1" w:styleId="3560">
    <w:name w:val="正文格式 Char"/>
    <w:link w:val="3559"/>
    <w:qFormat/>
    <w:uiPriority w:val="0"/>
    <w:rPr>
      <w:rFonts w:ascii="宋体" w:hAnsi="宋体" w:eastAsia="宋体" w:cs="Times New Roman"/>
      <w:sz w:val="26"/>
      <w:szCs w:val="24"/>
      <w14:ligatures w14:val="none"/>
    </w:rPr>
  </w:style>
  <w:style w:type="paragraph" w:customStyle="1" w:styleId="3561">
    <w:name w:val="正文加粗"/>
    <w:basedOn w:val="1"/>
    <w:qFormat/>
    <w:uiPriority w:val="0"/>
    <w:pPr>
      <w:adjustRightInd/>
      <w:snapToGrid/>
      <w:spacing w:line="480" w:lineRule="exact"/>
      <w:ind w:firstLine="0" w:firstLineChars="0"/>
    </w:pPr>
    <w:rPr>
      <w:rFonts w:ascii="Calibri" w:hAnsi="Calibri"/>
      <w:b/>
      <w:snapToGrid/>
      <w:color w:val="000000"/>
      <w:kern w:val="2"/>
      <w:sz w:val="24"/>
    </w:rPr>
  </w:style>
  <w:style w:type="paragraph" w:customStyle="1" w:styleId="3562">
    <w:name w:val="正文居中"/>
    <w:basedOn w:val="1"/>
    <w:qFormat/>
    <w:uiPriority w:val="0"/>
    <w:pPr>
      <w:adjustRightInd/>
      <w:snapToGrid/>
      <w:spacing w:line="240" w:lineRule="auto"/>
      <w:ind w:firstLine="0" w:firstLineChars="0"/>
      <w:jc w:val="center"/>
    </w:pPr>
    <w:rPr>
      <w:snapToGrid/>
      <w:kern w:val="2"/>
      <w:sz w:val="21"/>
    </w:rPr>
  </w:style>
  <w:style w:type="paragraph" w:customStyle="1" w:styleId="3563">
    <w:name w:val="正文居中粗"/>
    <w:basedOn w:val="1"/>
    <w:qFormat/>
    <w:uiPriority w:val="0"/>
    <w:pPr>
      <w:adjustRightInd/>
      <w:snapToGrid/>
      <w:spacing w:line="240" w:lineRule="auto"/>
      <w:ind w:firstLine="0" w:firstLineChars="0"/>
      <w:jc w:val="center"/>
    </w:pPr>
    <w:rPr>
      <w:rFonts w:ascii="宋体"/>
      <w:b/>
      <w:bCs/>
      <w:snapToGrid/>
      <w:color w:val="000000"/>
      <w:spacing w:val="4"/>
      <w:kern w:val="2"/>
      <w:sz w:val="21"/>
    </w:rPr>
  </w:style>
  <w:style w:type="paragraph" w:customStyle="1" w:styleId="3564">
    <w:name w:val="正文昆明"/>
    <w:basedOn w:val="1"/>
    <w:qFormat/>
    <w:uiPriority w:val="0"/>
    <w:pPr>
      <w:adjustRightInd/>
      <w:snapToGrid/>
      <w:spacing w:line="360" w:lineRule="auto"/>
      <w:ind w:firstLine="510" w:firstLineChars="0"/>
    </w:pPr>
    <w:rPr>
      <w:snapToGrid/>
      <w:color w:val="000000"/>
      <w:kern w:val="2"/>
      <w:szCs w:val="20"/>
    </w:rPr>
  </w:style>
  <w:style w:type="paragraph" w:customStyle="1" w:styleId="3565">
    <w:name w:val="正文蓝色"/>
    <w:basedOn w:val="3552"/>
    <w:link w:val="3566"/>
    <w:semiHidden/>
    <w:qFormat/>
    <w:uiPriority w:val="0"/>
    <w:pPr>
      <w:adjustRightInd/>
      <w:snapToGrid/>
      <w:spacing w:line="240" w:lineRule="auto"/>
      <w:ind w:firstLine="560"/>
    </w:pPr>
    <w:rPr>
      <w:bCs w:val="0"/>
      <w:snapToGrid w:val="0"/>
      <w:color w:val="0000FF"/>
      <w:kern w:val="2"/>
      <w:sz w:val="24"/>
      <w:szCs w:val="24"/>
    </w:rPr>
  </w:style>
  <w:style w:type="character" w:customStyle="1" w:styleId="3566">
    <w:name w:val="正文蓝色 Char"/>
    <w:link w:val="3565"/>
    <w:semiHidden/>
    <w:qFormat/>
    <w:uiPriority w:val="0"/>
    <w:rPr>
      <w:rFonts w:ascii="宋体" w:hAnsi="宋体" w:eastAsia="宋体" w:cs="宋体"/>
      <w:snapToGrid w:val="0"/>
      <w:color w:val="0000FF"/>
      <w:sz w:val="24"/>
      <w:szCs w:val="24"/>
      <w14:ligatures w14:val="none"/>
    </w:rPr>
  </w:style>
  <w:style w:type="paragraph" w:customStyle="1" w:styleId="3567">
    <w:name w:val="正文内容"/>
    <w:basedOn w:val="1"/>
    <w:link w:val="3568"/>
    <w:semiHidden/>
    <w:qFormat/>
    <w:uiPriority w:val="0"/>
    <w:pPr>
      <w:snapToGrid/>
      <w:spacing w:line="240" w:lineRule="auto"/>
    </w:pPr>
    <w:rPr>
      <w:rFonts w:ascii="宋体" w:hAnsi="宋体"/>
      <w:snapToGrid/>
      <w:kern w:val="2"/>
    </w:rPr>
  </w:style>
  <w:style w:type="character" w:customStyle="1" w:styleId="3568">
    <w:name w:val="正文内容 Char"/>
    <w:link w:val="3567"/>
    <w:semiHidden/>
    <w:qFormat/>
    <w:uiPriority w:val="0"/>
    <w:rPr>
      <w:rFonts w:ascii="宋体" w:hAnsi="宋体" w:eastAsia="宋体" w:cs="Times New Roman"/>
      <w:sz w:val="26"/>
      <w:szCs w:val="24"/>
      <w14:ligatures w14:val="none"/>
    </w:rPr>
  </w:style>
  <w:style w:type="paragraph" w:customStyle="1" w:styleId="3569">
    <w:name w:val="正文内容1"/>
    <w:basedOn w:val="1"/>
    <w:next w:val="1"/>
    <w:autoRedefine/>
    <w:qFormat/>
    <w:uiPriority w:val="0"/>
    <w:pPr>
      <w:widowControl/>
      <w:adjustRightInd/>
      <w:snapToGrid/>
      <w:spacing w:beforeLines="50" w:afterLines="50" w:line="360" w:lineRule="auto"/>
    </w:pPr>
    <w:rPr>
      <w:rFonts w:eastAsia="仿宋_GB2312" w:cs="宋体"/>
      <w:snapToGrid/>
      <w:color w:val="000000"/>
      <w:sz w:val="28"/>
      <w:szCs w:val="36"/>
    </w:rPr>
  </w:style>
  <w:style w:type="paragraph" w:customStyle="1" w:styleId="3570">
    <w:name w:val="正文首缩"/>
    <w:basedOn w:val="34"/>
    <w:qFormat/>
    <w:uiPriority w:val="0"/>
    <w:pPr>
      <w:adjustRightInd/>
      <w:spacing w:after="80" w:line="288" w:lineRule="auto"/>
      <w:ind w:firstLine="454"/>
    </w:pPr>
    <w:rPr>
      <w:rFonts w:ascii="Calibri" w:hAnsi="Calibri"/>
      <w:snapToGrid/>
      <w:kern w:val="2"/>
      <w:szCs w:val="20"/>
    </w:rPr>
  </w:style>
  <w:style w:type="character" w:customStyle="1" w:styleId="3571">
    <w:name w:val="正文首行缩进 2 Char1"/>
    <w:semiHidden/>
    <w:qFormat/>
    <w:uiPriority w:val="0"/>
    <w:rPr>
      <w:rFonts w:ascii="Times New Roman" w:hAnsi="Times New Roman" w:eastAsia="宋体" w:cs="Times New Roman"/>
      <w:kern w:val="2"/>
      <w:sz w:val="26"/>
      <w:szCs w:val="22"/>
    </w:rPr>
  </w:style>
  <w:style w:type="character" w:customStyle="1" w:styleId="3572">
    <w:name w:val="正文首行缩进 2 字符"/>
    <w:semiHidden/>
    <w:qFormat/>
    <w:locked/>
    <w:uiPriority w:val="0"/>
    <w:rPr>
      <w:snapToGrid w:val="0"/>
      <w:sz w:val="24"/>
      <w:szCs w:val="24"/>
    </w:rPr>
  </w:style>
  <w:style w:type="character" w:customStyle="1" w:styleId="3573">
    <w:name w:val="正文首行缩进 2 字符1"/>
    <w:semiHidden/>
    <w:qFormat/>
    <w:uiPriority w:val="0"/>
  </w:style>
  <w:style w:type="paragraph" w:customStyle="1" w:styleId="3574">
    <w:name w:val="正文首行缩进 21"/>
    <w:basedOn w:val="1397"/>
    <w:qFormat/>
    <w:uiPriority w:val="0"/>
    <w:pPr>
      <w:widowControl w:val="0"/>
      <w:adjustRightInd w:val="0"/>
      <w:snapToGrid w:val="0"/>
      <w:spacing w:beforeLines="10" w:line="460" w:lineRule="exact"/>
      <w:ind w:firstLine="420"/>
    </w:pPr>
    <w:rPr>
      <w:snapToGrid w:val="0"/>
    </w:rPr>
  </w:style>
  <w:style w:type="character" w:customStyle="1" w:styleId="3575">
    <w:name w:val="正文首行缩进 Char Char"/>
    <w:qFormat/>
    <w:uiPriority w:val="0"/>
    <w:rPr>
      <w:rFonts w:eastAsia="宋体"/>
      <w:kern w:val="2"/>
      <w:sz w:val="24"/>
      <w:szCs w:val="21"/>
      <w:lang w:val="en-US" w:eastAsia="zh-CN" w:bidi="ar-SA"/>
    </w:rPr>
  </w:style>
  <w:style w:type="character" w:customStyle="1" w:styleId="3576">
    <w:name w:val="正文首行缩进 Char Char Char Char Char Char Char Char Char Char"/>
    <w:qFormat/>
    <w:uiPriority w:val="0"/>
    <w:rPr>
      <w:rFonts w:eastAsia="宋体"/>
      <w:kern w:val="2"/>
      <w:sz w:val="24"/>
      <w:szCs w:val="21"/>
      <w:lang w:val="en-US" w:eastAsia="zh-CN" w:bidi="ar-SA"/>
    </w:rPr>
  </w:style>
  <w:style w:type="character" w:customStyle="1" w:styleId="3577">
    <w:name w:val="正文首行缩进 Char Char Char Char Char Char Char Char Char Char Char Char Char Char Char Char Char Ch"/>
    <w:qFormat/>
    <w:uiPriority w:val="0"/>
    <w:rPr>
      <w:rFonts w:eastAsia="宋体"/>
      <w:kern w:val="2"/>
      <w:sz w:val="24"/>
      <w:szCs w:val="21"/>
      <w:lang w:val="en-US" w:eastAsia="zh-CN" w:bidi="ar-SA"/>
    </w:rPr>
  </w:style>
  <w:style w:type="character" w:customStyle="1" w:styleId="3578">
    <w:name w:val="正文首行缩进 Char Char Char Char Char Char Char Char Char Char Char Char Char Char Char Char Char"/>
    <w:qFormat/>
    <w:uiPriority w:val="0"/>
    <w:rPr>
      <w:rFonts w:eastAsia="宋体"/>
      <w:kern w:val="2"/>
      <w:sz w:val="24"/>
      <w:szCs w:val="21"/>
      <w:lang w:val="en-US" w:eastAsia="zh-CN" w:bidi="ar-SA"/>
    </w:rPr>
  </w:style>
  <w:style w:type="character" w:customStyle="1" w:styleId="3579">
    <w:name w:val="正文首行缩进 Char Char Char Char Char Char"/>
    <w:qFormat/>
    <w:uiPriority w:val="0"/>
    <w:rPr>
      <w:rFonts w:eastAsia="宋体"/>
      <w:kern w:val="2"/>
      <w:sz w:val="24"/>
      <w:szCs w:val="21"/>
      <w:lang w:val="en-US" w:eastAsia="zh-CN" w:bidi="ar-SA"/>
    </w:rPr>
  </w:style>
  <w:style w:type="character" w:customStyle="1" w:styleId="3580">
    <w:name w:val="正文首行缩进 Char Char Char Char"/>
    <w:qFormat/>
    <w:uiPriority w:val="0"/>
    <w:rPr>
      <w:rFonts w:eastAsia="宋体"/>
      <w:kern w:val="2"/>
      <w:sz w:val="24"/>
      <w:lang w:val="en-US" w:eastAsia="zh-CN" w:bidi="ar-SA"/>
    </w:rPr>
  </w:style>
  <w:style w:type="character" w:customStyle="1" w:styleId="3581">
    <w:name w:val="正文首行缩进 Char Char Char1"/>
    <w:qFormat/>
    <w:uiPriority w:val="0"/>
    <w:rPr>
      <w:rFonts w:eastAsia="宋体"/>
      <w:kern w:val="2"/>
      <w:sz w:val="24"/>
      <w:szCs w:val="24"/>
      <w:lang w:val="en-US" w:eastAsia="zh-CN" w:bidi="ar-SA"/>
    </w:rPr>
  </w:style>
  <w:style w:type="character" w:customStyle="1" w:styleId="3582">
    <w:name w:val="正文首行缩进 Char1"/>
    <w:qFormat/>
    <w:uiPriority w:val="0"/>
    <w:rPr>
      <w:rFonts w:ascii="Times New Roman" w:hAnsi="Times New Roman" w:eastAsia="宋体" w:cs="Times New Roman"/>
      <w:sz w:val="26"/>
    </w:rPr>
  </w:style>
  <w:style w:type="character" w:customStyle="1" w:styleId="3583">
    <w:name w:val="正文首行缩进 字符"/>
    <w:semiHidden/>
    <w:qFormat/>
    <w:uiPriority w:val="0"/>
    <w:rPr>
      <w:snapToGrid/>
      <w:sz w:val="24"/>
      <w:szCs w:val="24"/>
    </w:rPr>
  </w:style>
  <w:style w:type="character" w:customStyle="1" w:styleId="3584">
    <w:name w:val="正文首行缩进 字符1"/>
    <w:semiHidden/>
    <w:qFormat/>
    <w:uiPriority w:val="0"/>
  </w:style>
  <w:style w:type="character" w:customStyle="1" w:styleId="3585">
    <w:name w:val="正文首行缩进 字符2"/>
    <w:semiHidden/>
    <w:qFormat/>
    <w:locked/>
    <w:uiPriority w:val="0"/>
    <w:rPr>
      <w:sz w:val="24"/>
      <w:szCs w:val="24"/>
    </w:rPr>
  </w:style>
  <w:style w:type="paragraph" w:customStyle="1" w:styleId="3586">
    <w:name w:val="正文首行缩进（中隆）"/>
    <w:basedOn w:val="1"/>
    <w:qFormat/>
    <w:uiPriority w:val="0"/>
    <w:pPr>
      <w:adjustRightInd/>
      <w:snapToGrid/>
      <w:spacing w:line="480" w:lineRule="exact"/>
      <w:ind w:firstLine="560"/>
    </w:pPr>
    <w:rPr>
      <w:rFonts w:ascii="宋体" w:hAnsi="宋体"/>
      <w:snapToGrid/>
      <w:kern w:val="2"/>
      <w:sz w:val="28"/>
      <w:szCs w:val="28"/>
    </w:rPr>
  </w:style>
  <w:style w:type="character" w:customStyle="1" w:styleId="3587">
    <w:name w:val="正文首行缩进（中隆） Char"/>
    <w:qFormat/>
    <w:locked/>
    <w:uiPriority w:val="0"/>
    <w:rPr>
      <w:rFonts w:ascii="宋体" w:hAnsi="宋体" w:eastAsia="宋体"/>
      <w:kern w:val="2"/>
      <w:sz w:val="28"/>
      <w:szCs w:val="28"/>
      <w:lang w:val="en-US" w:eastAsia="zh-CN" w:bidi="ar-SA"/>
    </w:rPr>
  </w:style>
  <w:style w:type="paragraph" w:customStyle="1" w:styleId="3588">
    <w:name w:val="正文首行缩进:2字符"/>
    <w:basedOn w:val="1"/>
    <w:qFormat/>
    <w:uiPriority w:val="0"/>
    <w:pPr>
      <w:widowControl/>
      <w:adjustRightInd/>
      <w:snapToGrid/>
      <w:spacing w:line="240" w:lineRule="auto"/>
      <w:ind w:firstLine="560"/>
    </w:pPr>
    <w:rPr>
      <w:rFonts w:cs="宋体"/>
      <w:snapToGrid/>
      <w:sz w:val="28"/>
      <w:szCs w:val="20"/>
    </w:rPr>
  </w:style>
  <w:style w:type="paragraph" w:customStyle="1" w:styleId="3589">
    <w:name w:val="正文首行缩进+"/>
    <w:basedOn w:val="86"/>
    <w:link w:val="3590"/>
    <w:autoRedefine/>
    <w:qFormat/>
    <w:uiPriority w:val="0"/>
    <w:pPr>
      <w:adjustRightInd/>
      <w:snapToGrid/>
      <w:spacing w:after="0" w:line="240" w:lineRule="auto"/>
      <w:ind w:firstLine="200" w:firstLineChars="200"/>
    </w:pPr>
    <w:rPr>
      <w:rFonts w:ascii="宋体"/>
      <w:snapToGrid/>
      <w:color w:val="000000"/>
      <w:szCs w:val="20"/>
    </w:rPr>
  </w:style>
  <w:style w:type="character" w:customStyle="1" w:styleId="3590">
    <w:name w:val="正文首行缩进+ Char"/>
    <w:link w:val="3589"/>
    <w:qFormat/>
    <w:uiPriority w:val="0"/>
    <w:rPr>
      <w:rFonts w:ascii="宋体" w:hAnsi="Times New Roman" w:eastAsia="宋体" w:cs="Times New Roman"/>
      <w:color w:val="000000"/>
      <w:kern w:val="0"/>
      <w:sz w:val="26"/>
      <w:szCs w:val="20"/>
      <w14:ligatures w14:val="none"/>
    </w:rPr>
  </w:style>
  <w:style w:type="paragraph" w:customStyle="1" w:styleId="3591">
    <w:name w:val="正文首行缩进2字"/>
    <w:basedOn w:val="1"/>
    <w:qFormat/>
    <w:uiPriority w:val="0"/>
    <w:pPr>
      <w:adjustRightInd/>
      <w:snapToGrid/>
      <w:spacing w:line="360" w:lineRule="auto"/>
    </w:pPr>
    <w:rPr>
      <w:snapToGrid/>
    </w:rPr>
  </w:style>
  <w:style w:type="paragraph" w:customStyle="1" w:styleId="3592">
    <w:name w:val="正文首行缩进2字符"/>
    <w:basedOn w:val="1"/>
    <w:link w:val="3593"/>
    <w:uiPriority w:val="0"/>
    <w:pPr>
      <w:adjustRightInd/>
      <w:snapToGrid/>
      <w:spacing w:line="480" w:lineRule="exact"/>
    </w:pPr>
    <w:rPr>
      <w:snapToGrid/>
      <w:kern w:val="2"/>
      <w:sz w:val="28"/>
    </w:rPr>
  </w:style>
  <w:style w:type="character" w:customStyle="1" w:styleId="3593">
    <w:name w:val="正文首行缩进2字符 Char"/>
    <w:link w:val="3592"/>
    <w:qFormat/>
    <w:uiPriority w:val="0"/>
    <w:rPr>
      <w:rFonts w:ascii="Times New Roman" w:hAnsi="Times New Roman" w:eastAsia="宋体" w:cs="Times New Roman"/>
      <w:sz w:val="28"/>
      <w:szCs w:val="24"/>
      <w14:ligatures w14:val="none"/>
    </w:rPr>
  </w:style>
  <w:style w:type="character" w:customStyle="1" w:styleId="3594">
    <w:name w:val="正文首行缩进2字符 Char1"/>
    <w:qFormat/>
    <w:uiPriority w:val="0"/>
    <w:rPr>
      <w:rFonts w:eastAsia="宋体"/>
      <w:kern w:val="2"/>
      <w:sz w:val="28"/>
      <w:szCs w:val="24"/>
      <w:lang w:val="en-US" w:eastAsia="zh-CN" w:bidi="ar-SA"/>
    </w:rPr>
  </w:style>
  <w:style w:type="paragraph" w:customStyle="1" w:styleId="3595">
    <w:name w:val="正文四号"/>
    <w:basedOn w:val="1"/>
    <w:link w:val="3596"/>
    <w:qFormat/>
    <w:uiPriority w:val="0"/>
    <w:pPr>
      <w:spacing w:line="360" w:lineRule="auto"/>
    </w:pPr>
    <w:rPr>
      <w:rFonts w:cs="宋体"/>
      <w:snapToGrid/>
    </w:rPr>
  </w:style>
  <w:style w:type="character" w:customStyle="1" w:styleId="3596">
    <w:name w:val="正文四号 Char Char"/>
    <w:link w:val="3595"/>
    <w:qFormat/>
    <w:uiPriority w:val="0"/>
    <w:rPr>
      <w:rFonts w:ascii="Times New Roman" w:hAnsi="Times New Roman" w:eastAsia="宋体" w:cs="宋体"/>
      <w:kern w:val="0"/>
      <w:sz w:val="26"/>
      <w:szCs w:val="24"/>
      <w14:ligatures w14:val="none"/>
    </w:rPr>
  </w:style>
  <w:style w:type="character" w:customStyle="1" w:styleId="3597">
    <w:name w:val="正文四号 Char"/>
    <w:qFormat/>
    <w:uiPriority w:val="0"/>
    <w:rPr>
      <w:rFonts w:eastAsia="宋体" w:cs="宋体"/>
      <w:kern w:val="2"/>
      <w:sz w:val="24"/>
      <w:szCs w:val="24"/>
      <w:lang w:val="en-US" w:eastAsia="zh-CN" w:bidi="ar-SA"/>
    </w:rPr>
  </w:style>
  <w:style w:type="paragraph" w:customStyle="1" w:styleId="3598">
    <w:name w:val="正文四宋"/>
    <w:basedOn w:val="1"/>
    <w:qFormat/>
    <w:uiPriority w:val="0"/>
    <w:pPr>
      <w:adjustRightInd/>
      <w:snapToGrid/>
      <w:spacing w:line="240" w:lineRule="auto"/>
      <w:ind w:firstLine="567" w:firstLineChars="0"/>
      <w:outlineLvl w:val="4"/>
    </w:pPr>
    <w:rPr>
      <w:snapToGrid/>
      <w:kern w:val="2"/>
      <w:sz w:val="28"/>
      <w:szCs w:val="20"/>
    </w:rPr>
  </w:style>
  <w:style w:type="character" w:customStyle="1" w:styleId="3599">
    <w:name w:val="正文宋体小四1.5行 Char Char"/>
    <w:qFormat/>
    <w:uiPriority w:val="0"/>
    <w:rPr>
      <w:rFonts w:ascii="宋体" w:hAnsi="宋体" w:eastAsia="宋体"/>
      <w:kern w:val="2"/>
      <w:sz w:val="28"/>
      <w:lang w:val="en-US" w:eastAsia="zh-CN" w:bidi="ar-SA"/>
    </w:rPr>
  </w:style>
  <w:style w:type="character" w:customStyle="1" w:styleId="3600">
    <w:name w:val="正文缩2字 Char Char"/>
    <w:qFormat/>
    <w:uiPriority w:val="0"/>
    <w:rPr>
      <w:rFonts w:eastAsia="宋体"/>
      <w:kern w:val="2"/>
      <w:sz w:val="24"/>
      <w:szCs w:val="24"/>
      <w:lang w:val="en-US" w:eastAsia="zh-CN" w:bidi="ar-SA"/>
    </w:rPr>
  </w:style>
  <w:style w:type="paragraph" w:customStyle="1" w:styleId="3601">
    <w:name w:val="正文缩进（自定义）"/>
    <w:basedOn w:val="1"/>
    <w:uiPriority w:val="0"/>
    <w:pPr>
      <w:adjustRightInd/>
      <w:snapToGrid/>
      <w:spacing w:after="120" w:line="360" w:lineRule="auto"/>
      <w:ind w:firstLine="480"/>
    </w:pPr>
    <w:rPr>
      <w:rFonts w:ascii="Century Gothic" w:hAnsi="Century Gothic"/>
      <w:snapToGrid/>
    </w:rPr>
  </w:style>
  <w:style w:type="paragraph" w:customStyle="1" w:styleId="3602">
    <w:name w:val="正文缩进（自定义） Char"/>
    <w:basedOn w:val="1"/>
    <w:link w:val="3603"/>
    <w:qFormat/>
    <w:uiPriority w:val="0"/>
    <w:pPr>
      <w:ind w:firstLine="480"/>
    </w:pPr>
    <w:rPr>
      <w:rFonts w:ascii="宋体"/>
      <w:snapToGrid/>
      <w:sz w:val="24"/>
    </w:rPr>
  </w:style>
  <w:style w:type="character" w:customStyle="1" w:styleId="3603">
    <w:name w:val="正文缩进（自定义） Char Char1"/>
    <w:link w:val="3602"/>
    <w:qFormat/>
    <w:uiPriority w:val="0"/>
    <w:rPr>
      <w:rFonts w:ascii="宋体" w:hAnsi="Times New Roman" w:eastAsia="宋体" w:cs="Times New Roman"/>
      <w:kern w:val="0"/>
      <w:sz w:val="24"/>
      <w:szCs w:val="24"/>
      <w14:ligatures w14:val="none"/>
    </w:rPr>
  </w:style>
  <w:style w:type="character" w:customStyle="1" w:styleId="3604">
    <w:name w:val="正文缩进（自定义） Char Char"/>
    <w:uiPriority w:val="0"/>
    <w:rPr>
      <w:rFonts w:ascii="Century Gothic" w:hAnsi="Century Gothic" w:eastAsia="宋体" w:cs="宋体"/>
      <w:sz w:val="24"/>
      <w:szCs w:val="24"/>
      <w:lang w:val="en-US" w:eastAsia="zh-CN" w:bidi="ar-SA"/>
    </w:rPr>
  </w:style>
  <w:style w:type="paragraph" w:customStyle="1" w:styleId="3605">
    <w:name w:val="正文缩进（自定义） Char Char Char"/>
    <w:basedOn w:val="1"/>
    <w:qFormat/>
    <w:uiPriority w:val="0"/>
    <w:pPr>
      <w:adjustRightInd/>
      <w:snapToGrid/>
      <w:spacing w:after="120" w:line="360" w:lineRule="auto"/>
      <w:ind w:firstLine="480"/>
    </w:pPr>
    <w:rPr>
      <w:rFonts w:ascii="Century Gothic" w:hAnsi="Century Gothic"/>
      <w:snapToGrid/>
      <w:sz w:val="24"/>
    </w:rPr>
  </w:style>
  <w:style w:type="character" w:customStyle="1" w:styleId="3606">
    <w:name w:val="正文缩进（自定义） Char Char Char Char Char"/>
    <w:qFormat/>
    <w:uiPriority w:val="0"/>
    <w:rPr>
      <w:rFonts w:ascii="Century Gothic" w:hAnsi="Century Gothic" w:eastAsia="宋体" w:cs="宋体"/>
      <w:sz w:val="24"/>
      <w:szCs w:val="24"/>
      <w:lang w:val="en-US" w:eastAsia="zh-CN" w:bidi="ar-SA"/>
    </w:rPr>
  </w:style>
  <w:style w:type="character" w:customStyle="1" w:styleId="3607">
    <w:name w:val="正文缩进（自定义） Char Char1 Char"/>
    <w:qFormat/>
    <w:uiPriority w:val="0"/>
    <w:rPr>
      <w:rFonts w:ascii="Century Gothic" w:hAnsi="Century Gothic" w:eastAsia="宋体" w:cs="宋体"/>
      <w:sz w:val="24"/>
      <w:szCs w:val="24"/>
      <w:lang w:val="en-US" w:eastAsia="zh-CN" w:bidi="ar-SA"/>
    </w:rPr>
  </w:style>
  <w:style w:type="paragraph" w:customStyle="1" w:styleId="3608">
    <w:name w:val="正文缩进1"/>
    <w:basedOn w:val="1"/>
    <w:link w:val="3609"/>
    <w:qFormat/>
    <w:uiPriority w:val="0"/>
    <w:pPr>
      <w:spacing w:line="312" w:lineRule="atLeast"/>
      <w:ind w:firstLine="420"/>
      <w:textAlignment w:val="baseline"/>
    </w:pPr>
    <w:rPr>
      <w:snapToGrid/>
      <w:sz w:val="20"/>
      <w:szCs w:val="20"/>
    </w:rPr>
  </w:style>
  <w:style w:type="character" w:customStyle="1" w:styleId="3609">
    <w:name w:val="正文缩进 Char"/>
    <w:link w:val="3608"/>
    <w:qFormat/>
    <w:uiPriority w:val="0"/>
    <w:rPr>
      <w:rFonts w:ascii="Times New Roman" w:hAnsi="Times New Roman" w:eastAsia="宋体" w:cs="Times New Roman"/>
      <w:kern w:val="0"/>
      <w:sz w:val="20"/>
      <w:szCs w:val="20"/>
      <w14:ligatures w14:val="none"/>
    </w:rPr>
  </w:style>
  <w:style w:type="character" w:customStyle="1" w:styleId="3610">
    <w:name w:val="正文缩进111"/>
    <w:qFormat/>
    <w:uiPriority w:val="0"/>
    <w:rPr>
      <w:rFonts w:ascii="宋体" w:hAnsi="宋体" w:eastAsia="宋体" w:cs="宋体"/>
      <w:kern w:val="2"/>
      <w:sz w:val="24"/>
      <w:szCs w:val="24"/>
      <w:lang w:val="en-US" w:eastAsia="zh-CN" w:bidi="ar-SA"/>
    </w:rPr>
  </w:style>
  <w:style w:type="paragraph" w:customStyle="1" w:styleId="3611">
    <w:name w:val="正文缩进2字 Char"/>
    <w:qFormat/>
    <w:uiPriority w:val="0"/>
    <w:pPr>
      <w:snapToGrid w:val="0"/>
      <w:spacing w:beforeLines="50" w:line="360" w:lineRule="auto"/>
      <w:ind w:firstLine="200" w:firstLineChars="200"/>
    </w:pPr>
    <w:rPr>
      <w:rFonts w:ascii="Times New Roman" w:hAnsi="Times New Roman" w:eastAsia="仿宋_GB2312" w:cs="Times New Roman"/>
      <w:kern w:val="2"/>
      <w:sz w:val="24"/>
      <w:szCs w:val="24"/>
      <w:lang w:val="en-US" w:eastAsia="zh-CN" w:bidi="ar-SA"/>
    </w:rPr>
  </w:style>
  <w:style w:type="paragraph" w:customStyle="1" w:styleId="3612">
    <w:name w:val="正文缩进2字符"/>
    <w:basedOn w:val="1"/>
    <w:qFormat/>
    <w:uiPriority w:val="0"/>
    <w:pPr>
      <w:widowControl/>
      <w:adjustRightInd/>
      <w:snapToGrid/>
      <w:spacing w:line="360" w:lineRule="auto"/>
      <w:textAlignment w:val="baseline"/>
    </w:pPr>
    <w:rPr>
      <w:rFonts w:hint="eastAsia" w:ascii="宋体"/>
      <w:snapToGrid/>
      <w:szCs w:val="20"/>
    </w:rPr>
  </w:style>
  <w:style w:type="character" w:customStyle="1" w:styleId="3613">
    <w:name w:val="正文缩进3"/>
    <w:qFormat/>
    <w:uiPriority w:val="0"/>
    <w:rPr>
      <w:rFonts w:eastAsia="宋体"/>
      <w:kern w:val="2"/>
      <w:sz w:val="21"/>
      <w:szCs w:val="24"/>
      <w:lang w:val="en-US" w:eastAsia="zh-CN" w:bidi="ar-SA"/>
    </w:rPr>
  </w:style>
  <w:style w:type="paragraph" w:customStyle="1" w:styleId="3614">
    <w:name w:val="正文缩进4"/>
    <w:basedOn w:val="1"/>
    <w:qFormat/>
    <w:uiPriority w:val="0"/>
    <w:pPr>
      <w:adjustRightInd/>
      <w:snapToGrid/>
      <w:spacing w:after="120" w:line="360" w:lineRule="auto"/>
      <w:ind w:firstLine="420"/>
    </w:pPr>
    <w:rPr>
      <w:rFonts w:ascii="Calibri" w:hAnsi="Calibri"/>
      <w:b/>
      <w:snapToGrid/>
      <w:kern w:val="2"/>
      <w:szCs w:val="22"/>
    </w:rPr>
  </w:style>
  <w:style w:type="character" w:customStyle="1" w:styleId="3615">
    <w:name w:val="正文缩进4号（首行缩进两字） Char Char"/>
    <w:qFormat/>
    <w:uiPriority w:val="0"/>
    <w:rPr>
      <w:rFonts w:eastAsia="宋体"/>
      <w:kern w:val="2"/>
      <w:sz w:val="28"/>
      <w:lang w:val="en-US" w:eastAsia="zh-CN" w:bidi="he-IL"/>
    </w:rPr>
  </w:style>
  <w:style w:type="paragraph" w:customStyle="1" w:styleId="3616">
    <w:name w:val="正文体"/>
    <w:basedOn w:val="1"/>
    <w:link w:val="3617"/>
    <w:qFormat/>
    <w:uiPriority w:val="0"/>
    <w:pPr>
      <w:widowControl/>
      <w:adjustRightInd/>
      <w:snapToGrid/>
      <w:spacing w:line="360" w:lineRule="auto"/>
    </w:pPr>
    <w:rPr>
      <w:rFonts w:ascii="宋体" w:hAnsi="宋体"/>
      <w:snapToGrid/>
      <w:szCs w:val="20"/>
    </w:rPr>
  </w:style>
  <w:style w:type="character" w:customStyle="1" w:styleId="3617">
    <w:name w:val="正文体 Char"/>
    <w:link w:val="3616"/>
    <w:qFormat/>
    <w:uiPriority w:val="0"/>
    <w:rPr>
      <w:rFonts w:ascii="宋体" w:hAnsi="宋体" w:eastAsia="宋体" w:cs="Times New Roman"/>
      <w:kern w:val="0"/>
      <w:sz w:val="26"/>
      <w:szCs w:val="20"/>
      <w14:ligatures w14:val="none"/>
    </w:rPr>
  </w:style>
  <w:style w:type="paragraph" w:customStyle="1" w:styleId="3618">
    <w:name w:val="正文图标题"/>
    <w:next w:val="1"/>
    <w:qFormat/>
    <w:uiPriority w:val="0"/>
    <w:pPr>
      <w:numPr>
        <w:ilvl w:val="0"/>
        <w:numId w:val="24"/>
      </w:numPr>
      <w:jc w:val="center"/>
    </w:pPr>
    <w:rPr>
      <w:rFonts w:ascii="黑体" w:hAnsi="Times New Roman" w:eastAsia="黑体" w:cs="Times New Roman"/>
      <w:sz w:val="21"/>
      <w:lang w:val="en-US" w:eastAsia="zh-CN" w:bidi="ar-SA"/>
    </w:rPr>
  </w:style>
  <w:style w:type="paragraph" w:customStyle="1" w:styleId="3619">
    <w:name w:val="正文王"/>
    <w:basedOn w:val="1312"/>
    <w:qFormat/>
    <w:uiPriority w:val="0"/>
    <w:pPr>
      <w:adjustRightInd/>
      <w:snapToGrid/>
      <w:spacing w:line="240" w:lineRule="auto"/>
      <w:ind w:firstLine="200"/>
    </w:pPr>
    <w:rPr>
      <w:sz w:val="28"/>
      <w:szCs w:val="20"/>
    </w:rPr>
  </w:style>
  <w:style w:type="paragraph" w:customStyle="1" w:styleId="3620">
    <w:name w:val="正文文"/>
    <w:basedOn w:val="1"/>
    <w:semiHidden/>
    <w:qFormat/>
    <w:uiPriority w:val="0"/>
    <w:pPr>
      <w:tabs>
        <w:tab w:val="left" w:pos="5977"/>
      </w:tabs>
      <w:adjustRightInd/>
      <w:snapToGrid/>
      <w:spacing w:line="240" w:lineRule="auto"/>
    </w:pPr>
    <w:rPr>
      <w:rFonts w:ascii="宋体"/>
      <w:snapToGrid/>
      <w:color w:val="000000"/>
      <w:kern w:val="2"/>
      <w:sz w:val="28"/>
      <w:szCs w:val="28"/>
    </w:rPr>
  </w:style>
  <w:style w:type="character" w:customStyle="1" w:styleId="3621">
    <w:name w:val="正文文本 2 Char Char"/>
    <w:uiPriority w:val="0"/>
    <w:rPr>
      <w:rFonts w:hAnsi="宋体"/>
      <w:sz w:val="24"/>
      <w:lang w:val="en-US" w:eastAsia="zh-CN"/>
    </w:rPr>
  </w:style>
  <w:style w:type="character" w:customStyle="1" w:styleId="3622">
    <w:name w:val="正文文本 2 Char1"/>
    <w:semiHidden/>
    <w:qFormat/>
    <w:uiPriority w:val="0"/>
    <w:rPr>
      <w:rFonts w:ascii="Times New Roman" w:hAnsi="Times New Roman"/>
      <w:kern w:val="2"/>
      <w:sz w:val="26"/>
      <w:szCs w:val="22"/>
    </w:rPr>
  </w:style>
  <w:style w:type="character" w:customStyle="1" w:styleId="3623">
    <w:name w:val="正文文本 2 字符1"/>
    <w:semiHidden/>
    <w:qFormat/>
    <w:uiPriority w:val="0"/>
    <w:rPr>
      <w:sz w:val="24"/>
      <w:szCs w:val="24"/>
    </w:rPr>
  </w:style>
  <w:style w:type="character" w:customStyle="1" w:styleId="3624">
    <w:name w:val="正文文本 2 字符2"/>
    <w:semiHidden/>
    <w:qFormat/>
    <w:locked/>
    <w:uiPriority w:val="0"/>
    <w:rPr>
      <w:b/>
      <w:bCs/>
      <w:sz w:val="22"/>
      <w:szCs w:val="24"/>
    </w:rPr>
  </w:style>
  <w:style w:type="character" w:customStyle="1" w:styleId="3625">
    <w:name w:val="正文文本 2 字符3"/>
    <w:link w:val="76"/>
    <w:qFormat/>
    <w:uiPriority w:val="0"/>
    <w:rPr>
      <w:rFonts w:ascii="Times New Roman" w:hAnsi="Times New Roman" w:eastAsia="宋体" w:cs="Times New Roman"/>
      <w:b/>
      <w:bCs/>
      <w:snapToGrid w:val="0"/>
      <w:kern w:val="0"/>
      <w:sz w:val="22"/>
      <w:szCs w:val="24"/>
      <w14:ligatures w14:val="none"/>
    </w:rPr>
  </w:style>
  <w:style w:type="paragraph" w:customStyle="1" w:styleId="3626">
    <w:name w:val="正文文本 21"/>
    <w:basedOn w:val="1"/>
    <w:qFormat/>
    <w:uiPriority w:val="0"/>
    <w:pPr>
      <w:spacing w:before="31"/>
      <w:ind w:firstLine="480"/>
    </w:pPr>
    <w:rPr>
      <w:rFonts w:ascii="Calibri" w:hAnsi="Calibri"/>
    </w:rPr>
  </w:style>
  <w:style w:type="character" w:customStyle="1" w:styleId="3627">
    <w:name w:val="正文文本 21 Char"/>
    <w:qFormat/>
    <w:uiPriority w:val="0"/>
    <w:rPr>
      <w:rFonts w:eastAsia="宋体"/>
      <w:kern w:val="2"/>
      <w:sz w:val="24"/>
      <w:lang w:val="en-US" w:eastAsia="zh-CN" w:bidi="ar-SA"/>
    </w:rPr>
  </w:style>
  <w:style w:type="character" w:customStyle="1" w:styleId="3628">
    <w:name w:val="正文文本 21 Char Char"/>
    <w:uiPriority w:val="0"/>
    <w:rPr>
      <w:rFonts w:eastAsia="宋体"/>
      <w:sz w:val="24"/>
    </w:rPr>
  </w:style>
  <w:style w:type="character" w:customStyle="1" w:styleId="3629">
    <w:name w:val="正文文本 3 字符"/>
    <w:semiHidden/>
    <w:qFormat/>
    <w:uiPriority w:val="0"/>
    <w:rPr>
      <w:snapToGrid/>
      <w:sz w:val="16"/>
      <w:szCs w:val="16"/>
    </w:rPr>
  </w:style>
  <w:style w:type="character" w:customStyle="1" w:styleId="3630">
    <w:name w:val="正文文本 3 字符3"/>
    <w:link w:val="31"/>
    <w:qFormat/>
    <w:uiPriority w:val="0"/>
    <w:rPr>
      <w:rFonts w:ascii="Times New Roman" w:hAnsi="Times New Roman" w:eastAsia="宋体" w:cs="Times New Roman"/>
      <w:snapToGrid w:val="0"/>
      <w:kern w:val="0"/>
      <w:sz w:val="16"/>
      <w:szCs w:val="16"/>
      <w14:ligatures w14:val="none"/>
    </w:rPr>
  </w:style>
  <w:style w:type="character" w:customStyle="1" w:styleId="3631">
    <w:name w:val="正文文本 3 Char1"/>
    <w:qFormat/>
    <w:uiPriority w:val="0"/>
    <w:rPr>
      <w:rFonts w:ascii="宋体" w:hAnsi="宋体" w:eastAsia="宋体"/>
      <w:sz w:val="24"/>
      <w:lang w:val="en-US" w:eastAsia="zh-CN" w:bidi="ar-SA"/>
    </w:rPr>
  </w:style>
  <w:style w:type="character" w:customStyle="1" w:styleId="3632">
    <w:name w:val="正文文本 3 Char2"/>
    <w:semiHidden/>
    <w:qFormat/>
    <w:uiPriority w:val="99"/>
    <w:rPr>
      <w:rFonts w:ascii="Times New Roman" w:hAnsi="Times New Roman"/>
      <w:kern w:val="2"/>
      <w:sz w:val="16"/>
      <w:szCs w:val="16"/>
    </w:rPr>
  </w:style>
  <w:style w:type="character" w:customStyle="1" w:styleId="3633">
    <w:name w:val="正文文本 3 字符1"/>
    <w:semiHidden/>
    <w:qFormat/>
    <w:uiPriority w:val="0"/>
    <w:rPr>
      <w:sz w:val="16"/>
      <w:szCs w:val="16"/>
    </w:rPr>
  </w:style>
  <w:style w:type="character" w:customStyle="1" w:styleId="3634">
    <w:name w:val="正文文本 3 字符2"/>
    <w:semiHidden/>
    <w:qFormat/>
    <w:locked/>
    <w:uiPriority w:val="0"/>
    <w:rPr>
      <w:sz w:val="16"/>
      <w:szCs w:val="16"/>
    </w:rPr>
  </w:style>
  <w:style w:type="paragraph" w:customStyle="1" w:styleId="3635">
    <w:name w:val="正文文本 31"/>
    <w:basedOn w:val="1"/>
    <w:qFormat/>
    <w:uiPriority w:val="0"/>
    <w:pPr>
      <w:spacing w:before="31" w:after="120"/>
    </w:pPr>
    <w:rPr>
      <w:rFonts w:ascii="Calibri" w:hAnsi="Calibri"/>
      <w:sz w:val="16"/>
      <w:szCs w:val="16"/>
    </w:rPr>
  </w:style>
  <w:style w:type="character" w:customStyle="1" w:styleId="3636">
    <w:name w:val="正文文本 Char Char"/>
    <w:qFormat/>
    <w:uiPriority w:val="0"/>
    <w:rPr>
      <w:rFonts w:ascii="宋体" w:hAnsi="宋体" w:eastAsia="宋体"/>
      <w:kern w:val="2"/>
      <w:sz w:val="24"/>
      <w:lang w:val="en-US" w:eastAsia="zh-CN" w:bidi="ar-SA"/>
    </w:rPr>
  </w:style>
  <w:style w:type="character" w:customStyle="1" w:styleId="3637">
    <w:name w:val="正文文本 Char1"/>
    <w:qFormat/>
    <w:uiPriority w:val="99"/>
    <w:rPr>
      <w:rFonts w:ascii="Times New Roman" w:hAnsi="Times New Roman"/>
      <w:kern w:val="2"/>
      <w:sz w:val="28"/>
    </w:rPr>
  </w:style>
  <w:style w:type="character" w:customStyle="1" w:styleId="3638">
    <w:name w:val="正文文本 字符1"/>
    <w:semiHidden/>
    <w:qFormat/>
    <w:locked/>
    <w:uiPriority w:val="0"/>
    <w:rPr>
      <w:sz w:val="24"/>
      <w:szCs w:val="24"/>
    </w:rPr>
  </w:style>
  <w:style w:type="paragraph" w:customStyle="1" w:styleId="3639">
    <w:name w:val="正文文本2"/>
    <w:basedOn w:val="1"/>
    <w:qFormat/>
    <w:uiPriority w:val="0"/>
    <w:pPr>
      <w:adjustRightInd/>
      <w:snapToGrid/>
      <w:spacing w:after="120" w:line="360" w:lineRule="atLeast"/>
      <w:ind w:firstLine="0" w:firstLineChars="0"/>
      <w:textAlignment w:val="baseline"/>
    </w:pPr>
    <w:rPr>
      <w:rFonts w:ascii="宋体"/>
      <w:snapToGrid/>
      <w:kern w:val="2"/>
    </w:rPr>
  </w:style>
  <w:style w:type="character" w:customStyle="1" w:styleId="3640">
    <w:name w:val="正文文本首行缩进 2 字符1"/>
    <w:basedOn w:val="862"/>
    <w:semiHidden/>
    <w:qFormat/>
    <w:uiPriority w:val="0"/>
    <w:rPr>
      <w:rFonts w:ascii="Times New Roman" w:hAnsi="Times New Roman" w:cs="Times New Roman"/>
      <w:kern w:val="0"/>
      <w:sz w:val="26"/>
      <w:szCs w:val="24"/>
    </w:rPr>
  </w:style>
  <w:style w:type="character" w:customStyle="1" w:styleId="3641">
    <w:name w:val="正文文本首行缩进 字符1"/>
    <w:basedOn w:val="1303"/>
    <w:semiHidden/>
    <w:qFormat/>
    <w:uiPriority w:val="0"/>
    <w:rPr>
      <w:rFonts w:ascii="Times New Roman" w:hAnsi="Times New Roman" w:cs="Times New Roman"/>
      <w:kern w:val="0"/>
      <w:sz w:val="26"/>
      <w:szCs w:val="24"/>
    </w:rPr>
  </w:style>
  <w:style w:type="character" w:customStyle="1" w:styleId="3642">
    <w:name w:val="正文文本缩进 2 Char Char"/>
    <w:qFormat/>
    <w:uiPriority w:val="0"/>
    <w:rPr>
      <w:rFonts w:ascii="宋体" w:hAnsi="宋体" w:eastAsia="宋体"/>
      <w:kern w:val="2"/>
      <w:sz w:val="21"/>
      <w:szCs w:val="24"/>
      <w:lang w:val="en-US" w:eastAsia="zh-CN" w:bidi="ar-SA"/>
    </w:rPr>
  </w:style>
  <w:style w:type="character" w:customStyle="1" w:styleId="3643">
    <w:name w:val="正文文本缩进 2 Char Char Char"/>
    <w:qFormat/>
    <w:uiPriority w:val="0"/>
    <w:rPr>
      <w:rFonts w:ascii="宋体" w:hAnsi="宋体" w:eastAsia="宋体"/>
      <w:spacing w:val="20"/>
      <w:kern w:val="2"/>
      <w:sz w:val="28"/>
      <w:szCs w:val="24"/>
      <w:lang w:val="en-US" w:eastAsia="zh-CN" w:bidi="ar-SA"/>
    </w:rPr>
  </w:style>
  <w:style w:type="character" w:customStyle="1" w:styleId="3644">
    <w:name w:val="正文文本缩进 2 Char1"/>
    <w:qFormat/>
    <w:uiPriority w:val="0"/>
    <w:rPr>
      <w:rFonts w:ascii="Times New Roman" w:hAnsi="Times New Roman"/>
      <w:kern w:val="2"/>
      <w:sz w:val="26"/>
      <w:szCs w:val="22"/>
    </w:rPr>
  </w:style>
  <w:style w:type="character" w:customStyle="1" w:styleId="3645">
    <w:name w:val="正文文本缩进 2 Char2"/>
    <w:qFormat/>
    <w:uiPriority w:val="0"/>
    <w:rPr>
      <w:b/>
      <w:sz w:val="28"/>
      <w:szCs w:val="24"/>
    </w:rPr>
  </w:style>
  <w:style w:type="character" w:customStyle="1" w:styleId="3646">
    <w:name w:val="正文文本缩进 2 字符1"/>
    <w:semiHidden/>
    <w:qFormat/>
    <w:uiPriority w:val="0"/>
    <w:rPr>
      <w:sz w:val="24"/>
      <w:szCs w:val="24"/>
    </w:rPr>
  </w:style>
  <w:style w:type="character" w:customStyle="1" w:styleId="3647">
    <w:name w:val="正文文本缩进 2 字符2"/>
    <w:semiHidden/>
    <w:qFormat/>
    <w:locked/>
    <w:uiPriority w:val="0"/>
    <w:rPr>
      <w:color w:val="000000"/>
      <w:sz w:val="24"/>
      <w:szCs w:val="24"/>
    </w:rPr>
  </w:style>
  <w:style w:type="paragraph" w:customStyle="1" w:styleId="3648">
    <w:name w:val="正文文本缩进 21"/>
    <w:basedOn w:val="1"/>
    <w:qFormat/>
    <w:uiPriority w:val="0"/>
    <w:pPr>
      <w:spacing w:before="31"/>
      <w:ind w:firstLine="520"/>
    </w:pPr>
    <w:rPr>
      <w:rFonts w:ascii="Calibri" w:hAnsi="Calibri"/>
      <w:color w:val="000000"/>
    </w:rPr>
  </w:style>
  <w:style w:type="paragraph" w:customStyle="1" w:styleId="3649">
    <w:name w:val="正文文本缩进 211"/>
    <w:basedOn w:val="1"/>
    <w:semiHidden/>
    <w:qFormat/>
    <w:uiPriority w:val="0"/>
    <w:pPr>
      <w:snapToGrid/>
      <w:spacing w:line="240" w:lineRule="auto"/>
      <w:ind w:firstLine="600" w:firstLineChars="0"/>
      <w:textAlignment w:val="baseline"/>
    </w:pPr>
    <w:rPr>
      <w:rFonts w:ascii="宋体" w:eastAsia="仿宋_GB2312"/>
      <w:kern w:val="2"/>
      <w:sz w:val="28"/>
      <w:szCs w:val="20"/>
    </w:rPr>
  </w:style>
  <w:style w:type="character" w:customStyle="1" w:styleId="3650">
    <w:name w:val="正文文本缩进 3 Char Char"/>
    <w:qFormat/>
    <w:uiPriority w:val="0"/>
    <w:rPr>
      <w:rFonts w:hAnsi="宋体"/>
      <w:sz w:val="16"/>
      <w:lang w:val="en-US" w:eastAsia="zh-CN"/>
    </w:rPr>
  </w:style>
  <w:style w:type="character" w:customStyle="1" w:styleId="3651">
    <w:name w:val="正文文本缩进 3 Char1"/>
    <w:uiPriority w:val="0"/>
    <w:rPr>
      <w:b/>
      <w:sz w:val="16"/>
      <w:szCs w:val="16"/>
    </w:rPr>
  </w:style>
  <w:style w:type="character" w:customStyle="1" w:styleId="3652">
    <w:name w:val="正文文本缩进 3 Char2"/>
    <w:semiHidden/>
    <w:qFormat/>
    <w:uiPriority w:val="99"/>
    <w:rPr>
      <w:rFonts w:ascii="Times New Roman" w:hAnsi="Times New Roman"/>
      <w:kern w:val="2"/>
      <w:sz w:val="16"/>
      <w:szCs w:val="16"/>
    </w:rPr>
  </w:style>
  <w:style w:type="character" w:customStyle="1" w:styleId="3653">
    <w:name w:val="正文文本缩进 3 字符1"/>
    <w:semiHidden/>
    <w:qFormat/>
    <w:uiPriority w:val="0"/>
    <w:rPr>
      <w:sz w:val="16"/>
      <w:szCs w:val="16"/>
    </w:rPr>
  </w:style>
  <w:style w:type="character" w:customStyle="1" w:styleId="3654">
    <w:name w:val="正文文本缩进 3 字符2"/>
    <w:semiHidden/>
    <w:qFormat/>
    <w:locked/>
    <w:uiPriority w:val="0"/>
    <w:rPr>
      <w:sz w:val="24"/>
      <w:szCs w:val="24"/>
    </w:rPr>
  </w:style>
  <w:style w:type="paragraph" w:customStyle="1" w:styleId="3655">
    <w:name w:val="正文文本缩进 31"/>
    <w:basedOn w:val="1"/>
    <w:qFormat/>
    <w:uiPriority w:val="0"/>
    <w:pPr>
      <w:spacing w:before="31"/>
      <w:ind w:firstLine="520"/>
    </w:pPr>
    <w:rPr>
      <w:rFonts w:ascii="Calibri" w:hAnsi="Calibri"/>
    </w:rPr>
  </w:style>
  <w:style w:type="paragraph" w:customStyle="1" w:styleId="3656">
    <w:name w:val="正文文本缩进 32"/>
    <w:basedOn w:val="1"/>
    <w:qFormat/>
    <w:uiPriority w:val="0"/>
    <w:pPr>
      <w:snapToGrid/>
      <w:spacing w:line="360" w:lineRule="atLeast"/>
      <w:ind w:firstLine="480" w:firstLineChars="0"/>
      <w:textAlignment w:val="baseline"/>
    </w:pPr>
    <w:rPr>
      <w:rFonts w:ascii="宋体"/>
      <w:snapToGrid/>
      <w:szCs w:val="20"/>
    </w:rPr>
  </w:style>
  <w:style w:type="character" w:customStyle="1" w:styleId="3657">
    <w:name w:val="正文文本缩进 Char Char"/>
    <w:qFormat/>
    <w:uiPriority w:val="0"/>
    <w:rPr>
      <w:rFonts w:hAnsi="宋体" w:eastAsia="宋体"/>
      <w:sz w:val="24"/>
      <w:szCs w:val="24"/>
      <w:lang w:val="en-US" w:eastAsia="zh-CN" w:bidi="ar-SA"/>
    </w:rPr>
  </w:style>
  <w:style w:type="character" w:customStyle="1" w:styleId="3658">
    <w:name w:val="正文文本缩进 Char1"/>
    <w:qFormat/>
    <w:uiPriority w:val="0"/>
    <w:rPr>
      <w:rFonts w:ascii="Times New Roman" w:hAnsi="Times New Roman" w:eastAsia="宋体" w:cs="Times New Roman"/>
      <w:sz w:val="26"/>
    </w:rPr>
  </w:style>
  <w:style w:type="character" w:customStyle="1" w:styleId="3659">
    <w:name w:val="正文文本缩进 字符1"/>
    <w:semiHidden/>
    <w:qFormat/>
    <w:uiPriority w:val="0"/>
    <w:rPr>
      <w:sz w:val="24"/>
      <w:szCs w:val="24"/>
    </w:rPr>
  </w:style>
  <w:style w:type="character" w:customStyle="1" w:styleId="3660">
    <w:name w:val="正文文本缩进 字符2"/>
    <w:semiHidden/>
    <w:qFormat/>
    <w:locked/>
    <w:uiPriority w:val="0"/>
    <w:rPr>
      <w:sz w:val="24"/>
      <w:szCs w:val="26"/>
    </w:rPr>
  </w:style>
  <w:style w:type="paragraph" w:customStyle="1" w:styleId="3661">
    <w:name w:val="正文文本缩进2"/>
    <w:basedOn w:val="1"/>
    <w:link w:val="3662"/>
    <w:qFormat/>
    <w:uiPriority w:val="0"/>
    <w:pPr>
      <w:adjustRightInd/>
      <w:snapToGrid/>
      <w:spacing w:after="120" w:line="360" w:lineRule="atLeast"/>
      <w:ind w:left="420" w:leftChars="200" w:firstLine="0" w:firstLineChars="0"/>
      <w:textAlignment w:val="baseline"/>
    </w:pPr>
    <w:rPr>
      <w:rFonts w:ascii="宋体"/>
      <w:snapToGrid/>
      <w:szCs w:val="20"/>
    </w:rPr>
  </w:style>
  <w:style w:type="character" w:customStyle="1" w:styleId="3662">
    <w:name w:val="特点标题 Char Char Char Char Char Char Char Char Char Char Char Char"/>
    <w:link w:val="3661"/>
    <w:qFormat/>
    <w:uiPriority w:val="0"/>
    <w:rPr>
      <w:rFonts w:ascii="宋体" w:hAnsi="Times New Roman" w:eastAsia="宋体" w:cs="Times New Roman"/>
      <w:kern w:val="0"/>
      <w:sz w:val="26"/>
      <w:szCs w:val="20"/>
      <w14:ligatures w14:val="none"/>
    </w:rPr>
  </w:style>
  <w:style w:type="paragraph" w:customStyle="1" w:styleId="3663">
    <w:name w:val="正文文本缩进2字符"/>
    <w:basedOn w:val="35"/>
    <w:link w:val="3664"/>
    <w:qFormat/>
    <w:uiPriority w:val="0"/>
    <w:pPr>
      <w:spacing w:line="360" w:lineRule="auto"/>
      <w:ind w:firstLine="200"/>
    </w:pPr>
    <w:rPr>
      <w:rFonts w:cs="宋体"/>
      <w:snapToGrid/>
      <w:szCs w:val="24"/>
    </w:rPr>
  </w:style>
  <w:style w:type="character" w:customStyle="1" w:styleId="3664">
    <w:name w:val="正文文本缩进2字符 Char Char"/>
    <w:link w:val="3663"/>
    <w:qFormat/>
    <w:uiPriority w:val="0"/>
    <w:rPr>
      <w:rFonts w:ascii="Times New Roman" w:hAnsi="Times New Roman" w:eastAsia="宋体" w:cs="宋体"/>
      <w:kern w:val="0"/>
      <w:sz w:val="26"/>
      <w:szCs w:val="24"/>
      <w14:ligatures w14:val="none"/>
    </w:rPr>
  </w:style>
  <w:style w:type="character" w:customStyle="1" w:styleId="3665">
    <w:name w:val="正文文本缩进2字符 Char"/>
    <w:qFormat/>
    <w:uiPriority w:val="0"/>
    <w:rPr>
      <w:rFonts w:eastAsia="宋体" w:cs="宋体"/>
      <w:kern w:val="2"/>
      <w:sz w:val="24"/>
      <w:szCs w:val="24"/>
      <w:lang w:val="en-US" w:eastAsia="zh-CN" w:bidi="ar-SA"/>
    </w:rPr>
  </w:style>
  <w:style w:type="character" w:customStyle="1" w:styleId="3666">
    <w:name w:val="正文文字 2 Char Char"/>
    <w:qFormat/>
    <w:uiPriority w:val="0"/>
    <w:rPr>
      <w:rFonts w:eastAsia="宋体"/>
      <w:color w:val="000000"/>
      <w:sz w:val="18"/>
      <w:szCs w:val="18"/>
      <w:lang w:val="zh-CN"/>
    </w:rPr>
  </w:style>
  <w:style w:type="paragraph" w:customStyle="1" w:styleId="3667">
    <w:name w:val="正文文字 3"/>
    <w:basedOn w:val="1"/>
    <w:qFormat/>
    <w:uiPriority w:val="0"/>
    <w:pPr>
      <w:widowControl/>
      <w:adjustRightInd/>
      <w:snapToGrid/>
      <w:spacing w:line="402" w:lineRule="atLeast"/>
      <w:ind w:firstLine="419" w:firstLineChars="205"/>
      <w:textAlignment w:val="baseline"/>
    </w:pPr>
    <w:rPr>
      <w:rFonts w:hAnsi="宋体"/>
      <w:snapToGrid/>
      <w:color w:val="000000"/>
      <w:sz w:val="14"/>
      <w:szCs w:val="20"/>
      <w:u w:color="000000"/>
    </w:rPr>
  </w:style>
  <w:style w:type="character" w:customStyle="1" w:styleId="3668">
    <w:name w:val="正文文字 3 Char Char"/>
    <w:qFormat/>
    <w:uiPriority w:val="0"/>
    <w:rPr>
      <w:rFonts w:eastAsia="仿宋_GB2312"/>
      <w:kern w:val="2"/>
      <w:sz w:val="24"/>
      <w:lang w:val="en-US" w:eastAsia="zh-CN" w:bidi="ar-SA"/>
    </w:rPr>
  </w:style>
  <w:style w:type="character" w:customStyle="1" w:styleId="3669">
    <w:name w:val="正文文字 Char Char"/>
    <w:qFormat/>
    <w:uiPriority w:val="0"/>
    <w:rPr>
      <w:rFonts w:eastAsia="宋体"/>
      <w:kern w:val="2"/>
      <w:sz w:val="21"/>
      <w:szCs w:val="24"/>
      <w:lang w:val="en-US" w:eastAsia="zh-CN"/>
    </w:rPr>
  </w:style>
  <w:style w:type="character" w:customStyle="1" w:styleId="3670">
    <w:name w:val="正文文字 Char5"/>
    <w:qFormat/>
    <w:uiPriority w:val="0"/>
    <w:rPr>
      <w:rFonts w:eastAsia="宋体"/>
      <w:kern w:val="2"/>
      <w:sz w:val="24"/>
      <w:szCs w:val="24"/>
      <w:lang w:val="en-US" w:eastAsia="zh-CN" w:bidi="ar-SA"/>
    </w:rPr>
  </w:style>
  <w:style w:type="paragraph" w:customStyle="1" w:styleId="3671">
    <w:name w:val="正文文字110"/>
    <w:basedOn w:val="1"/>
    <w:link w:val="3672"/>
    <w:qFormat/>
    <w:uiPriority w:val="0"/>
    <w:pPr>
      <w:adjustRightInd/>
      <w:snapToGrid/>
    </w:pPr>
    <w:rPr>
      <w:rFonts w:cs="宋体"/>
      <w:snapToGrid/>
      <w:szCs w:val="20"/>
    </w:rPr>
  </w:style>
  <w:style w:type="character" w:customStyle="1" w:styleId="3672">
    <w:name w:val="正文文字110 Char Char"/>
    <w:link w:val="3671"/>
    <w:qFormat/>
    <w:uiPriority w:val="0"/>
    <w:rPr>
      <w:rFonts w:ascii="Times New Roman" w:hAnsi="Times New Roman" w:eastAsia="宋体" w:cs="宋体"/>
      <w:kern w:val="0"/>
      <w:sz w:val="26"/>
      <w:szCs w:val="20"/>
      <w14:ligatures w14:val="none"/>
    </w:rPr>
  </w:style>
  <w:style w:type="paragraph" w:customStyle="1" w:styleId="3673">
    <w:name w:val="正文文字标准"/>
    <w:basedOn w:val="86"/>
    <w:qFormat/>
    <w:uiPriority w:val="0"/>
    <w:pPr>
      <w:adjustRightInd/>
      <w:snapToGrid/>
      <w:spacing w:after="0" w:line="480" w:lineRule="exact"/>
      <w:ind w:firstLine="200" w:firstLineChars="200"/>
    </w:pPr>
    <w:rPr>
      <w:snapToGrid/>
      <w:kern w:val="2"/>
      <w:sz w:val="28"/>
    </w:rPr>
  </w:style>
  <w:style w:type="paragraph" w:customStyle="1" w:styleId="3674">
    <w:name w:val="正文—文字部分"/>
    <w:basedOn w:val="1"/>
    <w:link w:val="3675"/>
    <w:qFormat/>
    <w:uiPriority w:val="0"/>
    <w:pPr>
      <w:adjustRightInd/>
      <w:snapToGrid/>
      <w:spacing w:line="360" w:lineRule="auto"/>
      <w:ind w:firstLine="480"/>
    </w:pPr>
    <w:rPr>
      <w:rFonts w:ascii="宋体" w:hAnsi="宋体"/>
      <w:snapToGrid/>
      <w:kern w:val="2"/>
      <w:szCs w:val="20"/>
    </w:rPr>
  </w:style>
  <w:style w:type="character" w:customStyle="1" w:styleId="3675">
    <w:name w:val="正文—文字部分 Char"/>
    <w:link w:val="3674"/>
    <w:qFormat/>
    <w:uiPriority w:val="0"/>
    <w:rPr>
      <w:rFonts w:ascii="宋体" w:hAnsi="宋体" w:eastAsia="宋体" w:cs="Times New Roman"/>
      <w:sz w:val="26"/>
      <w:szCs w:val="20"/>
      <w14:ligatures w14:val="none"/>
    </w:rPr>
  </w:style>
  <w:style w:type="paragraph" w:customStyle="1" w:styleId="3676">
    <w:name w:val="正文文字缩进"/>
    <w:basedOn w:val="1"/>
    <w:qFormat/>
    <w:uiPriority w:val="0"/>
    <w:pPr>
      <w:widowControl/>
      <w:adjustRightInd/>
      <w:snapToGrid/>
      <w:spacing w:line="2074" w:lineRule="atLeast"/>
      <w:ind w:firstLine="629" w:firstLineChars="0"/>
      <w:textAlignment w:val="baseline"/>
    </w:pPr>
    <w:rPr>
      <w:snapToGrid/>
      <w:color w:val="000000"/>
      <w:sz w:val="21"/>
      <w:szCs w:val="20"/>
      <w:u w:color="000000"/>
    </w:rPr>
  </w:style>
  <w:style w:type="character" w:customStyle="1" w:styleId="3677">
    <w:name w:val="正文文字缩进 2 Char Char Char Char"/>
    <w:qFormat/>
    <w:uiPriority w:val="0"/>
    <w:rPr>
      <w:rFonts w:hint="eastAsia" w:ascii="宋体" w:hAnsi="Times New Roman" w:eastAsia="宋体"/>
      <w:spacing w:val="5"/>
      <w:sz w:val="24"/>
    </w:rPr>
  </w:style>
  <w:style w:type="character" w:customStyle="1" w:styleId="3678">
    <w:name w:val="正文文字缩进 2 Char Char1"/>
    <w:qFormat/>
    <w:uiPriority w:val="0"/>
    <w:rPr>
      <w:rFonts w:ascii="宋体" w:eastAsia="宋体"/>
      <w:kern w:val="2"/>
      <w:sz w:val="24"/>
      <w:lang w:val="en-US" w:eastAsia="zh-CN" w:bidi="ar-SA"/>
    </w:rPr>
  </w:style>
  <w:style w:type="character" w:customStyle="1" w:styleId="3679">
    <w:name w:val="正文文字缩进 2 Char Char2"/>
    <w:qFormat/>
    <w:uiPriority w:val="0"/>
    <w:rPr>
      <w:rFonts w:eastAsia="宋体"/>
      <w:kern w:val="2"/>
      <w:sz w:val="24"/>
      <w:szCs w:val="24"/>
      <w:lang w:val="en-US" w:eastAsia="zh-CN" w:bidi="ar-SA"/>
    </w:rPr>
  </w:style>
  <w:style w:type="character" w:customStyle="1" w:styleId="3680">
    <w:name w:val="正文文字缩进 2 Char Char3"/>
    <w:qFormat/>
    <w:uiPriority w:val="0"/>
    <w:rPr>
      <w:rFonts w:eastAsia="宋体"/>
      <w:kern w:val="2"/>
      <w:sz w:val="24"/>
      <w:szCs w:val="24"/>
      <w:lang w:val="zh-CN" w:eastAsia="zh-CN" w:bidi="ar-SA"/>
    </w:rPr>
  </w:style>
  <w:style w:type="character" w:customStyle="1" w:styleId="3681">
    <w:name w:val="正文文字缩进 2 Char"/>
    <w:uiPriority w:val="0"/>
    <w:rPr>
      <w:rFonts w:eastAsia="宋体"/>
      <w:b/>
      <w:kern w:val="2"/>
      <w:sz w:val="28"/>
      <w:szCs w:val="24"/>
      <w:lang w:val="en-US" w:eastAsia="zh-CN" w:bidi="ar-SA"/>
    </w:rPr>
  </w:style>
  <w:style w:type="character" w:customStyle="1" w:styleId="3682">
    <w:name w:val="正文文字缩进 2 Char1"/>
    <w:qFormat/>
    <w:uiPriority w:val="0"/>
    <w:rPr>
      <w:rFonts w:eastAsia="宋体"/>
      <w:b/>
      <w:kern w:val="2"/>
      <w:sz w:val="28"/>
      <w:szCs w:val="24"/>
      <w:lang w:val="en-US" w:eastAsia="zh-CN" w:bidi="ar-SA"/>
    </w:rPr>
  </w:style>
  <w:style w:type="character" w:customStyle="1" w:styleId="3683">
    <w:name w:val="正文文字缩进 2 Char2"/>
    <w:qFormat/>
    <w:uiPriority w:val="0"/>
    <w:rPr>
      <w:rFonts w:eastAsia="宋体"/>
      <w:b/>
      <w:kern w:val="2"/>
      <w:sz w:val="28"/>
      <w:szCs w:val="24"/>
      <w:lang w:val="en-US" w:eastAsia="zh-CN" w:bidi="ar-SA"/>
    </w:rPr>
  </w:style>
  <w:style w:type="character" w:customStyle="1" w:styleId="3684">
    <w:name w:val="正文文字缩进 2 Char3"/>
    <w:qFormat/>
    <w:uiPriority w:val="0"/>
    <w:rPr>
      <w:rFonts w:eastAsia="宋体"/>
      <w:b/>
      <w:kern w:val="2"/>
      <w:sz w:val="28"/>
      <w:szCs w:val="24"/>
      <w:lang w:val="en-US" w:eastAsia="zh-CN" w:bidi="ar-SA"/>
    </w:rPr>
  </w:style>
  <w:style w:type="character" w:customStyle="1" w:styleId="3685">
    <w:name w:val="正文文字缩进 3 Char Char"/>
    <w:qFormat/>
    <w:uiPriority w:val="0"/>
    <w:rPr>
      <w:rFonts w:ascii="宋体" w:hAnsi="宋体" w:eastAsia="宋体"/>
      <w:snapToGrid w:val="0"/>
      <w:sz w:val="24"/>
      <w:lang w:val="en-US" w:eastAsia="zh-CN" w:bidi="ar-SA"/>
    </w:rPr>
  </w:style>
  <w:style w:type="character" w:customStyle="1" w:styleId="3686">
    <w:name w:val="正文文字缩进 3 Char Char1"/>
    <w:uiPriority w:val="0"/>
    <w:rPr>
      <w:rFonts w:eastAsia="宋体"/>
      <w:kern w:val="2"/>
      <w:sz w:val="16"/>
      <w:szCs w:val="16"/>
      <w:lang w:val="en-US" w:eastAsia="zh-CN" w:bidi="ar-SA"/>
    </w:rPr>
  </w:style>
  <w:style w:type="character" w:customStyle="1" w:styleId="3687">
    <w:name w:val="正文文字缩进 3 Char2"/>
    <w:qFormat/>
    <w:uiPriority w:val="0"/>
    <w:rPr>
      <w:rFonts w:eastAsia="宋体"/>
      <w:b/>
      <w:kern w:val="2"/>
      <w:sz w:val="16"/>
      <w:szCs w:val="16"/>
      <w:lang w:val="en-US" w:eastAsia="zh-CN" w:bidi="ar-SA"/>
    </w:rPr>
  </w:style>
  <w:style w:type="character" w:customStyle="1" w:styleId="3688">
    <w:name w:val="正文文字缩进 3 Char3"/>
    <w:qFormat/>
    <w:uiPriority w:val="0"/>
    <w:rPr>
      <w:rFonts w:eastAsia="宋体"/>
      <w:b/>
      <w:kern w:val="2"/>
      <w:sz w:val="16"/>
      <w:szCs w:val="16"/>
      <w:lang w:val="en-US" w:eastAsia="zh-CN" w:bidi="ar-SA"/>
    </w:rPr>
  </w:style>
  <w:style w:type="character" w:customStyle="1" w:styleId="3689">
    <w:name w:val="正文文字缩进 Char Char1"/>
    <w:qFormat/>
    <w:uiPriority w:val="0"/>
    <w:rPr>
      <w:rFonts w:eastAsia="宋体"/>
      <w:b/>
      <w:kern w:val="2"/>
      <w:sz w:val="28"/>
      <w:szCs w:val="24"/>
      <w:lang w:val="en-US" w:eastAsia="zh-CN" w:bidi="ar-SA"/>
    </w:rPr>
  </w:style>
  <w:style w:type="paragraph" w:customStyle="1" w:styleId="3690">
    <w:name w:val="正文小4"/>
    <w:basedOn w:val="1"/>
    <w:link w:val="3691"/>
    <w:qFormat/>
    <w:uiPriority w:val="0"/>
    <w:pPr>
      <w:adjustRightInd/>
      <w:snapToGrid/>
      <w:ind w:firstLine="568"/>
    </w:pPr>
    <w:rPr>
      <w:rFonts w:ascii="宋体" w:hAnsi="宋体" w:cs="宋体"/>
      <w:snapToGrid/>
      <w:spacing w:val="22"/>
      <w:kern w:val="24"/>
    </w:rPr>
  </w:style>
  <w:style w:type="character" w:customStyle="1" w:styleId="3691">
    <w:name w:val="正文小4 Char Char"/>
    <w:link w:val="3690"/>
    <w:uiPriority w:val="0"/>
    <w:rPr>
      <w:rFonts w:ascii="宋体" w:hAnsi="宋体" w:eastAsia="宋体" w:cs="宋体"/>
      <w:spacing w:val="22"/>
      <w:kern w:val="24"/>
      <w:sz w:val="26"/>
      <w:szCs w:val="24"/>
      <w14:ligatures w14:val="none"/>
    </w:rPr>
  </w:style>
  <w:style w:type="character" w:customStyle="1" w:styleId="3692">
    <w:name w:val="正文小4 Char"/>
    <w:qFormat/>
    <w:uiPriority w:val="0"/>
    <w:rPr>
      <w:rFonts w:ascii="宋体" w:hAnsi="宋体" w:eastAsia="宋体" w:cs="宋体"/>
      <w:spacing w:val="22"/>
      <w:kern w:val="24"/>
      <w:sz w:val="24"/>
      <w:szCs w:val="24"/>
      <w:lang w:val="en-US" w:eastAsia="zh-CN" w:bidi="ar-SA"/>
    </w:rPr>
  </w:style>
  <w:style w:type="paragraph" w:customStyle="1" w:styleId="3693">
    <w:name w:val="正文小标题"/>
    <w:basedOn w:val="1"/>
    <w:qFormat/>
    <w:uiPriority w:val="0"/>
    <w:pPr>
      <w:numPr>
        <w:ilvl w:val="0"/>
        <w:numId w:val="25"/>
      </w:numPr>
      <w:tabs>
        <w:tab w:val="left" w:pos="964"/>
      </w:tabs>
      <w:overflowPunct w:val="0"/>
      <w:autoSpaceDE w:val="0"/>
      <w:autoSpaceDN w:val="0"/>
      <w:snapToGrid/>
      <w:spacing w:line="360" w:lineRule="auto"/>
      <w:ind w:firstLine="0" w:firstLineChars="0"/>
      <w:jc w:val="left"/>
      <w:textAlignment w:val="baseline"/>
    </w:pPr>
    <w:rPr>
      <w:snapToGrid/>
      <w:spacing w:val="10"/>
      <w:szCs w:val="20"/>
    </w:rPr>
  </w:style>
  <w:style w:type="character" w:customStyle="1" w:styleId="3694">
    <w:name w:val="正文小四 Char"/>
    <w:qFormat/>
    <w:uiPriority w:val="0"/>
    <w:rPr>
      <w:rFonts w:ascii="宋体" w:hAnsi="宋体" w:eastAsia="宋体"/>
      <w:spacing w:val="30"/>
      <w:kern w:val="24"/>
      <w:sz w:val="24"/>
      <w:szCs w:val="24"/>
      <w:lang w:val="en-US" w:eastAsia="zh-CN" w:bidi="ar-SA"/>
    </w:rPr>
  </w:style>
  <w:style w:type="character" w:customStyle="1" w:styleId="3695">
    <w:name w:val="正文小四 Char Char"/>
    <w:qFormat/>
    <w:uiPriority w:val="0"/>
    <w:rPr>
      <w:rFonts w:ascii="宋体" w:hAnsi="宋体" w:eastAsia="宋体"/>
      <w:spacing w:val="30"/>
      <w:kern w:val="24"/>
      <w:sz w:val="24"/>
      <w:szCs w:val="24"/>
      <w:lang w:val="en-US" w:eastAsia="zh-CN" w:bidi="ar-SA"/>
    </w:rPr>
  </w:style>
  <w:style w:type="paragraph" w:customStyle="1" w:styleId="3696">
    <w:name w:val="正文样式"/>
    <w:basedOn w:val="1"/>
    <w:qFormat/>
    <w:uiPriority w:val="0"/>
    <w:rPr>
      <w:snapToGrid/>
      <w:color w:val="000000"/>
      <w:kern w:val="2"/>
      <w:szCs w:val="26"/>
    </w:rPr>
  </w:style>
  <w:style w:type="paragraph" w:customStyle="1" w:styleId="3697">
    <w:name w:val="正文样式 Char"/>
    <w:basedOn w:val="1"/>
    <w:qFormat/>
    <w:uiPriority w:val="0"/>
    <w:rPr>
      <w:snapToGrid/>
      <w:color w:val="000000"/>
      <w:kern w:val="2"/>
      <w:szCs w:val="26"/>
    </w:rPr>
  </w:style>
  <w:style w:type="paragraph" w:customStyle="1" w:styleId="3698">
    <w:name w:val="正文样式1"/>
    <w:basedOn w:val="1"/>
    <w:qFormat/>
    <w:uiPriority w:val="0"/>
    <w:pPr>
      <w:snapToGrid/>
      <w:ind w:firstLine="567" w:firstLineChars="0"/>
      <w:textAlignment w:val="baseline"/>
    </w:pPr>
    <w:rPr>
      <w:snapToGrid/>
      <w:kern w:val="28"/>
      <w:sz w:val="28"/>
      <w:szCs w:val="20"/>
    </w:rPr>
  </w:style>
  <w:style w:type="paragraph" w:customStyle="1" w:styleId="3699">
    <w:name w:val="正文一"/>
    <w:basedOn w:val="1"/>
    <w:link w:val="3700"/>
    <w:qFormat/>
    <w:uiPriority w:val="0"/>
    <w:pPr>
      <w:spacing w:beforeLines="50" w:line="360" w:lineRule="auto"/>
      <w:ind w:firstLine="552"/>
    </w:pPr>
    <w:rPr>
      <w:color w:val="000000"/>
      <w:sz w:val="28"/>
      <w:szCs w:val="28"/>
    </w:rPr>
  </w:style>
  <w:style w:type="character" w:customStyle="1" w:styleId="3700">
    <w:name w:val="正文一 Char Char"/>
    <w:link w:val="3699"/>
    <w:qFormat/>
    <w:uiPriority w:val="0"/>
    <w:rPr>
      <w:rFonts w:ascii="Times New Roman" w:hAnsi="Times New Roman" w:eastAsia="宋体" w:cs="Times New Roman"/>
      <w:snapToGrid w:val="0"/>
      <w:color w:val="000000"/>
      <w:kern w:val="0"/>
      <w:sz w:val="28"/>
      <w:szCs w:val="28"/>
      <w14:ligatures w14:val="none"/>
    </w:rPr>
  </w:style>
  <w:style w:type="character" w:customStyle="1" w:styleId="3701">
    <w:name w:val="正文一 Char"/>
    <w:qFormat/>
    <w:uiPriority w:val="0"/>
    <w:rPr>
      <w:rFonts w:ascii="仿宋_GB2312" w:hAnsi="Times New Roman" w:eastAsia="仿宋_GB2312" w:cs="宋体"/>
      <w:kern w:val="0"/>
      <w:sz w:val="28"/>
      <w:szCs w:val="28"/>
      <w:u w:color="000000"/>
    </w:rPr>
  </w:style>
  <w:style w:type="paragraph" w:customStyle="1" w:styleId="3702">
    <w:name w:val="正文正文正文"/>
    <w:basedOn w:val="1"/>
    <w:qFormat/>
    <w:uiPriority w:val="0"/>
    <w:pPr>
      <w:widowControl/>
      <w:adjustRightInd/>
      <w:snapToGrid/>
      <w:spacing w:line="360" w:lineRule="auto"/>
      <w:ind w:firstLine="480"/>
    </w:pPr>
    <w:rPr>
      <w:snapToGrid/>
      <w:sz w:val="24"/>
    </w:rPr>
  </w:style>
  <w:style w:type="paragraph" w:customStyle="1" w:styleId="3703">
    <w:name w:val="证书号"/>
    <w:basedOn w:val="84"/>
    <w:qFormat/>
    <w:uiPriority w:val="99"/>
    <w:pPr>
      <w:adjustRightInd/>
      <w:snapToGrid/>
      <w:spacing w:after="60" w:line="240" w:lineRule="auto"/>
      <w:outlineLvl w:val="0"/>
    </w:pPr>
    <w:rPr>
      <w:rFonts w:ascii="Arial" w:hAnsi="Arial" w:cs="Arial" w:eastAsiaTheme="minorEastAsia"/>
      <w:bCs/>
      <w:color w:val="auto"/>
      <w:spacing w:val="0"/>
      <w:kern w:val="2"/>
      <w:sz w:val="28"/>
      <w:szCs w:val="32"/>
    </w:rPr>
  </w:style>
  <w:style w:type="paragraph" w:customStyle="1" w:styleId="3704">
    <w:name w:val="制表1 Char"/>
    <w:basedOn w:val="1"/>
    <w:qFormat/>
    <w:uiPriority w:val="0"/>
    <w:pPr>
      <w:keepNext/>
      <w:tabs>
        <w:tab w:val="center" w:pos="4675"/>
        <w:tab w:val="right" w:pos="9350"/>
      </w:tabs>
      <w:adjustRightInd/>
      <w:snapToGrid/>
      <w:spacing w:line="240" w:lineRule="auto"/>
      <w:ind w:firstLine="0" w:firstLineChars="0"/>
    </w:pPr>
    <w:rPr>
      <w:rFonts w:ascii="宋体"/>
      <w:snapToGrid/>
      <w:kern w:val="28"/>
      <w:sz w:val="24"/>
    </w:rPr>
  </w:style>
  <w:style w:type="character" w:customStyle="1" w:styleId="3705">
    <w:name w:val="制表1 Char Char Char"/>
    <w:qFormat/>
    <w:uiPriority w:val="0"/>
    <w:rPr>
      <w:rFonts w:ascii="宋体" w:eastAsia="宋体"/>
      <w:kern w:val="28"/>
      <w:sz w:val="24"/>
      <w:szCs w:val="24"/>
      <w:lang w:val="en-US" w:eastAsia="zh-CN" w:bidi="ar-SA"/>
    </w:rPr>
  </w:style>
  <w:style w:type="paragraph" w:customStyle="1" w:styleId="3706">
    <w:name w:val="中文报告书样式"/>
    <w:basedOn w:val="1"/>
    <w:qFormat/>
    <w:uiPriority w:val="0"/>
    <w:pPr>
      <w:spacing w:line="500" w:lineRule="atLeast"/>
      <w:ind w:firstLine="480" w:firstLineChars="0"/>
      <w:textAlignment w:val="baseline"/>
    </w:pPr>
    <w:rPr>
      <w:snapToGrid/>
      <w:kern w:val="28"/>
      <w:sz w:val="24"/>
      <w:szCs w:val="20"/>
    </w:rPr>
  </w:style>
  <w:style w:type="paragraph" w:customStyle="1" w:styleId="3707">
    <w:name w:val="注"/>
    <w:basedOn w:val="1"/>
    <w:uiPriority w:val="0"/>
    <w:pPr>
      <w:adjustRightInd/>
      <w:spacing w:after="40" w:line="288" w:lineRule="auto"/>
      <w:ind w:firstLine="454" w:firstLineChars="0"/>
    </w:pPr>
    <w:rPr>
      <w:snapToGrid/>
      <w:kern w:val="2"/>
      <w:sz w:val="18"/>
      <w:szCs w:val="18"/>
    </w:rPr>
  </w:style>
  <w:style w:type="paragraph" w:customStyle="1" w:styleId="3708">
    <w:name w:val="注角"/>
    <w:basedOn w:val="1"/>
    <w:next w:val="1"/>
    <w:qFormat/>
    <w:uiPriority w:val="0"/>
    <w:pPr>
      <w:adjustRightInd/>
      <w:snapToGrid/>
      <w:spacing w:line="340" w:lineRule="exact"/>
      <w:ind w:firstLine="0" w:firstLineChars="0"/>
    </w:pPr>
    <w:rPr>
      <w:snapToGrid/>
      <w:kern w:val="2"/>
      <w:sz w:val="21"/>
    </w:rPr>
  </w:style>
  <w:style w:type="paragraph" w:customStyle="1" w:styleId="3709">
    <w:name w:val="注解"/>
    <w:basedOn w:val="28"/>
    <w:qFormat/>
    <w:uiPriority w:val="0"/>
    <w:rPr>
      <w:b/>
    </w:rPr>
  </w:style>
  <w:style w:type="paragraph" w:customStyle="1" w:styleId="3710">
    <w:name w:val="注释"/>
    <w:basedOn w:val="1"/>
    <w:next w:val="1"/>
    <w:qFormat/>
    <w:uiPriority w:val="99"/>
    <w:pPr>
      <w:snapToGrid/>
      <w:spacing w:line="240" w:lineRule="auto"/>
      <w:ind w:firstLine="0" w:firstLineChars="0"/>
    </w:pPr>
    <w:rPr>
      <w:snapToGrid/>
      <w:kern w:val="28"/>
      <w:sz w:val="18"/>
      <w:szCs w:val="20"/>
    </w:rPr>
  </w:style>
  <w:style w:type="character" w:customStyle="1" w:styleId="3711">
    <w:name w:val="注释标题 字符"/>
    <w:link w:val="16"/>
    <w:qFormat/>
    <w:uiPriority w:val="0"/>
    <w:rPr>
      <w:rFonts w:ascii="Times New Roman" w:hAnsi="Times New Roman" w:eastAsia="宋体" w:cs="Times New Roman"/>
      <w:kern w:val="0"/>
      <w:sz w:val="26"/>
      <w:szCs w:val="24"/>
      <w14:ligatures w14:val="none"/>
    </w:rPr>
  </w:style>
  <w:style w:type="character" w:customStyle="1" w:styleId="3712">
    <w:name w:val="注释标题 Char Char"/>
    <w:qFormat/>
    <w:uiPriority w:val="0"/>
    <w:rPr>
      <w:rFonts w:eastAsia="宋体"/>
      <w:kern w:val="2"/>
      <w:sz w:val="21"/>
      <w:lang w:val="en-US" w:eastAsia="zh-CN" w:bidi="ar-SA"/>
    </w:rPr>
  </w:style>
  <w:style w:type="character" w:customStyle="1" w:styleId="3713">
    <w:name w:val="注释标题 Char1"/>
    <w:basedOn w:val="132"/>
    <w:qFormat/>
    <w:uiPriority w:val="0"/>
    <w:rPr>
      <w:rFonts w:eastAsiaTheme="minorEastAsia"/>
      <w:snapToGrid w:val="0"/>
      <w:sz w:val="26"/>
      <w:szCs w:val="24"/>
    </w:rPr>
  </w:style>
  <w:style w:type="character" w:customStyle="1" w:styleId="3714">
    <w:name w:val="注释标题 字符1"/>
    <w:basedOn w:val="132"/>
    <w:semiHidden/>
    <w:qFormat/>
    <w:uiPriority w:val="0"/>
    <w:rPr>
      <w:rFonts w:ascii="Times New Roman" w:hAnsi="Times New Roman" w:cs="Times New Roman"/>
      <w:kern w:val="0"/>
      <w:sz w:val="26"/>
      <w:szCs w:val="24"/>
    </w:rPr>
  </w:style>
  <w:style w:type="paragraph" w:customStyle="1" w:styleId="3715">
    <w:name w:val="注释标题1"/>
    <w:basedOn w:val="1"/>
    <w:next w:val="1"/>
    <w:qFormat/>
    <w:uiPriority w:val="0"/>
    <w:pPr>
      <w:spacing w:line="320" w:lineRule="atLeast"/>
      <w:ind w:firstLine="0" w:firstLineChars="0"/>
    </w:pPr>
    <w:rPr>
      <w:snapToGrid/>
      <w:kern w:val="2"/>
      <w:sz w:val="24"/>
    </w:rPr>
  </w:style>
  <w:style w:type="paragraph" w:customStyle="1" w:styleId="3716">
    <w:name w:val="自定义正文"/>
    <w:basedOn w:val="1"/>
    <w:qFormat/>
    <w:uiPriority w:val="0"/>
    <w:pPr>
      <w:spacing w:line="360" w:lineRule="auto"/>
      <w:ind w:firstLine="560"/>
      <w:textAlignment w:val="baseline"/>
    </w:pPr>
    <w:rPr>
      <w:rFonts w:ascii="宋体" w:hAnsi="宋体"/>
      <w:snapToGrid/>
      <w:sz w:val="24"/>
      <w:szCs w:val="20"/>
    </w:rPr>
  </w:style>
  <w:style w:type="paragraph" w:customStyle="1" w:styleId="3717">
    <w:name w:val="自定义正文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3718">
    <w:name w:val="自定义正文 Char Char Char Char Char"/>
    <w:qFormat/>
    <w:uiPriority w:val="0"/>
    <w:rPr>
      <w:rFonts w:eastAsia="宋体"/>
      <w:kern w:val="2"/>
      <w:position w:val="-28"/>
      <w:sz w:val="28"/>
      <w:szCs w:val="28"/>
      <w:lang w:val="en-US" w:eastAsia="zh-CN" w:bidi="ar-SA"/>
    </w:rPr>
  </w:style>
  <w:style w:type="character" w:customStyle="1" w:styleId="3719">
    <w:name w:val="自定义正文 Char Char Char Char Char Char"/>
    <w:qFormat/>
    <w:uiPriority w:val="0"/>
    <w:rPr>
      <w:rFonts w:eastAsia="宋体"/>
      <w:kern w:val="2"/>
      <w:position w:val="-28"/>
      <w:sz w:val="28"/>
      <w:szCs w:val="28"/>
      <w:lang w:val="en-US" w:eastAsia="zh-CN" w:bidi="ar-SA"/>
    </w:rPr>
  </w:style>
  <w:style w:type="paragraph" w:customStyle="1" w:styleId="3720">
    <w:name w:val="自定义正文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3721">
    <w:name w:val="自定义正文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3722">
    <w:name w:val="自定义正文 Char Char Char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3723">
    <w:name w:val="自定义正文 Char Char Char Char Char Char Char Char Char Char Char Char Char Char Char"/>
    <w:qFormat/>
    <w:uiPriority w:val="0"/>
    <w:rPr>
      <w:rFonts w:eastAsia="宋体"/>
      <w:kern w:val="2"/>
      <w:position w:val="-28"/>
      <w:sz w:val="28"/>
      <w:szCs w:val="28"/>
      <w:lang w:val="en-US" w:eastAsia="zh-CN" w:bidi="ar-SA"/>
    </w:rPr>
  </w:style>
  <w:style w:type="paragraph" w:customStyle="1" w:styleId="3724">
    <w:name w:val="自正文1"/>
    <w:basedOn w:val="1"/>
    <w:qFormat/>
    <w:uiPriority w:val="0"/>
    <w:pPr>
      <w:tabs>
        <w:tab w:val="left" w:pos="5670"/>
      </w:tabs>
      <w:spacing w:line="360" w:lineRule="auto"/>
      <w:ind w:firstLine="9" w:firstLineChars="4"/>
      <w:jc w:val="center"/>
      <w:textAlignment w:val="baseline"/>
    </w:pPr>
    <w:rPr>
      <w:rFonts w:eastAsia="黑体"/>
      <w:snapToGrid/>
      <w:kern w:val="24"/>
      <w:sz w:val="21"/>
      <w:szCs w:val="21"/>
    </w:rPr>
  </w:style>
  <w:style w:type="paragraph" w:customStyle="1" w:styleId="3725">
    <w:name w:val="字母编号2"/>
    <w:basedOn w:val="1"/>
    <w:qFormat/>
    <w:uiPriority w:val="0"/>
    <w:pPr>
      <w:tabs>
        <w:tab w:val="left" w:pos="817"/>
      </w:tabs>
      <w:adjustRightInd/>
      <w:snapToGrid/>
      <w:spacing w:line="300" w:lineRule="auto"/>
      <w:textAlignment w:val="center"/>
    </w:pPr>
    <w:rPr>
      <w:snapToGrid/>
      <w:kern w:val="2"/>
      <w:sz w:val="24"/>
    </w:rPr>
  </w:style>
  <w:style w:type="paragraph" w:customStyle="1" w:styleId="3726">
    <w:name w:val="作者"/>
    <w:qFormat/>
    <w:uiPriority w:val="0"/>
    <w:pPr>
      <w:spacing w:line="360" w:lineRule="auto"/>
      <w:jc w:val="center"/>
    </w:pPr>
    <w:rPr>
      <w:rFonts w:ascii="仿宋_GB2312" w:hAnsi="Times New Roman" w:eastAsia="仿宋_GB2312" w:cs="Times New Roman"/>
      <w:sz w:val="28"/>
      <w:szCs w:val="28"/>
      <w:lang w:val="en-US" w:eastAsia="zh-CN" w:bidi="ar-SA"/>
    </w:rPr>
  </w:style>
  <w:style w:type="character" w:customStyle="1" w:styleId="3727">
    <w:name w:val="font51"/>
    <w:qFormat/>
    <w:uiPriority w:val="0"/>
    <w:rPr>
      <w:rFonts w:hint="default" w:ascii="Times New Roman" w:hAnsi="Times New Roman" w:cs="Times New Roman"/>
      <w:color w:val="000000"/>
      <w:sz w:val="21"/>
      <w:szCs w:val="21"/>
      <w:u w:val="none"/>
    </w:rPr>
  </w:style>
  <w:style w:type="character" w:customStyle="1" w:styleId="3728">
    <w:name w:val="0A表格样式 字符"/>
    <w:link w:val="3729"/>
    <w:qFormat/>
    <w:locked/>
    <w:uiPriority w:val="0"/>
  </w:style>
  <w:style w:type="paragraph" w:customStyle="1" w:styleId="3729">
    <w:name w:val="0A表格样式"/>
    <w:basedOn w:val="170"/>
    <w:link w:val="3728"/>
    <w:qFormat/>
    <w:uiPriority w:val="0"/>
    <w:pPr>
      <w:adjustRightInd w:val="0"/>
      <w:snapToGrid w:val="0"/>
      <w:spacing w:line="320" w:lineRule="atLeast"/>
    </w:pPr>
    <w:rPr>
      <w:rFonts w:asciiTheme="minorHAnsi" w:hAnsiTheme="minorHAnsi" w:cstheme="minorBidi"/>
      <w:sz w:val="21"/>
      <w:szCs w:val="22"/>
      <w14:ligatures w14:val="standardContextual"/>
    </w:rPr>
  </w:style>
  <w:style w:type="character" w:customStyle="1" w:styleId="3730">
    <w:name w:val="正文四号 Char1"/>
    <w:qFormat/>
    <w:uiPriority w:val="0"/>
    <w:rPr>
      <w:rFonts w:eastAsia="宋体"/>
      <w:kern w:val="2"/>
      <w:sz w:val="28"/>
      <w:lang w:val="en-US" w:eastAsia="zh-CN" w:bidi="ar-SA"/>
    </w:rPr>
  </w:style>
  <w:style w:type="paragraph" w:customStyle="1" w:styleId="3731">
    <w:name w:val="msonormal"/>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snapToGrid/>
      <w:sz w:val="24"/>
    </w:rPr>
  </w:style>
  <w:style w:type="paragraph" w:customStyle="1" w:styleId="3732">
    <w:name w:val="et10"/>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ind w:firstLine="0" w:firstLineChars="0"/>
      <w:jc w:val="left"/>
    </w:pPr>
    <w:rPr>
      <w:rFonts w:ascii="宋体" w:hAnsi="宋体" w:cs="宋体"/>
      <w:snapToGrid/>
      <w:color w:val="000000"/>
      <w:sz w:val="24"/>
    </w:rPr>
  </w:style>
  <w:style w:type="paragraph" w:customStyle="1" w:styleId="3733">
    <w:name w:val="et12"/>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ind w:firstLine="0" w:firstLineChars="0"/>
      <w:jc w:val="left"/>
    </w:pPr>
    <w:rPr>
      <w:rFonts w:ascii="宋体" w:hAnsi="宋体" w:cs="宋体"/>
      <w:snapToGrid/>
      <w:sz w:val="24"/>
    </w:rPr>
  </w:style>
  <w:style w:type="paragraph" w:customStyle="1" w:styleId="3734">
    <w:name w:val="et13"/>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ind w:firstLine="0" w:firstLineChars="0"/>
      <w:jc w:val="left"/>
    </w:pPr>
    <w:rPr>
      <w:rFonts w:ascii="宋体" w:hAnsi="宋体" w:cs="宋体"/>
      <w:snapToGrid/>
      <w:sz w:val="24"/>
    </w:rPr>
  </w:style>
  <w:style w:type="paragraph" w:customStyle="1" w:styleId="3735">
    <w:name w:val="et14"/>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ind w:firstLine="0" w:firstLineChars="0"/>
      <w:jc w:val="center"/>
    </w:pPr>
    <w:rPr>
      <w:snapToGrid/>
      <w:sz w:val="24"/>
    </w:rPr>
  </w:style>
  <w:style w:type="paragraph" w:customStyle="1" w:styleId="3736">
    <w:name w:val="et15"/>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ind w:firstLine="0" w:firstLineChars="0"/>
      <w:jc w:val="left"/>
    </w:pPr>
    <w:rPr>
      <w:snapToGrid/>
      <w:color w:val="000000"/>
      <w:sz w:val="24"/>
    </w:rPr>
  </w:style>
  <w:style w:type="paragraph" w:customStyle="1" w:styleId="3737">
    <w:name w:val="et16"/>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ind w:firstLine="0" w:firstLineChars="0"/>
      <w:jc w:val="left"/>
    </w:pPr>
    <w:rPr>
      <w:snapToGrid/>
      <w:color w:val="000000"/>
      <w:sz w:val="24"/>
    </w:rPr>
  </w:style>
  <w:style w:type="paragraph" w:customStyle="1" w:styleId="3738">
    <w:name w:val="et20"/>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ind w:firstLine="0" w:firstLineChars="0"/>
      <w:jc w:val="left"/>
    </w:pPr>
    <w:rPr>
      <w:rFonts w:ascii="宋体" w:hAnsi="宋体" w:cs="宋体"/>
      <w:snapToGrid/>
      <w:color w:val="C00000"/>
      <w:sz w:val="24"/>
    </w:rPr>
  </w:style>
  <w:style w:type="paragraph" w:customStyle="1" w:styleId="3739">
    <w:name w:val="et21"/>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ind w:firstLine="0" w:firstLineChars="0"/>
      <w:jc w:val="left"/>
    </w:pPr>
    <w:rPr>
      <w:snapToGrid/>
      <w:color w:val="FF0000"/>
      <w:sz w:val="24"/>
    </w:rPr>
  </w:style>
  <w:style w:type="paragraph" w:customStyle="1" w:styleId="3740">
    <w:name w:val="et22"/>
    <w:basedOn w:val="1"/>
    <w:qFormat/>
    <w:uiPriority w:val="0"/>
    <w:pPr>
      <w:widowControl/>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line="240" w:lineRule="auto"/>
      <w:ind w:firstLine="0" w:firstLineChars="0"/>
      <w:jc w:val="left"/>
    </w:pPr>
    <w:rPr>
      <w:rFonts w:ascii="宋体" w:hAnsi="宋体" w:cs="宋体"/>
      <w:snapToGrid/>
      <w:color w:val="FF0000"/>
      <w:sz w:val="24"/>
    </w:rPr>
  </w:style>
  <w:style w:type="character" w:customStyle="1" w:styleId="3741">
    <w:name w:val="font61"/>
    <w:basedOn w:val="132"/>
    <w:qFormat/>
    <w:uiPriority w:val="0"/>
    <w:rPr>
      <w:rFonts w:hint="default" w:ascii="Times New Roman" w:hAnsi="Times New Roman" w:cs="Times New Roman"/>
      <w:color w:val="000000"/>
      <w:sz w:val="22"/>
      <w:szCs w:val="22"/>
      <w:u w:val="none"/>
    </w:rPr>
  </w:style>
  <w:style w:type="character" w:customStyle="1" w:styleId="3742">
    <w:name w:val="font101"/>
    <w:basedOn w:val="132"/>
    <w:qFormat/>
    <w:uiPriority w:val="0"/>
    <w:rPr>
      <w:rFonts w:hint="eastAsia" w:ascii="宋体" w:hAnsi="宋体" w:eastAsia="宋体"/>
      <w:color w:val="FF0000"/>
      <w:sz w:val="22"/>
      <w:szCs w:val="22"/>
      <w:u w:val="none"/>
    </w:rPr>
  </w:style>
  <w:style w:type="character" w:customStyle="1" w:styleId="3743">
    <w:name w:val="font71"/>
    <w:basedOn w:val="132"/>
    <w:qFormat/>
    <w:uiPriority w:val="0"/>
    <w:rPr>
      <w:rFonts w:hint="default" w:ascii="Times New Roman" w:hAnsi="Times New Roman" w:cs="Times New Roman"/>
      <w:color w:val="000000"/>
      <w:sz w:val="22"/>
      <w:szCs w:val="22"/>
      <w:u w:val="none"/>
      <w:vertAlign w:val="superscript"/>
    </w:rPr>
  </w:style>
  <w:style w:type="character" w:customStyle="1" w:styleId="3744">
    <w:name w:val="font81"/>
    <w:basedOn w:val="132"/>
    <w:qFormat/>
    <w:uiPriority w:val="0"/>
    <w:rPr>
      <w:rFonts w:hint="default" w:ascii="Times New Roman" w:hAnsi="Times New Roman" w:cs="Times New Roman"/>
      <w:color w:val="000000"/>
      <w:sz w:val="22"/>
      <w:szCs w:val="22"/>
      <w:u w:val="none"/>
      <w:vertAlign w:val="superscript"/>
    </w:rPr>
  </w:style>
  <w:style w:type="character" w:customStyle="1" w:styleId="3745">
    <w:name w:val="表格标题 字符"/>
    <w:qFormat/>
    <w:uiPriority w:val="0"/>
    <w:rPr>
      <w:rFonts w:cs="Times New Roman"/>
      <w:b/>
      <w:bCs/>
      <w:snapToGrid w:val="0"/>
      <w:kern w:val="44"/>
      <w:sz w:val="21"/>
      <w:szCs w:val="44"/>
    </w:rPr>
  </w:style>
  <w:style w:type="paragraph" w:customStyle="1" w:styleId="3746">
    <w:name w:val="图片标题"/>
    <w:next w:val="1721"/>
    <w:qFormat/>
    <w:uiPriority w:val="0"/>
    <w:pPr>
      <w:jc w:val="center"/>
    </w:pPr>
    <w:rPr>
      <w:rFonts w:ascii="Times New Roman" w:hAnsi="Times New Roman" w:eastAsia="宋体" w:cs="Times New Roman"/>
      <w:b/>
      <w:snapToGrid w:val="0"/>
      <w:kern w:val="44"/>
      <w:sz w:val="21"/>
      <w:szCs w:val="44"/>
      <w:lang w:val="en-US" w:eastAsia="zh-CN" w:bidi="ar-SA"/>
    </w:rPr>
  </w:style>
  <w:style w:type="paragraph" w:customStyle="1" w:styleId="3747">
    <w:name w:val="三级标题"/>
    <w:basedOn w:val="1721"/>
    <w:next w:val="1721"/>
    <w:qFormat/>
    <w:uiPriority w:val="3"/>
    <w:pPr>
      <w:widowControl/>
      <w:spacing w:before="80" w:after="60" w:line="300" w:lineRule="auto"/>
      <w:ind w:firstLine="0" w:firstLineChars="0"/>
      <w:outlineLvl w:val="2"/>
    </w:pPr>
    <w:rPr>
      <w:rFonts w:eastAsia="宋体"/>
      <w:b/>
      <w:kern w:val="44"/>
      <w:sz w:val="24"/>
      <w:szCs w:val="44"/>
    </w:rPr>
  </w:style>
  <w:style w:type="character" w:customStyle="1" w:styleId="3748">
    <w:name w:val="font91"/>
    <w:basedOn w:val="132"/>
    <w:qFormat/>
    <w:uiPriority w:val="0"/>
    <w:rPr>
      <w:rFonts w:hint="default" w:ascii="Times New Roman" w:hAnsi="Times New Roman" w:cs="Times New Roman"/>
      <w:color w:val="FF0000"/>
      <w:sz w:val="22"/>
      <w:szCs w:val="22"/>
      <w:u w:val="none"/>
    </w:rPr>
  </w:style>
  <w:style w:type="character" w:customStyle="1" w:styleId="3749">
    <w:name w:val="普通(网站) 字符"/>
    <w:link w:val="81"/>
    <w:qFormat/>
    <w:locked/>
    <w:uiPriority w:val="0"/>
    <w:rPr>
      <w:rFonts w:ascii="宋体" w:hAnsi="宋体" w:eastAsia="宋体" w:cs="Times New Roman"/>
      <w:sz w:val="26"/>
      <w:szCs w:val="24"/>
    </w:rPr>
  </w:style>
  <w:style w:type="paragraph" w:customStyle="1" w:styleId="3750">
    <w:name w:val="01表格文字5号 +"/>
    <w:basedOn w:val="1"/>
    <w:link w:val="3751"/>
    <w:qFormat/>
    <w:uiPriority w:val="0"/>
    <w:pPr>
      <w:autoSpaceDE w:val="0"/>
      <w:autoSpaceDN w:val="0"/>
      <w:snapToGrid/>
      <w:spacing w:line="320" w:lineRule="exact"/>
      <w:ind w:firstLine="0" w:firstLineChars="0"/>
      <w:jc w:val="center"/>
    </w:pPr>
    <w:rPr>
      <w:rFonts w:ascii="宋体" w:hAnsi="Arial"/>
      <w:iCs/>
      <w:kern w:val="2"/>
      <w:sz w:val="21"/>
      <w:szCs w:val="18"/>
      <w:lang w:val="zh-CN"/>
    </w:rPr>
  </w:style>
  <w:style w:type="character" w:customStyle="1" w:styleId="3751">
    <w:name w:val="01表格文字5号 + Char"/>
    <w:link w:val="3750"/>
    <w:qFormat/>
    <w:uiPriority w:val="0"/>
    <w:rPr>
      <w:rFonts w:ascii="宋体" w:hAnsi="Arial" w:eastAsia="宋体" w:cs="Times New Roman"/>
      <w:iCs/>
      <w:snapToGrid w:val="0"/>
      <w:kern w:val="2"/>
      <w:sz w:val="21"/>
      <w:szCs w:val="18"/>
      <w:lang w:val="zh-CN"/>
    </w:rPr>
  </w:style>
  <w:style w:type="paragraph" w:customStyle="1" w:styleId="3752">
    <w:name w:val="1正文"/>
    <w:qFormat/>
    <w:uiPriority w:val="0"/>
    <w:pPr>
      <w:spacing w:line="480" w:lineRule="exact"/>
      <w:ind w:firstLine="200" w:firstLineChars="200"/>
      <w:jc w:val="both"/>
    </w:pPr>
    <w:rPr>
      <w:rFonts w:ascii="Times New Roman" w:hAnsi="Times New Roman" w:eastAsia="宋体" w:cstheme="minorBidi"/>
      <w:sz w:val="24"/>
      <w:szCs w:val="24"/>
      <w:lang w:val="en-US" w:eastAsia="zh-CN" w:bidi="ar-SA"/>
    </w:rPr>
  </w:style>
  <w:style w:type="character" w:customStyle="1" w:styleId="3753">
    <w:name w:val="font111"/>
    <w:basedOn w:val="132"/>
    <w:qFormat/>
    <w:uiPriority w:val="0"/>
    <w:rPr>
      <w:rFonts w:hint="default" w:ascii="Times New Roman" w:hAnsi="Times New Roman" w:cs="Times New Roman"/>
      <w:color w:val="000000"/>
      <w:sz w:val="22"/>
      <w:szCs w:val="22"/>
      <w:u w:val="none"/>
      <w:vertAlign w:val="subscript"/>
    </w:rPr>
  </w:style>
  <w:style w:type="character" w:customStyle="1" w:styleId="3754">
    <w:name w:val="font121"/>
    <w:basedOn w:val="132"/>
    <w:qFormat/>
    <w:uiPriority w:val="0"/>
    <w:rPr>
      <w:rFonts w:hint="default" w:ascii="Times New Roman" w:hAnsi="Times New Roman" w:cs="Times New Roman"/>
      <w:color w:val="000000"/>
      <w:sz w:val="21"/>
      <w:szCs w:val="21"/>
      <w:u w:val="none"/>
      <w:vertAlign w:val="subscript"/>
    </w:rPr>
  </w:style>
  <w:style w:type="character" w:customStyle="1" w:styleId="3755">
    <w:name w:val="font131"/>
    <w:basedOn w:val="132"/>
    <w:qFormat/>
    <w:uiPriority w:val="0"/>
    <w:rPr>
      <w:rFonts w:hint="default" w:ascii="Times New Roman" w:hAnsi="Times New Roman" w:cs="Times New Roman"/>
      <w:color w:val="000000"/>
      <w:sz w:val="21"/>
      <w:szCs w:val="21"/>
      <w:u w:val="none"/>
      <w:vertAlign w:val="superscript"/>
    </w:rPr>
  </w:style>
  <w:style w:type="character" w:customStyle="1" w:styleId="3756">
    <w:name w:val="表格中正文 Char"/>
    <w:link w:val="3757"/>
    <w:qFormat/>
    <w:uiPriority w:val="0"/>
    <w:rPr>
      <w:sz w:val="24"/>
      <w:szCs w:val="24"/>
    </w:rPr>
  </w:style>
  <w:style w:type="paragraph" w:customStyle="1" w:styleId="3757">
    <w:name w:val="表格中正文"/>
    <w:basedOn w:val="1"/>
    <w:link w:val="3756"/>
    <w:qFormat/>
    <w:uiPriority w:val="0"/>
    <w:pPr>
      <w:adjustRightInd/>
      <w:snapToGrid/>
      <w:ind w:firstLine="420"/>
    </w:pPr>
    <w:rPr>
      <w:rFonts w:asciiTheme="minorHAnsi" w:hAnsiTheme="minorHAnsi" w:eastAsiaTheme="minorEastAsia" w:cstheme="minorBidi"/>
      <w:snapToGrid/>
      <w:sz w:val="24"/>
    </w:rPr>
  </w:style>
  <w:style w:type="character" w:customStyle="1" w:styleId="3758">
    <w:name w:val="未处理的提及2"/>
    <w:basedOn w:val="132"/>
    <w:semiHidden/>
    <w:unhideWhenUsed/>
    <w:qFormat/>
    <w:uiPriority w:val="99"/>
    <w:rPr>
      <w:color w:val="605E5C"/>
      <w:shd w:val="clear" w:color="auto" w:fill="E1DFDD"/>
    </w:rPr>
  </w:style>
  <w:style w:type="paragraph" w:customStyle="1" w:styleId="3759">
    <w:name w:val="正文-龙池"/>
    <w:basedOn w:val="1"/>
    <w:qFormat/>
    <w:uiPriority w:val="0"/>
    <w:pPr>
      <w:autoSpaceDE w:val="0"/>
      <w:autoSpaceDN w:val="0"/>
      <w:snapToGrid/>
      <w:spacing w:line="360" w:lineRule="auto"/>
      <w:contextualSpacing/>
    </w:pPr>
    <w:rPr>
      <w:snapToGrid/>
      <w:sz w:val="24"/>
    </w:rPr>
  </w:style>
  <w:style w:type="paragraph" w:customStyle="1" w:styleId="3760">
    <w:name w:val="修订5"/>
    <w:hidden/>
    <w:semiHidden/>
    <w:qFormat/>
    <w:uiPriority w:val="99"/>
    <w:rPr>
      <w:rFonts w:ascii="Times New Roman" w:hAnsi="Times New Roman" w:eastAsia="宋体" w:cs="Times New Roman"/>
      <w:snapToGrid w:val="0"/>
      <w:sz w:val="26"/>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wmf"/><Relationship Id="rId78" Type="http://schemas.openxmlformats.org/officeDocument/2006/relationships/image" Target="media/image51.wmf"/><Relationship Id="rId77" Type="http://schemas.openxmlformats.org/officeDocument/2006/relationships/image" Target="media/image50.png"/><Relationship Id="rId76" Type="http://schemas.openxmlformats.org/officeDocument/2006/relationships/image" Target="media/image49.emf"/><Relationship Id="rId75" Type="http://schemas.openxmlformats.org/officeDocument/2006/relationships/image" Target="media/image48.jpeg"/><Relationship Id="rId74" Type="http://schemas.openxmlformats.org/officeDocument/2006/relationships/image" Target="media/image47.png"/><Relationship Id="rId73" Type="http://schemas.openxmlformats.org/officeDocument/2006/relationships/image" Target="media/image46.wmf"/><Relationship Id="rId72" Type="http://schemas.openxmlformats.org/officeDocument/2006/relationships/oleObject" Target="embeddings/oleObject8.bin"/><Relationship Id="rId71" Type="http://schemas.openxmlformats.org/officeDocument/2006/relationships/image" Target="media/image45.wmf"/><Relationship Id="rId70" Type="http://schemas.openxmlformats.org/officeDocument/2006/relationships/oleObject" Target="embeddings/oleObject7.bin"/><Relationship Id="rId7" Type="http://schemas.openxmlformats.org/officeDocument/2006/relationships/header" Target="header3.xml"/><Relationship Id="rId69" Type="http://schemas.openxmlformats.org/officeDocument/2006/relationships/image" Target="media/image44.wmf"/><Relationship Id="rId68" Type="http://schemas.openxmlformats.org/officeDocument/2006/relationships/oleObject" Target="embeddings/oleObject6.bin"/><Relationship Id="rId67" Type="http://schemas.openxmlformats.org/officeDocument/2006/relationships/image" Target="media/image43.wmf"/><Relationship Id="rId66" Type="http://schemas.openxmlformats.org/officeDocument/2006/relationships/oleObject" Target="embeddings/oleObject5.bin"/><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wmf"/><Relationship Id="rId6" Type="http://schemas.openxmlformats.org/officeDocument/2006/relationships/header" Target="header2.xml"/><Relationship Id="rId59" Type="http://schemas.openxmlformats.org/officeDocument/2006/relationships/oleObject" Target="embeddings/oleObject4.bin"/><Relationship Id="rId58" Type="http://schemas.openxmlformats.org/officeDocument/2006/relationships/image" Target="media/image36.wmf"/><Relationship Id="rId57" Type="http://schemas.openxmlformats.org/officeDocument/2006/relationships/oleObject" Target="embeddings/oleObject3.bin"/><Relationship Id="rId56" Type="http://schemas.openxmlformats.org/officeDocument/2006/relationships/image" Target="media/image35.wmf"/><Relationship Id="rId55" Type="http://schemas.openxmlformats.org/officeDocument/2006/relationships/oleObject" Target="embeddings/oleObject2.bin"/><Relationship Id="rId54" Type="http://schemas.openxmlformats.org/officeDocument/2006/relationships/image" Target="media/image34.wmf"/><Relationship Id="rId53" Type="http://schemas.openxmlformats.org/officeDocument/2006/relationships/oleObject" Target="embeddings/oleObject1.bin"/><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jpeg"/><Relationship Id="rId37" Type="http://schemas.openxmlformats.org/officeDocument/2006/relationships/image" Target="media/image18.pn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emf"/><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NULL" TargetMode="External"/><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FE1B20-65D5-416C-8A0D-F344CE4CD31A}">
  <ds:schemaRefs/>
</ds:datastoreItem>
</file>

<file path=docProps/app.xml><?xml version="1.0" encoding="utf-8"?>
<Properties xmlns="http://schemas.openxmlformats.org/officeDocument/2006/extended-properties" xmlns:vt="http://schemas.openxmlformats.org/officeDocument/2006/docPropsVTypes">
  <Template>Normal</Template>
  <Pages>254</Pages>
  <Words>9039</Words>
  <Characters>10154</Characters>
  <Lines>13219</Lines>
  <Paragraphs>13901</Paragraphs>
  <TotalTime>35</TotalTime>
  <ScaleCrop>false</ScaleCrop>
  <LinksUpToDate>false</LinksUpToDate>
  <CharactersWithSpaces>10343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2025-06-09T06:49:00Z</dcterms:created>
  <dc:creator>Administrator</dc:creator>
  <cp:lastModifiedBy>silence</cp:lastModifiedBy>
  <cp:lastPrinted>2025-08-08T06:20:00Z</cp:lastPrinted>
  <dcterms:modified xsi:type="dcterms:W3CDTF">2025-08-21T06:58:46Z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7A7BF516FAA444F6AD511D51945F8D6B_12</vt:lpwstr>
  </property>
  <property fmtid="{D5CDD505-2E9C-101B-9397-08002B2CF9AE}" pid="4" name="KSOTemplateDocerSaveRecord">
    <vt:lpwstr>eyJoZGlkIjoiZjRmYWUxOWJhMWE5OGFmZGQyNzA0NjBkZTNhOGRjMDEiLCJ1c2VySWQiOiIyNDg4ODMzNzUifQ==</vt:lpwstr>
  </property>
</Properties>
</file>